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42" w:rsidRPr="00F50813" w:rsidRDefault="00807DDB" w:rsidP="004929D8">
      <w:pPr>
        <w:spacing w:after="160" w:line="200" w:lineRule="atLeast"/>
        <w:jc w:val="both"/>
        <w:rPr>
          <w:rFonts w:ascii="Segoe UI" w:hAnsi="Segoe UI" w:cs="Segoe UI"/>
          <w:b/>
          <w:lang w:val="en-US"/>
        </w:rPr>
      </w:pPr>
      <w:r w:rsidRPr="00807DDB">
        <w:rPr>
          <w:rFonts w:ascii="Segoe UI" w:hAnsi="Segoe UI" w:cs="Segoe UI"/>
          <w:b/>
          <w:noProof/>
          <w:lang w:val="el-GR"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2.25pt;margin-top:-9.15pt;width:435.9pt;height:73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" fillcolor="#d8d8d8 [2732]" stroked="f">
            <v:textbox>
              <w:txbxContent>
                <w:p w:rsidR="007C5D8F" w:rsidRPr="00BF459E" w:rsidRDefault="007C5D8F" w:rsidP="00BF459E">
                  <w:pPr>
                    <w:spacing w:before="120" w:after="0" w:line="240" w:lineRule="auto"/>
                    <w:jc w:val="center"/>
                    <w:rPr>
                      <w:rFonts w:ascii="Segoe UI" w:hAnsi="Segoe UI" w:cs="Segoe UI"/>
                      <w:b/>
                      <w:sz w:val="32"/>
                      <w:szCs w:val="26"/>
                      <w:lang w:val="el-GR"/>
                    </w:rPr>
                  </w:pPr>
                  <w:r w:rsidRPr="00BF459E">
                    <w:rPr>
                      <w:rFonts w:ascii="Segoe UI" w:hAnsi="Segoe UI" w:cs="Segoe UI"/>
                      <w:b/>
                      <w:sz w:val="32"/>
                      <w:szCs w:val="26"/>
                      <w:lang w:val="el-GR"/>
                    </w:rPr>
                    <w:t>ΔΕΛΤΙΟ ΤΥΠΟΥ</w:t>
                  </w:r>
                </w:p>
                <w:p w:rsidR="007C5D8F" w:rsidRPr="00BF459E" w:rsidRDefault="007C5D8F" w:rsidP="00BF459E">
                  <w:pPr>
                    <w:spacing w:before="120" w:after="0" w:line="240" w:lineRule="auto"/>
                    <w:jc w:val="center"/>
                    <w:rPr>
                      <w:rFonts w:ascii="Segoe UI" w:hAnsi="Segoe UI" w:cs="Segoe UI"/>
                      <w:b/>
                      <w:sz w:val="24"/>
                      <w:szCs w:val="30"/>
                      <w:lang w:val="el-GR"/>
                    </w:rPr>
                  </w:pPr>
                  <w:r w:rsidRPr="00BF459E">
                    <w:rPr>
                      <w:rFonts w:ascii="Segoe UI" w:hAnsi="Segoe UI" w:cs="Segoe UI"/>
                      <w:b/>
                      <w:sz w:val="24"/>
                      <w:szCs w:val="30"/>
                      <w:lang w:val="el-GR"/>
                    </w:rPr>
                    <w:t xml:space="preserve">Αποτελέσματα Ομίλου ΕΤΕ: </w:t>
                  </w:r>
                  <w:r>
                    <w:rPr>
                      <w:rFonts w:ascii="Segoe UI" w:hAnsi="Segoe UI" w:cs="Segoe UI"/>
                      <w:b/>
                      <w:sz w:val="24"/>
                      <w:szCs w:val="30"/>
                      <w:lang w:val="el-GR"/>
                    </w:rPr>
                    <w:t>Γ</w:t>
                  </w:r>
                  <w:r w:rsidRPr="00BF459E">
                    <w:rPr>
                      <w:rFonts w:ascii="Segoe UI" w:hAnsi="Segoe UI" w:cs="Segoe UI"/>
                      <w:b/>
                      <w:sz w:val="24"/>
                      <w:szCs w:val="30"/>
                      <w:lang w:val="el-GR"/>
                    </w:rPr>
                    <w:t>’ Τρίμηνο 2016</w:t>
                  </w:r>
                </w:p>
                <w:p w:rsidR="007C5D8F" w:rsidRPr="007605C4" w:rsidRDefault="007C5D8F" w:rsidP="00BF459E">
                  <w:pPr>
                    <w:spacing w:before="120" w:after="0" w:line="240" w:lineRule="auto"/>
                    <w:jc w:val="center"/>
                    <w:rPr>
                      <w:rFonts w:ascii="Segoe UI" w:hAnsi="Segoe UI" w:cs="Segoe UI"/>
                      <w:b/>
                      <w:sz w:val="2"/>
                      <w:szCs w:val="2"/>
                      <w:lang w:val="el-GR"/>
                    </w:rPr>
                  </w:pPr>
                </w:p>
                <w:p w:rsidR="007C5D8F" w:rsidRPr="005B3106" w:rsidRDefault="007C5D8F" w:rsidP="00BF459E">
                  <w:pPr>
                    <w:spacing w:before="120" w:after="0" w:line="240" w:lineRule="auto"/>
                    <w:rPr>
                      <w:rFonts w:ascii="Segoe UI" w:hAnsi="Segoe UI" w:cs="Segoe UI"/>
                      <w:b/>
                      <w:sz w:val="2"/>
                      <w:szCs w:val="2"/>
                      <w:lang w:val="el-GR"/>
                    </w:rPr>
                  </w:pPr>
                </w:p>
                <w:p w:rsidR="007C5D8F" w:rsidRPr="00E46E0F" w:rsidRDefault="007C5D8F" w:rsidP="008F0414">
                  <w:pPr>
                    <w:numPr>
                      <w:ilvl w:val="0"/>
                      <w:numId w:val="12"/>
                    </w:numPr>
                    <w:spacing w:before="120" w:after="0"/>
                    <w:rPr>
                      <w:rFonts w:ascii="Segoe UI" w:hAnsi="Segoe UI" w:cs="Segoe UI"/>
                      <w:b/>
                      <w:sz w:val="12"/>
                      <w:szCs w:val="10"/>
                      <w:lang w:val="el-GR"/>
                    </w:rPr>
                  </w:pPr>
                  <w:r>
                    <w:rPr>
                      <w:rFonts w:ascii="Segoe UI" w:hAnsi="Segoe UI" w:cs="Segoe UI"/>
                      <w:b/>
                      <w:sz w:val="18"/>
                      <w:szCs w:val="15"/>
                      <w:lang w:val="el-GR"/>
                    </w:rPr>
                    <w:t>Τα Μ</w:t>
                  </w:r>
                  <w:r w:rsidRPr="00E46E0F">
                    <w:rPr>
                      <w:rFonts w:ascii="Segoe UI" w:hAnsi="Segoe UI" w:cs="Segoe UI"/>
                      <w:b/>
                      <w:sz w:val="18"/>
                      <w:szCs w:val="15"/>
                      <w:lang w:val="el-GR"/>
                    </w:rPr>
                    <w:t xml:space="preserve">η </w:t>
                  </w:r>
                  <w:r>
                    <w:rPr>
                      <w:rFonts w:ascii="Segoe UI" w:hAnsi="Segoe UI" w:cs="Segoe UI"/>
                      <w:b/>
                      <w:sz w:val="18"/>
                      <w:szCs w:val="15"/>
                      <w:lang w:val="el-GR"/>
                    </w:rPr>
                    <w:t>Ε</w:t>
                  </w:r>
                  <w:r w:rsidRPr="00E46E0F">
                    <w:rPr>
                      <w:rFonts w:ascii="Segoe UI" w:hAnsi="Segoe UI" w:cs="Segoe UI"/>
                      <w:b/>
                      <w:sz w:val="18"/>
                      <w:szCs w:val="15"/>
                      <w:lang w:val="el-GR"/>
                    </w:rPr>
                    <w:t>ξυπηρετούμεν</w:t>
                  </w:r>
                  <w:r>
                    <w:rPr>
                      <w:rFonts w:ascii="Segoe UI" w:hAnsi="Segoe UI" w:cs="Segoe UI"/>
                      <w:b/>
                      <w:sz w:val="18"/>
                      <w:szCs w:val="15"/>
                      <w:lang w:val="el-GR"/>
                    </w:rPr>
                    <w:t xml:space="preserve">α Ανοίγματα μειώθηκαν κατά €1,9 </w:t>
                  </w:r>
                  <w:r w:rsidRPr="008F0414">
                    <w:rPr>
                      <w:rFonts w:ascii="Segoe UI" w:hAnsi="Segoe UI" w:cs="Segoe UI"/>
                      <w:b/>
                      <w:sz w:val="18"/>
                      <w:szCs w:val="15"/>
                      <w:lang w:val="el-GR"/>
                    </w:rPr>
                    <w:t>δι</w:t>
                  </w:r>
                  <w:r>
                    <w:rPr>
                      <w:rFonts w:ascii="Segoe UI" w:hAnsi="Segoe UI" w:cs="Segoe UI"/>
                      <w:b/>
                      <w:sz w:val="18"/>
                      <w:szCs w:val="15"/>
                      <w:lang w:val="el-GR"/>
                    </w:rPr>
                    <w:t>σ. από την αρχή του έτους</w:t>
                  </w:r>
                </w:p>
                <w:p w:rsidR="007C5D8F" w:rsidRPr="00BF459E" w:rsidRDefault="007C5D8F" w:rsidP="00D75AAF">
                  <w:pPr>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Αντανακλώντας </w:t>
                  </w:r>
                  <w:r w:rsidRPr="00734139">
                    <w:rPr>
                      <w:rFonts w:ascii="Segoe UI" w:hAnsi="Segoe UI" w:cs="Segoe UI"/>
                      <w:sz w:val="18"/>
                      <w:szCs w:val="15"/>
                      <w:lang w:val="el-GR"/>
                    </w:rPr>
                    <w:t xml:space="preserve">τις επιτυχημένες αναδιαρθρώσεις και διαγραφές </w:t>
                  </w:r>
                  <w:r w:rsidR="002B537E">
                    <w:rPr>
                      <w:rFonts w:ascii="Segoe UI" w:hAnsi="Segoe UI" w:cs="Segoe UI"/>
                      <w:sz w:val="18"/>
                      <w:szCs w:val="15"/>
                      <w:lang w:val="el-GR"/>
                    </w:rPr>
                    <w:t xml:space="preserve">πλήρως καλυμμένων από προβλέψεις </w:t>
                  </w:r>
                  <w:r w:rsidRPr="00734139">
                    <w:rPr>
                      <w:rFonts w:ascii="Segoe UI" w:hAnsi="Segoe UI" w:cs="Segoe UI"/>
                      <w:sz w:val="18"/>
                      <w:szCs w:val="15"/>
                      <w:lang w:val="el-GR"/>
                    </w:rPr>
                    <w:t>δανείων</w:t>
                  </w:r>
                  <w:r>
                    <w:rPr>
                      <w:rFonts w:ascii="Segoe UI" w:hAnsi="Segoe UI" w:cs="Segoe UI"/>
                      <w:sz w:val="18"/>
                      <w:szCs w:val="15"/>
                      <w:lang w:val="el-GR"/>
                    </w:rPr>
                    <w:t>, τ</w:t>
                  </w:r>
                  <w:r w:rsidRPr="00BF459E">
                    <w:rPr>
                      <w:rFonts w:ascii="Segoe UI" w:hAnsi="Segoe UI" w:cs="Segoe UI"/>
                      <w:sz w:val="18"/>
                      <w:szCs w:val="15"/>
                      <w:lang w:val="el-GR"/>
                    </w:rPr>
                    <w:t xml:space="preserve">α </w:t>
                  </w:r>
                  <w:r>
                    <w:rPr>
                      <w:rFonts w:ascii="Segoe UI" w:hAnsi="Segoe UI" w:cs="Segoe UI"/>
                      <w:sz w:val="18"/>
                      <w:szCs w:val="15"/>
                      <w:lang w:val="el-GR"/>
                    </w:rPr>
                    <w:t>Μ</w:t>
                  </w:r>
                  <w:r w:rsidRPr="00BF459E">
                    <w:rPr>
                      <w:rFonts w:ascii="Segoe UI" w:hAnsi="Segoe UI" w:cs="Segoe UI"/>
                      <w:sz w:val="18"/>
                      <w:szCs w:val="15"/>
                      <w:lang w:val="el-GR"/>
                    </w:rPr>
                    <w:t xml:space="preserve">η </w:t>
                  </w:r>
                  <w:r>
                    <w:rPr>
                      <w:rFonts w:ascii="Segoe UI" w:hAnsi="Segoe UI" w:cs="Segoe UI"/>
                      <w:sz w:val="18"/>
                      <w:szCs w:val="15"/>
                      <w:lang w:val="el-GR"/>
                    </w:rPr>
                    <w:t>Ε</w:t>
                  </w:r>
                  <w:r w:rsidRPr="00BF459E">
                    <w:rPr>
                      <w:rFonts w:ascii="Segoe UI" w:hAnsi="Segoe UI" w:cs="Segoe UI"/>
                      <w:sz w:val="18"/>
                      <w:szCs w:val="15"/>
                      <w:lang w:val="el-GR"/>
                    </w:rPr>
                    <w:t xml:space="preserve">ξυπηρετούμενα </w:t>
                  </w:r>
                  <w:r>
                    <w:rPr>
                      <w:rFonts w:ascii="Segoe UI" w:hAnsi="Segoe UI" w:cs="Segoe UI"/>
                      <w:sz w:val="18"/>
                      <w:szCs w:val="15"/>
                      <w:lang w:val="el-GR"/>
                    </w:rPr>
                    <w:t>Α</w:t>
                  </w:r>
                  <w:r w:rsidRPr="00BF459E">
                    <w:rPr>
                      <w:rFonts w:ascii="Segoe UI" w:hAnsi="Segoe UI" w:cs="Segoe UI"/>
                      <w:sz w:val="18"/>
                      <w:szCs w:val="15"/>
                      <w:lang w:val="el-GR"/>
                    </w:rPr>
                    <w:t xml:space="preserve">νοίγματα </w:t>
                  </w:r>
                  <w:r>
                    <w:rPr>
                      <w:rFonts w:ascii="Segoe UI" w:hAnsi="Segoe UI" w:cs="Segoe UI"/>
                      <w:sz w:val="18"/>
                      <w:szCs w:val="15"/>
                      <w:lang w:val="el-GR"/>
                    </w:rPr>
                    <w:t>(</w:t>
                  </w:r>
                  <w:r>
                    <w:rPr>
                      <w:rFonts w:ascii="Segoe UI" w:hAnsi="Segoe UI" w:cs="Segoe UI"/>
                      <w:sz w:val="18"/>
                      <w:szCs w:val="15"/>
                      <w:lang w:val="en-US"/>
                    </w:rPr>
                    <w:t>NPEs</w:t>
                  </w:r>
                  <w:r w:rsidRPr="00D75AAF">
                    <w:rPr>
                      <w:rFonts w:ascii="Segoe UI" w:hAnsi="Segoe UI" w:cs="Segoe UI"/>
                      <w:sz w:val="18"/>
                      <w:szCs w:val="15"/>
                      <w:lang w:val="el-GR"/>
                    </w:rPr>
                    <w:t xml:space="preserve">) </w:t>
                  </w:r>
                  <w:r w:rsidRPr="00BF459E">
                    <w:rPr>
                      <w:rFonts w:ascii="Segoe UI" w:hAnsi="Segoe UI" w:cs="Segoe UI"/>
                      <w:sz w:val="18"/>
                      <w:szCs w:val="15"/>
                      <w:lang w:val="el-GR"/>
                    </w:rPr>
                    <w:t>μειώ</w:t>
                  </w:r>
                  <w:r>
                    <w:rPr>
                      <w:rFonts w:ascii="Segoe UI" w:hAnsi="Segoe UI" w:cs="Segoe UI"/>
                      <w:sz w:val="18"/>
                      <w:szCs w:val="15"/>
                      <w:lang w:val="el-GR"/>
                    </w:rPr>
                    <w:t xml:space="preserve">θηκαν σημαντικά </w:t>
                  </w:r>
                  <w:r w:rsidRPr="00BF459E">
                    <w:rPr>
                      <w:rFonts w:ascii="Segoe UI" w:hAnsi="Segoe UI" w:cs="Segoe UI"/>
                      <w:sz w:val="18"/>
                      <w:szCs w:val="15"/>
                      <w:lang w:val="el-GR"/>
                    </w:rPr>
                    <w:t xml:space="preserve">για </w:t>
                  </w:r>
                  <w:r>
                    <w:rPr>
                      <w:rFonts w:ascii="Segoe UI" w:hAnsi="Segoe UI" w:cs="Segoe UI"/>
                      <w:sz w:val="18"/>
                      <w:szCs w:val="15"/>
                      <w:lang w:val="el-GR"/>
                    </w:rPr>
                    <w:t xml:space="preserve">δεύτερο συνεχόμενο τρίμηνο </w:t>
                  </w:r>
                  <w:r w:rsidRPr="00BF459E">
                    <w:rPr>
                      <w:rFonts w:ascii="Segoe UI" w:hAnsi="Segoe UI" w:cs="Segoe UI"/>
                      <w:sz w:val="18"/>
                      <w:szCs w:val="15"/>
                      <w:lang w:val="el-GR"/>
                    </w:rPr>
                    <w:t>(-€</w:t>
                  </w:r>
                  <w:r>
                    <w:rPr>
                      <w:rFonts w:ascii="Segoe UI" w:hAnsi="Segoe UI" w:cs="Segoe UI"/>
                      <w:sz w:val="18"/>
                      <w:szCs w:val="15"/>
                      <w:lang w:val="el-GR"/>
                    </w:rPr>
                    <w:t>1</w:t>
                  </w:r>
                  <w:r w:rsidRPr="00BF459E">
                    <w:rPr>
                      <w:rFonts w:ascii="Segoe UI" w:hAnsi="Segoe UI" w:cs="Segoe UI"/>
                      <w:sz w:val="18"/>
                      <w:szCs w:val="15"/>
                      <w:lang w:val="el-GR"/>
                    </w:rPr>
                    <w:t xml:space="preserve"> δισ. σε τριμηνιαία βάση)</w:t>
                  </w:r>
                  <w:r>
                    <w:rPr>
                      <w:rFonts w:ascii="Segoe UI" w:hAnsi="Segoe UI" w:cs="Segoe UI"/>
                      <w:sz w:val="18"/>
                      <w:szCs w:val="15"/>
                      <w:lang w:val="el-GR"/>
                    </w:rPr>
                    <w:t xml:space="preserve">. Από την αρχή του έτους, η συνολική μείωση των </w:t>
                  </w:r>
                  <w:r w:rsidRPr="00D75AAF">
                    <w:rPr>
                      <w:rFonts w:ascii="Segoe UI" w:hAnsi="Segoe UI" w:cs="Segoe UI"/>
                      <w:sz w:val="18"/>
                      <w:szCs w:val="15"/>
                      <w:lang w:val="el-GR"/>
                    </w:rPr>
                    <w:t>Μη Εξυπηρετούμεν</w:t>
                  </w:r>
                  <w:r>
                    <w:rPr>
                      <w:rFonts w:ascii="Segoe UI" w:hAnsi="Segoe UI" w:cs="Segoe UI"/>
                      <w:sz w:val="18"/>
                      <w:szCs w:val="15"/>
                      <w:lang w:val="el-GR"/>
                    </w:rPr>
                    <w:t>ων</w:t>
                  </w:r>
                  <w:r w:rsidRPr="00D75AAF">
                    <w:rPr>
                      <w:rFonts w:ascii="Segoe UI" w:hAnsi="Segoe UI" w:cs="Segoe UI"/>
                      <w:sz w:val="18"/>
                      <w:szCs w:val="15"/>
                      <w:lang w:val="el-GR"/>
                    </w:rPr>
                    <w:t xml:space="preserve"> Αν</w:t>
                  </w:r>
                  <w:r>
                    <w:rPr>
                      <w:rFonts w:ascii="Segoe UI" w:hAnsi="Segoe UI" w:cs="Segoe UI"/>
                      <w:sz w:val="18"/>
                      <w:szCs w:val="15"/>
                      <w:lang w:val="el-GR"/>
                    </w:rPr>
                    <w:t xml:space="preserve">οιγμάτων ανέρχεται σε €1,9 δισ. </w:t>
                  </w:r>
                </w:p>
                <w:p w:rsidR="007C5D8F" w:rsidRPr="00BF459E" w:rsidRDefault="007C5D8F" w:rsidP="00CF267D">
                  <w:pPr>
                    <w:numPr>
                      <w:ilvl w:val="0"/>
                      <w:numId w:val="4"/>
                    </w:numPr>
                    <w:spacing w:before="120" w:after="0" w:line="240" w:lineRule="auto"/>
                    <w:rPr>
                      <w:rFonts w:ascii="Segoe UI" w:hAnsi="Segoe UI" w:cs="Segoe UI"/>
                      <w:sz w:val="18"/>
                      <w:szCs w:val="15"/>
                      <w:lang w:val="el-GR"/>
                    </w:rPr>
                  </w:pPr>
                  <w:r w:rsidRPr="00BF459E">
                    <w:rPr>
                      <w:rFonts w:ascii="Segoe UI" w:hAnsi="Segoe UI" w:cs="Segoe UI"/>
                      <w:sz w:val="18"/>
                      <w:szCs w:val="15"/>
                      <w:lang w:val="el-GR"/>
                    </w:rPr>
                    <w:t xml:space="preserve">Ο δείκτης </w:t>
                  </w:r>
                  <w:r>
                    <w:rPr>
                      <w:rFonts w:ascii="Segoe UI" w:hAnsi="Segoe UI" w:cs="Segoe UI"/>
                      <w:sz w:val="18"/>
                      <w:szCs w:val="15"/>
                      <w:lang w:val="el-GR"/>
                    </w:rPr>
                    <w:t>Μ</w:t>
                  </w:r>
                  <w:r w:rsidRPr="00BF459E">
                    <w:rPr>
                      <w:rFonts w:ascii="Segoe UI" w:hAnsi="Segoe UI" w:cs="Segoe UI"/>
                      <w:sz w:val="18"/>
                      <w:szCs w:val="15"/>
                      <w:lang w:val="el-GR"/>
                    </w:rPr>
                    <w:t xml:space="preserve">η </w:t>
                  </w:r>
                  <w:r>
                    <w:rPr>
                      <w:rFonts w:ascii="Segoe UI" w:hAnsi="Segoe UI" w:cs="Segoe UI"/>
                      <w:sz w:val="18"/>
                      <w:szCs w:val="15"/>
                      <w:lang w:val="el-GR"/>
                    </w:rPr>
                    <w:t>Ε</w:t>
                  </w:r>
                  <w:r w:rsidRPr="00BF459E">
                    <w:rPr>
                      <w:rFonts w:ascii="Segoe UI" w:hAnsi="Segoe UI" w:cs="Segoe UI"/>
                      <w:sz w:val="18"/>
                      <w:szCs w:val="15"/>
                      <w:lang w:val="el-GR"/>
                    </w:rPr>
                    <w:t xml:space="preserve">ξυπηρετούμενων </w:t>
                  </w:r>
                  <w:r>
                    <w:rPr>
                      <w:rFonts w:ascii="Segoe UI" w:hAnsi="Segoe UI" w:cs="Segoe UI"/>
                      <w:sz w:val="18"/>
                      <w:szCs w:val="15"/>
                      <w:lang w:val="el-GR"/>
                    </w:rPr>
                    <w:t>Α</w:t>
                  </w:r>
                  <w:r w:rsidRPr="00BF459E">
                    <w:rPr>
                      <w:rFonts w:ascii="Segoe UI" w:hAnsi="Segoe UI" w:cs="Segoe UI"/>
                      <w:sz w:val="18"/>
                      <w:szCs w:val="15"/>
                      <w:lang w:val="el-GR"/>
                    </w:rPr>
                    <w:t xml:space="preserve">νοιγμάτων </w:t>
                  </w:r>
                  <w:r>
                    <w:rPr>
                      <w:rFonts w:ascii="Segoe UI" w:hAnsi="Segoe UI" w:cs="Segoe UI"/>
                      <w:sz w:val="18"/>
                      <w:szCs w:val="15"/>
                      <w:lang w:val="el-GR"/>
                    </w:rPr>
                    <w:t>στην Ελλάδα υποχώρησε κατά 150 μ.β. σε σχέση με το προηγούμενο τρίμηνο και διαμορφώθηκε σε 46,4</w:t>
                  </w:r>
                  <w:r w:rsidRPr="00BF459E">
                    <w:rPr>
                      <w:rFonts w:ascii="Segoe UI" w:hAnsi="Segoe UI" w:cs="Segoe UI"/>
                      <w:sz w:val="18"/>
                      <w:szCs w:val="15"/>
                      <w:lang w:val="el-GR"/>
                    </w:rPr>
                    <w:t xml:space="preserve">% </w:t>
                  </w:r>
                  <w:r>
                    <w:rPr>
                      <w:rFonts w:ascii="Segoe UI" w:hAnsi="Segoe UI" w:cs="Segoe UI"/>
                      <w:sz w:val="18"/>
                      <w:szCs w:val="15"/>
                      <w:lang w:val="el-GR"/>
                    </w:rPr>
                    <w:t>(44,2% σε επίπεδο Ομίλου). Τ</w:t>
                  </w:r>
                  <w:r w:rsidRPr="00BF459E">
                    <w:rPr>
                      <w:rFonts w:ascii="Segoe UI" w:hAnsi="Segoe UI" w:cs="Segoe UI"/>
                      <w:sz w:val="18"/>
                      <w:szCs w:val="15"/>
                      <w:lang w:val="el-GR"/>
                    </w:rPr>
                    <w:t xml:space="preserve">ο ποσοστό κάλυψης </w:t>
                  </w:r>
                  <w:r>
                    <w:rPr>
                      <w:rFonts w:ascii="Segoe UI" w:hAnsi="Segoe UI" w:cs="Segoe UI"/>
                      <w:sz w:val="18"/>
                      <w:szCs w:val="15"/>
                      <w:lang w:val="el-GR"/>
                    </w:rPr>
                    <w:t>από σωρευμένες προβλέψεις ανήλθε σε 56,8</w:t>
                  </w:r>
                  <w:r w:rsidRPr="00BF459E">
                    <w:rPr>
                      <w:rFonts w:ascii="Segoe UI" w:hAnsi="Segoe UI" w:cs="Segoe UI"/>
                      <w:sz w:val="18"/>
                      <w:szCs w:val="15"/>
                      <w:lang w:val="el-GR"/>
                    </w:rPr>
                    <w:t xml:space="preserve">% </w:t>
                  </w:r>
                  <w:r>
                    <w:rPr>
                      <w:rFonts w:ascii="Segoe UI" w:hAnsi="Segoe UI" w:cs="Segoe UI"/>
                      <w:sz w:val="18"/>
                      <w:szCs w:val="15"/>
                      <w:lang w:val="el-GR"/>
                    </w:rPr>
                    <w:t xml:space="preserve">στην Ελλάδα </w:t>
                  </w:r>
                  <w:r w:rsidRPr="00BF459E">
                    <w:rPr>
                      <w:rFonts w:ascii="Segoe UI" w:hAnsi="Segoe UI" w:cs="Segoe UI"/>
                      <w:sz w:val="18"/>
                      <w:szCs w:val="15"/>
                      <w:lang w:val="el-GR"/>
                    </w:rPr>
                    <w:t>(+1</w:t>
                  </w:r>
                  <w:r>
                    <w:rPr>
                      <w:rFonts w:ascii="Segoe UI" w:hAnsi="Segoe UI" w:cs="Segoe UI"/>
                      <w:sz w:val="18"/>
                      <w:szCs w:val="15"/>
                      <w:lang w:val="el-GR"/>
                    </w:rPr>
                    <w:t>8</w:t>
                  </w:r>
                  <w:r w:rsidRPr="00BF459E">
                    <w:rPr>
                      <w:rFonts w:ascii="Segoe UI" w:hAnsi="Segoe UI" w:cs="Segoe UI"/>
                      <w:sz w:val="18"/>
                      <w:szCs w:val="15"/>
                      <w:lang w:val="el-GR"/>
                    </w:rPr>
                    <w:t>0 μ.β. σε τριμηνιαία βάση)</w:t>
                  </w:r>
                  <w:r>
                    <w:rPr>
                      <w:rFonts w:ascii="Segoe UI" w:hAnsi="Segoe UI" w:cs="Segoe UI"/>
                      <w:sz w:val="18"/>
                      <w:szCs w:val="15"/>
                      <w:lang w:val="el-GR"/>
                    </w:rPr>
                    <w:t xml:space="preserve"> και σε 56,3% σε επίπεδο Ομίλου (+200</w:t>
                  </w:r>
                  <w:r w:rsidRPr="00CF267D">
                    <w:rPr>
                      <w:rFonts w:ascii="Segoe UI" w:hAnsi="Segoe UI" w:cs="Segoe UI"/>
                      <w:sz w:val="18"/>
                      <w:szCs w:val="15"/>
                      <w:lang w:val="el-GR"/>
                    </w:rPr>
                    <w:t xml:space="preserve"> μ.β. σε τριμηνιαία βάση</w:t>
                  </w:r>
                  <w:r>
                    <w:rPr>
                      <w:rFonts w:ascii="Segoe UI" w:hAnsi="Segoe UI" w:cs="Segoe UI"/>
                      <w:sz w:val="18"/>
                      <w:szCs w:val="15"/>
                      <w:lang w:val="el-GR"/>
                    </w:rPr>
                    <w:t xml:space="preserve">), το υψηλότερο του εγχώριου τραπεζικού </w:t>
                  </w:r>
                  <w:r w:rsidRPr="00BF459E">
                    <w:rPr>
                      <w:rFonts w:ascii="Segoe UI" w:hAnsi="Segoe UI" w:cs="Segoe UI"/>
                      <w:sz w:val="18"/>
                      <w:szCs w:val="15"/>
                      <w:lang w:val="el-GR"/>
                    </w:rPr>
                    <w:t>κλάδου</w:t>
                  </w:r>
                  <w:r w:rsidR="0096101A">
                    <w:rPr>
                      <w:rFonts w:ascii="Segoe UI" w:hAnsi="Segoe UI" w:cs="Segoe UI"/>
                      <w:sz w:val="18"/>
                      <w:szCs w:val="15"/>
                      <w:vertAlign w:val="superscript"/>
                      <w:lang w:val="el-GR"/>
                    </w:rPr>
                    <w:t>1</w:t>
                  </w:r>
                </w:p>
                <w:p w:rsidR="007C5D8F" w:rsidRPr="00BF459E" w:rsidRDefault="007C5D8F" w:rsidP="008F0414">
                  <w:pPr>
                    <w:numPr>
                      <w:ilvl w:val="0"/>
                      <w:numId w:val="4"/>
                    </w:numPr>
                    <w:spacing w:before="120" w:after="0" w:line="240" w:lineRule="auto"/>
                    <w:rPr>
                      <w:rFonts w:ascii="Segoe UI" w:hAnsi="Segoe UI" w:cs="Segoe UI"/>
                      <w:sz w:val="18"/>
                      <w:szCs w:val="15"/>
                      <w:lang w:val="el-GR"/>
                    </w:rPr>
                  </w:pPr>
                  <w:r w:rsidRPr="00BF459E">
                    <w:rPr>
                      <w:rFonts w:ascii="Segoe UI" w:hAnsi="Segoe UI" w:cs="Segoe UI"/>
                      <w:sz w:val="18"/>
                      <w:szCs w:val="15"/>
                      <w:lang w:val="el-GR"/>
                    </w:rPr>
                    <w:t xml:space="preserve">Ο δείκτης δανείων σε καθυστέρηση άνω των 90 ημερών </w:t>
                  </w:r>
                  <w:r w:rsidR="002B537E">
                    <w:rPr>
                      <w:rFonts w:ascii="Segoe UI" w:hAnsi="Segoe UI" w:cs="Segoe UI"/>
                      <w:sz w:val="18"/>
                      <w:szCs w:val="15"/>
                      <w:lang w:val="el-GR"/>
                    </w:rPr>
                    <w:t>ανήλθε</w:t>
                  </w:r>
                  <w:r>
                    <w:rPr>
                      <w:rFonts w:ascii="Segoe UI" w:hAnsi="Segoe UI" w:cs="Segoe UI"/>
                      <w:sz w:val="18"/>
                      <w:szCs w:val="15"/>
                      <w:lang w:val="el-GR"/>
                    </w:rPr>
                    <w:t xml:space="preserve"> σε </w:t>
                  </w:r>
                  <w:r w:rsidR="007E6856" w:rsidRPr="007E6856">
                    <w:rPr>
                      <w:rFonts w:ascii="Segoe UI" w:hAnsi="Segoe UI" w:cs="Segoe UI"/>
                      <w:sz w:val="18"/>
                      <w:szCs w:val="15"/>
                      <w:lang w:val="el-GR"/>
                    </w:rPr>
                    <w:t>35</w:t>
                  </w:r>
                  <w:r w:rsidR="007E6856">
                    <w:rPr>
                      <w:rFonts w:ascii="Segoe UI" w:hAnsi="Segoe UI" w:cs="Segoe UI"/>
                      <w:sz w:val="18"/>
                      <w:szCs w:val="15"/>
                      <w:lang w:val="el-GR"/>
                    </w:rPr>
                    <w:t>,</w:t>
                  </w:r>
                  <w:r w:rsidR="007E6856" w:rsidRPr="007E6856">
                    <w:rPr>
                      <w:rFonts w:ascii="Segoe UI" w:hAnsi="Segoe UI" w:cs="Segoe UI"/>
                      <w:sz w:val="18"/>
                      <w:szCs w:val="15"/>
                      <w:lang w:val="el-GR"/>
                    </w:rPr>
                    <w:t>4</w:t>
                  </w:r>
                  <w:r>
                    <w:rPr>
                      <w:rFonts w:ascii="Segoe UI" w:hAnsi="Segoe UI" w:cs="Segoe UI"/>
                      <w:sz w:val="18"/>
                      <w:szCs w:val="15"/>
                      <w:lang w:val="el-GR"/>
                    </w:rPr>
                    <w:t xml:space="preserve">% στην Ελλάδα </w:t>
                  </w:r>
                  <w:r w:rsidRPr="00BF459E">
                    <w:rPr>
                      <w:rFonts w:ascii="Segoe UI" w:hAnsi="Segoe UI" w:cs="Segoe UI"/>
                      <w:sz w:val="18"/>
                      <w:szCs w:val="15"/>
                      <w:lang w:val="el-GR"/>
                    </w:rPr>
                    <w:t>(</w:t>
                  </w:r>
                  <w:r w:rsidR="007E6856" w:rsidRPr="007E6856">
                    <w:rPr>
                      <w:rFonts w:ascii="Segoe UI" w:hAnsi="Segoe UI" w:cs="Segoe UI"/>
                      <w:sz w:val="18"/>
                      <w:szCs w:val="15"/>
                      <w:lang w:val="el-GR"/>
                    </w:rPr>
                    <w:t>34</w:t>
                  </w:r>
                  <w:r w:rsidR="007E6856">
                    <w:rPr>
                      <w:rFonts w:ascii="Segoe UI" w:hAnsi="Segoe UI" w:cs="Segoe UI"/>
                      <w:sz w:val="18"/>
                      <w:szCs w:val="15"/>
                      <w:lang w:val="el-GR"/>
                    </w:rPr>
                    <w:t>,</w:t>
                  </w:r>
                  <w:r w:rsidR="007E6856" w:rsidRPr="007E6856">
                    <w:rPr>
                      <w:rFonts w:ascii="Segoe UI" w:hAnsi="Segoe UI" w:cs="Segoe UI"/>
                      <w:sz w:val="18"/>
                      <w:szCs w:val="15"/>
                      <w:lang w:val="el-GR"/>
                    </w:rPr>
                    <w:t>1</w:t>
                  </w:r>
                  <w:r w:rsidRPr="00BF459E">
                    <w:rPr>
                      <w:rFonts w:ascii="Segoe UI" w:hAnsi="Segoe UI" w:cs="Segoe UI"/>
                      <w:sz w:val="18"/>
                      <w:szCs w:val="15"/>
                      <w:lang w:val="el-GR"/>
                    </w:rPr>
                    <w:t xml:space="preserve">% σε επίπεδο Ομίλου). Ο δείκτης κάλυψης δανείων σε καθυστέρηση άνω των 90 ημερών </w:t>
                  </w:r>
                  <w:r>
                    <w:rPr>
                      <w:rFonts w:ascii="Segoe UI" w:hAnsi="Segoe UI" w:cs="Segoe UI"/>
                      <w:sz w:val="18"/>
                      <w:szCs w:val="15"/>
                      <w:lang w:val="el-GR"/>
                    </w:rPr>
                    <w:t xml:space="preserve">από σωρευμένες προβλέψεις ενισχύθηκε περαιτέρω, ανερχόμενος σε </w:t>
                  </w:r>
                  <w:r w:rsidR="007E6856">
                    <w:rPr>
                      <w:rFonts w:ascii="Segoe UI" w:hAnsi="Segoe UI" w:cs="Segoe UI"/>
                      <w:sz w:val="18"/>
                      <w:szCs w:val="15"/>
                      <w:lang w:val="el-GR"/>
                    </w:rPr>
                    <w:t>74,5</w:t>
                  </w:r>
                  <w:r w:rsidRPr="00BF459E">
                    <w:rPr>
                      <w:rFonts w:ascii="Segoe UI" w:hAnsi="Segoe UI" w:cs="Segoe UI"/>
                      <w:sz w:val="18"/>
                      <w:szCs w:val="15"/>
                      <w:lang w:val="el-GR"/>
                    </w:rPr>
                    <w:t xml:space="preserve">% </w:t>
                  </w:r>
                  <w:r>
                    <w:rPr>
                      <w:rFonts w:ascii="Segoe UI" w:hAnsi="Segoe UI" w:cs="Segoe UI"/>
                      <w:sz w:val="18"/>
                      <w:szCs w:val="15"/>
                      <w:lang w:val="el-GR"/>
                    </w:rPr>
                    <w:t xml:space="preserve">στην Ελλάδα </w:t>
                  </w:r>
                  <w:r w:rsidRPr="00BF459E">
                    <w:rPr>
                      <w:rFonts w:ascii="Segoe UI" w:hAnsi="Segoe UI" w:cs="Segoe UI"/>
                      <w:sz w:val="18"/>
                      <w:szCs w:val="15"/>
                      <w:lang w:val="el-GR"/>
                    </w:rPr>
                    <w:t>(7</w:t>
                  </w:r>
                  <w:r w:rsidR="007E6856">
                    <w:rPr>
                      <w:rFonts w:ascii="Segoe UI" w:hAnsi="Segoe UI" w:cs="Segoe UI"/>
                      <w:sz w:val="18"/>
                      <w:szCs w:val="15"/>
                      <w:lang w:val="el-GR"/>
                    </w:rPr>
                    <w:t>2,9</w:t>
                  </w:r>
                  <w:r w:rsidRPr="00BF459E">
                    <w:rPr>
                      <w:rFonts w:ascii="Segoe UI" w:hAnsi="Segoe UI" w:cs="Segoe UI"/>
                      <w:sz w:val="18"/>
                      <w:szCs w:val="15"/>
                      <w:lang w:val="el-GR"/>
                    </w:rPr>
                    <w:t>% σε επίπεδο Ομίλου), στα υψηλότερα επίπεδα του κλάδου</w:t>
                  </w:r>
                  <w:r w:rsidR="0096101A">
                    <w:rPr>
                      <w:rFonts w:ascii="Segoe UI" w:hAnsi="Segoe UI" w:cs="Segoe UI"/>
                      <w:sz w:val="18"/>
                      <w:szCs w:val="15"/>
                      <w:vertAlign w:val="superscript"/>
                      <w:lang w:val="el-GR"/>
                    </w:rPr>
                    <w:t>1</w:t>
                  </w:r>
                </w:p>
                <w:p w:rsidR="007C5D8F" w:rsidRDefault="007C5D8F" w:rsidP="008F0414">
                  <w:pPr>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Σ</w:t>
                  </w:r>
                  <w:r w:rsidRPr="00BF459E">
                    <w:rPr>
                      <w:rFonts w:ascii="Segoe UI" w:hAnsi="Segoe UI" w:cs="Segoe UI"/>
                      <w:sz w:val="18"/>
                      <w:szCs w:val="15"/>
                      <w:lang w:val="el-GR"/>
                    </w:rPr>
                    <w:t>την Ελλά</w:t>
                  </w:r>
                  <w:r>
                    <w:rPr>
                      <w:rFonts w:ascii="Segoe UI" w:hAnsi="Segoe UI" w:cs="Segoe UI"/>
                      <w:sz w:val="18"/>
                      <w:szCs w:val="15"/>
                      <w:lang w:val="el-GR"/>
                    </w:rPr>
                    <w:t>δα, τ</w:t>
                  </w:r>
                  <w:r w:rsidRPr="00BF459E">
                    <w:rPr>
                      <w:rFonts w:ascii="Segoe UI" w:hAnsi="Segoe UI" w:cs="Segoe UI"/>
                      <w:sz w:val="18"/>
                      <w:szCs w:val="15"/>
                      <w:lang w:val="el-GR"/>
                    </w:rPr>
                    <w:t xml:space="preserve">ο κόστος </w:t>
                  </w:r>
                  <w:r>
                    <w:rPr>
                      <w:rFonts w:ascii="Segoe UI" w:hAnsi="Segoe UI" w:cs="Segoe UI"/>
                      <w:sz w:val="18"/>
                      <w:szCs w:val="15"/>
                      <w:lang w:val="el-GR"/>
                    </w:rPr>
                    <w:t xml:space="preserve">πιστωτικού </w:t>
                  </w:r>
                  <w:r w:rsidRPr="00BF459E">
                    <w:rPr>
                      <w:rFonts w:ascii="Segoe UI" w:hAnsi="Segoe UI" w:cs="Segoe UI"/>
                      <w:sz w:val="18"/>
                      <w:szCs w:val="15"/>
                      <w:lang w:val="el-GR"/>
                    </w:rPr>
                    <w:t xml:space="preserve">κινδύνου (CoR) </w:t>
                  </w:r>
                  <w:r>
                    <w:rPr>
                      <w:rFonts w:ascii="Segoe UI" w:hAnsi="Segoe UI" w:cs="Segoe UI"/>
                      <w:sz w:val="18"/>
                      <w:szCs w:val="15"/>
                      <w:lang w:val="el-GR"/>
                    </w:rPr>
                    <w:t xml:space="preserve">διαμορφώθηκε </w:t>
                  </w:r>
                  <w:r w:rsidRPr="00BF459E">
                    <w:rPr>
                      <w:rFonts w:ascii="Segoe UI" w:hAnsi="Segoe UI" w:cs="Segoe UI"/>
                      <w:sz w:val="18"/>
                      <w:szCs w:val="15"/>
                      <w:lang w:val="el-GR"/>
                    </w:rPr>
                    <w:t xml:space="preserve">σε </w:t>
                  </w:r>
                  <w:r>
                    <w:rPr>
                      <w:rFonts w:ascii="Segoe UI" w:hAnsi="Segoe UI" w:cs="Segoe UI"/>
                      <w:sz w:val="18"/>
                      <w:szCs w:val="15"/>
                      <w:lang w:val="el-GR"/>
                    </w:rPr>
                    <w:t>201</w:t>
                  </w:r>
                  <w:r w:rsidRPr="00BF459E">
                    <w:rPr>
                      <w:rFonts w:ascii="Segoe UI" w:hAnsi="Segoe UI" w:cs="Segoe UI"/>
                      <w:sz w:val="18"/>
                      <w:szCs w:val="15"/>
                      <w:lang w:val="el-GR"/>
                    </w:rPr>
                    <w:t xml:space="preserve"> μ.β. το </w:t>
                  </w:r>
                  <w:r>
                    <w:rPr>
                      <w:rFonts w:ascii="Segoe UI" w:hAnsi="Segoe UI" w:cs="Segoe UI"/>
                      <w:sz w:val="18"/>
                      <w:szCs w:val="15"/>
                      <w:lang w:val="el-GR"/>
                    </w:rPr>
                    <w:t xml:space="preserve">Γ’ Τρίμηνο </w:t>
                  </w:r>
                  <w:r w:rsidR="00D5791F">
                    <w:rPr>
                      <w:rFonts w:ascii="Segoe UI" w:hAnsi="Segoe UI" w:cs="Segoe UI"/>
                      <w:sz w:val="18"/>
                      <w:szCs w:val="15"/>
                      <w:lang w:val="el-GR"/>
                    </w:rPr>
                    <w:t xml:space="preserve">του 2016 </w:t>
                  </w:r>
                  <w:r>
                    <w:rPr>
                      <w:rFonts w:ascii="Segoe UI" w:hAnsi="Segoe UI" w:cs="Segoe UI"/>
                      <w:sz w:val="18"/>
                      <w:szCs w:val="15"/>
                      <w:lang w:val="el-GR"/>
                    </w:rPr>
                    <w:t>(198 μ.β. το εννιάμηνο του 20</w:t>
                  </w:r>
                  <w:r w:rsidRPr="00BF459E">
                    <w:rPr>
                      <w:rFonts w:ascii="Segoe UI" w:hAnsi="Segoe UI" w:cs="Segoe UI"/>
                      <w:sz w:val="18"/>
                      <w:szCs w:val="15"/>
                      <w:lang w:val="el-GR"/>
                    </w:rPr>
                    <w:t>16</w:t>
                  </w:r>
                  <w:r>
                    <w:rPr>
                      <w:rFonts w:ascii="Segoe UI" w:hAnsi="Segoe UI" w:cs="Segoe UI"/>
                      <w:sz w:val="18"/>
                      <w:szCs w:val="15"/>
                      <w:lang w:val="el-GR"/>
                    </w:rPr>
                    <w:t>)</w:t>
                  </w:r>
                </w:p>
                <w:p w:rsidR="007C5D8F" w:rsidRDefault="007C5D8F" w:rsidP="00F23B5D">
                  <w:pPr>
                    <w:spacing w:before="120" w:after="0" w:line="240" w:lineRule="auto"/>
                    <w:ind w:left="786"/>
                    <w:rPr>
                      <w:rFonts w:ascii="Segoe UI" w:hAnsi="Segoe UI" w:cs="Segoe UI"/>
                      <w:sz w:val="18"/>
                      <w:szCs w:val="15"/>
                      <w:lang w:val="el-GR"/>
                    </w:rPr>
                  </w:pPr>
                </w:p>
                <w:p w:rsidR="007C5D8F" w:rsidRPr="00E46E0F" w:rsidRDefault="007C5D8F" w:rsidP="00F23B5D">
                  <w:pPr>
                    <w:numPr>
                      <w:ilvl w:val="0"/>
                      <w:numId w:val="10"/>
                    </w:numPr>
                    <w:spacing w:before="120" w:after="0"/>
                    <w:rPr>
                      <w:rFonts w:ascii="Segoe UI" w:hAnsi="Segoe UI" w:cs="Segoe UI"/>
                      <w:b/>
                      <w:sz w:val="18"/>
                      <w:szCs w:val="15"/>
                      <w:lang w:val="el-GR"/>
                    </w:rPr>
                  </w:pPr>
                  <w:r>
                    <w:rPr>
                      <w:rFonts w:ascii="Segoe UI" w:hAnsi="Segoe UI" w:cs="Segoe UI"/>
                      <w:b/>
                      <w:sz w:val="18"/>
                      <w:szCs w:val="15"/>
                      <w:lang w:val="el-GR"/>
                    </w:rPr>
                    <w:t xml:space="preserve">Κέρδη </w:t>
                  </w:r>
                  <w:r w:rsidRPr="00F23B5D">
                    <w:rPr>
                      <w:rFonts w:ascii="Segoe UI" w:hAnsi="Segoe UI" w:cs="Segoe UI"/>
                      <w:b/>
                      <w:sz w:val="18"/>
                      <w:szCs w:val="15"/>
                      <w:lang w:val="el-GR"/>
                    </w:rPr>
                    <w:t>μετά φόρ</w:t>
                  </w:r>
                  <w:r>
                    <w:rPr>
                      <w:rFonts w:ascii="Segoe UI" w:hAnsi="Segoe UI" w:cs="Segoe UI"/>
                      <w:b/>
                      <w:sz w:val="18"/>
                      <w:szCs w:val="15"/>
                      <w:lang w:val="el-GR"/>
                    </w:rPr>
                    <w:t>ων</w:t>
                  </w:r>
                  <w:r w:rsidRPr="00F23B5D">
                    <w:rPr>
                      <w:rFonts w:ascii="Segoe UI" w:hAnsi="Segoe UI" w:cs="Segoe UI"/>
                      <w:b/>
                      <w:sz w:val="18"/>
                      <w:szCs w:val="15"/>
                      <w:lang w:val="el-GR"/>
                    </w:rPr>
                    <w:t xml:space="preserve"> από συνεχιζόμενες δραστηριότητες</w:t>
                  </w:r>
                  <w:r>
                    <w:rPr>
                      <w:rFonts w:ascii="Segoe UI" w:hAnsi="Segoe UI" w:cs="Segoe UI"/>
                      <w:b/>
                      <w:sz w:val="18"/>
                      <w:szCs w:val="15"/>
                      <w:lang w:val="el-GR"/>
                    </w:rPr>
                    <w:t xml:space="preserve"> στα €23 εκατ. </w:t>
                  </w:r>
                  <w:r w:rsidRPr="00E46E0F">
                    <w:rPr>
                      <w:rFonts w:ascii="Segoe UI" w:hAnsi="Segoe UI" w:cs="Segoe UI"/>
                      <w:b/>
                      <w:sz w:val="18"/>
                      <w:szCs w:val="15"/>
                      <w:lang w:val="el-GR"/>
                    </w:rPr>
                    <w:t xml:space="preserve">το </w:t>
                  </w:r>
                  <w:r>
                    <w:rPr>
                      <w:rFonts w:ascii="Segoe UI" w:hAnsi="Segoe UI" w:cs="Segoe UI"/>
                      <w:b/>
                      <w:sz w:val="18"/>
                      <w:szCs w:val="15"/>
                      <w:lang w:val="el-GR"/>
                    </w:rPr>
                    <w:t>Γ</w:t>
                  </w:r>
                  <w:r w:rsidRPr="00E46E0F">
                    <w:rPr>
                      <w:rFonts w:ascii="Segoe UI" w:hAnsi="Segoe UI" w:cs="Segoe UI"/>
                      <w:b/>
                      <w:sz w:val="18"/>
                      <w:szCs w:val="15"/>
                      <w:lang w:val="el-GR"/>
                    </w:rPr>
                    <w:t xml:space="preserve">΄ </w:t>
                  </w:r>
                  <w:r>
                    <w:rPr>
                      <w:rFonts w:ascii="Segoe UI" w:hAnsi="Segoe UI" w:cs="Segoe UI"/>
                      <w:b/>
                      <w:sz w:val="18"/>
                      <w:szCs w:val="15"/>
                      <w:lang w:val="el-GR"/>
                    </w:rPr>
                    <w:t xml:space="preserve">τρίμηνο </w:t>
                  </w:r>
                  <w:r w:rsidRPr="00E46E0F">
                    <w:rPr>
                      <w:rFonts w:ascii="Segoe UI" w:hAnsi="Segoe UI" w:cs="Segoe UI"/>
                      <w:b/>
                      <w:sz w:val="18"/>
                      <w:szCs w:val="15"/>
                      <w:lang w:val="el-GR"/>
                    </w:rPr>
                    <w:t xml:space="preserve">του 2016 σε επίπεδο Ομίλου </w:t>
                  </w:r>
                  <w:r>
                    <w:rPr>
                      <w:rFonts w:ascii="Segoe UI" w:hAnsi="Segoe UI" w:cs="Segoe UI"/>
                      <w:b/>
                      <w:sz w:val="18"/>
                      <w:szCs w:val="15"/>
                      <w:lang w:val="el-GR"/>
                    </w:rPr>
                    <w:t>έναντι ζημιών ύψους €23 εκατ. το Β’ τρίμηνο του 2016</w:t>
                  </w:r>
                </w:p>
                <w:p w:rsidR="007C5D8F" w:rsidRPr="006D79FD" w:rsidRDefault="007C5D8F" w:rsidP="005426D8">
                  <w:pPr>
                    <w:numPr>
                      <w:ilvl w:val="1"/>
                      <w:numId w:val="4"/>
                    </w:numPr>
                    <w:spacing w:before="120" w:after="0" w:line="240" w:lineRule="auto"/>
                    <w:rPr>
                      <w:rFonts w:ascii="Segoe UI" w:hAnsi="Segoe UI" w:cs="Segoe UI"/>
                      <w:sz w:val="18"/>
                      <w:szCs w:val="15"/>
                      <w:lang w:val="el-GR"/>
                    </w:rPr>
                  </w:pPr>
                  <w:r w:rsidRPr="006D79FD">
                    <w:rPr>
                      <w:rFonts w:ascii="Segoe UI" w:hAnsi="Segoe UI" w:cs="Segoe UI"/>
                      <w:sz w:val="18"/>
                      <w:szCs w:val="15"/>
                      <w:lang w:val="el-GR"/>
                    </w:rPr>
                    <w:t xml:space="preserve">Τα καθαρά έσοδα </w:t>
                  </w:r>
                  <w:r>
                    <w:rPr>
                      <w:rFonts w:ascii="Segoe UI" w:hAnsi="Segoe UI" w:cs="Segoe UI"/>
                      <w:sz w:val="18"/>
                      <w:szCs w:val="15"/>
                      <w:lang w:val="el-GR"/>
                    </w:rPr>
                    <w:t xml:space="preserve">από τόκους στην Ελλάδα </w:t>
                  </w:r>
                  <w:r w:rsidR="005426D8">
                    <w:rPr>
                      <w:rFonts w:ascii="Segoe UI" w:hAnsi="Segoe UI" w:cs="Segoe UI"/>
                      <w:sz w:val="18"/>
                      <w:szCs w:val="15"/>
                      <w:lang w:val="el-GR"/>
                    </w:rPr>
                    <w:t>ανήλθαν</w:t>
                  </w:r>
                  <w:r>
                    <w:rPr>
                      <w:rFonts w:ascii="Segoe UI" w:hAnsi="Segoe UI" w:cs="Segoe UI"/>
                      <w:sz w:val="18"/>
                      <w:szCs w:val="15"/>
                      <w:lang w:val="el-GR"/>
                    </w:rPr>
                    <w:t xml:space="preserve"> σε €403 εκατ.</w:t>
                  </w:r>
                  <w:r w:rsidR="005426D8" w:rsidRPr="005426D8">
                    <w:rPr>
                      <w:rFonts w:ascii="Segoe UI" w:hAnsi="Segoe UI" w:cs="Segoe UI"/>
                      <w:sz w:val="18"/>
                      <w:szCs w:val="15"/>
                      <w:lang w:val="el-GR"/>
                    </w:rPr>
                    <w:t>το Γ΄ τρίμηνο του 2016</w:t>
                  </w:r>
                  <w:r>
                    <w:rPr>
                      <w:rFonts w:ascii="Segoe UI" w:hAnsi="Segoe UI" w:cs="Segoe UI"/>
                      <w:sz w:val="18"/>
                      <w:szCs w:val="15"/>
                      <w:lang w:val="el-GR"/>
                    </w:rPr>
                    <w:t xml:space="preserve">, θετικά επηρεαζόμενα </w:t>
                  </w:r>
                  <w:r w:rsidRPr="006D79FD">
                    <w:rPr>
                      <w:rFonts w:ascii="Segoe UI" w:hAnsi="Segoe UI" w:cs="Segoe UI"/>
                      <w:sz w:val="18"/>
                      <w:szCs w:val="15"/>
                      <w:lang w:val="el-GR"/>
                    </w:rPr>
                    <w:t xml:space="preserve">από τη συνεχιζόμενη ανατιμολόγηση </w:t>
                  </w:r>
                  <w:r>
                    <w:rPr>
                      <w:rFonts w:ascii="Segoe UI" w:hAnsi="Segoe UI" w:cs="Segoe UI"/>
                      <w:sz w:val="18"/>
                      <w:szCs w:val="15"/>
                      <w:lang w:val="el-GR"/>
                    </w:rPr>
                    <w:t xml:space="preserve">του κόστους των </w:t>
                  </w:r>
                  <w:r w:rsidRPr="006D79FD">
                    <w:rPr>
                      <w:rFonts w:ascii="Segoe UI" w:hAnsi="Segoe UI" w:cs="Segoe UI"/>
                      <w:sz w:val="18"/>
                      <w:szCs w:val="15"/>
                      <w:lang w:val="el-GR"/>
                    </w:rPr>
                    <w:t>προθεσμιακών καταθέσεων (-</w:t>
                  </w:r>
                  <w:r>
                    <w:rPr>
                      <w:rFonts w:ascii="Segoe UI" w:hAnsi="Segoe UI" w:cs="Segoe UI"/>
                      <w:sz w:val="18"/>
                      <w:szCs w:val="15"/>
                      <w:lang w:val="el-GR"/>
                    </w:rPr>
                    <w:t>10</w:t>
                  </w:r>
                  <w:r w:rsidRPr="006D79FD">
                    <w:rPr>
                      <w:rFonts w:ascii="Segoe UI" w:hAnsi="Segoe UI" w:cs="Segoe UI"/>
                      <w:sz w:val="18"/>
                      <w:szCs w:val="15"/>
                      <w:lang w:val="el-GR"/>
                    </w:rPr>
                    <w:t>μ.β. σε τριμηνιαία βάση)</w:t>
                  </w:r>
                  <w:r>
                    <w:rPr>
                      <w:rFonts w:ascii="Segoe UI" w:hAnsi="Segoe UI" w:cs="Segoe UI"/>
                      <w:sz w:val="18"/>
                      <w:szCs w:val="15"/>
                      <w:lang w:val="el-GR"/>
                    </w:rPr>
                    <w:t xml:space="preserve"> και </w:t>
                  </w:r>
                  <w:r w:rsidRPr="006D79FD">
                    <w:rPr>
                      <w:rFonts w:ascii="Segoe UI" w:hAnsi="Segoe UI" w:cs="Segoe UI"/>
                      <w:sz w:val="18"/>
                      <w:szCs w:val="15"/>
                      <w:lang w:val="el-GR"/>
                    </w:rPr>
                    <w:t xml:space="preserve">την περαιτέρω </w:t>
                  </w:r>
                  <w:r>
                    <w:rPr>
                      <w:rFonts w:ascii="Segoe UI" w:hAnsi="Segoe UI" w:cs="Segoe UI"/>
                      <w:sz w:val="18"/>
                      <w:szCs w:val="15"/>
                      <w:lang w:val="el-GR"/>
                    </w:rPr>
                    <w:t>αποκλιμάκωση</w:t>
                  </w:r>
                  <w:r w:rsidRPr="006D79FD">
                    <w:rPr>
                      <w:rFonts w:ascii="Segoe UI" w:hAnsi="Segoe UI" w:cs="Segoe UI"/>
                      <w:sz w:val="18"/>
                      <w:szCs w:val="15"/>
                      <w:lang w:val="el-GR"/>
                    </w:rPr>
                    <w:t xml:space="preserve"> της </w:t>
                  </w:r>
                  <w:r>
                    <w:rPr>
                      <w:rFonts w:ascii="Segoe UI" w:hAnsi="Segoe UI" w:cs="Segoe UI"/>
                      <w:sz w:val="18"/>
                      <w:szCs w:val="15"/>
                      <w:lang w:val="el-GR"/>
                    </w:rPr>
                    <w:t>χρηματοδότησης</w:t>
                  </w:r>
                  <w:r w:rsidRPr="006D79FD">
                    <w:rPr>
                      <w:rFonts w:ascii="Segoe UI" w:hAnsi="Segoe UI" w:cs="Segoe UI"/>
                      <w:sz w:val="18"/>
                      <w:szCs w:val="15"/>
                      <w:lang w:val="el-GR"/>
                    </w:rPr>
                    <w:t xml:space="preserve"> από το</w:t>
                  </w:r>
                  <w:r>
                    <w:rPr>
                      <w:rFonts w:ascii="Segoe UI" w:hAnsi="Segoe UI" w:cs="Segoe UI"/>
                      <w:sz w:val="18"/>
                      <w:szCs w:val="15"/>
                      <w:lang w:val="el-GR"/>
                    </w:rPr>
                    <w:t xml:space="preserve">ν μηχανισμό </w:t>
                  </w:r>
                  <w:r w:rsidRPr="006D79FD">
                    <w:rPr>
                      <w:rFonts w:ascii="Segoe UI" w:hAnsi="Segoe UI" w:cs="Segoe UI"/>
                      <w:sz w:val="18"/>
                      <w:szCs w:val="15"/>
                      <w:lang w:val="el-GR"/>
                    </w:rPr>
                    <w:t>ELA (-€</w:t>
                  </w:r>
                  <w:r w:rsidR="00C04B0E">
                    <w:rPr>
                      <w:rFonts w:ascii="Segoe UI" w:hAnsi="Segoe UI" w:cs="Segoe UI"/>
                      <w:sz w:val="18"/>
                      <w:szCs w:val="15"/>
                      <w:lang w:val="el-GR"/>
                    </w:rPr>
                    <w:t>0,9</w:t>
                  </w:r>
                  <w:r w:rsidRPr="006D79FD">
                    <w:rPr>
                      <w:rFonts w:ascii="Segoe UI" w:hAnsi="Segoe UI" w:cs="Segoe UI"/>
                      <w:sz w:val="18"/>
                      <w:szCs w:val="15"/>
                      <w:lang w:val="el-GR"/>
                    </w:rPr>
                    <w:t xml:space="preserve"> δισ. σε τριμηνιαία βάση)</w:t>
                  </w:r>
                </w:p>
                <w:p w:rsidR="007C5D8F" w:rsidRPr="006D79FD" w:rsidRDefault="007C5D8F" w:rsidP="00F23B5D">
                  <w:pPr>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Το καθαρό επιτοκιακό περιθώριοβελτιώθηκε κατά 10 μ.β. σε σχέση με το προηγούμενο τρίμηνο, ανερχόμενο σε 284 μ.β. στην Ελλάδα</w:t>
                  </w:r>
                  <w:r w:rsidRPr="006D79FD">
                    <w:rPr>
                      <w:rFonts w:ascii="Segoe UI" w:hAnsi="Segoe UI" w:cs="Segoe UI"/>
                      <w:sz w:val="18"/>
                      <w:szCs w:val="15"/>
                      <w:lang w:val="el-GR"/>
                    </w:rPr>
                    <w:t xml:space="preserve"> (</w:t>
                  </w:r>
                  <w:r>
                    <w:rPr>
                      <w:rFonts w:ascii="Segoe UI" w:hAnsi="Segoe UI" w:cs="Segoe UI"/>
                      <w:sz w:val="18"/>
                      <w:szCs w:val="15"/>
                      <w:lang w:val="el-GR"/>
                    </w:rPr>
                    <w:t>293</w:t>
                  </w:r>
                  <w:r w:rsidRPr="006D79FD">
                    <w:rPr>
                      <w:rFonts w:ascii="Segoe UI" w:hAnsi="Segoe UI" w:cs="Segoe UI"/>
                      <w:sz w:val="18"/>
                      <w:szCs w:val="15"/>
                      <w:lang w:val="el-GR"/>
                    </w:rPr>
                    <w:t xml:space="preserve"> μ.β. σε επίπεδο Ομίλου</w:t>
                  </w:r>
                  <w:r w:rsidR="00F14883">
                    <w:rPr>
                      <w:rFonts w:ascii="Segoe UI" w:hAnsi="Segoe UI" w:cs="Segoe UI"/>
                      <w:sz w:val="18"/>
                      <w:szCs w:val="15"/>
                      <w:lang w:val="el-GR"/>
                    </w:rPr>
                    <w:t>, +8 μ.β. σε τριμηνιαία βάση</w:t>
                  </w:r>
                  <w:r w:rsidRPr="006D79FD">
                    <w:rPr>
                      <w:rFonts w:ascii="Segoe UI" w:hAnsi="Segoe UI" w:cs="Segoe UI"/>
                      <w:sz w:val="18"/>
                      <w:szCs w:val="15"/>
                      <w:lang w:val="el-GR"/>
                    </w:rPr>
                    <w:t>)</w:t>
                  </w:r>
                </w:p>
                <w:p w:rsidR="007C5D8F" w:rsidRDefault="007C5D8F" w:rsidP="00C17388">
                  <w:pPr>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Στην Ελλάδα, τ</w:t>
                  </w:r>
                  <w:r w:rsidRPr="00C17388">
                    <w:rPr>
                      <w:rFonts w:ascii="Segoe UI" w:hAnsi="Segoe UI" w:cs="Segoe UI"/>
                      <w:sz w:val="18"/>
                      <w:szCs w:val="15"/>
                      <w:lang w:val="el-GR"/>
                    </w:rPr>
                    <w:t xml:space="preserve">α καθαρά έσοδα από προμήθειες αυξήθηκαν </w:t>
                  </w:r>
                  <w:r>
                    <w:rPr>
                      <w:rFonts w:ascii="Segoe UI" w:hAnsi="Segoe UI" w:cs="Segoe UI"/>
                      <w:sz w:val="18"/>
                      <w:szCs w:val="15"/>
                      <w:lang w:val="el-GR"/>
                    </w:rPr>
                    <w:t xml:space="preserve">κατά 17% σε </w:t>
                  </w:r>
                  <w:r w:rsidR="002D330D">
                    <w:rPr>
                      <w:rFonts w:ascii="Segoe UI" w:hAnsi="Segoe UI" w:cs="Segoe UI"/>
                      <w:sz w:val="18"/>
                      <w:szCs w:val="15"/>
                      <w:lang w:val="el-GR"/>
                    </w:rPr>
                    <w:t xml:space="preserve">σχέση με το προηγούμενο τρίμηνο </w:t>
                  </w:r>
                  <w:r>
                    <w:rPr>
                      <w:rFonts w:ascii="Segoe UI" w:hAnsi="Segoe UI" w:cs="Segoe UI"/>
                      <w:sz w:val="18"/>
                      <w:szCs w:val="15"/>
                      <w:lang w:val="el-GR"/>
                    </w:rPr>
                    <w:t xml:space="preserve">και διαμορφώθηκαν </w:t>
                  </w:r>
                  <w:r w:rsidRPr="00C17388">
                    <w:rPr>
                      <w:rFonts w:ascii="Segoe UI" w:hAnsi="Segoe UI" w:cs="Segoe UI"/>
                      <w:sz w:val="18"/>
                      <w:szCs w:val="15"/>
                      <w:lang w:val="el-GR"/>
                    </w:rPr>
                    <w:t>σε €</w:t>
                  </w:r>
                  <w:r>
                    <w:rPr>
                      <w:rFonts w:ascii="Segoe UI" w:hAnsi="Segoe UI" w:cs="Segoe UI"/>
                      <w:sz w:val="18"/>
                      <w:szCs w:val="15"/>
                      <w:lang w:val="el-GR"/>
                    </w:rPr>
                    <w:t>44</w:t>
                  </w:r>
                  <w:r w:rsidRPr="00C17388">
                    <w:rPr>
                      <w:rFonts w:ascii="Segoe UI" w:hAnsi="Segoe UI" w:cs="Segoe UI"/>
                      <w:sz w:val="18"/>
                      <w:szCs w:val="15"/>
                      <w:lang w:val="el-GR"/>
                    </w:rPr>
                    <w:t xml:space="preserve"> εκατ. το </w:t>
                  </w:r>
                  <w:r>
                    <w:rPr>
                      <w:rFonts w:ascii="Segoe UI" w:hAnsi="Segoe UI" w:cs="Segoe UI"/>
                      <w:sz w:val="18"/>
                      <w:szCs w:val="15"/>
                      <w:lang w:val="el-GR"/>
                    </w:rPr>
                    <w:t>Γ΄ τρίμηνο του 2016</w:t>
                  </w:r>
                  <w:r w:rsidRPr="00C17388">
                    <w:rPr>
                      <w:rFonts w:ascii="Segoe UI" w:hAnsi="Segoe UI" w:cs="Segoe UI"/>
                      <w:sz w:val="18"/>
                      <w:szCs w:val="15"/>
                      <w:lang w:val="el-GR"/>
                    </w:rPr>
                    <w:t xml:space="preserve">, αντικατοπτρίζοντας </w:t>
                  </w:r>
                  <w:r>
                    <w:rPr>
                      <w:rFonts w:ascii="Segoe UI" w:hAnsi="Segoe UI" w:cs="Segoe UI"/>
                      <w:sz w:val="18"/>
                      <w:szCs w:val="15"/>
                      <w:lang w:val="el-GR"/>
                    </w:rPr>
                    <w:t xml:space="preserve">τη μείωση του κόστους </w:t>
                  </w:r>
                  <w:r w:rsidRPr="00C17388">
                    <w:rPr>
                      <w:rFonts w:ascii="Segoe UI" w:hAnsi="Segoe UI" w:cs="Segoe UI"/>
                      <w:sz w:val="18"/>
                      <w:szCs w:val="15"/>
                      <w:lang w:val="el-GR"/>
                    </w:rPr>
                    <w:t>από χρήση</w:t>
                  </w:r>
                  <w:r>
                    <w:rPr>
                      <w:rFonts w:ascii="Segoe UI" w:hAnsi="Segoe UI" w:cs="Segoe UI"/>
                      <w:sz w:val="18"/>
                      <w:szCs w:val="15"/>
                      <w:lang w:val="el-GR"/>
                    </w:rPr>
                    <w:t xml:space="preserve"> των ομολόγων του Πυλώνα ΙΙ</w:t>
                  </w:r>
                </w:p>
                <w:p w:rsidR="007C5D8F" w:rsidRPr="006D79FD" w:rsidRDefault="007C5D8F" w:rsidP="00F23B5D">
                  <w:pPr>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Ο</w:t>
                  </w:r>
                  <w:r w:rsidRPr="006D79FD">
                    <w:rPr>
                      <w:rFonts w:ascii="Segoe UI" w:hAnsi="Segoe UI" w:cs="Segoe UI"/>
                      <w:sz w:val="18"/>
                      <w:szCs w:val="15"/>
                      <w:lang w:val="el-GR"/>
                    </w:rPr>
                    <w:t xml:space="preserve">ι </w:t>
                  </w:r>
                  <w:r>
                    <w:rPr>
                      <w:rFonts w:ascii="Segoe UI" w:hAnsi="Segoe UI" w:cs="Segoe UI"/>
                      <w:sz w:val="18"/>
                      <w:szCs w:val="15"/>
                      <w:lang w:val="el-GR"/>
                    </w:rPr>
                    <w:t xml:space="preserve">εγχώριες </w:t>
                  </w:r>
                  <w:r w:rsidRPr="006D79FD">
                    <w:rPr>
                      <w:rFonts w:ascii="Segoe UI" w:hAnsi="Segoe UI" w:cs="Segoe UI"/>
                      <w:sz w:val="18"/>
                      <w:szCs w:val="15"/>
                      <w:lang w:val="el-GR"/>
                    </w:rPr>
                    <w:t xml:space="preserve">λειτουργικές δαπάνες </w:t>
                  </w:r>
                  <w:r>
                    <w:rPr>
                      <w:rFonts w:ascii="Segoe UI" w:hAnsi="Segoe UI" w:cs="Segoe UI"/>
                      <w:sz w:val="18"/>
                      <w:szCs w:val="15"/>
                      <w:lang w:val="el-GR"/>
                    </w:rPr>
                    <w:t>παρέμειναν αμετάβλητες σε τριμηνιαία βάση</w:t>
                  </w:r>
                  <w:r w:rsidR="002B537E">
                    <w:rPr>
                      <w:rFonts w:ascii="Segoe UI" w:hAnsi="Segoe UI" w:cs="Segoe UI"/>
                      <w:sz w:val="18"/>
                      <w:szCs w:val="15"/>
                      <w:lang w:val="el-GR"/>
                    </w:rPr>
                    <w:t>, ενώ</w:t>
                  </w:r>
                  <w:r w:rsidRPr="006D79FD">
                    <w:rPr>
                      <w:rFonts w:ascii="Segoe UI" w:hAnsi="Segoe UI" w:cs="Segoe UI"/>
                      <w:sz w:val="18"/>
                      <w:szCs w:val="15"/>
                      <w:lang w:val="el-GR"/>
                    </w:rPr>
                    <w:t xml:space="preserve">μειώθηκαν κατά </w:t>
                  </w:r>
                  <w:r w:rsidRPr="00C241AA">
                    <w:rPr>
                      <w:rFonts w:ascii="Segoe UI" w:hAnsi="Segoe UI" w:cs="Segoe UI"/>
                      <w:sz w:val="18"/>
                      <w:szCs w:val="15"/>
                      <w:lang w:val="el-GR"/>
                    </w:rPr>
                    <w:t>3</w:t>
                  </w:r>
                  <w:r w:rsidRPr="006D79FD">
                    <w:rPr>
                      <w:rFonts w:ascii="Segoe UI" w:hAnsi="Segoe UI" w:cs="Segoe UI"/>
                      <w:sz w:val="18"/>
                      <w:szCs w:val="15"/>
                      <w:lang w:val="el-GR"/>
                    </w:rPr>
                    <w:t>% σε ετήσια βάση</w:t>
                  </w:r>
                  <w:r>
                    <w:rPr>
                      <w:rFonts w:ascii="Segoe UI" w:hAnsi="Segoe UI" w:cs="Segoe UI"/>
                      <w:sz w:val="18"/>
                      <w:szCs w:val="15"/>
                      <w:lang w:val="el-GR"/>
                    </w:rPr>
                    <w:t>το εννιάμηνο</w:t>
                  </w:r>
                  <w:r w:rsidRPr="006D79FD">
                    <w:rPr>
                      <w:rFonts w:ascii="Segoe UI" w:hAnsi="Segoe UI" w:cs="Segoe UI"/>
                      <w:sz w:val="18"/>
                      <w:szCs w:val="15"/>
                      <w:lang w:val="el-GR"/>
                    </w:rPr>
                    <w:t xml:space="preserve"> του 2016.</w:t>
                  </w:r>
                  <w:r>
                    <w:rPr>
                      <w:rFonts w:ascii="Segoe UI" w:hAnsi="Segoe UI" w:cs="Segoe UI"/>
                      <w:sz w:val="18"/>
                      <w:szCs w:val="15"/>
                      <w:lang w:val="el-GR"/>
                    </w:rPr>
                    <w:t xml:space="preserve"> Το επικείμενο </w:t>
                  </w:r>
                  <w:r w:rsidR="00E23B56">
                    <w:rPr>
                      <w:rFonts w:ascii="Segoe UI" w:hAnsi="Segoe UI" w:cs="Segoe UI"/>
                      <w:sz w:val="18"/>
                      <w:szCs w:val="15"/>
                      <w:lang w:val="el-GR"/>
                    </w:rPr>
                    <w:t>Πρόγραμμα</w:t>
                  </w:r>
                  <w:r w:rsidRPr="00230486">
                    <w:rPr>
                      <w:rFonts w:ascii="Segoe UI" w:hAnsi="Segoe UI" w:cs="Segoe UI"/>
                      <w:sz w:val="18"/>
                      <w:szCs w:val="15"/>
                      <w:lang w:val="el-GR"/>
                    </w:rPr>
                    <w:t xml:space="preserve"> Εθελουσίας Εξόδου Προσωπικού</w:t>
                  </w:r>
                  <w:r>
                    <w:rPr>
                      <w:rFonts w:ascii="Segoe UI" w:hAnsi="Segoe UI" w:cs="Segoe UI"/>
                      <w:sz w:val="18"/>
                      <w:szCs w:val="15"/>
                      <w:lang w:val="el-GR"/>
                    </w:rPr>
                    <w:t xml:space="preserve"> αναμένεται να μειώσει τις δαπάνες </w:t>
                  </w:r>
                  <w:r w:rsidR="002B537E">
                    <w:rPr>
                      <w:rFonts w:ascii="Segoe UI" w:hAnsi="Segoe UI" w:cs="Segoe UI"/>
                      <w:sz w:val="18"/>
                      <w:szCs w:val="15"/>
                      <w:lang w:val="el-GR"/>
                    </w:rPr>
                    <w:t>σημαντικά</w:t>
                  </w:r>
                  <w:r>
                    <w:rPr>
                      <w:rFonts w:ascii="Segoe UI" w:hAnsi="Segoe UI" w:cs="Segoe UI"/>
                      <w:sz w:val="18"/>
                      <w:szCs w:val="15"/>
                      <w:lang w:val="el-GR"/>
                    </w:rPr>
                    <w:t xml:space="preserve"> μέσα στο 2017</w:t>
                  </w:r>
                </w:p>
                <w:p w:rsidR="007C5D8F" w:rsidRPr="003461D2" w:rsidRDefault="007C5D8F" w:rsidP="00F23B5D">
                  <w:pPr>
                    <w:numPr>
                      <w:ilvl w:val="1"/>
                      <w:numId w:val="4"/>
                    </w:numPr>
                    <w:spacing w:before="120" w:after="0" w:line="240" w:lineRule="auto"/>
                    <w:rPr>
                      <w:rFonts w:ascii="Segoe UI" w:hAnsi="Segoe UI" w:cs="Segoe UI"/>
                      <w:sz w:val="16"/>
                      <w:szCs w:val="15"/>
                      <w:lang w:val="el-GR"/>
                    </w:rPr>
                  </w:pPr>
                  <w:r w:rsidRPr="003461D2">
                    <w:rPr>
                      <w:rFonts w:ascii="Segoe UI" w:hAnsi="Segoe UI" w:cs="Segoe UI"/>
                      <w:sz w:val="18"/>
                      <w:lang w:val="el-GR" w:eastAsia="el-GR" w:bidi="el-GR"/>
                    </w:rPr>
                    <w:t xml:space="preserve">Τα οργανικά κέρδη προ προβλέψεων </w:t>
                  </w:r>
                  <w:r>
                    <w:rPr>
                      <w:rFonts w:ascii="Segoe UI" w:hAnsi="Segoe UI" w:cs="Segoe UI"/>
                      <w:sz w:val="18"/>
                      <w:lang w:val="el-GR" w:eastAsia="el-GR" w:bidi="el-GR"/>
                    </w:rPr>
                    <w:t xml:space="preserve">παρέμειναν σταθερά σε τριμηνιαία βάση </w:t>
                  </w:r>
                  <w:r w:rsidRPr="003461D2">
                    <w:rPr>
                      <w:rFonts w:ascii="Segoe UI" w:hAnsi="Segoe UI" w:cs="Segoe UI"/>
                      <w:sz w:val="18"/>
                      <w:lang w:val="el-GR" w:eastAsia="el-GR" w:bidi="el-GR"/>
                    </w:rPr>
                    <w:t>σε €20</w:t>
                  </w:r>
                  <w:r>
                    <w:rPr>
                      <w:rFonts w:ascii="Segoe UI" w:hAnsi="Segoe UI" w:cs="Segoe UI"/>
                      <w:sz w:val="18"/>
                      <w:lang w:val="el-GR" w:eastAsia="el-GR" w:bidi="el-GR"/>
                    </w:rPr>
                    <w:t>5</w:t>
                  </w:r>
                  <w:r w:rsidRPr="003461D2">
                    <w:rPr>
                      <w:rFonts w:ascii="Segoe UI" w:hAnsi="Segoe UI" w:cs="Segoe UI"/>
                      <w:sz w:val="18"/>
                      <w:lang w:val="el-GR" w:eastAsia="el-GR" w:bidi="el-GR"/>
                    </w:rPr>
                    <w:t xml:space="preserve"> εκατ. το </w:t>
                  </w:r>
                  <w:r>
                    <w:rPr>
                      <w:rFonts w:ascii="Segoe UI" w:hAnsi="Segoe UI" w:cs="Segoe UI"/>
                      <w:sz w:val="18"/>
                      <w:lang w:val="el-GR" w:eastAsia="el-GR" w:bidi="el-GR"/>
                    </w:rPr>
                    <w:t>Γ</w:t>
                  </w:r>
                  <w:r w:rsidRPr="003461D2">
                    <w:rPr>
                      <w:rFonts w:ascii="Segoe UI" w:hAnsi="Segoe UI" w:cs="Segoe UI"/>
                      <w:sz w:val="18"/>
                      <w:lang w:val="el-GR" w:eastAsia="el-GR" w:bidi="el-GR"/>
                    </w:rPr>
                    <w:t xml:space="preserve">΄ τρίμηνο του 2016, </w:t>
                  </w:r>
                  <w:r>
                    <w:rPr>
                      <w:rFonts w:ascii="Segoe UI" w:hAnsi="Segoe UI" w:cs="Segoe UI"/>
                      <w:sz w:val="18"/>
                      <w:lang w:val="el-GR" w:eastAsia="el-GR" w:bidi="el-GR"/>
                    </w:rPr>
                    <w:t xml:space="preserve">καθώς η </w:t>
                  </w:r>
                  <w:r w:rsidRPr="003461D2">
                    <w:rPr>
                      <w:rFonts w:ascii="Segoe UI" w:hAnsi="Segoe UI" w:cs="Segoe UI"/>
                      <w:sz w:val="18"/>
                      <w:lang w:val="el-GR" w:eastAsia="el-GR" w:bidi="el-GR"/>
                    </w:rPr>
                    <w:t xml:space="preserve">μείωση του κόστους άντλησης ρευστότητας </w:t>
                  </w:r>
                  <w:r>
                    <w:rPr>
                      <w:rFonts w:ascii="Segoe UI" w:hAnsi="Segoe UI" w:cs="Segoe UI"/>
                      <w:sz w:val="18"/>
                      <w:lang w:val="el-GR" w:eastAsia="el-GR" w:bidi="el-GR"/>
                    </w:rPr>
                    <w:t>αντισταθμίστηκε από τα χαμηλά έσοδα απόασφαλιστικές δραστηριότητες</w:t>
                  </w:r>
                  <w:r w:rsidR="00C811C0" w:rsidRPr="00C811C0">
                    <w:rPr>
                      <w:rFonts w:ascii="Segoe UI" w:hAnsi="Segoe UI" w:cs="Segoe UI"/>
                      <w:sz w:val="18"/>
                      <w:lang w:val="el-GR" w:eastAsia="el-GR" w:bidi="el-GR"/>
                    </w:rPr>
                    <w:t xml:space="preserve">, </w:t>
                  </w:r>
                  <w:r w:rsidR="00C811C0">
                    <w:rPr>
                      <w:rFonts w:ascii="Segoe UI" w:hAnsi="Segoe UI" w:cs="Segoe UI"/>
                      <w:sz w:val="18"/>
                      <w:lang w:val="el-GR" w:eastAsia="el-GR" w:bidi="el-GR"/>
                    </w:rPr>
                    <w:t xml:space="preserve">λόγω </w:t>
                  </w:r>
                  <w:r w:rsidR="002B537E">
                    <w:rPr>
                      <w:rFonts w:ascii="Segoe UI" w:hAnsi="Segoe UI" w:cs="Segoe UI"/>
                      <w:sz w:val="18"/>
                      <w:lang w:val="el-GR" w:eastAsia="el-GR" w:bidi="el-GR"/>
                    </w:rPr>
                    <w:t xml:space="preserve">της επίπτωσης </w:t>
                  </w:r>
                  <w:r w:rsidR="00C811C0">
                    <w:rPr>
                      <w:rFonts w:ascii="Segoe UI" w:hAnsi="Segoe UI" w:cs="Segoe UI"/>
                      <w:sz w:val="18"/>
                      <w:lang w:val="el-GR" w:eastAsia="el-GR" w:bidi="el-GR"/>
                    </w:rPr>
                    <w:t xml:space="preserve">των χαμηλότερων επιτοκίων </w:t>
                  </w:r>
                  <w:r w:rsidR="002B537E">
                    <w:rPr>
                      <w:rFonts w:ascii="Segoe UI" w:hAnsi="Segoe UI" w:cs="Segoe UI"/>
                      <w:sz w:val="18"/>
                      <w:lang w:val="el-GR" w:eastAsia="el-GR" w:bidi="el-GR"/>
                    </w:rPr>
                    <w:t>στα αποθεματικά</w:t>
                  </w:r>
                </w:p>
                <w:p w:rsidR="007C5D8F" w:rsidRPr="006D79FD" w:rsidRDefault="007C5D8F" w:rsidP="003461D2">
                  <w:pPr>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Σ</w:t>
                  </w:r>
                  <w:r w:rsidRPr="006D79FD">
                    <w:rPr>
                      <w:rFonts w:ascii="Segoe UI" w:hAnsi="Segoe UI" w:cs="Segoe UI"/>
                      <w:sz w:val="18"/>
                      <w:szCs w:val="15"/>
                      <w:lang w:val="el-GR"/>
                    </w:rPr>
                    <w:t>ε επίπεδο Ομίλου</w:t>
                  </w:r>
                  <w:r>
                    <w:rPr>
                      <w:rFonts w:ascii="Segoe UI" w:hAnsi="Segoe UI" w:cs="Segoe UI"/>
                      <w:sz w:val="18"/>
                      <w:szCs w:val="15"/>
                      <w:lang w:val="el-GR"/>
                    </w:rPr>
                    <w:t>, τ</w:t>
                  </w:r>
                  <w:r w:rsidRPr="006D79FD">
                    <w:rPr>
                      <w:rFonts w:ascii="Segoe UI" w:hAnsi="Segoe UI" w:cs="Segoe UI"/>
                      <w:sz w:val="18"/>
                      <w:szCs w:val="15"/>
                      <w:lang w:val="el-GR"/>
                    </w:rPr>
                    <w:t xml:space="preserve">α κέρδη μετά από φόρους από συνεχιζόμενες δραστηριότητες </w:t>
                  </w:r>
                  <w:r>
                    <w:rPr>
                      <w:rFonts w:ascii="Segoe UI" w:hAnsi="Segoe UI" w:cs="Segoe UI"/>
                      <w:sz w:val="18"/>
                      <w:szCs w:val="15"/>
                      <w:lang w:val="el-GR"/>
                    </w:rPr>
                    <w:t>ανήλθαν σε €23 εκατ. το Γ’ τρίμηνο</w:t>
                  </w:r>
                  <w:r w:rsidRPr="006D79FD">
                    <w:rPr>
                      <w:rFonts w:ascii="Segoe UI" w:hAnsi="Segoe UI" w:cs="Segoe UI"/>
                      <w:sz w:val="18"/>
                      <w:szCs w:val="15"/>
                      <w:lang w:val="el-GR"/>
                    </w:rPr>
                    <w:t xml:space="preserve"> του 2016</w:t>
                  </w:r>
                  <w:r w:rsidRPr="003461D2">
                    <w:rPr>
                      <w:rFonts w:ascii="Segoe UI" w:hAnsi="Segoe UI" w:cs="Segoe UI"/>
                      <w:sz w:val="18"/>
                      <w:szCs w:val="15"/>
                      <w:lang w:val="el-GR"/>
                    </w:rPr>
                    <w:t xml:space="preserve">έναντι ζημιών ύψους €23 εκατ. το </w:t>
                  </w:r>
                  <w:r>
                    <w:rPr>
                      <w:rFonts w:ascii="Segoe UI" w:hAnsi="Segoe UI" w:cs="Segoe UI"/>
                      <w:sz w:val="18"/>
                      <w:szCs w:val="15"/>
                      <w:lang w:val="el-GR"/>
                    </w:rPr>
                    <w:t xml:space="preserve">προηγούμενο </w:t>
                  </w:r>
                  <w:r w:rsidRPr="003461D2">
                    <w:rPr>
                      <w:rFonts w:ascii="Segoe UI" w:hAnsi="Segoe UI" w:cs="Segoe UI"/>
                      <w:sz w:val="18"/>
                      <w:szCs w:val="15"/>
                      <w:lang w:val="el-GR"/>
                    </w:rPr>
                    <w:t>τρίμηνο</w:t>
                  </w:r>
                  <w:r>
                    <w:rPr>
                      <w:rFonts w:ascii="Segoe UI" w:hAnsi="Segoe UI" w:cs="Segoe UI"/>
                      <w:sz w:val="18"/>
                      <w:szCs w:val="15"/>
                      <w:lang w:val="el-GR"/>
                    </w:rPr>
                    <w:t>,</w:t>
                  </w:r>
                  <w:r w:rsidRPr="006D79FD">
                    <w:rPr>
                      <w:rFonts w:ascii="Segoe UI" w:hAnsi="Segoe UI" w:cs="Segoe UI"/>
                      <w:sz w:val="18"/>
                      <w:szCs w:val="15"/>
                      <w:lang w:val="el-GR"/>
                    </w:rPr>
                    <w:t xml:space="preserve">αντανακλώντας </w:t>
                  </w:r>
                  <w:r>
                    <w:rPr>
                      <w:rFonts w:ascii="Segoe UI" w:hAnsi="Segoe UI" w:cs="Segoe UI"/>
                      <w:sz w:val="18"/>
                      <w:szCs w:val="15"/>
                      <w:lang w:val="el-GR"/>
                    </w:rPr>
                    <w:t xml:space="preserve">τις θετικές τάσεις στην Ελλάδα και </w:t>
                  </w:r>
                  <w:r w:rsidRPr="006D79FD">
                    <w:rPr>
                      <w:rFonts w:ascii="Segoe UI" w:hAnsi="Segoe UI" w:cs="Segoe UI"/>
                      <w:sz w:val="18"/>
                      <w:szCs w:val="15"/>
                      <w:lang w:val="el-GR"/>
                    </w:rPr>
                    <w:t>τη ΝΑ Ευρώπη (κέρδη μετά από φόρους ύψους €</w:t>
                  </w:r>
                  <w:r>
                    <w:rPr>
                      <w:rFonts w:ascii="Segoe UI" w:hAnsi="Segoe UI" w:cs="Segoe UI"/>
                      <w:sz w:val="18"/>
                      <w:szCs w:val="15"/>
                      <w:lang w:val="el-GR"/>
                    </w:rPr>
                    <w:t xml:space="preserve">28 </w:t>
                  </w:r>
                  <w:r w:rsidRPr="006D79FD">
                    <w:rPr>
                      <w:rFonts w:ascii="Segoe UI" w:hAnsi="Segoe UI" w:cs="Segoe UI"/>
                      <w:sz w:val="18"/>
                      <w:szCs w:val="15"/>
                      <w:lang w:val="el-GR"/>
                    </w:rPr>
                    <w:t xml:space="preserve">εκατ. το </w:t>
                  </w:r>
                  <w:r>
                    <w:rPr>
                      <w:rFonts w:ascii="Segoe UI" w:hAnsi="Segoe UI" w:cs="Segoe UI"/>
                      <w:sz w:val="18"/>
                      <w:szCs w:val="15"/>
                      <w:lang w:val="el-GR"/>
                    </w:rPr>
                    <w:t>Γ</w:t>
                  </w:r>
                  <w:r w:rsidRPr="006D79FD">
                    <w:rPr>
                      <w:rFonts w:ascii="Segoe UI" w:hAnsi="Segoe UI" w:cs="Segoe UI"/>
                      <w:sz w:val="18"/>
                      <w:szCs w:val="15"/>
                      <w:lang w:val="el-GR"/>
                    </w:rPr>
                    <w:t>’ εξάμηνο του 2016</w:t>
                  </w:r>
                  <w:r>
                    <w:rPr>
                      <w:rFonts w:ascii="Segoe UI" w:hAnsi="Segoe UI" w:cs="Segoe UI"/>
                      <w:sz w:val="18"/>
                      <w:szCs w:val="15"/>
                      <w:lang w:val="el-GR"/>
                    </w:rPr>
                    <w:t>, ενισχυμένα κατά 7% σε τριμηνιαία βάση</w:t>
                  </w:r>
                  <w:r w:rsidRPr="006D79FD">
                    <w:rPr>
                      <w:rFonts w:ascii="Segoe UI" w:hAnsi="Segoe UI" w:cs="Segoe UI"/>
                      <w:sz w:val="18"/>
                      <w:szCs w:val="15"/>
                      <w:lang w:val="el-GR"/>
                    </w:rPr>
                    <w:t xml:space="preserve">) </w:t>
                  </w:r>
                </w:p>
                <w:p w:rsidR="007C5D8F" w:rsidRDefault="007C5D8F" w:rsidP="008F0414">
                  <w:pPr>
                    <w:spacing w:before="120" w:after="0" w:line="240" w:lineRule="auto"/>
                    <w:ind w:left="786"/>
                    <w:rPr>
                      <w:rFonts w:ascii="Segoe UI" w:hAnsi="Segoe UI" w:cs="Segoe UI"/>
                      <w:sz w:val="18"/>
                      <w:szCs w:val="15"/>
                      <w:lang w:val="el-GR"/>
                    </w:rPr>
                  </w:pPr>
                </w:p>
                <w:p w:rsidR="007C5D8F" w:rsidRPr="00BF459E" w:rsidRDefault="007C5D8F" w:rsidP="008F0414">
                  <w:pPr>
                    <w:spacing w:before="120" w:after="0" w:line="240" w:lineRule="auto"/>
                    <w:ind w:left="786"/>
                    <w:rPr>
                      <w:rFonts w:ascii="Segoe UI" w:hAnsi="Segoe UI" w:cs="Segoe UI"/>
                      <w:sz w:val="18"/>
                      <w:szCs w:val="15"/>
                      <w:lang w:val="el-GR"/>
                    </w:rPr>
                  </w:pPr>
                </w:p>
                <w:p w:rsidR="007C5D8F" w:rsidRDefault="007C5D8F" w:rsidP="007C565C">
                  <w:pPr>
                    <w:spacing w:after="0" w:line="240" w:lineRule="auto"/>
                    <w:ind w:left="360"/>
                    <w:jc w:val="right"/>
                    <w:rPr>
                      <w:rFonts w:ascii="Segoe UI" w:hAnsi="Segoe UI" w:cs="Segoe UI"/>
                      <w:sz w:val="16"/>
                      <w:szCs w:val="12"/>
                      <w:lang w:val="el-GR"/>
                    </w:rPr>
                  </w:pPr>
                  <w:r w:rsidRPr="00EE1E78">
                    <w:rPr>
                      <w:rFonts w:ascii="Segoe UI" w:hAnsi="Segoe UI" w:cs="Segoe UI"/>
                      <w:sz w:val="16"/>
                      <w:szCs w:val="12"/>
                      <w:lang w:val="el-GR"/>
                    </w:rPr>
                    <w:t xml:space="preserve">Αθήνα, </w:t>
                  </w:r>
                  <w:r w:rsidR="0004524C" w:rsidRPr="00296218">
                    <w:rPr>
                      <w:rFonts w:ascii="Segoe UI" w:hAnsi="Segoe UI" w:cs="Segoe UI"/>
                      <w:sz w:val="16"/>
                      <w:szCs w:val="12"/>
                      <w:lang w:val="el-GR"/>
                    </w:rPr>
                    <w:t xml:space="preserve">23 </w:t>
                  </w:r>
                  <w:r w:rsidR="0004524C">
                    <w:rPr>
                      <w:rFonts w:ascii="Segoe UI" w:hAnsi="Segoe UI" w:cs="Segoe UI"/>
                      <w:sz w:val="16"/>
                      <w:szCs w:val="12"/>
                      <w:lang w:val="el-GR"/>
                    </w:rPr>
                    <w:t>Νοεμβρίου</w:t>
                  </w:r>
                  <w:r w:rsidRPr="00EE1E78">
                    <w:rPr>
                      <w:rFonts w:ascii="Segoe UI" w:hAnsi="Segoe UI" w:cs="Segoe UI"/>
                      <w:sz w:val="16"/>
                      <w:szCs w:val="12"/>
                      <w:lang w:val="el-GR"/>
                    </w:rPr>
                    <w:t xml:space="preserve"> 2016</w:t>
                  </w:r>
                </w:p>
                <w:p w:rsidR="007C5D8F" w:rsidRPr="00EE1E78" w:rsidRDefault="007C5D8F" w:rsidP="007C565C">
                  <w:pPr>
                    <w:spacing w:after="0" w:line="240" w:lineRule="auto"/>
                    <w:ind w:left="360"/>
                    <w:jc w:val="right"/>
                    <w:rPr>
                      <w:rFonts w:ascii="Segoe UI" w:hAnsi="Segoe UI" w:cs="Segoe UI"/>
                      <w:sz w:val="16"/>
                      <w:szCs w:val="12"/>
                      <w:lang w:val="el-GR"/>
                    </w:rPr>
                  </w:pPr>
                </w:p>
                <w:p w:rsidR="007C5D8F" w:rsidRPr="006A38DD" w:rsidRDefault="007C5D8F" w:rsidP="00BF459E">
                  <w:pPr>
                    <w:spacing w:before="120" w:after="0" w:line="240" w:lineRule="auto"/>
                    <w:rPr>
                      <w:rFonts w:ascii="Segoe UI" w:hAnsi="Segoe UI" w:cs="Segoe UI"/>
                      <w:sz w:val="12"/>
                      <w:szCs w:val="12"/>
                      <w:lang w:val="el-GR"/>
                    </w:rPr>
                  </w:pPr>
                  <w:r w:rsidRPr="00E97620">
                    <w:rPr>
                      <w:rFonts w:ascii="Segoe UI" w:hAnsi="Segoe UI" w:cs="Segoe UI"/>
                      <w:sz w:val="12"/>
                      <w:szCs w:val="12"/>
                      <w:vertAlign w:val="superscript"/>
                      <w:lang w:val="el-GR"/>
                    </w:rPr>
                    <w:t>1</w:t>
                  </w:r>
                  <w:r w:rsidRPr="00DE05C0">
                    <w:rPr>
                      <w:rFonts w:ascii="Segoe UI" w:hAnsi="Segoe UI" w:cs="Segoe UI"/>
                      <w:sz w:val="12"/>
                      <w:szCs w:val="12"/>
                      <w:lang w:val="el-GR"/>
                    </w:rPr>
                    <w:t xml:space="preserve"> Η σύγκριση με τις λοιπές εγχώριες συστημικές τράπεζες βασίζεται σε στοιχεία που έχουν δημοσιευθεί μέχρι </w:t>
                  </w:r>
                  <w:r>
                    <w:rPr>
                      <w:rFonts w:ascii="Segoe UI" w:hAnsi="Segoe UI" w:cs="Segoe UI"/>
                      <w:sz w:val="12"/>
                      <w:szCs w:val="12"/>
                      <w:lang w:val="el-GR"/>
                    </w:rPr>
                    <w:t>23 Νοεμβρίου</w:t>
                  </w:r>
                  <w:r w:rsidRPr="00DE05C0">
                    <w:rPr>
                      <w:rFonts w:ascii="Segoe UI" w:hAnsi="Segoe UI" w:cs="Segoe UI"/>
                      <w:sz w:val="12"/>
                      <w:szCs w:val="12"/>
                      <w:lang w:val="el-GR"/>
                    </w:rPr>
                    <w:t>, 2016</w:t>
                  </w:r>
                </w:p>
                <w:p w:rsidR="007C5D8F" w:rsidRPr="002C2ABB" w:rsidRDefault="007C5D8F" w:rsidP="00BF459E">
                  <w:pPr>
                    <w:spacing w:before="120" w:after="0" w:line="240" w:lineRule="auto"/>
                    <w:ind w:left="360"/>
                    <w:jc w:val="right"/>
                    <w:rPr>
                      <w:rFonts w:ascii="Segoe UI" w:hAnsi="Segoe UI" w:cs="Segoe UI"/>
                      <w:sz w:val="2"/>
                      <w:szCs w:val="2"/>
                      <w:lang w:val="el-GR"/>
                    </w:rPr>
                  </w:pPr>
                </w:p>
              </w:txbxContent>
            </v:textbox>
          </v:shape>
        </w:pict>
      </w: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A202A0" w:rsidRPr="00F50813" w:rsidRDefault="00B17525" w:rsidP="004929D8">
      <w:pPr>
        <w:spacing w:after="160"/>
        <w:jc w:val="both"/>
        <w:rPr>
          <w:rFonts w:ascii="Segoe UI" w:hAnsi="Segoe UI" w:cs="Segoe UI"/>
          <w:i/>
          <w:lang w:eastAsia="en-GB"/>
        </w:rPr>
      </w:pPr>
      <w:r w:rsidRPr="00F50813">
        <w:rPr>
          <w:rFonts w:ascii="Segoe UI" w:hAnsi="Segoe UI" w:cs="Segoe UI"/>
          <w:i/>
          <w:lang w:eastAsia="en-GB"/>
        </w:rPr>
        <w:t xml:space="preserve">With the Bank’s strong position and the dynamics of its forward course </w:t>
      </w:r>
      <w:r w:rsidR="00411B8F" w:rsidRPr="00F50813">
        <w:rPr>
          <w:rFonts w:ascii="Segoe UI" w:hAnsi="Segoe UI" w:cs="Segoe UI"/>
          <w:i/>
          <w:lang w:eastAsia="en-GB"/>
        </w:rPr>
        <w:t xml:space="preserve">now </w:t>
      </w:r>
      <w:r w:rsidRPr="00F50813">
        <w:rPr>
          <w:rFonts w:ascii="Segoe UI" w:hAnsi="Segoe UI" w:cs="Segoe UI"/>
          <w:i/>
          <w:lang w:eastAsia="en-GB"/>
        </w:rPr>
        <w:t>verified</w:t>
      </w:r>
      <w:r w:rsidR="005E24C3" w:rsidRPr="00F50813">
        <w:rPr>
          <w:rFonts w:ascii="Segoe UI" w:hAnsi="Segoe UI" w:cs="Segoe UI"/>
          <w:i/>
          <w:lang w:eastAsia="en-GB"/>
        </w:rPr>
        <w:t xml:space="preserve"> by </w:t>
      </w:r>
    </w:p>
    <w:p w:rsidR="005E24C3" w:rsidRPr="00F50813" w:rsidRDefault="005E24C3" w:rsidP="004929D8">
      <w:pPr>
        <w:spacing w:after="160" w:line="240" w:lineRule="auto"/>
        <w:jc w:val="both"/>
        <w:rPr>
          <w:rFonts w:ascii="Segoe UI" w:hAnsi="Segoe UI" w:cs="Segoe UI"/>
          <w:i/>
          <w:iCs/>
          <w:lang w:val="en-US"/>
        </w:rPr>
      </w:pPr>
    </w:p>
    <w:p w:rsidR="00B70DD7" w:rsidRPr="00F50813" w:rsidRDefault="00B70DD7" w:rsidP="004929D8">
      <w:pPr>
        <w:spacing w:after="160" w:line="240" w:lineRule="auto"/>
        <w:jc w:val="both"/>
        <w:rPr>
          <w:rFonts w:ascii="Segoe UI" w:hAnsi="Segoe UI" w:cs="Segoe UI"/>
          <w:lang w:val="en-US"/>
        </w:rPr>
      </w:pPr>
      <w:r w:rsidRPr="00F50813">
        <w:rPr>
          <w:rFonts w:ascii="Segoe UI" w:hAnsi="Segoe UI" w:cs="Segoe UI"/>
          <w:lang w:val="en-US"/>
        </w:rPr>
        <w:br w:type="page"/>
      </w:r>
    </w:p>
    <w:p w:rsidR="00901454" w:rsidRPr="00F50813" w:rsidRDefault="00807DDB" w:rsidP="004929D8">
      <w:pPr>
        <w:spacing w:after="160"/>
        <w:jc w:val="both"/>
        <w:rPr>
          <w:rFonts w:ascii="Segoe UI" w:hAnsi="Segoe UI" w:cs="Segoe UI"/>
          <w:i/>
          <w:iCs/>
          <w:lang w:val="en-US"/>
        </w:rPr>
      </w:pPr>
      <w:r w:rsidRPr="00807DDB">
        <w:rPr>
          <w:rFonts w:ascii="Segoe UI" w:hAnsi="Segoe UI" w:cs="Segoe UI"/>
          <w:b/>
          <w:noProof/>
          <w:lang w:val="el-GR" w:eastAsia="el-GR"/>
        </w:rPr>
        <w:lastRenderedPageBreak/>
        <w:pict>
          <v:shape id="_x0000_s1027" type="#_x0000_t202" style="position:absolute;left:0;text-align:left;margin-left:-2.6pt;margin-top:-9.4pt;width:436.65pt;height:726.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" fillcolor="#d9d9d9" stroked="f">
            <v:textbox>
              <w:txbxContent>
                <w:p w:rsidR="007C5D8F" w:rsidRPr="00E46E0F" w:rsidRDefault="007C5D8F" w:rsidP="00BC111F">
                  <w:pPr>
                    <w:numPr>
                      <w:ilvl w:val="0"/>
                      <w:numId w:val="12"/>
                    </w:numPr>
                    <w:spacing w:before="120" w:after="0"/>
                    <w:rPr>
                      <w:rFonts w:ascii="Segoe UI" w:hAnsi="Segoe UI" w:cs="Segoe UI"/>
                      <w:b/>
                      <w:sz w:val="18"/>
                      <w:szCs w:val="15"/>
                      <w:lang w:val="el-GR"/>
                    </w:rPr>
                  </w:pPr>
                  <w:r>
                    <w:rPr>
                      <w:rFonts w:ascii="Segoe UI" w:hAnsi="Segoe UI" w:cs="Segoe UI"/>
                      <w:b/>
                      <w:sz w:val="18"/>
                      <w:szCs w:val="15"/>
                      <w:lang w:val="el-GR"/>
                    </w:rPr>
                    <w:t xml:space="preserve">Η χρηματοδότηση από </w:t>
                  </w:r>
                  <w:r w:rsidRPr="00E46E0F">
                    <w:rPr>
                      <w:rFonts w:ascii="Segoe UI" w:hAnsi="Segoe UI" w:cs="Segoe UI"/>
                      <w:b/>
                      <w:sz w:val="18"/>
                      <w:szCs w:val="15"/>
                      <w:lang w:val="el-GR"/>
                    </w:rPr>
                    <w:t xml:space="preserve">το μηχανισμό ELA </w:t>
                  </w:r>
                  <w:r>
                    <w:rPr>
                      <w:rFonts w:ascii="Segoe UI" w:hAnsi="Segoe UI" w:cs="Segoe UI"/>
                      <w:b/>
                      <w:sz w:val="18"/>
                      <w:szCs w:val="15"/>
                      <w:lang w:val="el-GR"/>
                    </w:rPr>
                    <w:t xml:space="preserve">μειώθηκε </w:t>
                  </w:r>
                  <w:r w:rsidR="005854F8">
                    <w:rPr>
                      <w:rFonts w:ascii="Segoe UI" w:hAnsi="Segoe UI" w:cs="Segoe UI"/>
                      <w:b/>
                      <w:sz w:val="18"/>
                      <w:szCs w:val="15"/>
                      <w:lang w:val="el-GR"/>
                    </w:rPr>
                    <w:t xml:space="preserve">σε επίπεδα </w:t>
                  </w:r>
                  <w:r>
                    <w:rPr>
                      <w:rFonts w:ascii="Segoe UI" w:hAnsi="Segoe UI" w:cs="Segoe UI"/>
                      <w:b/>
                      <w:sz w:val="18"/>
                      <w:szCs w:val="15"/>
                      <w:lang w:val="el-GR"/>
                    </w:rPr>
                    <w:t xml:space="preserve">κάτω </w:t>
                  </w:r>
                  <w:r w:rsidR="005854F8">
                    <w:rPr>
                      <w:rFonts w:ascii="Segoe UI" w:hAnsi="Segoe UI" w:cs="Segoe UI"/>
                      <w:b/>
                      <w:sz w:val="18"/>
                      <w:szCs w:val="15"/>
                      <w:lang w:val="el-GR"/>
                    </w:rPr>
                    <w:t>των</w:t>
                  </w:r>
                  <w:r>
                    <w:rPr>
                      <w:rFonts w:ascii="Segoe UI" w:hAnsi="Segoe UI" w:cs="Segoe UI"/>
                      <w:b/>
                      <w:sz w:val="18"/>
                      <w:szCs w:val="15"/>
                      <w:lang w:val="el-GR"/>
                    </w:rPr>
                    <w:t xml:space="preserve"> €5 δισ.</w:t>
                  </w:r>
                </w:p>
                <w:p w:rsidR="007C5D8F" w:rsidRPr="00E46E0F" w:rsidRDefault="007C5D8F" w:rsidP="00BC111F">
                  <w:pPr>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Η χρηματοδότηση μέσω</w:t>
                  </w:r>
                  <w:r w:rsidRPr="00E46E0F">
                    <w:rPr>
                      <w:rFonts w:ascii="Segoe UI" w:hAnsi="Segoe UI" w:cs="Segoe UI"/>
                      <w:sz w:val="18"/>
                      <w:szCs w:val="15"/>
                      <w:lang w:val="el-GR"/>
                    </w:rPr>
                    <w:t xml:space="preserve"> ΕLA</w:t>
                  </w:r>
                  <w:r>
                    <w:rPr>
                      <w:rFonts w:ascii="Segoe UI" w:hAnsi="Segoe UI" w:cs="Segoe UI"/>
                      <w:sz w:val="18"/>
                      <w:szCs w:val="15"/>
                      <w:lang w:val="el-GR"/>
                    </w:rPr>
                    <w:t xml:space="preserve"> έχει μειωθεί </w:t>
                  </w:r>
                  <w:r w:rsidRPr="00E46E0F">
                    <w:rPr>
                      <w:rFonts w:ascii="Segoe UI" w:hAnsi="Segoe UI" w:cs="Segoe UI"/>
                      <w:sz w:val="18"/>
                      <w:szCs w:val="15"/>
                      <w:lang w:val="el-GR"/>
                    </w:rPr>
                    <w:t>κατά €</w:t>
                  </w:r>
                  <w:r>
                    <w:rPr>
                      <w:rFonts w:ascii="Segoe UI" w:hAnsi="Segoe UI" w:cs="Segoe UI"/>
                      <w:sz w:val="18"/>
                      <w:szCs w:val="15"/>
                      <w:lang w:val="el-GR"/>
                    </w:rPr>
                    <w:t>13,1</w:t>
                  </w:r>
                  <w:r w:rsidRPr="00E46E0F">
                    <w:rPr>
                      <w:rFonts w:ascii="Segoe UI" w:hAnsi="Segoe UI" w:cs="Segoe UI"/>
                      <w:sz w:val="18"/>
                      <w:szCs w:val="15"/>
                      <w:lang w:val="el-GR"/>
                    </w:rPr>
                    <w:t xml:space="preserve"> δισ. </w:t>
                  </w:r>
                  <w:r>
                    <w:rPr>
                      <w:rFonts w:ascii="Segoe UI" w:hAnsi="Segoe UI" w:cs="Segoe UI"/>
                      <w:sz w:val="18"/>
                      <w:szCs w:val="15"/>
                      <w:lang w:val="el-GR"/>
                    </w:rPr>
                    <w:t>από την επιβολή περιορισμών στην κίνηση κεφαλαίων</w:t>
                  </w:r>
                  <w:r w:rsidR="005854F8">
                    <w:rPr>
                      <w:rFonts w:ascii="Segoe UI" w:hAnsi="Segoe UI" w:cs="Segoe UI"/>
                      <w:sz w:val="18"/>
                      <w:szCs w:val="15"/>
                      <w:lang w:val="el-GR"/>
                    </w:rPr>
                    <w:t xml:space="preserve"> έως σήμερα</w:t>
                  </w:r>
                  <w:r>
                    <w:rPr>
                      <w:rFonts w:ascii="Segoe UI" w:hAnsi="Segoe UI" w:cs="Segoe UI"/>
                      <w:sz w:val="18"/>
                      <w:szCs w:val="15"/>
                      <w:lang w:val="el-GR"/>
                    </w:rPr>
                    <w:t xml:space="preserve">, ανερχόμενη σε μόλις </w:t>
                  </w:r>
                  <w:r w:rsidRPr="00E46E0F">
                    <w:rPr>
                      <w:rFonts w:ascii="Segoe UI" w:hAnsi="Segoe UI" w:cs="Segoe UI"/>
                      <w:sz w:val="18"/>
                      <w:szCs w:val="15"/>
                      <w:lang w:val="el-GR"/>
                    </w:rPr>
                    <w:t>€</w:t>
                  </w:r>
                  <w:r>
                    <w:rPr>
                      <w:rFonts w:ascii="Segoe UI" w:hAnsi="Segoe UI" w:cs="Segoe UI"/>
                      <w:sz w:val="18"/>
                      <w:szCs w:val="15"/>
                      <w:lang w:val="el-GR"/>
                    </w:rPr>
                    <w:t>4</w:t>
                  </w:r>
                  <w:r w:rsidRPr="00E46E0F">
                    <w:rPr>
                      <w:rFonts w:ascii="Segoe UI" w:hAnsi="Segoe UI" w:cs="Segoe UI"/>
                      <w:sz w:val="18"/>
                      <w:szCs w:val="15"/>
                      <w:lang w:val="el-GR"/>
                    </w:rPr>
                    <w:t>,</w:t>
                  </w:r>
                  <w:r>
                    <w:rPr>
                      <w:rFonts w:ascii="Segoe UI" w:hAnsi="Segoe UI" w:cs="Segoe UI"/>
                      <w:sz w:val="18"/>
                      <w:szCs w:val="15"/>
                      <w:lang w:val="el-GR"/>
                    </w:rPr>
                    <w:t>5</w:t>
                  </w:r>
                  <w:r w:rsidRPr="00E46E0F">
                    <w:rPr>
                      <w:rFonts w:ascii="Segoe UI" w:hAnsi="Segoe UI" w:cs="Segoe UI"/>
                      <w:sz w:val="18"/>
                      <w:szCs w:val="15"/>
                      <w:lang w:val="el-GR"/>
                    </w:rPr>
                    <w:t xml:space="preserve"> δι</w:t>
                  </w:r>
                  <w:r w:rsidR="00B570C2">
                    <w:rPr>
                      <w:rFonts w:ascii="Segoe UI" w:hAnsi="Segoe UI" w:cs="Segoe UI"/>
                      <w:sz w:val="18"/>
                      <w:szCs w:val="15"/>
                      <w:lang w:val="el-GR"/>
                    </w:rPr>
                    <w:t>σ</w:t>
                  </w:r>
                  <w:r w:rsidRPr="001523EE">
                    <w:rPr>
                      <w:rFonts w:ascii="Segoe UI" w:hAnsi="Segoe UI" w:cs="Segoe UI"/>
                      <w:sz w:val="18"/>
                      <w:szCs w:val="15"/>
                      <w:vertAlign w:val="superscript"/>
                      <w:lang w:val="el-GR"/>
                    </w:rPr>
                    <w:t>1</w:t>
                  </w:r>
                  <w:r w:rsidRPr="00E46E0F">
                    <w:rPr>
                      <w:rFonts w:ascii="Segoe UI" w:hAnsi="Segoe UI" w:cs="Segoe UI"/>
                      <w:sz w:val="18"/>
                      <w:szCs w:val="15"/>
                      <w:lang w:val="el-GR"/>
                    </w:rPr>
                    <w:t>.</w:t>
                  </w:r>
                  <w:r>
                    <w:rPr>
                      <w:rFonts w:ascii="Segoe UI" w:hAnsi="Segoe UI" w:cs="Segoe UI"/>
                      <w:sz w:val="18"/>
                      <w:szCs w:val="15"/>
                      <w:lang w:val="el-GR"/>
                    </w:rPr>
                    <w:t xml:space="preserve"> Η ΕΤΕ παραμένει η τράπεζα με τη</w:t>
                  </w:r>
                  <w:r w:rsidRPr="004E47B2">
                    <w:rPr>
                      <w:rFonts w:ascii="Segoe UI" w:hAnsi="Segoe UI" w:cs="Segoe UI"/>
                      <w:sz w:val="18"/>
                      <w:szCs w:val="15"/>
                      <w:lang w:val="el-GR"/>
                    </w:rPr>
                    <w:t xml:space="preserve"> χαμηλότερη εξάρτηση από τον έκτακτο μηχανισμό ELA στην Ελλάδα</w:t>
                  </w:r>
                  <w:r w:rsidRPr="00E46E0F">
                    <w:rPr>
                      <w:rFonts w:ascii="Segoe UI" w:hAnsi="Segoe UI" w:cs="Segoe UI"/>
                      <w:sz w:val="18"/>
                      <w:szCs w:val="15"/>
                      <w:vertAlign w:val="superscript"/>
                      <w:lang w:val="el-GR"/>
                    </w:rPr>
                    <w:t>2</w:t>
                  </w:r>
                </w:p>
                <w:p w:rsidR="007C5D8F" w:rsidRPr="00BC111F" w:rsidRDefault="007C5D8F" w:rsidP="00BC111F">
                  <w:pPr>
                    <w:numPr>
                      <w:ilvl w:val="0"/>
                      <w:numId w:val="4"/>
                    </w:numPr>
                    <w:spacing w:before="120" w:after="0" w:line="240" w:lineRule="auto"/>
                    <w:rPr>
                      <w:rFonts w:ascii="Segoe UI" w:hAnsi="Segoe UI" w:cs="Segoe UI"/>
                      <w:sz w:val="18"/>
                      <w:szCs w:val="15"/>
                      <w:lang w:val="el-GR"/>
                    </w:rPr>
                  </w:pPr>
                  <w:r w:rsidRPr="00BC111F">
                    <w:rPr>
                      <w:rFonts w:ascii="Segoe UI" w:hAnsi="Segoe UI" w:cs="Segoe UI"/>
                      <w:sz w:val="18"/>
                      <w:szCs w:val="15"/>
                      <w:lang w:val="en-US"/>
                    </w:rPr>
                    <w:t>O</w:t>
                  </w:r>
                  <w:r w:rsidRPr="00BC111F">
                    <w:rPr>
                      <w:rFonts w:ascii="Segoe UI" w:hAnsi="Segoe UI" w:cs="Segoe UI"/>
                      <w:sz w:val="18"/>
                      <w:szCs w:val="15"/>
                      <w:lang w:val="el-GR"/>
                    </w:rPr>
                    <w:t>ι καταθέσ</w:t>
                  </w:r>
                  <w:r w:rsidR="00BE3498">
                    <w:rPr>
                      <w:rFonts w:ascii="Segoe UI" w:hAnsi="Segoe UI" w:cs="Segoe UI"/>
                      <w:sz w:val="18"/>
                      <w:szCs w:val="15"/>
                      <w:lang w:val="el-GR"/>
                    </w:rPr>
                    <w:t>εις στην Ελλάδα αυξήθηκαν κατά 0,8</w:t>
                  </w:r>
                  <w:r w:rsidRPr="00BC111F">
                    <w:rPr>
                      <w:rFonts w:ascii="Segoe UI" w:hAnsi="Segoe UI" w:cs="Segoe UI"/>
                      <w:sz w:val="18"/>
                      <w:szCs w:val="15"/>
                      <w:lang w:val="el-GR"/>
                    </w:rPr>
                    <w:t>% σε σχέση με το Β’ τρίμηνο του 2016</w:t>
                  </w:r>
                  <w:r w:rsidR="005854F8">
                    <w:rPr>
                      <w:rFonts w:ascii="Segoe UI" w:hAnsi="Segoe UI" w:cs="Segoe UI"/>
                      <w:sz w:val="18"/>
                      <w:szCs w:val="15"/>
                      <w:lang w:val="el-GR"/>
                    </w:rPr>
                    <w:t>, ήτοι +€0,3 δισ. σε τριμηνιαία βάση.</w:t>
                  </w:r>
                  <w:r w:rsidRPr="00BC111F">
                    <w:rPr>
                      <w:rFonts w:ascii="Segoe UI" w:hAnsi="Segoe UI" w:cs="Segoe UI"/>
                      <w:sz w:val="18"/>
                      <w:szCs w:val="15"/>
                      <w:lang w:val="el-GR"/>
                    </w:rPr>
                    <w:t xml:space="preserve">Ο δείκτης Δανείων προς Καταθέσεις </w:t>
                  </w:r>
                  <w:r w:rsidR="00FC0720">
                    <w:rPr>
                      <w:rFonts w:ascii="Segoe UI" w:hAnsi="Segoe UI" w:cs="Segoe UI"/>
                      <w:sz w:val="18"/>
                      <w:szCs w:val="15"/>
                      <w:lang w:val="el-GR"/>
                    </w:rPr>
                    <w:t xml:space="preserve">ανήλθε </w:t>
                  </w:r>
                  <w:r w:rsidRPr="00BC111F">
                    <w:rPr>
                      <w:rFonts w:ascii="Segoe UI" w:hAnsi="Segoe UI" w:cs="Segoe UI"/>
                      <w:sz w:val="18"/>
                      <w:szCs w:val="15"/>
                      <w:lang w:val="el-GR"/>
                    </w:rPr>
                    <w:t xml:space="preserve">σε </w:t>
                  </w:r>
                  <w:r>
                    <w:rPr>
                      <w:rFonts w:ascii="Segoe UI" w:hAnsi="Segoe UI" w:cs="Segoe UI"/>
                      <w:sz w:val="18"/>
                      <w:szCs w:val="15"/>
                      <w:lang w:val="el-GR"/>
                    </w:rPr>
                    <w:t>89</w:t>
                  </w:r>
                  <w:r w:rsidRPr="00BC111F">
                    <w:rPr>
                      <w:rFonts w:ascii="Segoe UI" w:hAnsi="Segoe UI" w:cs="Segoe UI"/>
                      <w:sz w:val="18"/>
                      <w:szCs w:val="15"/>
                      <w:lang w:val="el-GR"/>
                    </w:rPr>
                    <w:t>% τόσο στην Ε</w:t>
                  </w:r>
                  <w:r w:rsidR="00E37FF8">
                    <w:rPr>
                      <w:rFonts w:ascii="Segoe UI" w:hAnsi="Segoe UI" w:cs="Segoe UI"/>
                      <w:sz w:val="18"/>
                      <w:szCs w:val="15"/>
                      <w:lang w:val="el-GR"/>
                    </w:rPr>
                    <w:t>λλάδα όσο και σε επίπεδο Ομίλου, σε σχέση με 135% για τον κλάδο</w:t>
                  </w:r>
                  <w:r w:rsidR="00CE61F3" w:rsidRPr="00CE61F3">
                    <w:rPr>
                      <w:rFonts w:ascii="Segoe UI" w:hAnsi="Segoe UI" w:cs="Segoe UI"/>
                      <w:sz w:val="18"/>
                      <w:szCs w:val="15"/>
                      <w:vertAlign w:val="superscript"/>
                      <w:lang w:val="el-GR"/>
                    </w:rPr>
                    <w:t>3</w:t>
                  </w:r>
                </w:p>
                <w:p w:rsidR="007C5D8F" w:rsidRDefault="007C5D8F" w:rsidP="00BC111F">
                  <w:pPr>
                    <w:spacing w:before="120" w:after="0" w:line="240" w:lineRule="auto"/>
                    <w:ind w:left="360"/>
                    <w:rPr>
                      <w:rFonts w:ascii="Segoe UI" w:hAnsi="Segoe UI" w:cs="Segoe UI"/>
                      <w:b/>
                      <w:sz w:val="18"/>
                      <w:szCs w:val="15"/>
                      <w:lang w:val="el-GR"/>
                    </w:rPr>
                  </w:pPr>
                </w:p>
                <w:p w:rsidR="007C5D8F" w:rsidRPr="00E46E0F" w:rsidRDefault="007C5D8F" w:rsidP="00E33DCE">
                  <w:pPr>
                    <w:numPr>
                      <w:ilvl w:val="0"/>
                      <w:numId w:val="10"/>
                    </w:numPr>
                    <w:spacing w:before="120" w:after="0" w:line="240" w:lineRule="auto"/>
                    <w:rPr>
                      <w:rFonts w:ascii="Segoe UI" w:hAnsi="Segoe UI" w:cs="Segoe UI"/>
                      <w:b/>
                      <w:sz w:val="18"/>
                      <w:szCs w:val="15"/>
                      <w:lang w:val="el-GR"/>
                    </w:rPr>
                  </w:pPr>
                  <w:r w:rsidRPr="00E46E0F">
                    <w:rPr>
                      <w:rFonts w:ascii="Segoe UI" w:hAnsi="Segoe UI" w:cs="Segoe UI"/>
                      <w:b/>
                      <w:sz w:val="18"/>
                      <w:szCs w:val="15"/>
                      <w:lang w:val="el-GR"/>
                    </w:rPr>
                    <w:t>Δείκτης CET 1</w:t>
                  </w:r>
                  <w:r w:rsidR="00CE61F3">
                    <w:rPr>
                      <w:rFonts w:ascii="Segoe UI" w:hAnsi="Segoe UI" w:cs="Segoe UI"/>
                      <w:b/>
                      <w:sz w:val="18"/>
                      <w:szCs w:val="15"/>
                      <w:vertAlign w:val="superscript"/>
                      <w:lang w:val="en-US"/>
                    </w:rPr>
                    <w:t>4</w:t>
                  </w:r>
                  <w:r w:rsidRPr="00E46E0F">
                    <w:rPr>
                      <w:rFonts w:ascii="Segoe UI" w:hAnsi="Segoe UI" w:cs="Segoe UI"/>
                      <w:b/>
                      <w:sz w:val="18"/>
                      <w:szCs w:val="15"/>
                      <w:lang w:val="el-GR"/>
                    </w:rPr>
                    <w:t xml:space="preserve"> στο 16,</w:t>
                  </w:r>
                  <w:r>
                    <w:rPr>
                      <w:rFonts w:ascii="Segoe UI" w:hAnsi="Segoe UI" w:cs="Segoe UI"/>
                      <w:b/>
                      <w:sz w:val="18"/>
                      <w:szCs w:val="15"/>
                      <w:lang w:val="el-GR"/>
                    </w:rPr>
                    <w:t>9</w:t>
                  </w:r>
                  <w:r w:rsidRPr="00E46E0F">
                    <w:rPr>
                      <w:rFonts w:ascii="Segoe UI" w:hAnsi="Segoe UI" w:cs="Segoe UI"/>
                      <w:b/>
                      <w:sz w:val="18"/>
                      <w:szCs w:val="15"/>
                      <w:lang w:val="el-GR"/>
                    </w:rPr>
                    <w:t xml:space="preserve">% </w:t>
                  </w:r>
                </w:p>
                <w:p w:rsidR="007C5D8F" w:rsidRDefault="007C5D8F" w:rsidP="003368F5">
                  <w:pPr>
                    <w:numPr>
                      <w:ilvl w:val="1"/>
                      <w:numId w:val="2"/>
                    </w:numPr>
                    <w:spacing w:before="120" w:after="0" w:line="240" w:lineRule="auto"/>
                    <w:rPr>
                      <w:rFonts w:ascii="Segoe UI" w:hAnsi="Segoe UI" w:cs="Segoe UI"/>
                      <w:sz w:val="18"/>
                      <w:szCs w:val="15"/>
                      <w:lang w:val="el-GR"/>
                    </w:rPr>
                  </w:pPr>
                  <w:r w:rsidRPr="006D79FD">
                    <w:rPr>
                      <w:rFonts w:ascii="Segoe UI" w:hAnsi="Segoe UI" w:cs="Segoe UI"/>
                      <w:sz w:val="18"/>
                      <w:szCs w:val="15"/>
                      <w:lang w:val="el-GR"/>
                    </w:rPr>
                    <w:t>Ο δείκτης CET 1</w:t>
                  </w:r>
                  <w:r w:rsidR="00CE61F3" w:rsidRPr="00CE61F3">
                    <w:rPr>
                      <w:rFonts w:ascii="Segoe UI" w:hAnsi="Segoe UI" w:cs="Segoe UI"/>
                      <w:sz w:val="18"/>
                      <w:szCs w:val="15"/>
                      <w:vertAlign w:val="superscript"/>
                      <w:lang w:val="el-GR"/>
                    </w:rPr>
                    <w:t>4</w:t>
                  </w:r>
                  <w:r w:rsidRPr="006D79FD">
                    <w:rPr>
                      <w:rFonts w:ascii="Segoe UI" w:hAnsi="Segoe UI" w:cs="Segoe UI"/>
                      <w:sz w:val="18"/>
                      <w:szCs w:val="15"/>
                      <w:lang w:val="el-GR"/>
                    </w:rPr>
                    <w:t xml:space="preserve"> ανέρχεται σε 16,</w:t>
                  </w:r>
                  <w:r>
                    <w:rPr>
                      <w:rFonts w:ascii="Segoe UI" w:hAnsi="Segoe UI" w:cs="Segoe UI"/>
                      <w:sz w:val="18"/>
                      <w:szCs w:val="15"/>
                      <w:lang w:val="el-GR"/>
                    </w:rPr>
                    <w:t>9</w:t>
                  </w:r>
                  <w:r w:rsidRPr="006D79FD">
                    <w:rPr>
                      <w:rFonts w:ascii="Segoe UI" w:hAnsi="Segoe UI" w:cs="Segoe UI"/>
                      <w:sz w:val="18"/>
                      <w:szCs w:val="15"/>
                      <w:lang w:val="el-GR"/>
                    </w:rPr>
                    <w:t>%</w:t>
                  </w:r>
                  <w:r>
                    <w:rPr>
                      <w:rFonts w:ascii="Segoe UI" w:hAnsi="Segoe UI" w:cs="Segoe UI"/>
                      <w:sz w:val="18"/>
                      <w:szCs w:val="15"/>
                      <w:lang w:val="el-GR"/>
                    </w:rPr>
                    <w:t xml:space="preserve"> και σε</w:t>
                  </w:r>
                  <w:r w:rsidRPr="006D79FD">
                    <w:rPr>
                      <w:rFonts w:ascii="Segoe UI" w:hAnsi="Segoe UI" w:cs="Segoe UI"/>
                      <w:sz w:val="18"/>
                      <w:szCs w:val="15"/>
                      <w:lang w:val="el-GR"/>
                    </w:rPr>
                    <w:t>16,</w:t>
                  </w:r>
                  <w:r>
                    <w:rPr>
                      <w:rFonts w:ascii="Segoe UI" w:hAnsi="Segoe UI" w:cs="Segoe UI"/>
                      <w:sz w:val="18"/>
                      <w:szCs w:val="15"/>
                      <w:lang w:val="el-GR"/>
                    </w:rPr>
                    <w:t>3</w:t>
                  </w:r>
                  <w:r w:rsidRPr="006D79FD">
                    <w:rPr>
                      <w:rFonts w:ascii="Segoe UI" w:hAnsi="Segoe UI" w:cs="Segoe UI"/>
                      <w:sz w:val="18"/>
                      <w:szCs w:val="15"/>
                      <w:lang w:val="el-GR"/>
                    </w:rPr>
                    <w:t>%</w:t>
                  </w:r>
                  <w:r>
                    <w:rPr>
                      <w:rFonts w:ascii="Segoe UI" w:hAnsi="Segoe UI" w:cs="Segoe UI"/>
                      <w:sz w:val="18"/>
                      <w:szCs w:val="15"/>
                      <w:lang w:val="el-GR"/>
                    </w:rPr>
                    <w:t xml:space="preserve"> μ</w:t>
                  </w:r>
                  <w:r w:rsidRPr="006D79FD">
                    <w:rPr>
                      <w:rFonts w:ascii="Segoe UI" w:hAnsi="Segoe UI" w:cs="Segoe UI"/>
                      <w:sz w:val="18"/>
                      <w:szCs w:val="15"/>
                      <w:lang w:val="el-GR"/>
                    </w:rPr>
                    <w:t>ε πλήρη εφαρμογή της Βασιλείας ΙΙΙ</w:t>
                  </w:r>
                </w:p>
                <w:p w:rsidR="007C5D8F" w:rsidRPr="003368F5" w:rsidRDefault="007C5D8F" w:rsidP="003368F5">
                  <w:pPr>
                    <w:numPr>
                      <w:ilvl w:val="1"/>
                      <w:numId w:val="2"/>
                    </w:numPr>
                    <w:spacing w:before="120" w:after="0" w:line="240" w:lineRule="auto"/>
                    <w:rPr>
                      <w:rFonts w:ascii="Segoe UI" w:hAnsi="Segoe UI" w:cs="Segoe UI"/>
                      <w:sz w:val="18"/>
                      <w:szCs w:val="15"/>
                      <w:lang w:val="el-GR"/>
                    </w:rPr>
                  </w:pPr>
                  <w:r w:rsidRPr="003368F5">
                    <w:rPr>
                      <w:rFonts w:ascii="Segoe UI" w:hAnsi="Segoe UI" w:cs="Segoe UI"/>
                      <w:sz w:val="18"/>
                      <w:szCs w:val="15"/>
                      <w:lang w:val="el-GR"/>
                    </w:rPr>
                    <w:t xml:space="preserve">Τα κεφάλαια της ΕΤΕ θα ενισχυθούν περαιτέρω από την </w:t>
                  </w:r>
                  <w:r w:rsidR="00E37FF8">
                    <w:rPr>
                      <w:rFonts w:ascii="Segoe UI" w:hAnsi="Segoe UI" w:cs="Segoe UI"/>
                      <w:sz w:val="18"/>
                      <w:szCs w:val="15"/>
                      <w:lang w:val="el-GR"/>
                    </w:rPr>
                    <w:t xml:space="preserve">οργανική κερδοφορία και την </w:t>
                  </w:r>
                  <w:r w:rsidRPr="003368F5">
                    <w:rPr>
                      <w:rFonts w:ascii="Segoe UI" w:hAnsi="Segoe UI" w:cs="Segoe UI"/>
                      <w:sz w:val="18"/>
                      <w:szCs w:val="15"/>
                      <w:lang w:val="el-GR"/>
                    </w:rPr>
                    <w:t xml:space="preserve">πλήρη εφαρμογή του σχεδίου αναδιάρθρωσης της Τράπεζας </w:t>
                  </w:r>
                </w:p>
                <w:p w:rsidR="00D9364E" w:rsidRDefault="00D9364E" w:rsidP="00BF459E">
                  <w:pPr>
                    <w:spacing w:after="0" w:line="240" w:lineRule="auto"/>
                    <w:ind w:left="360"/>
                    <w:jc w:val="right"/>
                    <w:rPr>
                      <w:rFonts w:ascii="Segoe UI" w:hAnsi="Segoe UI" w:cs="Segoe UI"/>
                      <w:sz w:val="16"/>
                      <w:szCs w:val="12"/>
                      <w:lang w:val="el-GR"/>
                    </w:rPr>
                  </w:pPr>
                </w:p>
                <w:p w:rsidR="00D9364E" w:rsidRDefault="00D9364E" w:rsidP="00BF459E">
                  <w:pPr>
                    <w:spacing w:after="0" w:line="240" w:lineRule="auto"/>
                    <w:ind w:left="360"/>
                    <w:jc w:val="right"/>
                    <w:rPr>
                      <w:rFonts w:ascii="Segoe UI" w:hAnsi="Segoe UI" w:cs="Segoe UI"/>
                      <w:sz w:val="16"/>
                      <w:szCs w:val="12"/>
                      <w:lang w:val="el-GR"/>
                    </w:rPr>
                  </w:pPr>
                </w:p>
                <w:p w:rsidR="00D9364E" w:rsidRDefault="00D9364E" w:rsidP="00BF459E">
                  <w:pPr>
                    <w:spacing w:after="0" w:line="240" w:lineRule="auto"/>
                    <w:ind w:left="360"/>
                    <w:jc w:val="right"/>
                    <w:rPr>
                      <w:rFonts w:ascii="Segoe UI" w:hAnsi="Segoe UI" w:cs="Segoe UI"/>
                      <w:sz w:val="16"/>
                      <w:szCs w:val="12"/>
                      <w:lang w:val="el-GR"/>
                    </w:rPr>
                  </w:pPr>
                </w:p>
                <w:p w:rsidR="007C5D8F" w:rsidRDefault="007C5D8F" w:rsidP="00BF459E">
                  <w:pPr>
                    <w:spacing w:after="0" w:line="240" w:lineRule="auto"/>
                    <w:ind w:left="360"/>
                    <w:jc w:val="right"/>
                    <w:rPr>
                      <w:rFonts w:ascii="Segoe UI" w:hAnsi="Segoe UI" w:cs="Segoe UI"/>
                      <w:sz w:val="16"/>
                      <w:szCs w:val="12"/>
                      <w:lang w:val="el-GR"/>
                    </w:rPr>
                  </w:pPr>
                  <w:r w:rsidRPr="00EE1E78">
                    <w:rPr>
                      <w:rFonts w:ascii="Segoe UI" w:hAnsi="Segoe UI" w:cs="Segoe UI"/>
                      <w:sz w:val="16"/>
                      <w:szCs w:val="12"/>
                      <w:lang w:val="el-GR"/>
                    </w:rPr>
                    <w:t xml:space="preserve">Αθήνα, </w:t>
                  </w:r>
                  <w:r>
                    <w:rPr>
                      <w:rFonts w:ascii="Segoe UI" w:hAnsi="Segoe UI" w:cs="Segoe UI"/>
                      <w:sz w:val="16"/>
                      <w:szCs w:val="12"/>
                      <w:lang w:val="el-GR"/>
                    </w:rPr>
                    <w:t>23Νοεμβρίου</w:t>
                  </w:r>
                  <w:r w:rsidRPr="00EE1E78">
                    <w:rPr>
                      <w:rFonts w:ascii="Segoe UI" w:hAnsi="Segoe UI" w:cs="Segoe UI"/>
                      <w:sz w:val="16"/>
                      <w:szCs w:val="12"/>
                      <w:lang w:val="el-GR"/>
                    </w:rPr>
                    <w:t xml:space="preserve"> 2016</w:t>
                  </w:r>
                </w:p>
                <w:p w:rsidR="007C5D8F" w:rsidRPr="00EE1E78" w:rsidRDefault="007C5D8F" w:rsidP="00BF459E">
                  <w:pPr>
                    <w:spacing w:after="0" w:line="240" w:lineRule="auto"/>
                    <w:ind w:left="360"/>
                    <w:jc w:val="right"/>
                    <w:rPr>
                      <w:rFonts w:ascii="Segoe UI" w:hAnsi="Segoe UI" w:cs="Segoe UI"/>
                      <w:sz w:val="16"/>
                      <w:szCs w:val="12"/>
                      <w:lang w:val="el-GR"/>
                    </w:rPr>
                  </w:pPr>
                </w:p>
                <w:p w:rsidR="007C5D8F" w:rsidRDefault="007C5D8F" w:rsidP="00BF459E">
                  <w:pPr>
                    <w:tabs>
                      <w:tab w:val="left" w:pos="993"/>
                    </w:tabs>
                    <w:spacing w:after="0" w:line="240" w:lineRule="auto"/>
                    <w:rPr>
                      <w:rFonts w:ascii="Segoe UI" w:hAnsi="Segoe UI" w:cs="Segoe UI"/>
                      <w:sz w:val="8"/>
                      <w:szCs w:val="4"/>
                      <w:vertAlign w:val="superscript"/>
                      <w:lang w:val="el-GR"/>
                    </w:rPr>
                  </w:pPr>
                </w:p>
                <w:p w:rsidR="001626A1" w:rsidRPr="00EE1E78" w:rsidRDefault="001626A1" w:rsidP="00BF459E">
                  <w:pPr>
                    <w:tabs>
                      <w:tab w:val="left" w:pos="993"/>
                    </w:tabs>
                    <w:spacing w:after="0" w:line="240" w:lineRule="auto"/>
                    <w:rPr>
                      <w:rFonts w:ascii="Segoe UI" w:hAnsi="Segoe UI" w:cs="Segoe UI"/>
                      <w:sz w:val="8"/>
                      <w:szCs w:val="4"/>
                      <w:vertAlign w:val="superscript"/>
                      <w:lang w:val="el-GR"/>
                    </w:rPr>
                  </w:pPr>
                </w:p>
                <w:p w:rsidR="007C5D8F" w:rsidRPr="00BE3498" w:rsidRDefault="007C5D8F" w:rsidP="001523EE">
                  <w:pPr>
                    <w:spacing w:before="120" w:after="0" w:line="240" w:lineRule="auto"/>
                    <w:rPr>
                      <w:rFonts w:ascii="Segoe UI" w:hAnsi="Segoe UI" w:cs="Segoe UI"/>
                      <w:sz w:val="12"/>
                      <w:szCs w:val="14"/>
                      <w:lang w:val="el-GR"/>
                    </w:rPr>
                  </w:pPr>
                  <w:r w:rsidRPr="00BE3498">
                    <w:rPr>
                      <w:rFonts w:ascii="Segoe UI" w:hAnsi="Segoe UI" w:cs="Segoe UI"/>
                      <w:sz w:val="12"/>
                      <w:szCs w:val="14"/>
                      <w:vertAlign w:val="superscript"/>
                      <w:lang w:val="el-GR"/>
                    </w:rPr>
                    <w:t>1</w:t>
                  </w:r>
                  <w:r w:rsidRPr="00BE3498">
                    <w:rPr>
                      <w:rFonts w:ascii="Segoe UI" w:hAnsi="Segoe UI" w:cs="Segoe UI"/>
                      <w:sz w:val="12"/>
                      <w:szCs w:val="14"/>
                      <w:lang w:val="el-GR"/>
                    </w:rPr>
                    <w:t>Στοιχεία με ημερομηνία 1</w:t>
                  </w:r>
                  <w:r w:rsidR="00A45ADF" w:rsidRPr="00BE3498">
                    <w:rPr>
                      <w:rFonts w:ascii="Segoe UI" w:hAnsi="Segoe UI" w:cs="Segoe UI"/>
                      <w:sz w:val="12"/>
                      <w:szCs w:val="14"/>
                      <w:lang w:val="el-GR"/>
                    </w:rPr>
                    <w:t>8</w:t>
                  </w:r>
                  <w:r w:rsidRPr="00BE3498">
                    <w:rPr>
                      <w:rFonts w:ascii="Segoe UI" w:hAnsi="Segoe UI" w:cs="Segoe UI"/>
                      <w:sz w:val="12"/>
                      <w:szCs w:val="14"/>
                      <w:lang w:val="el-GR"/>
                    </w:rPr>
                    <w:t xml:space="preserve"> Νοεμβρίου, 2016</w:t>
                  </w:r>
                </w:p>
                <w:p w:rsidR="007C5D8F" w:rsidRPr="00BE3498" w:rsidRDefault="007C5D8F" w:rsidP="001523EE">
                  <w:pPr>
                    <w:spacing w:before="120" w:after="0" w:line="240" w:lineRule="auto"/>
                    <w:rPr>
                      <w:rFonts w:ascii="Segoe UI" w:hAnsi="Segoe UI" w:cs="Segoe UI"/>
                      <w:sz w:val="12"/>
                      <w:szCs w:val="14"/>
                      <w:lang w:val="el-GR"/>
                    </w:rPr>
                  </w:pPr>
                  <w:r w:rsidRPr="00BE3498">
                    <w:rPr>
                      <w:rFonts w:ascii="Segoe UI" w:hAnsi="Segoe UI" w:cs="Segoe UI"/>
                      <w:sz w:val="12"/>
                      <w:szCs w:val="14"/>
                      <w:vertAlign w:val="superscript"/>
                      <w:lang w:val="el-GR"/>
                    </w:rPr>
                    <w:t>2</w:t>
                  </w:r>
                  <w:r w:rsidRPr="00BE3498">
                    <w:rPr>
                      <w:rFonts w:ascii="Segoe UI" w:hAnsi="Segoe UI" w:cs="Segoe UI"/>
                      <w:sz w:val="12"/>
                      <w:szCs w:val="14"/>
                      <w:lang w:val="el-GR"/>
                    </w:rPr>
                    <w:t>Η σύγκριση με τις λοιπές εγχώριες συστημικές τράπεζες βασίζεται σε στοιχεία που έχουν δημοσιευθεί μέχρι 23 Νοεμβρίου, 2016</w:t>
                  </w:r>
                </w:p>
                <w:p w:rsidR="00CE61F3" w:rsidRPr="00BE3498" w:rsidRDefault="007C5D8F" w:rsidP="00CE61F3">
                  <w:pPr>
                    <w:spacing w:before="120" w:after="0" w:line="240" w:lineRule="auto"/>
                    <w:rPr>
                      <w:rFonts w:ascii="Segoe UI" w:hAnsi="Segoe UI" w:cs="Segoe UI"/>
                      <w:sz w:val="12"/>
                      <w:szCs w:val="14"/>
                      <w:lang w:val="el-GR"/>
                    </w:rPr>
                  </w:pPr>
                  <w:r w:rsidRPr="00BE3498">
                    <w:rPr>
                      <w:rFonts w:ascii="Segoe UI" w:hAnsi="Segoe UI" w:cs="Segoe UI"/>
                      <w:sz w:val="12"/>
                      <w:szCs w:val="14"/>
                      <w:vertAlign w:val="superscript"/>
                      <w:lang w:val="el-GR"/>
                    </w:rPr>
                    <w:t xml:space="preserve">3 </w:t>
                  </w:r>
                  <w:r w:rsidR="00CE61F3" w:rsidRPr="00BE3498">
                    <w:rPr>
                      <w:rFonts w:ascii="Segoe UI" w:hAnsi="Segoe UI" w:cs="Segoe UI"/>
                      <w:sz w:val="12"/>
                      <w:szCs w:val="14"/>
                      <w:lang w:val="el-GR"/>
                    </w:rPr>
                    <w:t xml:space="preserve">Εσωτερική εκτίμηση που εξαιρεί τις καταθέσεις της ΕΤΕ </w:t>
                  </w:r>
                </w:p>
                <w:p w:rsidR="007C5D8F" w:rsidRPr="00BE3498" w:rsidRDefault="00CE61F3" w:rsidP="001523EE">
                  <w:pPr>
                    <w:spacing w:before="120" w:after="0" w:line="240" w:lineRule="auto"/>
                    <w:rPr>
                      <w:rFonts w:ascii="Segoe UI" w:hAnsi="Segoe UI" w:cs="Segoe UI"/>
                      <w:sz w:val="12"/>
                      <w:szCs w:val="14"/>
                      <w:lang w:val="el-GR"/>
                    </w:rPr>
                  </w:pPr>
                  <w:r w:rsidRPr="00BE3498">
                    <w:rPr>
                      <w:rFonts w:ascii="Segoe UI" w:hAnsi="Segoe UI" w:cs="Segoe UI"/>
                      <w:sz w:val="12"/>
                      <w:szCs w:val="14"/>
                      <w:vertAlign w:val="superscript"/>
                      <w:lang w:val="el-GR"/>
                    </w:rPr>
                    <w:t xml:space="preserve">4 </w:t>
                  </w:r>
                  <w:r w:rsidR="007C5D8F" w:rsidRPr="00BE3498">
                    <w:rPr>
                      <w:rFonts w:ascii="Segoe UI" w:hAnsi="Segoe UI" w:cs="Segoe UI"/>
                      <w:sz w:val="12"/>
                      <w:szCs w:val="14"/>
                      <w:lang w:val="el-GR"/>
                    </w:rPr>
                    <w:t>Εξαιρουμένων των υπό αίρεση μετατρέψιμων ομολογιών (CoCos) και λαμβάνοντας υπόψη την αποεπένδυση από την ΑΣΤΗΡ ΠΑΛΑΣ που ολοκληρώθηκε στο τέλος Οκτωβρίου 2016</w:t>
                  </w:r>
                </w:p>
                <w:p w:rsidR="00E37FF8" w:rsidRPr="00BE3498" w:rsidRDefault="00E37FF8" w:rsidP="001523EE">
                  <w:pPr>
                    <w:spacing w:before="120" w:after="0" w:line="240" w:lineRule="auto"/>
                    <w:rPr>
                      <w:rFonts w:ascii="Segoe UI" w:hAnsi="Segoe UI" w:cs="Segoe UI"/>
                      <w:sz w:val="12"/>
                      <w:szCs w:val="14"/>
                      <w:lang w:val="el-GR"/>
                    </w:rPr>
                  </w:pPr>
                </w:p>
                <w:p w:rsidR="007C5D8F" w:rsidRPr="00EE1E78" w:rsidRDefault="007C5D8F" w:rsidP="00BF459E">
                  <w:pPr>
                    <w:spacing w:before="120" w:after="0" w:line="240" w:lineRule="auto"/>
                    <w:ind w:left="360"/>
                    <w:jc w:val="right"/>
                    <w:rPr>
                      <w:rFonts w:ascii="Segoe UI" w:hAnsi="Segoe UI" w:cs="Segoe UI"/>
                      <w:sz w:val="6"/>
                      <w:szCs w:val="2"/>
                      <w:lang w:val="el-GR"/>
                    </w:rPr>
                  </w:pPr>
                </w:p>
              </w:txbxContent>
            </v:textbox>
          </v:shape>
        </w:pict>
      </w:r>
    </w:p>
    <w:p w:rsidR="00BF459E" w:rsidRPr="00BF459E" w:rsidRDefault="00BF459E">
      <w:pPr>
        <w:spacing w:after="0" w:line="240" w:lineRule="auto"/>
        <w:rPr>
          <w:rFonts w:asciiTheme="minorHAnsi" w:hAnsiTheme="minorHAnsi" w:cs="Segoe UI"/>
          <w:i/>
          <w:iCs/>
          <w:sz w:val="24"/>
          <w:lang w:val="en-US"/>
        </w:rPr>
      </w:pPr>
      <w:r w:rsidRPr="00BF459E">
        <w:rPr>
          <w:rFonts w:asciiTheme="minorHAnsi" w:hAnsiTheme="minorHAnsi" w:cs="Segoe UI"/>
          <w:i/>
          <w:iCs/>
          <w:sz w:val="24"/>
          <w:lang w:val="en-US"/>
        </w:rPr>
        <w:br w:type="page"/>
      </w:r>
    </w:p>
    <w:p w:rsidR="00B57F55" w:rsidRPr="00DA751A" w:rsidRDefault="00B57F55" w:rsidP="00B57F55">
      <w:pPr>
        <w:spacing w:after="160" w:line="240" w:lineRule="auto"/>
        <w:jc w:val="both"/>
        <w:rPr>
          <w:rFonts w:asciiTheme="minorHAnsi" w:hAnsiTheme="minorHAnsi" w:cs="Segoe UI"/>
          <w:i/>
          <w:iCs/>
          <w:sz w:val="24"/>
          <w:lang w:val="en-US"/>
        </w:rPr>
      </w:pPr>
    </w:p>
    <w:p w:rsidR="00B57F55" w:rsidRDefault="001D64CF" w:rsidP="00BC55BA">
      <w:pPr>
        <w:spacing w:after="160" w:line="240" w:lineRule="auto"/>
        <w:rPr>
          <w:rFonts w:asciiTheme="minorHAnsi" w:hAnsiTheme="minorHAnsi" w:cs="Segoe UI"/>
          <w:i/>
          <w:iCs/>
          <w:sz w:val="24"/>
          <w:lang w:val="el-GR"/>
        </w:rPr>
      </w:pPr>
      <w:r>
        <w:rPr>
          <w:rFonts w:asciiTheme="minorHAnsi" w:hAnsiTheme="minorHAnsi" w:cs="Segoe UI"/>
          <w:i/>
          <w:iCs/>
          <w:sz w:val="24"/>
          <w:lang w:val="el-GR"/>
        </w:rPr>
        <w:t xml:space="preserve">Τα αποτελέσματα </w:t>
      </w:r>
      <w:r w:rsidR="00B57F55">
        <w:rPr>
          <w:rFonts w:asciiTheme="minorHAnsi" w:hAnsiTheme="minorHAnsi" w:cs="Segoe UI"/>
          <w:i/>
          <w:iCs/>
          <w:sz w:val="24"/>
          <w:lang w:val="el-GR"/>
        </w:rPr>
        <w:t>της Εθνικής Τράπεζας της Ελλάδας κατα</w:t>
      </w:r>
      <w:r w:rsidR="00B92572" w:rsidRPr="00B92572">
        <w:rPr>
          <w:rFonts w:asciiTheme="minorHAnsi" w:hAnsiTheme="minorHAnsi" w:cs="Segoe UI"/>
          <w:i/>
          <w:iCs/>
          <w:sz w:val="24"/>
          <w:lang w:val="el-GR"/>
        </w:rPr>
        <w:t xml:space="preserve">δεικνύουν </w:t>
      </w:r>
      <w:r w:rsidR="00B57F55">
        <w:rPr>
          <w:rFonts w:asciiTheme="minorHAnsi" w:hAnsiTheme="minorHAnsi" w:cs="Segoe UI"/>
          <w:i/>
          <w:iCs/>
          <w:sz w:val="24"/>
          <w:lang w:val="el-GR"/>
        </w:rPr>
        <w:t>τη</w:t>
      </w:r>
      <w:r w:rsidR="009C6E82">
        <w:rPr>
          <w:rFonts w:asciiTheme="minorHAnsi" w:hAnsiTheme="minorHAnsi" w:cs="Segoe UI"/>
          <w:i/>
          <w:iCs/>
          <w:sz w:val="24"/>
          <w:lang w:val="el-GR"/>
        </w:rPr>
        <w:t xml:space="preserve"> συνεχή </w:t>
      </w:r>
      <w:r w:rsidR="00B57F55">
        <w:rPr>
          <w:rFonts w:asciiTheme="minorHAnsi" w:hAnsiTheme="minorHAnsi" w:cs="Segoe UI"/>
          <w:i/>
          <w:iCs/>
          <w:sz w:val="24"/>
          <w:lang w:val="el-GR"/>
        </w:rPr>
        <w:t>ισχυροποίηση του ισολογισμού και τη βελτιούμενη λειτουργική απόδοση</w:t>
      </w:r>
      <w:r w:rsidR="00AD4320">
        <w:rPr>
          <w:rFonts w:asciiTheme="minorHAnsi" w:hAnsiTheme="minorHAnsi" w:cs="Segoe UI"/>
          <w:i/>
          <w:iCs/>
          <w:sz w:val="24"/>
          <w:lang w:val="el-GR"/>
        </w:rPr>
        <w:t>της Τράπεζας</w:t>
      </w:r>
      <w:r w:rsidR="00B57F55">
        <w:rPr>
          <w:rFonts w:asciiTheme="minorHAnsi" w:hAnsiTheme="minorHAnsi" w:cs="Segoe UI"/>
          <w:i/>
          <w:iCs/>
          <w:sz w:val="24"/>
          <w:lang w:val="el-GR"/>
        </w:rPr>
        <w:t xml:space="preserve">. </w:t>
      </w:r>
      <w:r w:rsidR="00B57F55" w:rsidRPr="00DD0AC4">
        <w:rPr>
          <w:rFonts w:asciiTheme="minorHAnsi" w:hAnsiTheme="minorHAnsi" w:cs="Segoe UI"/>
          <w:i/>
          <w:iCs/>
          <w:sz w:val="24"/>
          <w:lang w:val="el-GR"/>
        </w:rPr>
        <w:t xml:space="preserve">Αναφορικά με την ποιότητα του δανειακού χαρτοφυλακίου, η </w:t>
      </w:r>
      <w:r w:rsidR="00752E70">
        <w:rPr>
          <w:rFonts w:asciiTheme="minorHAnsi" w:hAnsiTheme="minorHAnsi" w:cs="Segoe UI"/>
          <w:i/>
          <w:iCs/>
          <w:sz w:val="24"/>
          <w:lang w:val="el-GR"/>
        </w:rPr>
        <w:t>ΕΤΕ</w:t>
      </w:r>
      <w:r w:rsidR="009C6E82">
        <w:rPr>
          <w:rFonts w:asciiTheme="minorHAnsi" w:hAnsiTheme="minorHAnsi" w:cs="Segoe UI"/>
          <w:i/>
          <w:iCs/>
          <w:sz w:val="24"/>
          <w:lang w:val="el-GR"/>
        </w:rPr>
        <w:t>μείωσε</w:t>
      </w:r>
      <w:r w:rsidR="00B57F55" w:rsidRPr="00DD0AC4">
        <w:rPr>
          <w:rFonts w:asciiTheme="minorHAnsi" w:hAnsiTheme="minorHAnsi" w:cs="Segoe UI"/>
          <w:i/>
          <w:iCs/>
          <w:sz w:val="24"/>
          <w:lang w:val="el-GR"/>
        </w:rPr>
        <w:t xml:space="preserve">τα </w:t>
      </w:r>
      <w:r w:rsidR="00B57F55">
        <w:rPr>
          <w:rFonts w:asciiTheme="minorHAnsi" w:hAnsiTheme="minorHAnsi" w:cs="Segoe UI"/>
          <w:i/>
          <w:iCs/>
          <w:sz w:val="24"/>
          <w:lang w:val="el-GR"/>
        </w:rPr>
        <w:t>Μ</w:t>
      </w:r>
      <w:r w:rsidR="00B57F55" w:rsidRPr="00DD0AC4">
        <w:rPr>
          <w:rFonts w:asciiTheme="minorHAnsi" w:hAnsiTheme="minorHAnsi" w:cs="Segoe UI"/>
          <w:i/>
          <w:iCs/>
          <w:sz w:val="24"/>
          <w:lang w:val="el-GR"/>
        </w:rPr>
        <w:t xml:space="preserve">η </w:t>
      </w:r>
      <w:r w:rsidR="00B57F55">
        <w:rPr>
          <w:rFonts w:asciiTheme="minorHAnsi" w:hAnsiTheme="minorHAnsi" w:cs="Segoe UI"/>
          <w:i/>
          <w:iCs/>
          <w:sz w:val="24"/>
          <w:lang w:val="el-GR"/>
        </w:rPr>
        <w:t>Ε</w:t>
      </w:r>
      <w:r w:rsidR="00B57F55" w:rsidRPr="00DD0AC4">
        <w:rPr>
          <w:rFonts w:asciiTheme="minorHAnsi" w:hAnsiTheme="minorHAnsi" w:cs="Segoe UI"/>
          <w:i/>
          <w:iCs/>
          <w:sz w:val="24"/>
          <w:lang w:val="el-GR"/>
        </w:rPr>
        <w:t xml:space="preserve">ξυπηρετούμενα </w:t>
      </w:r>
      <w:r w:rsidR="00B57F55">
        <w:rPr>
          <w:rFonts w:asciiTheme="minorHAnsi" w:hAnsiTheme="minorHAnsi" w:cs="Segoe UI"/>
          <w:i/>
          <w:iCs/>
          <w:sz w:val="24"/>
          <w:lang w:val="el-GR"/>
        </w:rPr>
        <w:t>Α</w:t>
      </w:r>
      <w:r w:rsidR="00B57F55" w:rsidRPr="00DD0AC4">
        <w:rPr>
          <w:rFonts w:asciiTheme="minorHAnsi" w:hAnsiTheme="minorHAnsi" w:cs="Segoe UI"/>
          <w:i/>
          <w:iCs/>
          <w:sz w:val="24"/>
          <w:lang w:val="el-GR"/>
        </w:rPr>
        <w:t xml:space="preserve">νοίγματα κατά σχεδόν €2 δισ. από την αρχή της χρονιάς, αντανακλώντας τις </w:t>
      </w:r>
      <w:r w:rsidR="00B57F55">
        <w:rPr>
          <w:rFonts w:asciiTheme="minorHAnsi" w:hAnsiTheme="minorHAnsi" w:cs="Segoe UI"/>
          <w:i/>
          <w:iCs/>
          <w:sz w:val="24"/>
          <w:lang w:val="el-GR"/>
        </w:rPr>
        <w:t xml:space="preserve">επιτυχημένες </w:t>
      </w:r>
      <w:r w:rsidR="00B57F55" w:rsidRPr="00DD0AC4">
        <w:rPr>
          <w:rFonts w:asciiTheme="minorHAnsi" w:hAnsiTheme="minorHAnsi" w:cs="Segoe UI"/>
          <w:i/>
          <w:iCs/>
          <w:sz w:val="24"/>
          <w:lang w:val="el-GR"/>
        </w:rPr>
        <w:t>αναδιαρθρώσεις</w:t>
      </w:r>
      <w:r w:rsidR="00752E70">
        <w:rPr>
          <w:rFonts w:asciiTheme="minorHAnsi" w:hAnsiTheme="minorHAnsi" w:cs="Segoe UI"/>
          <w:i/>
          <w:iCs/>
          <w:sz w:val="24"/>
          <w:lang w:val="el-GR"/>
        </w:rPr>
        <w:t>, καθώς</w:t>
      </w:r>
      <w:r w:rsidR="00B57F55" w:rsidRPr="00DD0AC4">
        <w:rPr>
          <w:rFonts w:asciiTheme="minorHAnsi" w:hAnsiTheme="minorHAnsi" w:cs="Segoe UI"/>
          <w:i/>
          <w:iCs/>
          <w:sz w:val="24"/>
          <w:lang w:val="el-GR"/>
        </w:rPr>
        <w:t xml:space="preserve"> και τις διαγραφές </w:t>
      </w:r>
      <w:r w:rsidR="00F4252E">
        <w:rPr>
          <w:rFonts w:asciiTheme="minorHAnsi" w:hAnsiTheme="minorHAnsi" w:cs="Segoe UI"/>
          <w:i/>
          <w:iCs/>
          <w:sz w:val="24"/>
          <w:lang w:val="el-GR"/>
        </w:rPr>
        <w:t xml:space="preserve">πλήρως καλυμμένων </w:t>
      </w:r>
      <w:r w:rsidR="000A7707">
        <w:rPr>
          <w:rFonts w:asciiTheme="minorHAnsi" w:hAnsiTheme="minorHAnsi" w:cs="Segoe UI"/>
          <w:i/>
          <w:iCs/>
          <w:sz w:val="24"/>
          <w:lang w:val="el-GR"/>
        </w:rPr>
        <w:t xml:space="preserve">από προβλέψεις </w:t>
      </w:r>
      <w:r w:rsidR="00B57F55" w:rsidRPr="00DD0AC4">
        <w:rPr>
          <w:rFonts w:asciiTheme="minorHAnsi" w:hAnsiTheme="minorHAnsi" w:cs="Segoe UI"/>
          <w:i/>
          <w:iCs/>
          <w:sz w:val="24"/>
          <w:lang w:val="el-GR"/>
        </w:rPr>
        <w:t xml:space="preserve">δανείων. </w:t>
      </w:r>
      <w:r w:rsidR="00C64A57">
        <w:rPr>
          <w:rFonts w:asciiTheme="minorHAnsi" w:hAnsiTheme="minorHAnsi" w:cs="Segoe UI"/>
          <w:i/>
          <w:iCs/>
          <w:sz w:val="24"/>
          <w:lang w:val="el-GR"/>
        </w:rPr>
        <w:t>Δεδομένης</w:t>
      </w:r>
      <w:r w:rsidR="00B57F55">
        <w:rPr>
          <w:rFonts w:asciiTheme="minorHAnsi" w:hAnsiTheme="minorHAnsi" w:cs="Segoe UI"/>
          <w:i/>
          <w:iCs/>
          <w:sz w:val="24"/>
          <w:lang w:val="el-GR"/>
        </w:rPr>
        <w:t xml:space="preserve"> αυτής της επίδοσης, </w:t>
      </w:r>
      <w:r w:rsidR="00C64A57">
        <w:rPr>
          <w:rFonts w:asciiTheme="minorHAnsi" w:hAnsiTheme="minorHAnsi" w:cs="Segoe UI"/>
          <w:i/>
          <w:iCs/>
          <w:sz w:val="24"/>
          <w:lang w:val="el-GR"/>
        </w:rPr>
        <w:t xml:space="preserve">οι στόχοι για μείωση των </w:t>
      </w:r>
      <w:r w:rsidR="00B57F55">
        <w:rPr>
          <w:rFonts w:asciiTheme="minorHAnsi" w:hAnsiTheme="minorHAnsi" w:cs="Segoe UI"/>
          <w:i/>
          <w:iCs/>
          <w:sz w:val="24"/>
          <w:lang w:val="el-GR"/>
        </w:rPr>
        <w:t xml:space="preserve">Μη Εξυπηρετούμενων Ανοιγμάτων </w:t>
      </w:r>
      <w:r w:rsidR="00C64A57">
        <w:rPr>
          <w:rFonts w:asciiTheme="minorHAnsi" w:hAnsiTheme="minorHAnsi" w:cs="Segoe UI"/>
          <w:i/>
          <w:iCs/>
          <w:sz w:val="24"/>
          <w:lang w:val="el-GR"/>
        </w:rPr>
        <w:t xml:space="preserve">θα είναι </w:t>
      </w:r>
      <w:r w:rsidR="000A7707">
        <w:rPr>
          <w:rFonts w:asciiTheme="minorHAnsi" w:hAnsiTheme="minorHAnsi" w:cs="Segoe UI"/>
          <w:i/>
          <w:iCs/>
          <w:sz w:val="24"/>
          <w:lang w:val="el-GR"/>
        </w:rPr>
        <w:t>επιτεύξιμοι</w:t>
      </w:r>
      <w:r w:rsidR="00B57F55">
        <w:rPr>
          <w:rFonts w:asciiTheme="minorHAnsi" w:hAnsiTheme="minorHAnsi" w:cs="Segoe UI"/>
          <w:i/>
          <w:iCs/>
          <w:sz w:val="24"/>
          <w:lang w:val="el-GR"/>
        </w:rPr>
        <w:t xml:space="preserve">. </w:t>
      </w:r>
    </w:p>
    <w:p w:rsidR="00752E70" w:rsidRDefault="00B57F55" w:rsidP="00BC55BA">
      <w:pPr>
        <w:spacing w:after="160" w:line="240" w:lineRule="auto"/>
        <w:rPr>
          <w:rFonts w:asciiTheme="minorHAnsi" w:hAnsiTheme="minorHAnsi" w:cs="Segoe UI"/>
          <w:i/>
          <w:iCs/>
          <w:sz w:val="24"/>
          <w:lang w:val="el-GR"/>
        </w:rPr>
      </w:pPr>
      <w:r>
        <w:rPr>
          <w:rFonts w:asciiTheme="minorHAnsi" w:hAnsiTheme="minorHAnsi" w:cs="Segoe UI"/>
          <w:i/>
          <w:iCs/>
          <w:sz w:val="24"/>
          <w:lang w:val="el-GR"/>
        </w:rPr>
        <w:t xml:space="preserve">Όσον αφορά στη ρευστότητα της Τράπεζας, τα αποτελέσματα είναι εξίσου εντυπωσιακά, καθώς η ΕΤΕ </w:t>
      </w:r>
      <w:r w:rsidR="006A61A7">
        <w:rPr>
          <w:rFonts w:asciiTheme="minorHAnsi" w:hAnsiTheme="minorHAnsi" w:cs="Segoe UI"/>
          <w:i/>
          <w:iCs/>
          <w:sz w:val="24"/>
          <w:lang w:val="el-GR"/>
        </w:rPr>
        <w:t>έχει</w:t>
      </w:r>
      <w:r>
        <w:rPr>
          <w:rFonts w:asciiTheme="minorHAnsi" w:hAnsiTheme="minorHAnsi" w:cs="Segoe UI"/>
          <w:i/>
          <w:iCs/>
          <w:sz w:val="24"/>
          <w:lang w:val="el-GR"/>
        </w:rPr>
        <w:t xml:space="preserve"> μειώσει την εξάρτησή της από το μηχανισμό </w:t>
      </w:r>
      <w:r>
        <w:rPr>
          <w:rFonts w:asciiTheme="minorHAnsi" w:hAnsiTheme="minorHAnsi" w:cs="Segoe UI"/>
          <w:i/>
          <w:iCs/>
          <w:sz w:val="24"/>
          <w:lang w:val="en-US"/>
        </w:rPr>
        <w:t>ELA</w:t>
      </w:r>
      <w:r w:rsidR="00752E70">
        <w:rPr>
          <w:rFonts w:asciiTheme="minorHAnsi" w:hAnsiTheme="minorHAnsi" w:cs="Segoe UI"/>
          <w:i/>
          <w:iCs/>
          <w:sz w:val="24"/>
          <w:lang w:val="el-GR"/>
        </w:rPr>
        <w:t>κατά €13</w:t>
      </w:r>
      <w:r w:rsidR="0069173C">
        <w:rPr>
          <w:rFonts w:asciiTheme="minorHAnsi" w:hAnsiTheme="minorHAnsi" w:cs="Segoe UI"/>
          <w:i/>
          <w:iCs/>
          <w:sz w:val="24"/>
          <w:lang w:val="el-GR"/>
        </w:rPr>
        <w:t>,1</w:t>
      </w:r>
      <w:r w:rsidR="00752E70">
        <w:rPr>
          <w:rFonts w:asciiTheme="minorHAnsi" w:hAnsiTheme="minorHAnsi" w:cs="Segoe UI"/>
          <w:i/>
          <w:iCs/>
          <w:sz w:val="24"/>
          <w:lang w:val="el-GR"/>
        </w:rPr>
        <w:t xml:space="preserve"> δισ. από την επιβολή ελέγχων στην κίνη</w:t>
      </w:r>
      <w:r w:rsidR="00F85C55">
        <w:rPr>
          <w:rFonts w:asciiTheme="minorHAnsi" w:hAnsiTheme="minorHAnsi" w:cs="Segoe UI"/>
          <w:i/>
          <w:iCs/>
          <w:sz w:val="24"/>
          <w:lang w:val="el-GR"/>
        </w:rPr>
        <w:t>ση κεφαλαίων</w:t>
      </w:r>
      <w:r w:rsidR="00B63129">
        <w:rPr>
          <w:rFonts w:asciiTheme="minorHAnsi" w:hAnsiTheme="minorHAnsi" w:cs="Segoe UI"/>
          <w:i/>
          <w:iCs/>
          <w:sz w:val="24"/>
          <w:lang w:val="el-GR"/>
        </w:rPr>
        <w:t>έως σήμερα</w:t>
      </w:r>
      <w:r w:rsidR="00F85C55">
        <w:rPr>
          <w:rFonts w:asciiTheme="minorHAnsi" w:hAnsiTheme="minorHAnsi" w:cs="Segoe UI"/>
          <w:i/>
          <w:iCs/>
          <w:sz w:val="24"/>
          <w:lang w:val="el-GR"/>
        </w:rPr>
        <w:t>, σε μόλις €4,5 δισ</w:t>
      </w:r>
      <w:r w:rsidR="00752E70">
        <w:rPr>
          <w:rFonts w:asciiTheme="minorHAnsi" w:hAnsiTheme="minorHAnsi" w:cs="Segoe UI"/>
          <w:i/>
          <w:iCs/>
          <w:sz w:val="24"/>
          <w:lang w:val="el-GR"/>
        </w:rPr>
        <w:t xml:space="preserve">. Οι </w:t>
      </w:r>
      <w:r w:rsidR="00752E70" w:rsidRPr="001D64CF">
        <w:rPr>
          <w:rFonts w:asciiTheme="minorHAnsi" w:hAnsiTheme="minorHAnsi" w:cs="Segoe UI"/>
          <w:i/>
          <w:iCs/>
          <w:sz w:val="24"/>
          <w:lang w:val="el-GR"/>
        </w:rPr>
        <w:t xml:space="preserve">εισροές καταθέσεων ύψους €0,3 δισ. </w:t>
      </w:r>
      <w:r w:rsidR="0018050D">
        <w:rPr>
          <w:rFonts w:asciiTheme="minorHAnsi" w:hAnsiTheme="minorHAnsi" w:cs="Segoe UI"/>
          <w:i/>
          <w:iCs/>
          <w:sz w:val="24"/>
          <w:lang w:val="el-GR"/>
        </w:rPr>
        <w:t xml:space="preserve">το Γ’ τρίμηνο </w:t>
      </w:r>
      <w:r w:rsidR="00752E70" w:rsidRPr="001D64CF">
        <w:rPr>
          <w:rFonts w:asciiTheme="minorHAnsi" w:hAnsiTheme="minorHAnsi" w:cs="Segoe UI"/>
          <w:i/>
          <w:iCs/>
          <w:sz w:val="24"/>
          <w:lang w:val="el-GR"/>
        </w:rPr>
        <w:t>στην Ελλάδα,</w:t>
      </w:r>
      <w:r w:rsidR="00752E70">
        <w:rPr>
          <w:rFonts w:asciiTheme="minorHAnsi" w:hAnsiTheme="minorHAnsi" w:cs="Segoe UI"/>
          <w:i/>
          <w:iCs/>
          <w:sz w:val="24"/>
          <w:lang w:val="el-GR"/>
        </w:rPr>
        <w:t xml:space="preserve"> καθώς και η ολοκλήρωση των </w:t>
      </w:r>
      <w:r w:rsidR="00752E70" w:rsidRPr="001D64CF">
        <w:rPr>
          <w:rFonts w:asciiTheme="minorHAnsi" w:hAnsiTheme="minorHAnsi" w:cs="Segoe UI"/>
          <w:i/>
          <w:iCs/>
          <w:sz w:val="24"/>
          <w:lang w:val="el-GR"/>
        </w:rPr>
        <w:t xml:space="preserve">αποεπενδύσεων από την </w:t>
      </w:r>
      <w:r w:rsidR="00752E70" w:rsidRPr="001D64CF">
        <w:rPr>
          <w:rFonts w:asciiTheme="minorHAnsi" w:hAnsiTheme="minorHAnsi" w:cs="Segoe UI"/>
          <w:i/>
          <w:iCs/>
          <w:sz w:val="24"/>
          <w:lang w:val="en-US"/>
        </w:rPr>
        <w:t>NBGI</w:t>
      </w:r>
      <w:r w:rsidR="00752E70" w:rsidRPr="001D64CF">
        <w:rPr>
          <w:rFonts w:asciiTheme="minorHAnsi" w:hAnsiTheme="minorHAnsi" w:cs="Segoe UI"/>
          <w:i/>
          <w:iCs/>
          <w:sz w:val="24"/>
          <w:lang w:val="el-GR"/>
        </w:rPr>
        <w:t xml:space="preserve"> και την ΑΣΤΗΡ ΠΑΛΛΑΣ</w:t>
      </w:r>
      <w:r w:rsidR="006A61A7">
        <w:rPr>
          <w:rFonts w:asciiTheme="minorHAnsi" w:hAnsiTheme="minorHAnsi" w:cs="Segoe UI"/>
          <w:i/>
          <w:iCs/>
          <w:sz w:val="24"/>
          <w:lang w:val="el-GR"/>
        </w:rPr>
        <w:t>,</w:t>
      </w:r>
      <w:r w:rsidR="0018050D">
        <w:rPr>
          <w:rFonts w:asciiTheme="minorHAnsi" w:hAnsiTheme="minorHAnsi" w:cs="Segoe UI"/>
          <w:i/>
          <w:iCs/>
          <w:sz w:val="24"/>
          <w:lang w:val="el-GR"/>
        </w:rPr>
        <w:t>συνέβαλαν</w:t>
      </w:r>
      <w:r w:rsidR="00752E70">
        <w:rPr>
          <w:rFonts w:asciiTheme="minorHAnsi" w:hAnsiTheme="minorHAnsi" w:cs="Segoe UI"/>
          <w:i/>
          <w:iCs/>
          <w:sz w:val="24"/>
          <w:lang w:val="el-GR"/>
        </w:rPr>
        <w:t xml:space="preserve"> προς αυτ</w:t>
      </w:r>
      <w:r w:rsidR="00BC55BA">
        <w:rPr>
          <w:rFonts w:asciiTheme="minorHAnsi" w:hAnsiTheme="minorHAnsi" w:cs="Segoe UI"/>
          <w:i/>
          <w:iCs/>
          <w:sz w:val="24"/>
          <w:lang w:val="el-GR"/>
        </w:rPr>
        <w:t>ή την κατεύθυνση</w:t>
      </w:r>
      <w:r w:rsidR="00752E70">
        <w:rPr>
          <w:rFonts w:asciiTheme="minorHAnsi" w:hAnsiTheme="minorHAnsi" w:cs="Segoe UI"/>
          <w:i/>
          <w:iCs/>
          <w:sz w:val="24"/>
          <w:lang w:val="el-GR"/>
        </w:rPr>
        <w:t xml:space="preserve">. </w:t>
      </w:r>
    </w:p>
    <w:p w:rsidR="00F50813" w:rsidRPr="00DD2E48" w:rsidRDefault="00752E70" w:rsidP="00BC55BA">
      <w:pPr>
        <w:spacing w:after="160" w:line="240" w:lineRule="auto"/>
        <w:rPr>
          <w:rFonts w:asciiTheme="minorHAnsi" w:hAnsiTheme="minorHAnsi" w:cs="Segoe UI"/>
          <w:i/>
          <w:iCs/>
          <w:sz w:val="24"/>
          <w:lang w:val="el-GR"/>
        </w:rPr>
      </w:pPr>
      <w:r>
        <w:rPr>
          <w:rFonts w:asciiTheme="minorHAnsi" w:hAnsiTheme="minorHAnsi" w:cs="Segoe UI"/>
          <w:i/>
          <w:iCs/>
          <w:sz w:val="24"/>
          <w:lang w:val="el-GR"/>
        </w:rPr>
        <w:t xml:space="preserve">Αναφορικά με τα λειτουργικά </w:t>
      </w:r>
      <w:r w:rsidR="00D96EFF" w:rsidRPr="00D96EFF">
        <w:rPr>
          <w:rFonts w:asciiTheme="minorHAnsi" w:hAnsiTheme="minorHAnsi" w:cs="Segoe UI"/>
          <w:i/>
          <w:iCs/>
          <w:sz w:val="24"/>
          <w:lang w:val="el-GR"/>
        </w:rPr>
        <w:t>αποτελέσματα της Τράπεζας, τα</w:t>
      </w:r>
      <w:r w:rsidR="00D96EFF" w:rsidRPr="00B92572">
        <w:rPr>
          <w:rFonts w:asciiTheme="minorHAnsi" w:hAnsiTheme="minorHAnsi" w:cs="Segoe UI"/>
          <w:i/>
          <w:iCs/>
          <w:sz w:val="24"/>
          <w:lang w:val="el-GR"/>
        </w:rPr>
        <w:t xml:space="preserve"> κέρδη προ προβλέψεων </w:t>
      </w:r>
      <w:r w:rsidR="00D96EFF">
        <w:rPr>
          <w:rFonts w:asciiTheme="minorHAnsi" w:hAnsiTheme="minorHAnsi" w:cs="Segoe UI"/>
          <w:i/>
          <w:iCs/>
          <w:sz w:val="24"/>
          <w:lang w:val="el-GR"/>
        </w:rPr>
        <w:t xml:space="preserve">του Ομίλου </w:t>
      </w:r>
      <w:r w:rsidR="00D96EFF" w:rsidRPr="00B92572">
        <w:rPr>
          <w:rFonts w:asciiTheme="minorHAnsi" w:hAnsiTheme="minorHAnsi" w:cs="Segoe UI"/>
          <w:i/>
          <w:iCs/>
          <w:sz w:val="24"/>
          <w:lang w:val="el-GR"/>
        </w:rPr>
        <w:t xml:space="preserve">καλύπτουν το κόστος </w:t>
      </w:r>
      <w:r w:rsidR="000A7707">
        <w:rPr>
          <w:rFonts w:asciiTheme="minorHAnsi" w:hAnsiTheme="minorHAnsi" w:cs="Segoe UI"/>
          <w:i/>
          <w:iCs/>
          <w:sz w:val="24"/>
          <w:lang w:val="el-GR"/>
        </w:rPr>
        <w:t xml:space="preserve">πιστωτικού </w:t>
      </w:r>
      <w:r w:rsidR="00D96EFF" w:rsidRPr="00B92572">
        <w:rPr>
          <w:rFonts w:asciiTheme="minorHAnsi" w:hAnsiTheme="minorHAnsi" w:cs="Segoe UI"/>
          <w:i/>
          <w:iCs/>
          <w:sz w:val="24"/>
          <w:lang w:val="el-GR"/>
        </w:rPr>
        <w:t xml:space="preserve">κινδύνου, έχοντας ως αποτέλεσμα </w:t>
      </w:r>
      <w:r w:rsidR="00A21B57">
        <w:rPr>
          <w:rFonts w:asciiTheme="minorHAnsi" w:hAnsiTheme="minorHAnsi" w:cs="Segoe UI"/>
          <w:i/>
          <w:iCs/>
          <w:sz w:val="24"/>
          <w:lang w:val="el-GR"/>
        </w:rPr>
        <w:t xml:space="preserve">τη </w:t>
      </w:r>
      <w:r w:rsidR="00D96EFF" w:rsidRPr="00B92572">
        <w:rPr>
          <w:rFonts w:asciiTheme="minorHAnsi" w:hAnsiTheme="minorHAnsi" w:cs="Segoe UI"/>
          <w:i/>
          <w:iCs/>
          <w:sz w:val="24"/>
          <w:lang w:val="el-GR"/>
        </w:rPr>
        <w:t xml:space="preserve">θετική λειτουργική αλλά και συνολική </w:t>
      </w:r>
      <w:r w:rsidR="00D96EFF" w:rsidRPr="00DD2E48">
        <w:rPr>
          <w:rFonts w:asciiTheme="minorHAnsi" w:hAnsiTheme="minorHAnsi" w:cs="Segoe UI"/>
          <w:i/>
          <w:iCs/>
          <w:sz w:val="24"/>
          <w:lang w:val="el-GR"/>
        </w:rPr>
        <w:t>κερδοφορία</w:t>
      </w:r>
      <w:r w:rsidR="006C5E08" w:rsidRPr="00DD2E48">
        <w:rPr>
          <w:rFonts w:asciiTheme="minorHAnsi" w:hAnsiTheme="minorHAnsi" w:cs="Segoe UI"/>
          <w:i/>
          <w:iCs/>
          <w:sz w:val="24"/>
          <w:lang w:val="el-GR"/>
        </w:rPr>
        <w:t xml:space="preserve">. </w:t>
      </w:r>
      <w:r w:rsidR="0025205A">
        <w:rPr>
          <w:rFonts w:asciiTheme="minorHAnsi" w:hAnsiTheme="minorHAnsi" w:cs="Segoe UI"/>
          <w:i/>
          <w:iCs/>
          <w:sz w:val="24"/>
          <w:lang w:val="el-GR"/>
        </w:rPr>
        <w:t xml:space="preserve">Οι δραστηριότητες του Ομίλου στη </w:t>
      </w:r>
      <w:r w:rsidR="00F50813" w:rsidRPr="00DD2E48">
        <w:rPr>
          <w:rFonts w:asciiTheme="minorHAnsi" w:hAnsiTheme="minorHAnsi" w:cs="Segoe UI"/>
          <w:i/>
          <w:iCs/>
          <w:sz w:val="24"/>
          <w:lang w:val="el-GR"/>
        </w:rPr>
        <w:t>ΝΑ Ευρώπη</w:t>
      </w:r>
      <w:r w:rsidR="008C6E36">
        <w:rPr>
          <w:rFonts w:asciiTheme="minorHAnsi" w:hAnsiTheme="minorHAnsi" w:cs="Segoe UI"/>
          <w:i/>
          <w:iCs/>
          <w:sz w:val="24"/>
          <w:lang w:val="el-GR"/>
        </w:rPr>
        <w:t>παρέμειν</w:t>
      </w:r>
      <w:r w:rsidR="0025205A">
        <w:rPr>
          <w:rFonts w:asciiTheme="minorHAnsi" w:hAnsiTheme="minorHAnsi" w:cs="Segoe UI"/>
          <w:i/>
          <w:iCs/>
          <w:sz w:val="24"/>
          <w:lang w:val="el-GR"/>
        </w:rPr>
        <w:t>αν κερδοφόρες</w:t>
      </w:r>
      <w:r>
        <w:rPr>
          <w:rFonts w:asciiTheme="minorHAnsi" w:hAnsiTheme="minorHAnsi" w:cs="Segoe UI"/>
          <w:i/>
          <w:iCs/>
          <w:sz w:val="24"/>
          <w:lang w:val="el-GR"/>
        </w:rPr>
        <w:t xml:space="preserve">, </w:t>
      </w:r>
      <w:r w:rsidR="0025205A">
        <w:rPr>
          <w:rFonts w:asciiTheme="minorHAnsi" w:hAnsiTheme="minorHAnsi" w:cs="Segoe UI"/>
          <w:i/>
          <w:iCs/>
          <w:sz w:val="24"/>
          <w:lang w:val="el-GR"/>
        </w:rPr>
        <w:t xml:space="preserve">καταγράφοντας σχεδόν διπλάσια </w:t>
      </w:r>
      <w:r w:rsidR="00BC55BA">
        <w:rPr>
          <w:rFonts w:asciiTheme="minorHAnsi" w:hAnsiTheme="minorHAnsi" w:cs="Segoe UI"/>
          <w:i/>
          <w:iCs/>
          <w:sz w:val="24"/>
          <w:lang w:val="el-GR"/>
        </w:rPr>
        <w:t xml:space="preserve">κέρδη </w:t>
      </w:r>
      <w:r w:rsidR="00BC55BA" w:rsidRPr="00BC55BA">
        <w:rPr>
          <w:rFonts w:asciiTheme="minorHAnsi" w:hAnsiTheme="minorHAnsi" w:cs="Segoe UI"/>
          <w:i/>
          <w:iCs/>
          <w:sz w:val="24"/>
          <w:lang w:val="el-GR"/>
        </w:rPr>
        <w:t xml:space="preserve">σε </w:t>
      </w:r>
      <w:r w:rsidR="000A7707">
        <w:rPr>
          <w:rFonts w:asciiTheme="minorHAnsi" w:hAnsiTheme="minorHAnsi" w:cs="Segoe UI"/>
          <w:i/>
          <w:iCs/>
          <w:sz w:val="24"/>
          <w:lang w:val="el-GR"/>
        </w:rPr>
        <w:t>σχέση με το εννιάμηνο του 2015</w:t>
      </w:r>
      <w:r w:rsidR="00F50813" w:rsidRPr="00DD2E48">
        <w:rPr>
          <w:rFonts w:asciiTheme="minorHAnsi" w:hAnsiTheme="minorHAnsi" w:cs="Segoe UI"/>
          <w:i/>
          <w:iCs/>
          <w:sz w:val="24"/>
          <w:lang w:val="el-GR"/>
        </w:rPr>
        <w:t xml:space="preserve">. </w:t>
      </w:r>
    </w:p>
    <w:p w:rsidR="00901454" w:rsidRPr="0007762E" w:rsidRDefault="00C41C22" w:rsidP="00BC55BA">
      <w:pPr>
        <w:spacing w:after="160" w:line="240" w:lineRule="auto"/>
        <w:rPr>
          <w:rFonts w:asciiTheme="minorHAnsi" w:hAnsiTheme="minorHAnsi" w:cs="Segoe UI"/>
          <w:b/>
          <w:sz w:val="24"/>
          <w:lang w:val="el-GR" w:eastAsia="el-GR" w:bidi="el-GR"/>
        </w:rPr>
      </w:pPr>
      <w:r w:rsidRPr="00DD2E48">
        <w:rPr>
          <w:rFonts w:asciiTheme="minorHAnsi" w:hAnsiTheme="minorHAnsi" w:cs="Segoe UI"/>
          <w:i/>
          <w:iCs/>
          <w:sz w:val="24"/>
          <w:lang w:val="el-GR"/>
        </w:rPr>
        <w:t>Ο δείκτης Κύριων Βασικών Ιδίων Κεφαλαίων</w:t>
      </w:r>
      <w:r w:rsidR="00BC55BA">
        <w:rPr>
          <w:rFonts w:asciiTheme="minorHAnsi" w:hAnsiTheme="minorHAnsi" w:cs="Segoe UI"/>
          <w:i/>
          <w:iCs/>
          <w:sz w:val="24"/>
          <w:lang w:val="el-GR"/>
        </w:rPr>
        <w:t xml:space="preserve">παρέμεινε ισχυρός, </w:t>
      </w:r>
      <w:r w:rsidR="00BC55BA" w:rsidRPr="00DD2E48">
        <w:rPr>
          <w:rFonts w:asciiTheme="minorHAnsi" w:hAnsiTheme="minorHAnsi" w:cs="Segoe UI"/>
          <w:i/>
          <w:iCs/>
          <w:sz w:val="24"/>
          <w:lang w:val="el-GR"/>
        </w:rPr>
        <w:t>αν</w:t>
      </w:r>
      <w:r w:rsidR="00BC55BA">
        <w:rPr>
          <w:rFonts w:asciiTheme="minorHAnsi" w:hAnsiTheme="minorHAnsi" w:cs="Segoe UI"/>
          <w:i/>
          <w:iCs/>
          <w:sz w:val="24"/>
          <w:lang w:val="el-GR"/>
        </w:rPr>
        <w:t xml:space="preserve">ερχόμενος </w:t>
      </w:r>
      <w:r w:rsidR="00BC55BA" w:rsidRPr="00DD2E48">
        <w:rPr>
          <w:rFonts w:asciiTheme="minorHAnsi" w:hAnsiTheme="minorHAnsi" w:cs="Segoe UI"/>
          <w:i/>
          <w:iCs/>
          <w:sz w:val="24"/>
          <w:lang w:val="el-GR"/>
        </w:rPr>
        <w:t>σε 16,9%</w:t>
      </w:r>
      <w:r w:rsidR="003C42A6" w:rsidRPr="00DD2E48">
        <w:rPr>
          <w:rFonts w:asciiTheme="minorHAnsi" w:hAnsiTheme="minorHAnsi" w:cs="Segoe UI"/>
          <w:i/>
          <w:iCs/>
          <w:sz w:val="24"/>
          <w:lang w:val="el-GR"/>
        </w:rPr>
        <w:t>,</w:t>
      </w:r>
      <w:r w:rsidR="00D76474">
        <w:rPr>
          <w:rFonts w:asciiTheme="minorHAnsi" w:hAnsiTheme="minorHAnsi" w:cs="Segoe UI"/>
          <w:i/>
          <w:iCs/>
          <w:sz w:val="24"/>
          <w:lang w:val="el-GR"/>
        </w:rPr>
        <w:t>λαμβάνοντας υπόψη</w:t>
      </w:r>
      <w:r w:rsidR="00BC55BA">
        <w:rPr>
          <w:rFonts w:asciiTheme="minorHAnsi" w:hAnsiTheme="minorHAnsi" w:cs="Segoe UI"/>
          <w:i/>
          <w:iCs/>
          <w:sz w:val="24"/>
          <w:lang w:val="el-GR"/>
        </w:rPr>
        <w:t xml:space="preserve"> την αναμενόμενη αποπληρωμή των </w:t>
      </w:r>
      <w:r w:rsidR="003C42A6" w:rsidRPr="00DD2E48">
        <w:rPr>
          <w:rFonts w:asciiTheme="minorHAnsi" w:hAnsiTheme="minorHAnsi" w:cs="Segoe UI"/>
          <w:i/>
          <w:iCs/>
          <w:sz w:val="24"/>
          <w:lang w:val="en-US"/>
        </w:rPr>
        <w:t>CoCos</w:t>
      </w:r>
      <w:r w:rsidR="00BC55BA">
        <w:rPr>
          <w:rFonts w:asciiTheme="minorHAnsi" w:hAnsiTheme="minorHAnsi" w:cs="Segoe UI"/>
          <w:i/>
          <w:iCs/>
          <w:sz w:val="24"/>
          <w:lang w:val="el-GR"/>
        </w:rPr>
        <w:t xml:space="preserve">και θα </w:t>
      </w:r>
      <w:r w:rsidR="009E04B8" w:rsidRPr="00DD2E48">
        <w:rPr>
          <w:rFonts w:asciiTheme="minorHAnsi" w:hAnsiTheme="minorHAnsi" w:cs="Segoe UI"/>
          <w:i/>
          <w:iCs/>
          <w:sz w:val="24"/>
          <w:lang w:val="el-GR"/>
        </w:rPr>
        <w:t>ενισχυθ</w:t>
      </w:r>
      <w:r w:rsidR="006C06EC" w:rsidRPr="00DD2E48">
        <w:rPr>
          <w:rFonts w:asciiTheme="minorHAnsi" w:hAnsiTheme="minorHAnsi" w:cs="Segoe UI"/>
          <w:i/>
          <w:iCs/>
          <w:sz w:val="24"/>
          <w:lang w:val="el-GR"/>
        </w:rPr>
        <w:t xml:space="preserve">εί </w:t>
      </w:r>
      <w:r w:rsidR="009E04B8" w:rsidRPr="00DD2E48">
        <w:rPr>
          <w:rFonts w:asciiTheme="minorHAnsi" w:hAnsiTheme="minorHAnsi" w:cs="Segoe UI"/>
          <w:i/>
          <w:iCs/>
          <w:sz w:val="24"/>
          <w:lang w:val="el-GR"/>
        </w:rPr>
        <w:t xml:space="preserve">περαιτέρω από την </w:t>
      </w:r>
      <w:r w:rsidR="00BC55BA">
        <w:rPr>
          <w:rFonts w:asciiTheme="minorHAnsi" w:hAnsiTheme="minorHAnsi" w:cs="Segoe UI"/>
          <w:i/>
          <w:iCs/>
          <w:sz w:val="24"/>
          <w:lang w:val="el-GR"/>
        </w:rPr>
        <w:t xml:space="preserve">οργανική κερδοφορία και την απρόσκοπτη </w:t>
      </w:r>
      <w:r w:rsidR="009E04B8" w:rsidRPr="00DD2E48">
        <w:rPr>
          <w:rFonts w:asciiTheme="minorHAnsi" w:hAnsiTheme="minorHAnsi" w:cs="Segoe UI"/>
          <w:i/>
          <w:iCs/>
          <w:sz w:val="24"/>
          <w:lang w:val="el-GR"/>
        </w:rPr>
        <w:t>εφαρμογή του σχε</w:t>
      </w:r>
      <w:r w:rsidR="009360CA" w:rsidRPr="00DD2E48">
        <w:rPr>
          <w:rFonts w:asciiTheme="minorHAnsi" w:hAnsiTheme="minorHAnsi" w:cs="Segoe UI"/>
          <w:i/>
          <w:iCs/>
          <w:sz w:val="24"/>
          <w:lang w:val="el-GR"/>
        </w:rPr>
        <w:t>δίου αναδιάρθρωσης της Τράπεζας</w:t>
      </w:r>
      <w:r w:rsidR="009E04B8" w:rsidRPr="00DD2E48">
        <w:rPr>
          <w:rFonts w:asciiTheme="minorHAnsi" w:hAnsiTheme="minorHAnsi" w:cs="Segoe UI"/>
          <w:i/>
          <w:iCs/>
          <w:sz w:val="24"/>
          <w:lang w:val="el-GR"/>
        </w:rPr>
        <w:t>.</w:t>
      </w:r>
    </w:p>
    <w:p w:rsidR="00901454" w:rsidRPr="00F50813" w:rsidRDefault="00901454" w:rsidP="00BC55BA">
      <w:pPr>
        <w:spacing w:after="160" w:line="240" w:lineRule="auto"/>
        <w:rPr>
          <w:rFonts w:ascii="Segoe UI" w:hAnsi="Segoe UI" w:cs="Segoe UI"/>
          <w:b/>
          <w:lang w:val="el-GR" w:eastAsia="el-GR" w:bidi="el-GR"/>
        </w:rPr>
      </w:pPr>
    </w:p>
    <w:p w:rsidR="00901454" w:rsidRPr="00F50813" w:rsidRDefault="00901454" w:rsidP="00BC55BA">
      <w:pPr>
        <w:spacing w:after="160" w:line="240" w:lineRule="auto"/>
        <w:rPr>
          <w:rFonts w:ascii="Segoe UI" w:hAnsi="Segoe UI" w:cs="Segoe UI"/>
          <w:b/>
          <w:lang w:val="el-GR" w:eastAsia="el-GR" w:bidi="el-GR"/>
        </w:rPr>
      </w:pPr>
    </w:p>
    <w:p w:rsidR="00901454" w:rsidRPr="0007762E" w:rsidRDefault="00901454" w:rsidP="004929D8">
      <w:pPr>
        <w:spacing w:after="160" w:line="240" w:lineRule="auto"/>
        <w:jc w:val="right"/>
        <w:rPr>
          <w:rFonts w:asciiTheme="minorHAnsi" w:hAnsiTheme="minorHAnsi" w:cs="Segoe UI"/>
          <w:i/>
          <w:iCs/>
          <w:lang w:val="el-GR"/>
        </w:rPr>
      </w:pPr>
      <w:r w:rsidRPr="0007762E">
        <w:rPr>
          <w:rFonts w:asciiTheme="minorHAnsi" w:hAnsiTheme="minorHAnsi" w:cs="Segoe UI"/>
          <w:i/>
          <w:lang w:val="el-GR" w:eastAsia="en-GB"/>
        </w:rPr>
        <w:t xml:space="preserve">Αθήνα, </w:t>
      </w:r>
      <w:r w:rsidR="007A5487">
        <w:rPr>
          <w:rFonts w:asciiTheme="minorHAnsi" w:hAnsiTheme="minorHAnsi" w:cs="Segoe UI"/>
          <w:i/>
          <w:lang w:val="el-GR" w:eastAsia="en-GB"/>
        </w:rPr>
        <w:t>23 Νοεμβρίου</w:t>
      </w:r>
      <w:r w:rsidRPr="0007762E">
        <w:rPr>
          <w:rFonts w:asciiTheme="minorHAnsi" w:hAnsiTheme="minorHAnsi" w:cs="Segoe UI"/>
          <w:i/>
          <w:lang w:val="el-GR" w:eastAsia="en-GB"/>
        </w:rPr>
        <w:t>2016</w:t>
      </w:r>
    </w:p>
    <w:p w:rsidR="00901454" w:rsidRPr="0007762E" w:rsidRDefault="00901454" w:rsidP="004929D8">
      <w:pPr>
        <w:spacing w:after="160" w:line="240" w:lineRule="auto"/>
        <w:jc w:val="right"/>
        <w:rPr>
          <w:rFonts w:asciiTheme="minorHAnsi" w:hAnsiTheme="minorHAnsi" w:cs="Segoe UI"/>
          <w:i/>
          <w:iCs/>
          <w:lang w:val="el-GR"/>
        </w:rPr>
      </w:pPr>
      <w:r w:rsidRPr="0007762E">
        <w:rPr>
          <w:rFonts w:asciiTheme="minorHAnsi" w:hAnsiTheme="minorHAnsi" w:cs="Segoe UI"/>
          <w:i/>
          <w:lang w:val="el-GR" w:eastAsia="en-GB"/>
        </w:rPr>
        <w:t>Λεωνίδας Φραγκιαδάκης</w:t>
      </w:r>
    </w:p>
    <w:p w:rsidR="00901454" w:rsidRPr="0007762E" w:rsidRDefault="00901454" w:rsidP="004929D8">
      <w:pPr>
        <w:spacing w:after="160" w:line="240" w:lineRule="auto"/>
        <w:jc w:val="right"/>
        <w:rPr>
          <w:rFonts w:asciiTheme="minorHAnsi" w:hAnsiTheme="minorHAnsi" w:cs="Segoe UI"/>
          <w:b/>
          <w:lang w:val="el-GR" w:eastAsia="el-GR" w:bidi="el-GR"/>
        </w:rPr>
      </w:pPr>
      <w:r w:rsidRPr="0007762E">
        <w:rPr>
          <w:rFonts w:asciiTheme="minorHAnsi" w:hAnsiTheme="minorHAnsi" w:cs="Segoe UI"/>
          <w:i/>
          <w:lang w:val="el-GR" w:eastAsia="en-GB"/>
        </w:rPr>
        <w:t>Διευθύνων Σύμβουλος ΕΤΕ</w:t>
      </w:r>
    </w:p>
    <w:p w:rsidR="00901454" w:rsidRPr="00F50813" w:rsidRDefault="00901454" w:rsidP="004929D8">
      <w:pPr>
        <w:spacing w:after="160" w:line="240" w:lineRule="auto"/>
        <w:jc w:val="right"/>
        <w:rPr>
          <w:rFonts w:ascii="Segoe UI" w:hAnsi="Segoe UI" w:cs="Segoe UI"/>
          <w:b/>
          <w:lang w:val="el-GR" w:eastAsia="el-GR" w:bidi="el-GR"/>
        </w:rPr>
      </w:pPr>
    </w:p>
    <w:p w:rsidR="00901454" w:rsidRPr="00F50813" w:rsidRDefault="00901454" w:rsidP="004929D8">
      <w:pPr>
        <w:spacing w:after="160" w:line="240" w:lineRule="auto"/>
        <w:jc w:val="both"/>
        <w:rPr>
          <w:rFonts w:ascii="Segoe UI" w:hAnsi="Segoe UI" w:cs="Segoe UI"/>
          <w:b/>
          <w:lang w:val="el-GR" w:eastAsia="el-GR" w:bidi="el-GR"/>
        </w:rPr>
      </w:pPr>
      <w:r w:rsidRPr="00F50813">
        <w:rPr>
          <w:rFonts w:ascii="Segoe UI" w:hAnsi="Segoe UI" w:cs="Segoe UI"/>
          <w:b/>
          <w:lang w:val="el-GR" w:eastAsia="el-GR" w:bidi="el-GR"/>
        </w:rPr>
        <w:br w:type="page"/>
      </w:r>
    </w:p>
    <w:p w:rsidR="00F33DA9" w:rsidRPr="00A6792B" w:rsidRDefault="00F33DA9"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lastRenderedPageBreak/>
        <w:t>Κερδοφορία</w:t>
      </w:r>
    </w:p>
    <w:p w:rsidR="00712AE0" w:rsidRPr="00A6792B" w:rsidRDefault="00110A92"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κέρδη μετά από φόρους από συνεχιζόμενες δραστηριότητες σε επίπεδο Ομίλου </w:t>
      </w:r>
      <w:r w:rsidR="00DB10F6">
        <w:rPr>
          <w:rFonts w:ascii="Segoe UI" w:hAnsi="Segoe UI" w:cs="Segoe UI"/>
          <w:sz w:val="20"/>
          <w:lang w:val="el-GR" w:eastAsia="el-GR" w:bidi="el-GR"/>
        </w:rPr>
        <w:t>διαμορφώθηκαν σε €23</w:t>
      </w:r>
      <w:r w:rsidRPr="00A6792B">
        <w:rPr>
          <w:rFonts w:ascii="Segoe UI" w:hAnsi="Segoe UI" w:cs="Segoe UI"/>
          <w:sz w:val="20"/>
          <w:lang w:val="el-GR" w:eastAsia="el-GR" w:bidi="el-GR"/>
        </w:rPr>
        <w:t xml:space="preserve"> εκατ. το </w:t>
      </w:r>
      <w:r w:rsidR="00DB10F6">
        <w:rPr>
          <w:rFonts w:ascii="Segoe UI" w:hAnsi="Segoe UI" w:cs="Segoe UI"/>
          <w:sz w:val="20"/>
          <w:lang w:val="el-GR" w:eastAsia="el-GR" w:bidi="el-GR"/>
        </w:rPr>
        <w:t>Γ</w:t>
      </w:r>
      <w:r w:rsidRPr="00A6792B">
        <w:rPr>
          <w:rFonts w:ascii="Segoe UI" w:hAnsi="Segoe UI" w:cs="Segoe UI"/>
          <w:sz w:val="20"/>
          <w:lang w:val="el-GR" w:eastAsia="el-GR" w:bidi="el-GR"/>
        </w:rPr>
        <w:t xml:space="preserve">΄ </w:t>
      </w:r>
      <w:r w:rsidR="00DB10F6">
        <w:rPr>
          <w:rFonts w:ascii="Segoe UI" w:hAnsi="Segoe UI" w:cs="Segoe UI"/>
          <w:sz w:val="20"/>
          <w:lang w:val="el-GR" w:eastAsia="el-GR" w:bidi="el-GR"/>
        </w:rPr>
        <w:t>τρίμηνο</w:t>
      </w:r>
      <w:r w:rsidRPr="00A6792B">
        <w:rPr>
          <w:rFonts w:ascii="Segoe UI" w:hAnsi="Segoe UI" w:cs="Segoe UI"/>
          <w:sz w:val="20"/>
          <w:lang w:val="el-GR" w:eastAsia="el-GR" w:bidi="el-GR"/>
        </w:rPr>
        <w:t xml:space="preserve"> του 2016</w:t>
      </w:r>
      <w:r w:rsidR="000007D5" w:rsidRPr="000007D5">
        <w:rPr>
          <w:rFonts w:ascii="Segoe UI" w:hAnsi="Segoe UI" w:cs="Segoe UI"/>
          <w:sz w:val="20"/>
          <w:lang w:val="el-GR" w:eastAsia="el-GR" w:bidi="el-GR"/>
        </w:rPr>
        <w:t xml:space="preserve">έναντι ζημιών ύψους €23 εκατ. το </w:t>
      </w:r>
      <w:r w:rsidR="000007D5">
        <w:rPr>
          <w:rFonts w:ascii="Segoe UI" w:hAnsi="Segoe UI" w:cs="Segoe UI"/>
          <w:sz w:val="20"/>
          <w:lang w:val="el-GR" w:eastAsia="el-GR" w:bidi="el-GR"/>
        </w:rPr>
        <w:t>προηγούμενο</w:t>
      </w:r>
      <w:r w:rsidR="000007D5" w:rsidRPr="000007D5">
        <w:rPr>
          <w:rFonts w:ascii="Segoe UI" w:hAnsi="Segoe UI" w:cs="Segoe UI"/>
          <w:sz w:val="20"/>
          <w:lang w:val="el-GR" w:eastAsia="el-GR" w:bidi="el-GR"/>
        </w:rPr>
        <w:t xml:space="preserve"> τρίμηνο</w:t>
      </w:r>
      <w:r w:rsidRPr="00A6792B">
        <w:rPr>
          <w:rFonts w:ascii="Segoe UI" w:hAnsi="Segoe UI" w:cs="Segoe UI"/>
          <w:sz w:val="20"/>
          <w:lang w:val="el-GR" w:eastAsia="el-GR" w:bidi="el-GR"/>
        </w:rPr>
        <w:t xml:space="preserve">, αντανακλώντας </w:t>
      </w:r>
      <w:r w:rsidR="000007D5">
        <w:rPr>
          <w:rFonts w:ascii="Segoe UI" w:hAnsi="Segoe UI" w:cs="Segoe UI"/>
          <w:sz w:val="20"/>
          <w:lang w:val="el-GR" w:eastAsia="el-GR" w:bidi="el-GR"/>
        </w:rPr>
        <w:t>τ</w:t>
      </w:r>
      <w:r w:rsidR="002020C4">
        <w:rPr>
          <w:rFonts w:ascii="Segoe UI" w:hAnsi="Segoe UI" w:cs="Segoe UI"/>
          <w:sz w:val="20"/>
          <w:lang w:val="el-GR" w:eastAsia="el-GR" w:bidi="el-GR"/>
        </w:rPr>
        <w:t xml:space="preserve">η βελτίωση των εσόδων και τη μείωση των προβλέψεων για επισφαλή δάνεια </w:t>
      </w:r>
      <w:r w:rsidR="000007D5">
        <w:rPr>
          <w:rFonts w:ascii="Segoe UI" w:hAnsi="Segoe UI" w:cs="Segoe UI"/>
          <w:sz w:val="20"/>
          <w:lang w:val="el-GR" w:eastAsia="el-GR" w:bidi="el-GR"/>
        </w:rPr>
        <w:t xml:space="preserve">στην Ελλάδα, </w:t>
      </w:r>
      <w:r w:rsidR="00654E96">
        <w:rPr>
          <w:rFonts w:ascii="Segoe UI" w:hAnsi="Segoe UI" w:cs="Segoe UI"/>
          <w:sz w:val="20"/>
          <w:lang w:val="el-GR" w:eastAsia="el-GR" w:bidi="el-GR"/>
        </w:rPr>
        <w:t>καθώς κ</w:t>
      </w:r>
      <w:r w:rsidR="00BA6253">
        <w:rPr>
          <w:rFonts w:ascii="Segoe UI" w:hAnsi="Segoe UI" w:cs="Segoe UI"/>
          <w:sz w:val="20"/>
          <w:lang w:val="el-GR" w:eastAsia="el-GR" w:bidi="el-GR"/>
        </w:rPr>
        <w:t>αι την</w:t>
      </w:r>
      <w:r w:rsidR="002020C4">
        <w:rPr>
          <w:rFonts w:ascii="Segoe UI" w:hAnsi="Segoe UI" w:cs="Segoe UI"/>
          <w:sz w:val="20"/>
          <w:lang w:val="el-GR" w:eastAsia="el-GR" w:bidi="el-GR"/>
        </w:rPr>
        <w:t xml:space="preserve"> κερδοφορία στη</w:t>
      </w:r>
      <w:r w:rsidRPr="00A6792B">
        <w:rPr>
          <w:rFonts w:ascii="Segoe UI" w:hAnsi="Segoe UI" w:cs="Segoe UI"/>
          <w:sz w:val="20"/>
          <w:lang w:val="el-GR" w:eastAsia="el-GR" w:bidi="el-GR"/>
        </w:rPr>
        <w:t xml:space="preserve"> ΝΑ Ευρώπη</w:t>
      </w:r>
      <w:r w:rsidR="004929D8" w:rsidRPr="00A6792B">
        <w:rPr>
          <w:rStyle w:val="a9"/>
          <w:rFonts w:ascii="Segoe UI" w:hAnsi="Segoe UI" w:cs="Segoe UI"/>
          <w:sz w:val="20"/>
          <w:lang w:val="el-GR" w:eastAsia="el-GR" w:bidi="el-GR"/>
        </w:rPr>
        <w:footnoteReference w:id="2"/>
      </w:r>
      <w:r w:rsidR="00712AE0" w:rsidRPr="00A6792B">
        <w:rPr>
          <w:rFonts w:ascii="Segoe UI" w:hAnsi="Segoe UI" w:cs="Segoe UI"/>
          <w:sz w:val="20"/>
          <w:lang w:val="el-GR" w:eastAsia="el-GR" w:bidi="el-GR"/>
        </w:rPr>
        <w:t>.</w:t>
      </w:r>
    </w:p>
    <w:p w:rsidR="00F33DA9" w:rsidRPr="00A6792B" w:rsidRDefault="00F33DA9" w:rsidP="004929D8">
      <w:pPr>
        <w:autoSpaceDE w:val="0"/>
        <w:autoSpaceDN w:val="0"/>
        <w:adjustRightInd w:val="0"/>
        <w:spacing w:after="160" w:line="320" w:lineRule="atLeast"/>
        <w:jc w:val="both"/>
        <w:rPr>
          <w:rFonts w:ascii="Segoe UI" w:hAnsi="Segoe UI" w:cs="Segoe UI"/>
          <w:sz w:val="20"/>
          <w:u w:val="single"/>
          <w:lang w:val="el-GR" w:eastAsia="el-GR" w:bidi="el-GR"/>
        </w:rPr>
      </w:pPr>
      <w:r w:rsidRPr="00A6792B">
        <w:rPr>
          <w:rFonts w:ascii="Segoe UI" w:hAnsi="Segoe UI" w:cs="Segoe UI"/>
          <w:sz w:val="20"/>
          <w:u w:val="single"/>
          <w:lang w:val="el-GR" w:eastAsia="el-GR" w:bidi="el-GR"/>
        </w:rPr>
        <w:t>Ελλάδα</w:t>
      </w:r>
    </w:p>
    <w:p w:rsidR="00907637" w:rsidRPr="00B7603D" w:rsidRDefault="00F33DA9"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οργανικά κέρδη προ προβλέψεων </w:t>
      </w:r>
      <w:r w:rsidR="00B06FAA">
        <w:rPr>
          <w:rFonts w:ascii="Segoe UI" w:hAnsi="Segoe UI" w:cs="Segoe UI"/>
          <w:sz w:val="20"/>
          <w:lang w:val="el-GR" w:eastAsia="el-GR" w:bidi="el-GR"/>
        </w:rPr>
        <w:t>παρέμειναν σχεδόν αμετάβλητα</w:t>
      </w:r>
      <w:r w:rsidR="00B06FAA" w:rsidRPr="00B06FAA">
        <w:rPr>
          <w:rFonts w:ascii="Segoe UI" w:hAnsi="Segoe UI" w:cs="Segoe UI"/>
          <w:sz w:val="20"/>
          <w:lang w:val="el-GR" w:eastAsia="el-GR" w:bidi="el-GR"/>
        </w:rPr>
        <w:t xml:space="preserve">σε τριμηνιαία βάση </w:t>
      </w:r>
      <w:r w:rsidR="00B06FAA" w:rsidRPr="00A6792B">
        <w:rPr>
          <w:rFonts w:ascii="Segoe UI" w:hAnsi="Segoe UI" w:cs="Segoe UI"/>
          <w:sz w:val="20"/>
          <w:lang w:val="el-GR" w:eastAsia="el-GR" w:bidi="el-GR"/>
        </w:rPr>
        <w:t xml:space="preserve">το </w:t>
      </w:r>
      <w:r w:rsidR="00B06FAA">
        <w:rPr>
          <w:rFonts w:ascii="Segoe UI" w:hAnsi="Segoe UI" w:cs="Segoe UI"/>
          <w:sz w:val="20"/>
          <w:lang w:val="el-GR" w:eastAsia="el-GR" w:bidi="el-GR"/>
        </w:rPr>
        <w:t>Γ</w:t>
      </w:r>
      <w:r w:rsidR="00B06FAA" w:rsidRPr="00A6792B">
        <w:rPr>
          <w:rFonts w:ascii="Segoe UI" w:hAnsi="Segoe UI" w:cs="Segoe UI"/>
          <w:sz w:val="20"/>
          <w:lang w:val="el-GR" w:eastAsia="el-GR" w:bidi="el-GR"/>
        </w:rPr>
        <w:t xml:space="preserve">΄ τρίμηνο του 2016 </w:t>
      </w:r>
      <w:r w:rsidR="00907637" w:rsidRPr="00A6792B">
        <w:rPr>
          <w:rFonts w:ascii="Segoe UI" w:hAnsi="Segoe UI" w:cs="Segoe UI"/>
          <w:sz w:val="20"/>
          <w:lang w:val="el-GR" w:eastAsia="el-GR" w:bidi="el-GR"/>
        </w:rPr>
        <w:t xml:space="preserve">σε </w:t>
      </w:r>
      <w:r w:rsidRPr="00A6792B">
        <w:rPr>
          <w:rFonts w:ascii="Segoe UI" w:hAnsi="Segoe UI" w:cs="Segoe UI"/>
          <w:sz w:val="20"/>
          <w:lang w:val="el-GR" w:eastAsia="el-GR" w:bidi="el-GR"/>
        </w:rPr>
        <w:t>€</w:t>
      </w:r>
      <w:r w:rsidR="00907637" w:rsidRPr="00A6792B">
        <w:rPr>
          <w:rFonts w:ascii="Segoe UI" w:hAnsi="Segoe UI" w:cs="Segoe UI"/>
          <w:sz w:val="20"/>
          <w:lang w:val="el-GR" w:eastAsia="el-GR" w:bidi="el-GR"/>
        </w:rPr>
        <w:t>20</w:t>
      </w:r>
      <w:r w:rsidR="00B06FAA">
        <w:rPr>
          <w:rFonts w:ascii="Segoe UI" w:hAnsi="Segoe UI" w:cs="Segoe UI"/>
          <w:sz w:val="20"/>
          <w:lang w:val="el-GR" w:eastAsia="el-GR" w:bidi="el-GR"/>
        </w:rPr>
        <w:t>5</w:t>
      </w:r>
      <w:r w:rsidR="0069173C">
        <w:rPr>
          <w:rFonts w:ascii="Segoe UI" w:hAnsi="Segoe UI" w:cs="Segoe UI"/>
          <w:sz w:val="20"/>
          <w:lang w:val="el-GR" w:eastAsia="el-GR" w:bidi="el-GR"/>
        </w:rPr>
        <w:t xml:space="preserve"> εκατ.</w:t>
      </w:r>
      <w:r w:rsidR="00B06FAA" w:rsidRPr="00B06FAA">
        <w:rPr>
          <w:rFonts w:ascii="Segoe UI" w:hAnsi="Segoe UI" w:cs="Segoe UI"/>
          <w:sz w:val="20"/>
          <w:lang w:val="el-GR" w:eastAsia="el-GR" w:bidi="el-GR"/>
        </w:rPr>
        <w:t>, καθώς η μείωση του κόστους άντλησης ρευστότητας αντισταθμίστηκε από τα χαμηλά έσοδα από ασφαλιστικές δραστηριότητες</w:t>
      </w:r>
      <w:r w:rsidR="0002597A">
        <w:rPr>
          <w:rFonts w:ascii="Segoe UI" w:hAnsi="Segoe UI" w:cs="Segoe UI"/>
          <w:sz w:val="20"/>
          <w:lang w:val="el-GR" w:eastAsia="el-GR" w:bidi="el-GR"/>
        </w:rPr>
        <w:t xml:space="preserve">, </w:t>
      </w:r>
      <w:r w:rsidR="002B537E" w:rsidRPr="002B537E">
        <w:rPr>
          <w:rFonts w:ascii="Segoe UI" w:hAnsi="Segoe UI" w:cs="Segoe UI"/>
          <w:sz w:val="20"/>
          <w:lang w:val="el-GR" w:eastAsia="el-GR" w:bidi="el-GR"/>
        </w:rPr>
        <w:t>λόγω της επίπτωσης των χαμηλότερων επιτοκίων στα αποθεματικά</w:t>
      </w:r>
      <w:r w:rsidR="00952AC3" w:rsidRPr="00B7603D">
        <w:rPr>
          <w:rFonts w:ascii="Segoe UI" w:hAnsi="Segoe UI" w:cs="Segoe UI"/>
          <w:sz w:val="20"/>
          <w:lang w:val="el-GR" w:eastAsia="el-GR" w:bidi="el-GR"/>
        </w:rPr>
        <w:t>.</w:t>
      </w:r>
    </w:p>
    <w:p w:rsidR="00F33DA9" w:rsidRPr="00A6792B" w:rsidRDefault="00F33DA9"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Τα έσοδα από τόκους συνέχισαν την ανοδική τους πορεία, ανερχόμενα σε €</w:t>
      </w:r>
      <w:r w:rsidR="00907637" w:rsidRPr="00A6792B">
        <w:rPr>
          <w:rFonts w:ascii="Segoe UI" w:hAnsi="Segoe UI" w:cs="Segoe UI"/>
          <w:sz w:val="20"/>
          <w:lang w:val="el-GR" w:eastAsia="el-GR" w:bidi="el-GR"/>
        </w:rPr>
        <w:t>40</w:t>
      </w:r>
      <w:r w:rsidR="00B06FAA">
        <w:rPr>
          <w:rFonts w:ascii="Segoe UI" w:hAnsi="Segoe UI" w:cs="Segoe UI"/>
          <w:sz w:val="20"/>
          <w:lang w:val="el-GR" w:eastAsia="el-GR" w:bidi="el-GR"/>
        </w:rPr>
        <w:t>3</w:t>
      </w:r>
      <w:r w:rsidRPr="00A6792B">
        <w:rPr>
          <w:rFonts w:ascii="Segoe UI" w:hAnsi="Segoe UI" w:cs="Segoe UI"/>
          <w:sz w:val="20"/>
          <w:lang w:val="el-GR" w:eastAsia="el-GR" w:bidi="el-GR"/>
        </w:rPr>
        <w:t xml:space="preserve"> εκατ. από €</w:t>
      </w:r>
      <w:r w:rsidR="00B06FAA">
        <w:rPr>
          <w:rFonts w:ascii="Segoe UI" w:hAnsi="Segoe UI" w:cs="Segoe UI"/>
          <w:sz w:val="20"/>
          <w:lang w:val="el-GR" w:eastAsia="el-GR" w:bidi="el-GR"/>
        </w:rPr>
        <w:t>400</w:t>
      </w:r>
      <w:r w:rsidRPr="00A6792B">
        <w:rPr>
          <w:rFonts w:ascii="Segoe UI" w:hAnsi="Segoe UI" w:cs="Segoe UI"/>
          <w:sz w:val="20"/>
          <w:lang w:val="el-GR" w:eastAsia="el-GR" w:bidi="el-GR"/>
        </w:rPr>
        <w:t xml:space="preserve"> εκατ. το </w:t>
      </w:r>
      <w:r w:rsidR="00B06FAA">
        <w:rPr>
          <w:rFonts w:ascii="Segoe UI" w:hAnsi="Segoe UI" w:cs="Segoe UI"/>
          <w:sz w:val="20"/>
          <w:lang w:val="el-GR" w:eastAsia="el-GR" w:bidi="el-GR"/>
        </w:rPr>
        <w:t>Β</w:t>
      </w:r>
      <w:r w:rsidRPr="00A6792B">
        <w:rPr>
          <w:rFonts w:ascii="Segoe UI" w:hAnsi="Segoe UI" w:cs="Segoe UI"/>
          <w:sz w:val="20"/>
          <w:lang w:val="el-GR" w:eastAsia="el-GR" w:bidi="el-GR"/>
        </w:rPr>
        <w:t>΄ τρίμηνο του 201</w:t>
      </w:r>
      <w:r w:rsidR="00907637" w:rsidRPr="00A6792B">
        <w:rPr>
          <w:rFonts w:ascii="Segoe UI" w:hAnsi="Segoe UI" w:cs="Segoe UI"/>
          <w:sz w:val="20"/>
          <w:lang w:val="el-GR" w:eastAsia="el-GR" w:bidi="el-GR"/>
        </w:rPr>
        <w:t>6</w:t>
      </w:r>
      <w:r w:rsidRPr="00A6792B">
        <w:rPr>
          <w:rFonts w:ascii="Segoe UI" w:hAnsi="Segoe UI" w:cs="Segoe UI"/>
          <w:sz w:val="20"/>
          <w:lang w:val="el-GR" w:eastAsia="el-GR" w:bidi="el-GR"/>
        </w:rPr>
        <w:t>,</w:t>
      </w:r>
      <w:r w:rsidR="00580BB9">
        <w:rPr>
          <w:rFonts w:ascii="Segoe UI" w:hAnsi="Segoe UI" w:cs="Segoe UI"/>
          <w:sz w:val="20"/>
          <w:lang w:val="el-GR" w:eastAsia="el-GR" w:bidi="el-GR"/>
        </w:rPr>
        <w:t xml:space="preserve">αντανακλώντας </w:t>
      </w:r>
      <w:r w:rsidRPr="00A6792B">
        <w:rPr>
          <w:rFonts w:ascii="Segoe UI" w:hAnsi="Segoe UI" w:cs="Segoe UI"/>
          <w:sz w:val="20"/>
          <w:lang w:val="el-GR" w:eastAsia="el-GR" w:bidi="el-GR"/>
        </w:rPr>
        <w:t>τη</w:t>
      </w:r>
      <w:r w:rsidR="00227B4D">
        <w:rPr>
          <w:rFonts w:ascii="Segoe UI" w:hAnsi="Segoe UI" w:cs="Segoe UI"/>
          <w:sz w:val="20"/>
          <w:lang w:val="el-GR" w:eastAsia="el-GR" w:bidi="el-GR"/>
        </w:rPr>
        <w:t>ν</w:t>
      </w:r>
      <w:r w:rsidRPr="00A6792B">
        <w:rPr>
          <w:rFonts w:ascii="Segoe UI" w:hAnsi="Segoe UI" w:cs="Segoe UI"/>
          <w:sz w:val="20"/>
          <w:lang w:val="el-GR" w:eastAsia="el-GR" w:bidi="el-GR"/>
        </w:rPr>
        <w:t xml:space="preserve"> περαιτέρω ανατιμολόγηση </w:t>
      </w:r>
      <w:r w:rsidR="00227B4D">
        <w:rPr>
          <w:rFonts w:ascii="Segoe UI" w:hAnsi="Segoe UI" w:cs="Segoe UI"/>
          <w:sz w:val="20"/>
          <w:lang w:val="el-GR" w:eastAsia="el-GR" w:bidi="el-GR"/>
        </w:rPr>
        <w:t xml:space="preserve">του κόστους των </w:t>
      </w:r>
      <w:r w:rsidRPr="00A6792B">
        <w:rPr>
          <w:rFonts w:ascii="Segoe UI" w:hAnsi="Segoe UI" w:cs="Segoe UI"/>
          <w:sz w:val="20"/>
          <w:lang w:val="el-GR" w:eastAsia="el-GR" w:bidi="el-GR"/>
        </w:rPr>
        <w:t>προθεσμιακών καταθέσεων</w:t>
      </w:r>
      <w:r w:rsidR="00A6792B" w:rsidRPr="00A6792B">
        <w:rPr>
          <w:rFonts w:ascii="Segoe UI" w:hAnsi="Segoe UI" w:cs="Segoe UI"/>
          <w:sz w:val="20"/>
          <w:lang w:val="el-GR" w:eastAsia="el-GR" w:bidi="el-GR"/>
        </w:rPr>
        <w:t xml:space="preserve"> (</w:t>
      </w:r>
      <w:r w:rsidRPr="00A6792B">
        <w:rPr>
          <w:rFonts w:ascii="Segoe UI" w:hAnsi="Segoe UI" w:cs="Segoe UI"/>
          <w:sz w:val="20"/>
          <w:lang w:val="el-GR" w:eastAsia="el-GR" w:bidi="el-GR"/>
        </w:rPr>
        <w:t>-</w:t>
      </w:r>
      <w:r w:rsidR="00B06FAA">
        <w:rPr>
          <w:rFonts w:ascii="Segoe UI" w:hAnsi="Segoe UI" w:cs="Segoe UI"/>
          <w:sz w:val="20"/>
          <w:lang w:val="el-GR" w:eastAsia="el-GR" w:bidi="el-GR"/>
        </w:rPr>
        <w:t>10</w:t>
      </w:r>
      <w:r w:rsidRPr="00A6792B">
        <w:rPr>
          <w:rFonts w:ascii="Segoe UI" w:hAnsi="Segoe UI" w:cs="Segoe UI"/>
          <w:sz w:val="20"/>
          <w:lang w:val="el-GR" w:eastAsia="el-GR" w:bidi="el-GR"/>
        </w:rPr>
        <w:t>μ.β. σε σχέση με το προηγούμενο τρίμηνο)</w:t>
      </w:r>
      <w:r w:rsidR="008901F0">
        <w:rPr>
          <w:rFonts w:ascii="Segoe UI" w:hAnsi="Segoe UI" w:cs="Segoe UI"/>
          <w:sz w:val="20"/>
          <w:lang w:val="el-GR" w:eastAsia="el-GR" w:bidi="el-GR"/>
        </w:rPr>
        <w:t xml:space="preserve"> καιτη μείωση της εξάρτησης από το</w:t>
      </w:r>
      <w:r w:rsidRPr="00A6792B">
        <w:rPr>
          <w:rFonts w:ascii="Segoe UI" w:hAnsi="Segoe UI" w:cs="Segoe UI"/>
          <w:sz w:val="20"/>
          <w:lang w:val="el-GR" w:eastAsia="el-GR" w:bidi="el-GR"/>
        </w:rPr>
        <w:t xml:space="preserve"> μηχανισμό ELA (-€</w:t>
      </w:r>
      <w:r w:rsidR="00C04B0E">
        <w:rPr>
          <w:rFonts w:ascii="Segoe UI" w:hAnsi="Segoe UI" w:cs="Segoe UI"/>
          <w:sz w:val="20"/>
          <w:lang w:val="el-GR" w:eastAsia="el-GR" w:bidi="el-GR"/>
        </w:rPr>
        <w:t>0,9</w:t>
      </w:r>
      <w:r w:rsidRPr="00A6792B">
        <w:rPr>
          <w:rFonts w:ascii="Segoe UI" w:hAnsi="Segoe UI" w:cs="Segoe UI"/>
          <w:sz w:val="20"/>
          <w:lang w:val="el-GR" w:eastAsia="el-GR" w:bidi="el-GR"/>
        </w:rPr>
        <w:t xml:space="preserve"> δισ. σε </w:t>
      </w:r>
      <w:r w:rsidR="006A3385">
        <w:rPr>
          <w:rFonts w:ascii="Segoe UI" w:hAnsi="Segoe UI" w:cs="Segoe UI"/>
          <w:sz w:val="20"/>
          <w:lang w:val="el-GR" w:eastAsia="el-GR" w:bidi="el-GR"/>
        </w:rPr>
        <w:t>τριμηνιαία βάση</w:t>
      </w:r>
      <w:r w:rsidR="00227B4D">
        <w:rPr>
          <w:rFonts w:ascii="Segoe UI" w:hAnsi="Segoe UI" w:cs="Segoe UI"/>
          <w:sz w:val="20"/>
          <w:lang w:val="el-GR" w:eastAsia="el-GR" w:bidi="el-GR"/>
        </w:rPr>
        <w:t>)</w:t>
      </w:r>
      <w:r w:rsidRPr="00A6792B">
        <w:rPr>
          <w:rFonts w:ascii="Segoe UI" w:hAnsi="Segoe UI" w:cs="Segoe UI"/>
          <w:sz w:val="20"/>
          <w:lang w:val="el-GR" w:eastAsia="el-GR" w:bidi="el-GR"/>
        </w:rPr>
        <w:t>.</w:t>
      </w:r>
    </w:p>
    <w:p w:rsidR="00907637" w:rsidRPr="00A6792B" w:rsidRDefault="0090763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w:t>
      </w:r>
      <w:r w:rsidR="00C274A2">
        <w:rPr>
          <w:rFonts w:ascii="Segoe UI" w:hAnsi="Segoe UI" w:cs="Segoe UI"/>
          <w:sz w:val="20"/>
          <w:lang w:val="el-GR" w:eastAsia="el-GR" w:bidi="el-GR"/>
        </w:rPr>
        <w:t xml:space="preserve">καθαρά </w:t>
      </w:r>
      <w:r w:rsidRPr="00A6792B">
        <w:rPr>
          <w:rFonts w:ascii="Segoe UI" w:hAnsi="Segoe UI" w:cs="Segoe UI"/>
          <w:sz w:val="20"/>
          <w:lang w:val="el-GR" w:eastAsia="el-GR" w:bidi="el-GR"/>
        </w:rPr>
        <w:t xml:space="preserve">έσοδα από προμήθειες αυξήθηκαν </w:t>
      </w:r>
      <w:r w:rsidR="00C274A2">
        <w:rPr>
          <w:rFonts w:ascii="Segoe UI" w:hAnsi="Segoe UI" w:cs="Segoe UI"/>
          <w:sz w:val="20"/>
          <w:lang w:val="el-GR" w:eastAsia="el-GR" w:bidi="el-GR"/>
        </w:rPr>
        <w:t>σε</w:t>
      </w:r>
      <w:r w:rsidRPr="00A6792B">
        <w:rPr>
          <w:rFonts w:ascii="Segoe UI" w:hAnsi="Segoe UI" w:cs="Segoe UI"/>
          <w:sz w:val="20"/>
          <w:lang w:val="el-GR" w:eastAsia="el-GR" w:bidi="el-GR"/>
        </w:rPr>
        <w:t xml:space="preserve"> €</w:t>
      </w:r>
      <w:r w:rsidR="00B06FAA">
        <w:rPr>
          <w:rFonts w:ascii="Segoe UI" w:hAnsi="Segoe UI" w:cs="Segoe UI"/>
          <w:sz w:val="20"/>
          <w:lang w:val="el-GR" w:eastAsia="el-GR" w:bidi="el-GR"/>
        </w:rPr>
        <w:t>44</w:t>
      </w:r>
      <w:r w:rsidRPr="00A6792B">
        <w:rPr>
          <w:rFonts w:ascii="Segoe UI" w:hAnsi="Segoe UI" w:cs="Segoe UI"/>
          <w:sz w:val="20"/>
          <w:lang w:val="el-GR" w:eastAsia="el-GR" w:bidi="el-GR"/>
        </w:rPr>
        <w:t xml:space="preserve"> εκατ. το </w:t>
      </w:r>
      <w:r w:rsidR="0037712B">
        <w:rPr>
          <w:rFonts w:ascii="Segoe UI" w:hAnsi="Segoe UI" w:cs="Segoe UI"/>
          <w:sz w:val="20"/>
          <w:lang w:val="el-GR" w:eastAsia="el-GR" w:bidi="el-GR"/>
        </w:rPr>
        <w:t>Γ</w:t>
      </w:r>
      <w:r w:rsidRPr="00A6792B">
        <w:rPr>
          <w:rFonts w:ascii="Segoe UI" w:hAnsi="Segoe UI" w:cs="Segoe UI"/>
          <w:sz w:val="20"/>
          <w:lang w:val="el-GR" w:eastAsia="el-GR" w:bidi="el-GR"/>
        </w:rPr>
        <w:t>΄ τρίμηνο του 2016 από €</w:t>
      </w:r>
      <w:r w:rsidR="00B06FAA">
        <w:rPr>
          <w:rFonts w:ascii="Segoe UI" w:hAnsi="Segoe UI" w:cs="Segoe UI"/>
          <w:sz w:val="20"/>
          <w:lang w:val="el-GR" w:eastAsia="el-GR" w:bidi="el-GR"/>
        </w:rPr>
        <w:t>37</w:t>
      </w:r>
      <w:r w:rsidRPr="00A6792B">
        <w:rPr>
          <w:rFonts w:ascii="Segoe UI" w:hAnsi="Segoe UI" w:cs="Segoe UI"/>
          <w:sz w:val="20"/>
          <w:lang w:val="el-GR" w:eastAsia="el-GR" w:bidi="el-GR"/>
        </w:rPr>
        <w:t xml:space="preserve"> εκατ. </w:t>
      </w:r>
      <w:r w:rsidR="0088563A" w:rsidRPr="00A6792B">
        <w:rPr>
          <w:rFonts w:ascii="Segoe UI" w:hAnsi="Segoe UI" w:cs="Segoe UI"/>
          <w:sz w:val="20"/>
          <w:lang w:val="el-GR" w:eastAsia="el-GR" w:bidi="el-GR"/>
        </w:rPr>
        <w:t>το προηγούμενο τρίμηνο</w:t>
      </w:r>
      <w:r w:rsidRPr="00A6792B">
        <w:rPr>
          <w:rFonts w:ascii="Segoe UI" w:hAnsi="Segoe UI" w:cs="Segoe UI"/>
          <w:sz w:val="20"/>
          <w:lang w:val="el-GR" w:eastAsia="el-GR" w:bidi="el-GR"/>
        </w:rPr>
        <w:t xml:space="preserve">, </w:t>
      </w:r>
      <w:r w:rsidR="00EF28E1" w:rsidRPr="00EF28E1">
        <w:rPr>
          <w:rFonts w:ascii="Segoe UI" w:hAnsi="Segoe UI" w:cs="Segoe UI"/>
          <w:sz w:val="20"/>
          <w:lang w:val="el-GR" w:eastAsia="el-GR" w:bidi="el-GR"/>
        </w:rPr>
        <w:t xml:space="preserve">αντικατοπτρίζοντας </w:t>
      </w:r>
      <w:r w:rsidR="00EF28E1">
        <w:rPr>
          <w:rFonts w:ascii="Segoe UI" w:hAnsi="Segoe UI" w:cs="Segoe UI"/>
          <w:sz w:val="20"/>
          <w:lang w:val="el-GR" w:eastAsia="el-GR" w:bidi="el-GR"/>
        </w:rPr>
        <w:t xml:space="preserve">κυρίως </w:t>
      </w:r>
      <w:r w:rsidR="00EF28E1" w:rsidRPr="00EF28E1">
        <w:rPr>
          <w:rFonts w:ascii="Segoe UI" w:hAnsi="Segoe UI" w:cs="Segoe UI"/>
          <w:sz w:val="20"/>
          <w:lang w:val="el-GR" w:eastAsia="el-GR" w:bidi="el-GR"/>
        </w:rPr>
        <w:t>τη μείωση του κόστους από χρήση των ομολόγων του Πυλώνα ΙΙ</w:t>
      </w:r>
      <w:r w:rsidR="00E72D2D" w:rsidRPr="00E72D2D">
        <w:rPr>
          <w:rFonts w:ascii="Segoe UI" w:hAnsi="Segoe UI" w:cs="Segoe UI"/>
          <w:sz w:val="20"/>
          <w:lang w:val="el-GR" w:eastAsia="el-GR" w:bidi="el-GR"/>
        </w:rPr>
        <w:t xml:space="preserve">, </w:t>
      </w:r>
      <w:r w:rsidR="00E72D2D">
        <w:rPr>
          <w:rFonts w:ascii="Segoe UI" w:hAnsi="Segoe UI" w:cs="Segoe UI"/>
          <w:sz w:val="20"/>
          <w:lang w:val="el-GR" w:eastAsia="el-GR" w:bidi="el-GR"/>
        </w:rPr>
        <w:t>τα οποία αποπληρώθηκαν πλήρως τον Ιούλιο</w:t>
      </w:r>
      <w:r w:rsidR="00F834B5" w:rsidRPr="00F834B5">
        <w:rPr>
          <w:rFonts w:ascii="Segoe UI" w:hAnsi="Segoe UI" w:cs="Segoe UI"/>
          <w:sz w:val="20"/>
          <w:lang w:val="el-GR" w:eastAsia="el-GR" w:bidi="el-GR"/>
        </w:rPr>
        <w:t xml:space="preserve">. </w:t>
      </w:r>
      <w:r w:rsidR="00F834B5">
        <w:rPr>
          <w:rFonts w:ascii="Segoe UI" w:hAnsi="Segoe UI" w:cs="Segoe UI"/>
          <w:sz w:val="20"/>
          <w:lang w:val="en-US" w:eastAsia="el-GR" w:bidi="el-GR"/>
        </w:rPr>
        <w:t>To</w:t>
      </w:r>
      <w:r w:rsidRPr="00A6792B">
        <w:rPr>
          <w:rFonts w:ascii="Segoe UI" w:hAnsi="Segoe UI" w:cs="Segoe UI"/>
          <w:sz w:val="20"/>
          <w:lang w:val="el-GR" w:eastAsia="el-GR" w:bidi="el-GR"/>
        </w:rPr>
        <w:t xml:space="preserve">κόστος των ομολόγων του Πυλώνα ΙΙ </w:t>
      </w:r>
      <w:r w:rsidR="00F834B5">
        <w:rPr>
          <w:rFonts w:ascii="Segoe UI" w:hAnsi="Segoe UI" w:cs="Segoe UI"/>
          <w:sz w:val="20"/>
          <w:lang w:val="el-GR" w:eastAsia="el-GR" w:bidi="el-GR"/>
        </w:rPr>
        <w:t xml:space="preserve">μειώθηκε σημαντικά </w:t>
      </w:r>
      <w:r w:rsidRPr="00A6792B">
        <w:rPr>
          <w:rFonts w:ascii="Segoe UI" w:hAnsi="Segoe UI" w:cs="Segoe UI"/>
          <w:sz w:val="20"/>
          <w:lang w:val="el-GR" w:eastAsia="el-GR" w:bidi="el-GR"/>
        </w:rPr>
        <w:t>σε €</w:t>
      </w:r>
      <w:r w:rsidR="00B06FAA">
        <w:rPr>
          <w:rFonts w:ascii="Segoe UI" w:hAnsi="Segoe UI" w:cs="Segoe UI"/>
          <w:sz w:val="20"/>
          <w:lang w:val="el-GR" w:eastAsia="el-GR" w:bidi="el-GR"/>
        </w:rPr>
        <w:t>6</w:t>
      </w:r>
      <w:r w:rsidRPr="00A6792B">
        <w:rPr>
          <w:rFonts w:ascii="Segoe UI" w:hAnsi="Segoe UI" w:cs="Segoe UI"/>
          <w:sz w:val="20"/>
          <w:lang w:val="el-GR" w:eastAsia="el-GR" w:bidi="el-GR"/>
        </w:rPr>
        <w:t xml:space="preserve"> εκατ. στο </w:t>
      </w:r>
      <w:r w:rsidR="00B06FAA">
        <w:rPr>
          <w:rFonts w:ascii="Segoe UI" w:hAnsi="Segoe UI" w:cs="Segoe UI"/>
          <w:sz w:val="20"/>
          <w:lang w:val="el-GR" w:eastAsia="el-GR" w:bidi="el-GR"/>
        </w:rPr>
        <w:t>Γ</w:t>
      </w:r>
      <w:r w:rsidRPr="00A6792B">
        <w:rPr>
          <w:rFonts w:ascii="Segoe UI" w:hAnsi="Segoe UI" w:cs="Segoe UI"/>
          <w:sz w:val="20"/>
          <w:lang w:val="el-GR" w:eastAsia="el-GR" w:bidi="el-GR"/>
        </w:rPr>
        <w:t>΄ τρίμηνο του 2016 από €</w:t>
      </w:r>
      <w:r w:rsidR="00B06FAA">
        <w:rPr>
          <w:rFonts w:ascii="Segoe UI" w:hAnsi="Segoe UI" w:cs="Segoe UI"/>
          <w:sz w:val="20"/>
          <w:lang w:val="el-GR" w:eastAsia="el-GR" w:bidi="el-GR"/>
        </w:rPr>
        <w:t>15</w:t>
      </w:r>
      <w:r w:rsidRPr="00A6792B">
        <w:rPr>
          <w:rFonts w:ascii="Segoe UI" w:hAnsi="Segoe UI" w:cs="Segoe UI"/>
          <w:sz w:val="20"/>
          <w:lang w:val="el-GR" w:eastAsia="el-GR" w:bidi="el-GR"/>
        </w:rPr>
        <w:t xml:space="preserve"> εκατ. το προηγούμενο </w:t>
      </w:r>
      <w:r w:rsidR="0002597A">
        <w:rPr>
          <w:rFonts w:ascii="Segoe UI" w:hAnsi="Segoe UI" w:cs="Segoe UI"/>
          <w:sz w:val="20"/>
          <w:lang w:val="el-GR" w:eastAsia="el-GR" w:bidi="el-GR"/>
        </w:rPr>
        <w:t>τρίμηνο</w:t>
      </w:r>
      <w:r w:rsidRPr="00A6792B">
        <w:rPr>
          <w:rFonts w:ascii="Segoe UI" w:hAnsi="Segoe UI" w:cs="Segoe UI"/>
          <w:sz w:val="20"/>
          <w:lang w:val="el-GR" w:eastAsia="el-GR" w:bidi="el-GR"/>
        </w:rPr>
        <w:t xml:space="preserve">. </w:t>
      </w:r>
    </w:p>
    <w:p w:rsidR="00F33DA9" w:rsidRPr="00A6792B" w:rsidRDefault="006954AC" w:rsidP="004929D8">
      <w:pPr>
        <w:autoSpaceDE w:val="0"/>
        <w:autoSpaceDN w:val="0"/>
        <w:adjustRightInd w:val="0"/>
        <w:spacing w:after="160" w:line="320" w:lineRule="atLeast"/>
        <w:jc w:val="both"/>
        <w:rPr>
          <w:rFonts w:ascii="Segoe UI" w:hAnsi="Segoe UI" w:cs="Segoe UI"/>
          <w:sz w:val="20"/>
          <w:lang w:val="el-GR"/>
        </w:rPr>
      </w:pPr>
      <w:r w:rsidRPr="00A6792B">
        <w:rPr>
          <w:rFonts w:ascii="Segoe UI" w:hAnsi="Segoe UI" w:cs="Segoe UI"/>
          <w:sz w:val="20"/>
          <w:lang w:val="el-GR" w:eastAsia="el-GR" w:bidi="el-GR"/>
        </w:rPr>
        <w:t xml:space="preserve">Οι λειτουργικές δαπάνες </w:t>
      </w:r>
      <w:r w:rsidR="007E5BC9">
        <w:rPr>
          <w:rFonts w:ascii="Segoe UI" w:hAnsi="Segoe UI" w:cs="Segoe UI"/>
          <w:sz w:val="20"/>
          <w:lang w:val="el-GR" w:eastAsia="el-GR" w:bidi="el-GR"/>
        </w:rPr>
        <w:t>παρέμειναν αμετάβλητες σε σχέση με το προηγούμενο τρίμηνο</w:t>
      </w:r>
      <w:r w:rsidR="0069173C">
        <w:rPr>
          <w:rFonts w:ascii="Segoe UI" w:hAnsi="Segoe UI" w:cs="Segoe UI"/>
          <w:sz w:val="20"/>
          <w:lang w:val="el-GR" w:eastAsia="el-GR" w:bidi="el-GR"/>
        </w:rPr>
        <w:t xml:space="preserve"> και διαμορφώθηκαν σε €252 εκατ. το Γ’ τρίμηνο του 2016</w:t>
      </w:r>
      <w:r w:rsidR="00C513A3">
        <w:rPr>
          <w:rFonts w:ascii="Segoe UI" w:hAnsi="Segoe UI" w:cs="Segoe UI"/>
          <w:sz w:val="20"/>
          <w:lang w:val="el-GR" w:eastAsia="el-GR" w:bidi="el-GR"/>
        </w:rPr>
        <w:t xml:space="preserve">, ενώ </w:t>
      </w:r>
      <w:r w:rsidRPr="00A6792B">
        <w:rPr>
          <w:rFonts w:ascii="Segoe UI" w:hAnsi="Segoe UI" w:cs="Segoe UI"/>
          <w:sz w:val="20"/>
          <w:lang w:val="el-GR" w:eastAsia="el-GR" w:bidi="el-GR"/>
        </w:rPr>
        <w:t>μειώθηκαν κατά 2,</w:t>
      </w:r>
      <w:r w:rsidR="007E5BC9">
        <w:rPr>
          <w:rFonts w:ascii="Segoe UI" w:hAnsi="Segoe UI" w:cs="Segoe UI"/>
          <w:sz w:val="20"/>
          <w:lang w:val="el-GR" w:eastAsia="el-GR" w:bidi="el-GR"/>
        </w:rPr>
        <w:t>7</w:t>
      </w:r>
      <w:r w:rsidRPr="00A6792B">
        <w:rPr>
          <w:rFonts w:ascii="Segoe UI" w:hAnsi="Segoe UI" w:cs="Segoe UI"/>
          <w:sz w:val="20"/>
          <w:lang w:val="el-GR" w:eastAsia="el-GR" w:bidi="el-GR"/>
        </w:rPr>
        <w:t xml:space="preserve">% σε ετήσια βάση το </w:t>
      </w:r>
      <w:r w:rsidR="007E5BC9">
        <w:rPr>
          <w:rFonts w:ascii="Segoe UI" w:hAnsi="Segoe UI" w:cs="Segoe UI"/>
          <w:sz w:val="20"/>
          <w:lang w:val="el-GR" w:eastAsia="el-GR" w:bidi="el-GR"/>
        </w:rPr>
        <w:t>εννι</w:t>
      </w:r>
      <w:r w:rsidRPr="00A6792B">
        <w:rPr>
          <w:rFonts w:ascii="Segoe UI" w:hAnsi="Segoe UI" w:cs="Segoe UI"/>
          <w:sz w:val="20"/>
          <w:lang w:val="el-GR" w:eastAsia="el-GR" w:bidi="el-GR"/>
        </w:rPr>
        <w:t>άμηνο του 2016, αντανακλώντας τη μείωση τόσο των δαπανών προσωπικού (-</w:t>
      </w:r>
      <w:r w:rsidR="007E5BC9">
        <w:rPr>
          <w:rFonts w:ascii="Segoe UI" w:hAnsi="Segoe UI" w:cs="Segoe UI"/>
          <w:sz w:val="20"/>
          <w:lang w:val="el-GR" w:eastAsia="el-GR" w:bidi="el-GR"/>
        </w:rPr>
        <w:t>1,4</w:t>
      </w:r>
      <w:r w:rsidRPr="00A6792B">
        <w:rPr>
          <w:rFonts w:ascii="Segoe UI" w:hAnsi="Segoe UI" w:cs="Segoe UI"/>
          <w:sz w:val="20"/>
          <w:lang w:val="el-GR" w:eastAsia="el-GR" w:bidi="el-GR"/>
        </w:rPr>
        <w:t>% σε ετήσια βάση) όσο και των γενικών και διοικητικών εξόδων (-</w:t>
      </w:r>
      <w:r w:rsidR="007E5BC9">
        <w:rPr>
          <w:rFonts w:ascii="Segoe UI" w:hAnsi="Segoe UI" w:cs="Segoe UI"/>
          <w:sz w:val="20"/>
          <w:lang w:val="el-GR" w:eastAsia="el-GR" w:bidi="el-GR"/>
        </w:rPr>
        <w:t>6,9</w:t>
      </w:r>
      <w:r w:rsidRPr="00A6792B">
        <w:rPr>
          <w:rFonts w:ascii="Segoe UI" w:hAnsi="Segoe UI" w:cs="Segoe UI"/>
          <w:sz w:val="20"/>
          <w:lang w:val="el-GR" w:eastAsia="el-GR" w:bidi="el-GR"/>
        </w:rPr>
        <w:t xml:space="preserve">% σε ετήσια βάση). Ο δείκτης </w:t>
      </w:r>
      <w:r w:rsidR="009630F2" w:rsidRPr="00A6792B">
        <w:rPr>
          <w:rFonts w:ascii="Segoe UI" w:hAnsi="Segoe UI" w:cs="Segoe UI"/>
          <w:sz w:val="20"/>
          <w:lang w:val="el-GR" w:eastAsia="el-GR" w:bidi="el-GR"/>
        </w:rPr>
        <w:t>Κ</w:t>
      </w:r>
      <w:r w:rsidRPr="00A6792B">
        <w:rPr>
          <w:rFonts w:ascii="Segoe UI" w:hAnsi="Segoe UI" w:cs="Segoe UI"/>
          <w:sz w:val="20"/>
          <w:lang w:val="el-GR" w:eastAsia="el-GR" w:bidi="el-GR"/>
        </w:rPr>
        <w:t xml:space="preserve">όστους προς </w:t>
      </w:r>
      <w:r w:rsidR="009630F2" w:rsidRPr="00A6792B">
        <w:rPr>
          <w:rFonts w:ascii="Segoe UI" w:hAnsi="Segoe UI" w:cs="Segoe UI"/>
          <w:sz w:val="20"/>
          <w:lang w:val="el-GR" w:eastAsia="el-GR" w:bidi="el-GR"/>
        </w:rPr>
        <w:t>Ο</w:t>
      </w:r>
      <w:r w:rsidRPr="00A6792B">
        <w:rPr>
          <w:rFonts w:ascii="Segoe UI" w:hAnsi="Segoe UI" w:cs="Segoe UI"/>
          <w:sz w:val="20"/>
          <w:lang w:val="el-GR" w:eastAsia="el-GR" w:bidi="el-GR"/>
        </w:rPr>
        <w:t xml:space="preserve">ργανικά έσοδα </w:t>
      </w:r>
      <w:r w:rsidR="00A72E83">
        <w:rPr>
          <w:rFonts w:ascii="Segoe UI" w:hAnsi="Segoe UI" w:cs="Segoe UI"/>
          <w:sz w:val="20"/>
          <w:lang w:val="el-GR" w:eastAsia="el-GR" w:bidi="el-GR"/>
        </w:rPr>
        <w:t>βελτιώθηκε</w:t>
      </w:r>
      <w:r w:rsidRPr="00A6792B">
        <w:rPr>
          <w:rFonts w:ascii="Segoe UI" w:hAnsi="Segoe UI" w:cs="Segoe UI"/>
          <w:sz w:val="20"/>
          <w:lang w:val="el-GR" w:eastAsia="el-GR" w:bidi="el-GR"/>
        </w:rPr>
        <w:t xml:space="preserve"> σε </w:t>
      </w:r>
      <w:r w:rsidR="00C513A3">
        <w:rPr>
          <w:rFonts w:ascii="Segoe UI" w:hAnsi="Segoe UI" w:cs="Segoe UI"/>
          <w:sz w:val="20"/>
          <w:lang w:val="el-GR" w:eastAsia="el-GR" w:bidi="el-GR"/>
        </w:rPr>
        <w:t xml:space="preserve">55% </w:t>
      </w:r>
      <w:r w:rsidR="0069173C">
        <w:rPr>
          <w:rFonts w:ascii="Segoe UI" w:hAnsi="Segoe UI" w:cs="Segoe UI"/>
          <w:sz w:val="20"/>
          <w:lang w:val="el-GR" w:eastAsia="el-GR" w:bidi="el-GR"/>
        </w:rPr>
        <w:t xml:space="preserve">το εννιάμηνο του 2016 </w:t>
      </w:r>
      <w:r w:rsidR="00C513A3">
        <w:rPr>
          <w:rFonts w:ascii="Segoe UI" w:hAnsi="Segoe UI" w:cs="Segoe UI"/>
          <w:sz w:val="20"/>
          <w:lang w:val="el-GR" w:eastAsia="el-GR" w:bidi="el-GR"/>
        </w:rPr>
        <w:t>από 61</w:t>
      </w:r>
      <w:r w:rsidRPr="00A6792B">
        <w:rPr>
          <w:rFonts w:ascii="Segoe UI" w:hAnsi="Segoe UI" w:cs="Segoe UI"/>
          <w:sz w:val="20"/>
          <w:lang w:val="el-GR" w:eastAsia="el-GR" w:bidi="el-GR"/>
        </w:rPr>
        <w:t xml:space="preserve">% το </w:t>
      </w:r>
      <w:r w:rsidR="0069173C">
        <w:rPr>
          <w:rFonts w:ascii="Segoe UI" w:hAnsi="Segoe UI" w:cs="Segoe UI"/>
          <w:sz w:val="20"/>
          <w:lang w:val="el-GR" w:eastAsia="el-GR" w:bidi="el-GR"/>
        </w:rPr>
        <w:t xml:space="preserve">προηγούμενο </w:t>
      </w:r>
      <w:r w:rsidR="00C513A3">
        <w:rPr>
          <w:rFonts w:ascii="Segoe UI" w:hAnsi="Segoe UI" w:cs="Segoe UI"/>
          <w:sz w:val="20"/>
          <w:lang w:val="el-GR" w:eastAsia="el-GR" w:bidi="el-GR"/>
        </w:rPr>
        <w:t>εννιάμηνο</w:t>
      </w:r>
      <w:r w:rsidRPr="00A6792B">
        <w:rPr>
          <w:rFonts w:ascii="Segoe UI" w:hAnsi="Segoe UI" w:cs="Segoe UI"/>
          <w:sz w:val="20"/>
          <w:lang w:val="el-GR" w:eastAsia="el-GR" w:bidi="el-GR"/>
        </w:rPr>
        <w:t xml:space="preserve">. Οι δαπάνες προσωπικού </w:t>
      </w:r>
      <w:r w:rsidR="00F33DA9" w:rsidRPr="00A6792B">
        <w:rPr>
          <w:rFonts w:ascii="Segoe UI" w:hAnsi="Segoe UI" w:cs="Segoe UI"/>
          <w:sz w:val="20"/>
          <w:lang w:val="el-GR" w:eastAsia="el-GR" w:bidi="el-GR"/>
        </w:rPr>
        <w:t xml:space="preserve">αναμένεται να περισταλούν περαιτέρω </w:t>
      </w:r>
      <w:r w:rsidR="00195460">
        <w:rPr>
          <w:rFonts w:ascii="Segoe UI" w:hAnsi="Segoe UI" w:cs="Segoe UI"/>
          <w:sz w:val="20"/>
          <w:lang w:val="el-GR" w:eastAsia="el-GR" w:bidi="el-GR"/>
        </w:rPr>
        <w:t xml:space="preserve">μέσω </w:t>
      </w:r>
      <w:r w:rsidR="00230486">
        <w:rPr>
          <w:rFonts w:ascii="Segoe UI" w:hAnsi="Segoe UI" w:cs="Segoe UI"/>
          <w:sz w:val="20"/>
          <w:lang w:val="el-GR" w:eastAsia="el-GR" w:bidi="el-GR"/>
        </w:rPr>
        <w:t>του</w:t>
      </w:r>
      <w:r w:rsidR="00814264">
        <w:rPr>
          <w:rFonts w:ascii="Segoe UI" w:hAnsi="Segoe UI" w:cs="Segoe UI"/>
          <w:sz w:val="20"/>
          <w:lang w:val="el-GR" w:eastAsia="el-GR" w:bidi="el-GR"/>
        </w:rPr>
        <w:t xml:space="preserve">επικείμενου </w:t>
      </w:r>
      <w:r w:rsidR="00230486">
        <w:rPr>
          <w:rFonts w:ascii="Segoe UI" w:hAnsi="Segoe UI" w:cs="Segoe UI"/>
          <w:sz w:val="20"/>
          <w:lang w:val="el-GR" w:eastAsia="el-GR" w:bidi="el-GR"/>
        </w:rPr>
        <w:t>Προγράμματος Εθ</w:t>
      </w:r>
      <w:r w:rsidR="00195460">
        <w:rPr>
          <w:rFonts w:ascii="Segoe UI" w:hAnsi="Segoe UI" w:cs="Segoe UI"/>
          <w:sz w:val="20"/>
          <w:lang w:val="el-GR" w:eastAsia="el-GR" w:bidi="el-GR"/>
        </w:rPr>
        <w:t xml:space="preserve">ελουσίας </w:t>
      </w:r>
      <w:r w:rsidR="00230486">
        <w:rPr>
          <w:rFonts w:ascii="Segoe UI" w:hAnsi="Segoe UI" w:cs="Segoe UI"/>
          <w:sz w:val="20"/>
          <w:lang w:val="el-GR" w:eastAsia="el-GR" w:bidi="el-GR"/>
        </w:rPr>
        <w:t>Ε</w:t>
      </w:r>
      <w:r w:rsidR="00195460">
        <w:rPr>
          <w:rFonts w:ascii="Segoe UI" w:hAnsi="Segoe UI" w:cs="Segoe UI"/>
          <w:sz w:val="20"/>
          <w:lang w:val="el-GR" w:eastAsia="el-GR" w:bidi="el-GR"/>
        </w:rPr>
        <w:t>ξόδου</w:t>
      </w:r>
      <w:r w:rsidR="00230486">
        <w:rPr>
          <w:rFonts w:ascii="Segoe UI" w:hAnsi="Segoe UI" w:cs="Segoe UI"/>
          <w:sz w:val="20"/>
          <w:lang w:val="el-GR" w:eastAsia="el-GR" w:bidi="el-GR"/>
        </w:rPr>
        <w:t xml:space="preserve"> Προσωπικού</w:t>
      </w:r>
      <w:r w:rsidR="00F33DA9" w:rsidRPr="00A6792B">
        <w:rPr>
          <w:rFonts w:ascii="Segoe UI" w:hAnsi="Segoe UI" w:cs="Segoe UI"/>
          <w:sz w:val="20"/>
          <w:lang w:val="el-GR" w:eastAsia="el-GR" w:bidi="el-GR"/>
        </w:rPr>
        <w:t xml:space="preserve">, τα κόστη </w:t>
      </w:r>
      <w:r w:rsidR="00230486">
        <w:rPr>
          <w:rFonts w:ascii="Segoe UI" w:hAnsi="Segoe UI" w:cs="Segoe UI"/>
          <w:sz w:val="20"/>
          <w:lang w:val="el-GR" w:eastAsia="el-GR" w:bidi="el-GR"/>
        </w:rPr>
        <w:t>του</w:t>
      </w:r>
      <w:r w:rsidR="00F33DA9" w:rsidRPr="00A6792B">
        <w:rPr>
          <w:rFonts w:ascii="Segoe UI" w:hAnsi="Segoe UI" w:cs="Segoe UI"/>
          <w:sz w:val="20"/>
          <w:lang w:val="el-GR" w:eastAsia="el-GR" w:bidi="el-GR"/>
        </w:rPr>
        <w:t xml:space="preserve"> οποί</w:t>
      </w:r>
      <w:r w:rsidR="00230486">
        <w:rPr>
          <w:rFonts w:ascii="Segoe UI" w:hAnsi="Segoe UI" w:cs="Segoe UI"/>
          <w:sz w:val="20"/>
          <w:lang w:val="el-GR" w:eastAsia="el-GR" w:bidi="el-GR"/>
        </w:rPr>
        <w:t>ου</w:t>
      </w:r>
      <w:r w:rsidR="00F33DA9" w:rsidRPr="00A6792B">
        <w:rPr>
          <w:rFonts w:ascii="Segoe UI" w:hAnsi="Segoe UI" w:cs="Segoe UI"/>
          <w:sz w:val="20"/>
          <w:lang w:val="el-GR" w:eastAsia="el-GR" w:bidi="el-GR"/>
        </w:rPr>
        <w:t xml:space="preserve"> έχουν ήδη επιβαρύνει το Δ’ τρίμηνο του 2015.</w:t>
      </w:r>
    </w:p>
    <w:p w:rsidR="00FA36D1" w:rsidRPr="00A6792B" w:rsidRDefault="00E56B54"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Οι ζημιές </w:t>
      </w:r>
      <w:r w:rsidR="0002597A">
        <w:rPr>
          <w:rFonts w:ascii="Segoe UI" w:hAnsi="Segoe UI" w:cs="Segoe UI"/>
          <w:sz w:val="20"/>
          <w:lang w:val="el-GR" w:eastAsia="el-GR" w:bidi="el-GR"/>
        </w:rPr>
        <w:t xml:space="preserve">προ φόρων </w:t>
      </w:r>
      <w:r w:rsidR="00FC5C29">
        <w:rPr>
          <w:rFonts w:ascii="Segoe UI" w:hAnsi="Segoe UI" w:cs="Segoe UI"/>
          <w:sz w:val="20"/>
          <w:lang w:val="el-GR" w:eastAsia="el-GR" w:bidi="el-GR"/>
        </w:rPr>
        <w:t xml:space="preserve">περιορίστηκαν σημαντικά </w:t>
      </w:r>
      <w:r w:rsidR="00FC5C29" w:rsidRPr="00FC5C29">
        <w:rPr>
          <w:rFonts w:ascii="Segoe UI" w:hAnsi="Segoe UI" w:cs="Segoe UI"/>
          <w:sz w:val="20"/>
          <w:lang w:val="el-GR" w:eastAsia="el-GR" w:bidi="el-GR"/>
        </w:rPr>
        <w:t>σε €</w:t>
      </w:r>
      <w:r w:rsidR="007E5BC9">
        <w:rPr>
          <w:rFonts w:ascii="Segoe UI" w:hAnsi="Segoe UI" w:cs="Segoe UI"/>
          <w:sz w:val="20"/>
          <w:lang w:val="el-GR" w:eastAsia="el-GR" w:bidi="el-GR"/>
        </w:rPr>
        <w:t>5</w:t>
      </w:r>
      <w:r w:rsidR="00FC5C29" w:rsidRPr="00FC5C29">
        <w:rPr>
          <w:rFonts w:ascii="Segoe UI" w:hAnsi="Segoe UI" w:cs="Segoe UI"/>
          <w:sz w:val="20"/>
          <w:lang w:val="el-GR" w:eastAsia="el-GR" w:bidi="el-GR"/>
        </w:rPr>
        <w:t xml:space="preserve"> εκατ.</w:t>
      </w:r>
      <w:r w:rsidR="00FC5C29">
        <w:rPr>
          <w:rFonts w:ascii="Segoe UI" w:hAnsi="Segoe UI" w:cs="Segoe UI"/>
          <w:sz w:val="20"/>
          <w:lang w:val="el-GR" w:eastAsia="el-GR" w:bidi="el-GR"/>
        </w:rPr>
        <w:t xml:space="preserve"> το </w:t>
      </w:r>
      <w:r w:rsidR="007E5BC9">
        <w:rPr>
          <w:rFonts w:ascii="Segoe UI" w:hAnsi="Segoe UI" w:cs="Segoe UI"/>
          <w:sz w:val="20"/>
          <w:lang w:val="el-GR" w:eastAsia="el-GR" w:bidi="el-GR"/>
        </w:rPr>
        <w:t>Γ</w:t>
      </w:r>
      <w:r w:rsidR="00FC5C29">
        <w:rPr>
          <w:rFonts w:ascii="Segoe UI" w:hAnsi="Segoe UI" w:cs="Segoe UI"/>
          <w:sz w:val="20"/>
          <w:lang w:val="el-GR" w:eastAsia="el-GR" w:bidi="el-GR"/>
        </w:rPr>
        <w:t xml:space="preserve">’ </w:t>
      </w:r>
      <w:r w:rsidR="007E5BC9">
        <w:rPr>
          <w:rFonts w:ascii="Segoe UI" w:hAnsi="Segoe UI" w:cs="Segoe UI"/>
          <w:sz w:val="20"/>
          <w:lang w:val="el-GR" w:eastAsia="el-GR" w:bidi="el-GR"/>
        </w:rPr>
        <w:t>τρίμηνο</w:t>
      </w:r>
      <w:r w:rsidR="00FC5C29">
        <w:rPr>
          <w:rFonts w:ascii="Segoe UI" w:hAnsi="Segoe UI" w:cs="Segoe UI"/>
          <w:sz w:val="20"/>
          <w:lang w:val="el-GR" w:eastAsia="el-GR" w:bidi="el-GR"/>
        </w:rPr>
        <w:t xml:space="preserve"> του 2016από €</w:t>
      </w:r>
      <w:r w:rsidR="007E5BC9">
        <w:rPr>
          <w:rFonts w:ascii="Segoe UI" w:hAnsi="Segoe UI" w:cs="Segoe UI"/>
          <w:sz w:val="20"/>
          <w:lang w:val="el-GR" w:eastAsia="el-GR" w:bidi="el-GR"/>
        </w:rPr>
        <w:t>4</w:t>
      </w:r>
      <w:r w:rsidR="0002597A">
        <w:rPr>
          <w:rFonts w:ascii="Segoe UI" w:hAnsi="Segoe UI" w:cs="Segoe UI"/>
          <w:sz w:val="20"/>
          <w:lang w:val="el-GR" w:eastAsia="el-GR" w:bidi="el-GR"/>
        </w:rPr>
        <w:t>4</w:t>
      </w:r>
      <w:r w:rsidR="00FC5C29">
        <w:rPr>
          <w:rFonts w:ascii="Segoe UI" w:hAnsi="Segoe UI" w:cs="Segoe UI"/>
          <w:sz w:val="20"/>
          <w:lang w:val="el-GR" w:eastAsia="el-GR" w:bidi="el-GR"/>
        </w:rPr>
        <w:t xml:space="preserve"> δισ. </w:t>
      </w:r>
      <w:r w:rsidR="00FC5C29" w:rsidRPr="00A6792B">
        <w:rPr>
          <w:rFonts w:ascii="Segoe UI" w:hAnsi="Segoe UI" w:cs="Segoe UI"/>
          <w:sz w:val="20"/>
          <w:lang w:val="el-GR" w:eastAsia="el-GR" w:bidi="el-GR"/>
        </w:rPr>
        <w:t xml:space="preserve">το </w:t>
      </w:r>
      <w:r w:rsidR="007E5BC9">
        <w:rPr>
          <w:rFonts w:ascii="Segoe UI" w:hAnsi="Segoe UI" w:cs="Segoe UI"/>
          <w:sz w:val="20"/>
          <w:lang w:val="el-GR" w:eastAsia="el-GR" w:bidi="el-GR"/>
        </w:rPr>
        <w:t>προηγούμενο τρίμηνο</w:t>
      </w:r>
      <w:r w:rsidR="00FA36D1" w:rsidRPr="00A6792B">
        <w:rPr>
          <w:rFonts w:ascii="Segoe UI" w:hAnsi="Segoe UI" w:cs="Segoe UI"/>
          <w:sz w:val="20"/>
          <w:lang w:val="el-GR" w:eastAsia="el-GR" w:bidi="el-GR"/>
        </w:rPr>
        <w:t xml:space="preserve">, </w:t>
      </w:r>
      <w:r w:rsidR="006B4840">
        <w:rPr>
          <w:rFonts w:ascii="Segoe UI" w:hAnsi="Segoe UI" w:cs="Segoe UI"/>
          <w:sz w:val="20"/>
          <w:lang w:val="el-GR" w:eastAsia="el-GR" w:bidi="el-GR"/>
        </w:rPr>
        <w:t xml:space="preserve">θετικά επηρεαζόμενες από </w:t>
      </w:r>
      <w:r w:rsidR="00A72E83">
        <w:rPr>
          <w:rFonts w:ascii="Segoe UI" w:hAnsi="Segoe UI" w:cs="Segoe UI"/>
          <w:sz w:val="20"/>
          <w:lang w:val="el-GR" w:eastAsia="el-GR" w:bidi="el-GR"/>
        </w:rPr>
        <w:t xml:space="preserve">τη μείωση των </w:t>
      </w:r>
      <w:r w:rsidR="00574C26">
        <w:rPr>
          <w:rFonts w:ascii="Segoe UI" w:hAnsi="Segoe UI" w:cs="Segoe UI"/>
          <w:sz w:val="20"/>
          <w:lang w:val="el-GR" w:eastAsia="el-GR" w:bidi="el-GR"/>
        </w:rPr>
        <w:t>ζημιών από χρηματοοικονομικές πράξεις &amp; τίτλους επενδυτικού χαρτοφυλακίου</w:t>
      </w:r>
      <w:r w:rsidR="009D0F47" w:rsidRPr="009D0F47">
        <w:rPr>
          <w:rFonts w:ascii="Segoe UI" w:hAnsi="Segoe UI"/>
          <w:sz w:val="20"/>
          <w:lang w:val="el-GR"/>
        </w:rPr>
        <w:t>(€26</w:t>
      </w:r>
      <w:r w:rsidR="009D0F47">
        <w:rPr>
          <w:rFonts w:ascii="Segoe UI" w:hAnsi="Segoe UI"/>
          <w:sz w:val="20"/>
          <w:lang w:val="el-GR"/>
        </w:rPr>
        <w:t xml:space="preserve"> εκατ. </w:t>
      </w:r>
      <w:r w:rsidR="0002597A" w:rsidRPr="0002597A">
        <w:rPr>
          <w:rFonts w:ascii="Segoe UI" w:hAnsi="Segoe UI"/>
          <w:sz w:val="20"/>
          <w:lang w:val="el-GR"/>
        </w:rPr>
        <w:t xml:space="preserve">το </w:t>
      </w:r>
      <w:r w:rsidR="0002597A">
        <w:rPr>
          <w:rFonts w:ascii="Segoe UI" w:hAnsi="Segoe UI"/>
          <w:sz w:val="20"/>
          <w:lang w:val="el-GR"/>
        </w:rPr>
        <w:t>Γ</w:t>
      </w:r>
      <w:r w:rsidR="0002597A" w:rsidRPr="0002597A">
        <w:rPr>
          <w:rFonts w:ascii="Segoe UI" w:hAnsi="Segoe UI"/>
          <w:sz w:val="20"/>
          <w:lang w:val="el-GR"/>
        </w:rPr>
        <w:t>’ τρίμηνο του 2016</w:t>
      </w:r>
      <w:r w:rsidR="009D0F47">
        <w:rPr>
          <w:rFonts w:ascii="Segoe UI" w:hAnsi="Segoe UI"/>
          <w:sz w:val="20"/>
          <w:lang w:val="el-GR"/>
        </w:rPr>
        <w:t xml:space="preserve">από </w:t>
      </w:r>
      <w:r w:rsidR="009D0F47" w:rsidRPr="009D0F47">
        <w:rPr>
          <w:rFonts w:ascii="Segoe UI" w:hAnsi="Segoe UI"/>
          <w:sz w:val="20"/>
          <w:lang w:val="el-GR"/>
        </w:rPr>
        <w:t>€57</w:t>
      </w:r>
      <w:r w:rsidR="009D0F47">
        <w:rPr>
          <w:rFonts w:ascii="Segoe UI" w:hAnsi="Segoe UI"/>
          <w:sz w:val="20"/>
          <w:lang w:val="el-GR"/>
        </w:rPr>
        <w:t xml:space="preserve"> εκατ. </w:t>
      </w:r>
      <w:r w:rsidR="0002597A">
        <w:rPr>
          <w:rFonts w:ascii="Segoe UI" w:hAnsi="Segoe UI" w:cs="Segoe UI"/>
          <w:sz w:val="20"/>
          <w:lang w:val="el-GR" w:eastAsia="el-GR" w:bidi="el-GR"/>
        </w:rPr>
        <w:t>προηγούμενο τρίμηνο</w:t>
      </w:r>
      <w:r w:rsidR="009D0F47" w:rsidRPr="009D0F47">
        <w:rPr>
          <w:rFonts w:ascii="Segoe UI" w:hAnsi="Segoe UI"/>
          <w:sz w:val="20"/>
          <w:lang w:val="el-GR"/>
        </w:rPr>
        <w:t>)</w:t>
      </w:r>
      <w:r w:rsidR="00574C26">
        <w:rPr>
          <w:rFonts w:ascii="Segoe UI" w:hAnsi="Segoe UI" w:cs="Segoe UI"/>
          <w:sz w:val="20"/>
          <w:lang w:val="el-GR" w:eastAsia="el-GR" w:bidi="el-GR"/>
        </w:rPr>
        <w:t xml:space="preserve">, </w:t>
      </w:r>
      <w:r w:rsidR="0006780F">
        <w:rPr>
          <w:rFonts w:ascii="Segoe UI" w:hAnsi="Segoe UI" w:cs="Segoe UI"/>
          <w:sz w:val="20"/>
          <w:lang w:val="el-GR" w:eastAsia="el-GR" w:bidi="el-GR"/>
        </w:rPr>
        <w:t xml:space="preserve">καθώς και τη μείωση </w:t>
      </w:r>
      <w:r w:rsidR="006B4840">
        <w:rPr>
          <w:rFonts w:ascii="Segoe UI" w:hAnsi="Segoe UI" w:cs="Segoe UI"/>
          <w:sz w:val="20"/>
          <w:lang w:val="el-GR" w:eastAsia="el-GR" w:bidi="el-GR"/>
        </w:rPr>
        <w:t>των προβλέψεων για</w:t>
      </w:r>
      <w:r w:rsidR="00AE37F9" w:rsidRPr="00AE37F9">
        <w:rPr>
          <w:rFonts w:ascii="Segoe UI" w:hAnsi="Segoe UI" w:cs="Segoe UI"/>
          <w:sz w:val="20"/>
          <w:lang w:val="el-GR" w:eastAsia="el-GR" w:bidi="el-GR"/>
        </w:rPr>
        <w:t>επισφαλ</w:t>
      </w:r>
      <w:r w:rsidR="009D0F47">
        <w:rPr>
          <w:rFonts w:ascii="Segoe UI" w:hAnsi="Segoe UI" w:cs="Segoe UI"/>
          <w:sz w:val="20"/>
          <w:lang w:val="el-GR" w:eastAsia="el-GR" w:bidi="el-GR"/>
        </w:rPr>
        <w:t>ή δάνεια</w:t>
      </w:r>
      <w:r w:rsidR="0002597A">
        <w:rPr>
          <w:rFonts w:ascii="Segoe UI" w:hAnsi="Segoe UI" w:cs="Segoe UI"/>
          <w:sz w:val="20"/>
          <w:lang w:val="el-GR" w:eastAsia="el-GR" w:bidi="el-GR"/>
        </w:rPr>
        <w:t xml:space="preserve"> (€162 εκατ. από €188 εκατ. το</w:t>
      </w:r>
      <w:r w:rsidR="0002597A">
        <w:rPr>
          <w:rFonts w:ascii="Segoe UI" w:hAnsi="Segoe UI"/>
          <w:sz w:val="20"/>
          <w:lang w:val="el-GR"/>
        </w:rPr>
        <w:t>Β’ τρίμηνο του 2016</w:t>
      </w:r>
      <w:r w:rsidR="0002597A">
        <w:rPr>
          <w:rFonts w:ascii="Segoe UI" w:hAnsi="Segoe UI" w:cs="Segoe UI"/>
          <w:sz w:val="20"/>
          <w:lang w:val="el-GR" w:eastAsia="el-GR" w:bidi="el-GR"/>
        </w:rPr>
        <w:t>).</w:t>
      </w:r>
    </w:p>
    <w:p w:rsidR="00910D5E" w:rsidRPr="00A6792B" w:rsidRDefault="00910D5E" w:rsidP="004929D8">
      <w:pPr>
        <w:autoSpaceDE w:val="0"/>
        <w:autoSpaceDN w:val="0"/>
        <w:adjustRightInd w:val="0"/>
        <w:spacing w:after="160" w:line="320" w:lineRule="atLeast"/>
        <w:jc w:val="both"/>
        <w:rPr>
          <w:rFonts w:ascii="Segoe UI" w:hAnsi="Segoe UI" w:cs="Segoe UI"/>
          <w:sz w:val="20"/>
          <w:u w:val="single"/>
          <w:lang w:val="el-GR" w:eastAsia="el-GR" w:bidi="el-GR"/>
        </w:rPr>
      </w:pPr>
      <w:r w:rsidRPr="00A6792B">
        <w:rPr>
          <w:rFonts w:ascii="Segoe UI" w:hAnsi="Segoe UI" w:cs="Segoe UI"/>
          <w:sz w:val="20"/>
          <w:u w:val="single"/>
          <w:lang w:val="el-GR" w:eastAsia="el-GR" w:bidi="el-GR"/>
        </w:rPr>
        <w:t>ΝΑ Ευρώπη και λοιπές χώρες</w:t>
      </w:r>
      <w:r w:rsidR="00013421" w:rsidRPr="00A6792B">
        <w:rPr>
          <w:rFonts w:ascii="Segoe UI" w:hAnsi="Segoe UI" w:cs="Segoe UI"/>
          <w:sz w:val="20"/>
          <w:u w:val="single"/>
          <w:vertAlign w:val="superscript"/>
          <w:lang w:val="el-GR" w:eastAsia="el-GR" w:bidi="el-GR"/>
        </w:rPr>
        <w:t>1</w:t>
      </w:r>
      <w:r w:rsidRPr="00A6792B">
        <w:rPr>
          <w:rFonts w:ascii="Segoe UI" w:hAnsi="Segoe UI" w:cs="Segoe UI"/>
          <w:sz w:val="20"/>
          <w:u w:val="single"/>
          <w:lang w:val="el-GR" w:eastAsia="el-GR" w:bidi="el-GR"/>
        </w:rPr>
        <w:t xml:space="preserve"> (συνεχιζόμενες δραστηριότητες): </w:t>
      </w:r>
    </w:p>
    <w:p w:rsidR="00C6487E" w:rsidRPr="00A6792B" w:rsidRDefault="00EC6DA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Στη ΝΑ</w:t>
      </w:r>
      <w:r w:rsidR="005E2A8A">
        <w:rPr>
          <w:rFonts w:ascii="Segoe UI" w:hAnsi="Segoe UI" w:cs="Segoe UI"/>
          <w:sz w:val="20"/>
          <w:lang w:val="el-GR" w:eastAsia="el-GR" w:bidi="el-GR"/>
        </w:rPr>
        <w:t xml:space="preserve"> Ευρώπη και τις λοιπές χώρες, ο Όμιλος </w:t>
      </w:r>
      <w:r w:rsidRPr="00A6792B">
        <w:rPr>
          <w:rFonts w:ascii="Segoe UI" w:hAnsi="Segoe UI" w:cs="Segoe UI"/>
          <w:sz w:val="20"/>
          <w:lang w:val="el-GR" w:eastAsia="el-GR" w:bidi="el-GR"/>
        </w:rPr>
        <w:t>σημείωσε</w:t>
      </w:r>
      <w:r w:rsidR="00950AFD" w:rsidRPr="00A6792B">
        <w:rPr>
          <w:rFonts w:ascii="Segoe UI" w:hAnsi="Segoe UI" w:cs="Segoe UI"/>
          <w:sz w:val="20"/>
          <w:lang w:val="el-GR" w:eastAsia="el-GR" w:bidi="el-GR"/>
        </w:rPr>
        <w:t xml:space="preserve"> κέρδη μετά από φόρους ύψους €</w:t>
      </w:r>
      <w:r w:rsidR="00386A9B">
        <w:rPr>
          <w:rFonts w:ascii="Segoe UI" w:hAnsi="Segoe UI" w:cs="Segoe UI"/>
          <w:sz w:val="20"/>
          <w:lang w:val="el-GR" w:eastAsia="el-GR" w:bidi="el-GR"/>
        </w:rPr>
        <w:t>28</w:t>
      </w:r>
      <w:r w:rsidRPr="00A6792B">
        <w:rPr>
          <w:rFonts w:ascii="Segoe UI" w:hAnsi="Segoe UI" w:cs="Segoe UI"/>
          <w:sz w:val="20"/>
          <w:lang w:val="el-GR" w:eastAsia="el-GR" w:bidi="el-GR"/>
        </w:rPr>
        <w:t xml:space="preserve"> εκατ. το </w:t>
      </w:r>
      <w:r w:rsidR="00386A9B">
        <w:rPr>
          <w:rFonts w:ascii="Segoe UI" w:hAnsi="Segoe UI" w:cs="Segoe UI"/>
          <w:sz w:val="20"/>
          <w:lang w:val="el-GR" w:eastAsia="el-GR" w:bidi="el-GR"/>
        </w:rPr>
        <w:t>Γ</w:t>
      </w:r>
      <w:r w:rsidRPr="00A6792B">
        <w:rPr>
          <w:rFonts w:ascii="Segoe UI" w:hAnsi="Segoe UI" w:cs="Segoe UI"/>
          <w:sz w:val="20"/>
          <w:lang w:val="el-GR" w:eastAsia="el-GR" w:bidi="el-GR"/>
        </w:rPr>
        <w:t xml:space="preserve">΄ </w:t>
      </w:r>
      <w:r w:rsidR="00386A9B">
        <w:rPr>
          <w:rFonts w:ascii="Segoe UI" w:hAnsi="Segoe UI" w:cs="Segoe UI"/>
          <w:sz w:val="20"/>
          <w:lang w:val="el-GR" w:eastAsia="el-GR" w:bidi="el-GR"/>
        </w:rPr>
        <w:t>τρίμηνο</w:t>
      </w:r>
      <w:r w:rsidRPr="00A6792B">
        <w:rPr>
          <w:rFonts w:ascii="Segoe UI" w:hAnsi="Segoe UI" w:cs="Segoe UI"/>
          <w:sz w:val="20"/>
          <w:lang w:val="el-GR" w:eastAsia="el-GR" w:bidi="el-GR"/>
        </w:rPr>
        <w:t xml:space="preserve"> του 2016 </w:t>
      </w:r>
      <w:r w:rsidR="00632779">
        <w:rPr>
          <w:rFonts w:ascii="Segoe UI" w:hAnsi="Segoe UI" w:cs="Segoe UI"/>
          <w:sz w:val="20"/>
          <w:lang w:val="el-GR" w:eastAsia="el-GR" w:bidi="el-GR"/>
        </w:rPr>
        <w:t xml:space="preserve">από </w:t>
      </w:r>
      <w:r w:rsidRPr="00A6792B">
        <w:rPr>
          <w:rFonts w:ascii="Segoe UI" w:hAnsi="Segoe UI" w:cs="Segoe UI"/>
          <w:sz w:val="20"/>
          <w:lang w:val="el-GR" w:eastAsia="el-GR" w:bidi="el-GR"/>
        </w:rPr>
        <w:t>€</w:t>
      </w:r>
      <w:r w:rsidR="00386A9B">
        <w:rPr>
          <w:rFonts w:ascii="Segoe UI" w:hAnsi="Segoe UI" w:cs="Segoe UI"/>
          <w:sz w:val="20"/>
          <w:lang w:val="el-GR" w:eastAsia="el-GR" w:bidi="el-GR"/>
        </w:rPr>
        <w:t>26</w:t>
      </w:r>
      <w:r w:rsidRPr="00A6792B">
        <w:rPr>
          <w:rFonts w:ascii="Segoe UI" w:hAnsi="Segoe UI" w:cs="Segoe UI"/>
          <w:sz w:val="20"/>
          <w:lang w:val="el-GR" w:eastAsia="el-GR" w:bidi="el-GR"/>
        </w:rPr>
        <w:t xml:space="preserve"> εκατ. </w:t>
      </w:r>
      <w:r w:rsidR="00147209" w:rsidRPr="00A6792B">
        <w:rPr>
          <w:rFonts w:ascii="Segoe UI" w:hAnsi="Segoe UI" w:cs="Segoe UI"/>
          <w:sz w:val="20"/>
          <w:lang w:val="el-GR" w:eastAsia="el-GR" w:bidi="el-GR"/>
        </w:rPr>
        <w:t xml:space="preserve">το </w:t>
      </w:r>
      <w:r w:rsidRPr="00A6792B">
        <w:rPr>
          <w:rFonts w:ascii="Segoe UI" w:hAnsi="Segoe UI" w:cs="Segoe UI"/>
          <w:sz w:val="20"/>
          <w:lang w:val="el-GR" w:eastAsia="el-GR" w:bidi="el-GR"/>
        </w:rPr>
        <w:t>προηγούμενο</w:t>
      </w:r>
      <w:r w:rsidR="00386A9B">
        <w:rPr>
          <w:rFonts w:ascii="Segoe UI" w:hAnsi="Segoe UI" w:cs="Segoe UI"/>
          <w:sz w:val="20"/>
          <w:lang w:val="el-GR" w:eastAsia="el-GR" w:bidi="el-GR"/>
        </w:rPr>
        <w:t xml:space="preserve"> τρίμηνο</w:t>
      </w:r>
      <w:r w:rsidR="00B60B8B">
        <w:rPr>
          <w:rFonts w:ascii="Segoe UI" w:hAnsi="Segoe UI" w:cs="Segoe UI"/>
          <w:sz w:val="20"/>
          <w:lang w:val="el-GR" w:eastAsia="el-GR" w:bidi="el-GR"/>
        </w:rPr>
        <w:t xml:space="preserve"> και €27 εκατ. το Α’ τρίμηνο του 2016</w:t>
      </w:r>
      <w:r w:rsidR="00D10A10" w:rsidRPr="00A6792B">
        <w:rPr>
          <w:rFonts w:ascii="Segoe UI" w:hAnsi="Segoe UI" w:cs="Segoe UI"/>
          <w:sz w:val="20"/>
          <w:lang w:val="el-GR" w:eastAsia="el-GR" w:bidi="el-GR"/>
        </w:rPr>
        <w:t xml:space="preserve">. </w:t>
      </w:r>
    </w:p>
    <w:p w:rsidR="00A6792B" w:rsidRDefault="00A6792B" w:rsidP="004929D8">
      <w:pPr>
        <w:autoSpaceDE w:val="0"/>
        <w:autoSpaceDN w:val="0"/>
        <w:adjustRightInd w:val="0"/>
        <w:spacing w:after="160" w:line="320" w:lineRule="atLeast"/>
        <w:jc w:val="both"/>
        <w:rPr>
          <w:rFonts w:ascii="Segoe UI" w:hAnsi="Segoe UI" w:cs="Segoe UI"/>
          <w:b/>
          <w:sz w:val="20"/>
          <w:lang w:val="el-GR" w:eastAsia="el-GR" w:bidi="el-GR"/>
        </w:rPr>
      </w:pPr>
    </w:p>
    <w:p w:rsidR="00C6487E" w:rsidRPr="00A6792B" w:rsidRDefault="00622E18" w:rsidP="004929D8">
      <w:pPr>
        <w:autoSpaceDE w:val="0"/>
        <w:autoSpaceDN w:val="0"/>
        <w:adjustRightInd w:val="0"/>
        <w:spacing w:after="160" w:line="320" w:lineRule="atLeast"/>
        <w:jc w:val="both"/>
        <w:rPr>
          <w:rFonts w:ascii="Segoe UI" w:hAnsi="Segoe UI" w:cs="Segoe UI"/>
          <w:b/>
          <w:sz w:val="20"/>
          <w:lang w:val="el-GR" w:eastAsia="el-GR" w:bidi="el-GR"/>
        </w:rPr>
      </w:pPr>
      <w:r>
        <w:rPr>
          <w:rFonts w:ascii="Segoe UI" w:hAnsi="Segoe UI" w:cs="Segoe UI"/>
          <w:b/>
          <w:sz w:val="20"/>
          <w:lang w:val="el-GR" w:eastAsia="el-GR" w:bidi="el-GR"/>
        </w:rPr>
        <w:t>Τα Μη Ε</w:t>
      </w:r>
      <w:r w:rsidR="00127EB1" w:rsidRPr="00A6792B">
        <w:rPr>
          <w:rFonts w:ascii="Segoe UI" w:hAnsi="Segoe UI" w:cs="Segoe UI"/>
          <w:b/>
          <w:sz w:val="20"/>
          <w:lang w:val="el-GR" w:eastAsia="el-GR" w:bidi="el-GR"/>
        </w:rPr>
        <w:t>ξυπηρετούμεν</w:t>
      </w:r>
      <w:r>
        <w:rPr>
          <w:rFonts w:ascii="Segoe UI" w:hAnsi="Segoe UI" w:cs="Segoe UI"/>
          <w:b/>
          <w:sz w:val="20"/>
          <w:lang w:val="el-GR" w:eastAsia="el-GR" w:bidi="el-GR"/>
        </w:rPr>
        <w:t xml:space="preserve">α Ανοίγματα </w:t>
      </w:r>
      <w:r w:rsidR="00127EB1" w:rsidRPr="00A6792B">
        <w:rPr>
          <w:rFonts w:ascii="Segoe UI" w:hAnsi="Segoe UI" w:cs="Segoe UI"/>
          <w:b/>
          <w:sz w:val="20"/>
          <w:lang w:val="el-GR" w:eastAsia="el-GR" w:bidi="el-GR"/>
        </w:rPr>
        <w:t>μειών</w:t>
      </w:r>
      <w:r>
        <w:rPr>
          <w:rFonts w:ascii="Segoe UI" w:hAnsi="Segoe UI" w:cs="Segoe UI"/>
          <w:b/>
          <w:sz w:val="20"/>
          <w:lang w:val="el-GR" w:eastAsia="el-GR" w:bidi="el-GR"/>
        </w:rPr>
        <w:t xml:space="preserve">ονται </w:t>
      </w:r>
      <w:r w:rsidR="00127EB1" w:rsidRPr="00A6792B">
        <w:rPr>
          <w:rFonts w:ascii="Segoe UI" w:hAnsi="Segoe UI" w:cs="Segoe UI"/>
          <w:b/>
          <w:sz w:val="20"/>
          <w:lang w:val="el-GR" w:eastAsia="el-GR" w:bidi="el-GR"/>
        </w:rPr>
        <w:t xml:space="preserve">για </w:t>
      </w:r>
      <w:r>
        <w:rPr>
          <w:rFonts w:ascii="Segoe UI" w:hAnsi="Segoe UI" w:cs="Segoe UI"/>
          <w:b/>
          <w:sz w:val="20"/>
          <w:lang w:val="el-GR" w:eastAsia="el-GR" w:bidi="el-GR"/>
        </w:rPr>
        <w:t>δεύτερο συνεχιζόμενο τρίμηνο</w:t>
      </w:r>
    </w:p>
    <w:p w:rsidR="003B0A7B" w:rsidRDefault="003B0A7B" w:rsidP="003B0A7B">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n-US" w:eastAsia="el-GR" w:bidi="el-GR"/>
        </w:rPr>
        <w:lastRenderedPageBreak/>
        <w:t>T</w:t>
      </w:r>
      <w:r w:rsidRPr="00A6792B">
        <w:rPr>
          <w:rFonts w:ascii="Segoe UI" w:hAnsi="Segoe UI" w:cs="Segoe UI"/>
          <w:sz w:val="20"/>
          <w:lang w:val="el-GR" w:eastAsia="el-GR" w:bidi="el-GR"/>
        </w:rPr>
        <w:t xml:space="preserve">α </w:t>
      </w:r>
      <w:r>
        <w:rPr>
          <w:rFonts w:ascii="Segoe UI" w:hAnsi="Segoe UI" w:cs="Segoe UI"/>
          <w:sz w:val="20"/>
          <w:lang w:val="el-GR" w:eastAsia="el-GR" w:bidi="el-GR"/>
        </w:rPr>
        <w:t>Μ</w:t>
      </w:r>
      <w:r w:rsidRPr="00A6792B">
        <w:rPr>
          <w:rFonts w:ascii="Segoe UI" w:hAnsi="Segoe UI" w:cs="Segoe UI"/>
          <w:sz w:val="20"/>
          <w:lang w:val="el-GR" w:eastAsia="el-GR" w:bidi="el-GR"/>
        </w:rPr>
        <w:t xml:space="preserve">η </w:t>
      </w:r>
      <w:r>
        <w:rPr>
          <w:rFonts w:ascii="Segoe UI" w:hAnsi="Segoe UI" w:cs="Segoe UI"/>
          <w:sz w:val="20"/>
          <w:lang w:val="el-GR" w:eastAsia="el-GR" w:bidi="el-GR"/>
        </w:rPr>
        <w:t>Ε</w:t>
      </w:r>
      <w:r w:rsidRPr="00A6792B">
        <w:rPr>
          <w:rFonts w:ascii="Segoe UI" w:hAnsi="Segoe UI" w:cs="Segoe UI"/>
          <w:sz w:val="20"/>
          <w:lang w:val="el-GR" w:eastAsia="el-GR" w:bidi="el-GR"/>
        </w:rPr>
        <w:t xml:space="preserve">ξυπηρετούμενα </w:t>
      </w:r>
      <w:r>
        <w:rPr>
          <w:rFonts w:ascii="Segoe UI" w:hAnsi="Segoe UI" w:cs="Segoe UI"/>
          <w:sz w:val="20"/>
          <w:lang w:val="el-GR" w:eastAsia="el-GR" w:bidi="el-GR"/>
        </w:rPr>
        <w:t>Α</w:t>
      </w:r>
      <w:r w:rsidRPr="00A6792B">
        <w:rPr>
          <w:rFonts w:ascii="Segoe UI" w:hAnsi="Segoe UI" w:cs="Segoe UI"/>
          <w:sz w:val="20"/>
          <w:lang w:val="el-GR" w:eastAsia="el-GR" w:bidi="el-GR"/>
        </w:rPr>
        <w:t xml:space="preserve">νοίγματα </w:t>
      </w:r>
      <w:r w:rsidR="007E6856">
        <w:rPr>
          <w:rFonts w:ascii="Segoe UI" w:hAnsi="Segoe UI" w:cs="Segoe UI"/>
          <w:sz w:val="20"/>
          <w:lang w:val="el-GR" w:eastAsia="el-GR" w:bidi="el-GR"/>
        </w:rPr>
        <w:t xml:space="preserve">στην Ελλάδα </w:t>
      </w:r>
      <w:r w:rsidRPr="00A6792B">
        <w:rPr>
          <w:rFonts w:ascii="Segoe UI" w:hAnsi="Segoe UI" w:cs="Segoe UI"/>
          <w:sz w:val="20"/>
          <w:lang w:val="el-GR" w:eastAsia="el-GR" w:bidi="el-GR"/>
        </w:rPr>
        <w:t xml:space="preserve">μειώθηκαν </w:t>
      </w:r>
      <w:r>
        <w:rPr>
          <w:rFonts w:ascii="Segoe UI" w:hAnsi="Segoe UI" w:cs="Segoe UI"/>
          <w:sz w:val="20"/>
          <w:lang w:val="el-GR" w:eastAsia="el-GR" w:bidi="el-GR"/>
        </w:rPr>
        <w:t xml:space="preserve">για δεύτερο συνεχόμενο τρίμηνο </w:t>
      </w:r>
      <w:r w:rsidRPr="00A6792B">
        <w:rPr>
          <w:rFonts w:ascii="Segoe UI" w:hAnsi="Segoe UI" w:cs="Segoe UI"/>
          <w:sz w:val="20"/>
          <w:lang w:val="el-GR" w:eastAsia="el-GR" w:bidi="el-GR"/>
        </w:rPr>
        <w:t>κατά €</w:t>
      </w:r>
      <w:r>
        <w:rPr>
          <w:rFonts w:ascii="Segoe UI" w:hAnsi="Segoe UI" w:cs="Segoe UI"/>
          <w:sz w:val="20"/>
          <w:lang w:val="el-GR" w:eastAsia="el-GR" w:bidi="el-GR"/>
        </w:rPr>
        <w:t>1</w:t>
      </w:r>
      <w:r w:rsidRPr="00A6792B">
        <w:rPr>
          <w:rFonts w:ascii="Segoe UI" w:hAnsi="Segoe UI" w:cs="Segoe UI"/>
          <w:sz w:val="20"/>
          <w:lang w:val="el-GR" w:eastAsia="el-GR" w:bidi="el-GR"/>
        </w:rPr>
        <w:t xml:space="preserve"> δισ. σε τριμηνιαία βάση</w:t>
      </w:r>
      <w:r>
        <w:rPr>
          <w:rFonts w:ascii="Segoe UI" w:hAnsi="Segoe UI" w:cs="Segoe UI"/>
          <w:sz w:val="20"/>
          <w:lang w:val="el-GR" w:eastAsia="el-GR" w:bidi="el-GR"/>
        </w:rPr>
        <w:t>.</w:t>
      </w:r>
      <w:r w:rsidRPr="004D7B22">
        <w:rPr>
          <w:rFonts w:ascii="Segoe UI" w:hAnsi="Segoe UI" w:cs="Segoe UI"/>
          <w:sz w:val="20"/>
          <w:lang w:val="el-GR" w:eastAsia="el-GR" w:bidi="el-GR"/>
        </w:rPr>
        <w:t>Από την αρχή του έτους, η συνολική μείωση των Μη Εξυπηρετούμενων Ανοιγμάτων ανέρχεται σε €1,9 δισ.</w:t>
      </w:r>
      <w:r>
        <w:rPr>
          <w:rFonts w:ascii="Segoe UI" w:hAnsi="Segoe UI" w:cs="Segoe UI"/>
          <w:sz w:val="20"/>
          <w:lang w:val="el-GR" w:eastAsia="el-GR" w:bidi="el-GR"/>
        </w:rPr>
        <w:t xml:space="preserve">, αντανακλώντας </w:t>
      </w:r>
      <w:r w:rsidRPr="007E7BA5">
        <w:rPr>
          <w:rFonts w:ascii="Segoe UI" w:hAnsi="Segoe UI" w:cs="Segoe UI"/>
          <w:sz w:val="20"/>
          <w:lang w:val="el-GR" w:eastAsia="el-GR" w:bidi="el-GR"/>
        </w:rPr>
        <w:t xml:space="preserve">τις επιτυχημένες αναδιαρθρώσεις και τις διαγραφές </w:t>
      </w:r>
      <w:r w:rsidR="00636F02">
        <w:rPr>
          <w:rFonts w:ascii="Segoe UI" w:hAnsi="Segoe UI" w:cs="Segoe UI"/>
          <w:sz w:val="20"/>
          <w:lang w:val="el-GR" w:eastAsia="el-GR" w:bidi="el-GR"/>
        </w:rPr>
        <w:t xml:space="preserve">πλήρως καλυμμένων από προβλέψεις </w:t>
      </w:r>
      <w:r w:rsidRPr="007E7BA5">
        <w:rPr>
          <w:rFonts w:ascii="Segoe UI" w:hAnsi="Segoe UI" w:cs="Segoe UI"/>
          <w:sz w:val="20"/>
          <w:lang w:val="el-GR" w:eastAsia="el-GR" w:bidi="el-GR"/>
        </w:rPr>
        <w:t>δανείων</w:t>
      </w:r>
      <w:r w:rsidRPr="00A6792B">
        <w:rPr>
          <w:rFonts w:ascii="Segoe UI" w:hAnsi="Segoe UI" w:cs="Segoe UI"/>
          <w:sz w:val="20"/>
          <w:lang w:val="el-GR" w:eastAsia="el-GR" w:bidi="el-GR"/>
        </w:rPr>
        <w:t xml:space="preserve">. Κατά συνέπεια, ο δείκτης </w:t>
      </w:r>
      <w:r>
        <w:rPr>
          <w:rFonts w:ascii="Segoe UI" w:hAnsi="Segoe UI" w:cs="Segoe UI"/>
          <w:sz w:val="20"/>
          <w:lang w:val="el-GR" w:eastAsia="el-GR" w:bidi="el-GR"/>
        </w:rPr>
        <w:t>Μ</w:t>
      </w:r>
      <w:r w:rsidRPr="00A6792B">
        <w:rPr>
          <w:rFonts w:ascii="Segoe UI" w:hAnsi="Segoe UI" w:cs="Segoe UI"/>
          <w:sz w:val="20"/>
          <w:lang w:val="el-GR" w:eastAsia="el-GR" w:bidi="el-GR"/>
        </w:rPr>
        <w:t xml:space="preserve">η </w:t>
      </w:r>
      <w:r>
        <w:rPr>
          <w:rFonts w:ascii="Segoe UI" w:hAnsi="Segoe UI" w:cs="Segoe UI"/>
          <w:sz w:val="20"/>
          <w:lang w:val="el-GR" w:eastAsia="el-GR" w:bidi="el-GR"/>
        </w:rPr>
        <w:t>Ε</w:t>
      </w:r>
      <w:r w:rsidRPr="00A6792B">
        <w:rPr>
          <w:rFonts w:ascii="Segoe UI" w:hAnsi="Segoe UI" w:cs="Segoe UI"/>
          <w:sz w:val="20"/>
          <w:lang w:val="el-GR" w:eastAsia="el-GR" w:bidi="el-GR"/>
        </w:rPr>
        <w:t xml:space="preserve">ξυπηρετούμενων </w:t>
      </w:r>
      <w:r>
        <w:rPr>
          <w:rFonts w:ascii="Segoe UI" w:hAnsi="Segoe UI" w:cs="Segoe UI"/>
          <w:sz w:val="20"/>
          <w:lang w:val="el-GR" w:eastAsia="el-GR" w:bidi="el-GR"/>
        </w:rPr>
        <w:t>Α</w:t>
      </w:r>
      <w:r w:rsidRPr="00A6792B">
        <w:rPr>
          <w:rFonts w:ascii="Segoe UI" w:hAnsi="Segoe UI" w:cs="Segoe UI"/>
          <w:sz w:val="20"/>
          <w:lang w:val="el-GR" w:eastAsia="el-GR" w:bidi="el-GR"/>
        </w:rPr>
        <w:t xml:space="preserve">νοιγμάτων μειώθηκε σε </w:t>
      </w:r>
      <w:r>
        <w:rPr>
          <w:rFonts w:ascii="Segoe UI" w:hAnsi="Segoe UI" w:cs="Segoe UI"/>
          <w:sz w:val="20"/>
          <w:lang w:val="el-GR" w:eastAsia="el-GR" w:bidi="el-GR"/>
        </w:rPr>
        <w:t>46,4</w:t>
      </w:r>
      <w:r w:rsidRPr="00A6792B">
        <w:rPr>
          <w:rFonts w:ascii="Segoe UI" w:hAnsi="Segoe UI" w:cs="Segoe UI"/>
          <w:sz w:val="20"/>
          <w:lang w:val="el-GR" w:eastAsia="el-GR" w:bidi="el-GR"/>
        </w:rPr>
        <w:t xml:space="preserve">% </w:t>
      </w:r>
      <w:r>
        <w:rPr>
          <w:rFonts w:ascii="Segoe UI" w:hAnsi="Segoe UI" w:cs="Segoe UI"/>
          <w:sz w:val="20"/>
          <w:lang w:val="el-GR" w:eastAsia="el-GR" w:bidi="el-GR"/>
        </w:rPr>
        <w:t xml:space="preserve">στην Ελλάδα </w:t>
      </w:r>
      <w:r w:rsidR="0071084A">
        <w:rPr>
          <w:rFonts w:ascii="Segoe UI" w:hAnsi="Segoe UI" w:cs="Segoe UI"/>
          <w:sz w:val="20"/>
          <w:lang w:val="el-GR" w:eastAsia="el-GR" w:bidi="el-GR"/>
        </w:rPr>
        <w:t xml:space="preserve">το Γ’ τρίμηνο του 2016 </w:t>
      </w:r>
      <w:r w:rsidRPr="00A6792B">
        <w:rPr>
          <w:rFonts w:ascii="Segoe UI" w:hAnsi="Segoe UI" w:cs="Segoe UI"/>
          <w:sz w:val="20"/>
          <w:lang w:val="el-GR" w:eastAsia="el-GR" w:bidi="el-GR"/>
        </w:rPr>
        <w:t xml:space="preserve">από </w:t>
      </w:r>
      <w:r>
        <w:rPr>
          <w:rFonts w:ascii="Segoe UI" w:hAnsi="Segoe UI" w:cs="Segoe UI"/>
          <w:sz w:val="20"/>
          <w:lang w:val="el-GR" w:eastAsia="el-GR" w:bidi="el-GR"/>
        </w:rPr>
        <w:t xml:space="preserve">47,9% </w:t>
      </w:r>
      <w:r w:rsidRPr="00A6792B">
        <w:rPr>
          <w:rFonts w:ascii="Segoe UI" w:hAnsi="Segoe UI" w:cs="Segoe UI"/>
          <w:sz w:val="20"/>
          <w:lang w:val="el-GR" w:eastAsia="el-GR" w:bidi="el-GR"/>
        </w:rPr>
        <w:t xml:space="preserve">το </w:t>
      </w:r>
      <w:r w:rsidR="0071084A">
        <w:rPr>
          <w:rFonts w:ascii="Segoe UI" w:hAnsi="Segoe UI" w:cs="Segoe UI"/>
          <w:sz w:val="20"/>
          <w:lang w:val="el-GR" w:eastAsia="el-GR" w:bidi="el-GR"/>
        </w:rPr>
        <w:t xml:space="preserve">προηγούμενο </w:t>
      </w:r>
      <w:r w:rsidRPr="00A6792B">
        <w:rPr>
          <w:rFonts w:ascii="Segoe UI" w:hAnsi="Segoe UI" w:cs="Segoe UI"/>
          <w:sz w:val="20"/>
          <w:lang w:val="el-GR" w:eastAsia="el-GR" w:bidi="el-GR"/>
        </w:rPr>
        <w:t xml:space="preserve">τρίμηνο, με </w:t>
      </w:r>
      <w:r>
        <w:rPr>
          <w:rFonts w:ascii="Segoe UI" w:hAnsi="Segoe UI" w:cs="Segoe UI"/>
          <w:sz w:val="20"/>
          <w:lang w:val="el-GR" w:eastAsia="el-GR" w:bidi="el-GR"/>
        </w:rPr>
        <w:t xml:space="preserve">το ποσοστό </w:t>
      </w:r>
      <w:r w:rsidRPr="00A6792B">
        <w:rPr>
          <w:rFonts w:ascii="Segoe UI" w:hAnsi="Segoe UI" w:cs="Segoe UI"/>
          <w:sz w:val="20"/>
          <w:lang w:val="el-GR" w:eastAsia="el-GR" w:bidi="el-GR"/>
        </w:rPr>
        <w:t>κάλυψη</w:t>
      </w:r>
      <w:r>
        <w:rPr>
          <w:rFonts w:ascii="Segoe UI" w:hAnsi="Segoe UI" w:cs="Segoe UI"/>
          <w:sz w:val="20"/>
          <w:lang w:val="el-GR" w:eastAsia="el-GR" w:bidi="el-GR"/>
        </w:rPr>
        <w:t>ς</w:t>
      </w:r>
      <w:r w:rsidRPr="00062B7A">
        <w:rPr>
          <w:rFonts w:ascii="Segoe UI" w:hAnsi="Segoe UI" w:cs="Segoe UI"/>
          <w:sz w:val="20"/>
          <w:lang w:val="el-GR" w:eastAsia="el-GR" w:bidi="el-GR"/>
        </w:rPr>
        <w:t xml:space="preserve">από σωρευμένες προβλέψεις </w:t>
      </w:r>
      <w:r w:rsidRPr="00A6792B">
        <w:rPr>
          <w:rFonts w:ascii="Segoe UI" w:hAnsi="Segoe UI" w:cs="Segoe UI"/>
          <w:sz w:val="20"/>
          <w:lang w:val="el-GR" w:eastAsia="el-GR" w:bidi="el-GR"/>
        </w:rPr>
        <w:t xml:space="preserve">να διαμορφώνεται σε </w:t>
      </w:r>
      <w:r>
        <w:rPr>
          <w:rFonts w:ascii="Segoe UI" w:hAnsi="Segoe UI" w:cs="Segoe UI"/>
          <w:sz w:val="20"/>
          <w:lang w:val="el-GR" w:eastAsia="el-GR" w:bidi="el-GR"/>
        </w:rPr>
        <w:t>56,8</w:t>
      </w:r>
      <w:r w:rsidRPr="00A6792B">
        <w:rPr>
          <w:rFonts w:ascii="Segoe UI" w:hAnsi="Segoe UI" w:cs="Segoe UI"/>
          <w:sz w:val="20"/>
          <w:lang w:val="el-GR" w:eastAsia="el-GR" w:bidi="el-GR"/>
        </w:rPr>
        <w:t>% (+1</w:t>
      </w:r>
      <w:r>
        <w:rPr>
          <w:rFonts w:ascii="Segoe UI" w:hAnsi="Segoe UI" w:cs="Segoe UI"/>
          <w:sz w:val="20"/>
          <w:lang w:val="el-GR" w:eastAsia="el-GR" w:bidi="el-GR"/>
        </w:rPr>
        <w:t>8</w:t>
      </w:r>
      <w:r w:rsidRPr="00A6792B">
        <w:rPr>
          <w:rFonts w:ascii="Segoe UI" w:hAnsi="Segoe UI" w:cs="Segoe UI"/>
          <w:sz w:val="20"/>
          <w:lang w:val="el-GR" w:eastAsia="el-GR" w:bidi="el-GR"/>
        </w:rPr>
        <w:t>0 μ.β. σε σχέση με το προηγούμενο τρίμηνο), στα υψηλότερα επίπεδα του εγχώριου τραπεζικού κλάδου</w:t>
      </w:r>
      <w:r w:rsidRPr="00A6792B">
        <w:rPr>
          <w:rFonts w:ascii="Segoe UI" w:hAnsi="Segoe UI" w:cs="Segoe UI"/>
          <w:sz w:val="20"/>
          <w:vertAlign w:val="superscript"/>
          <w:lang w:val="el-GR" w:eastAsia="el-GR" w:bidi="el-GR"/>
        </w:rPr>
        <w:t>1</w:t>
      </w:r>
      <w:r w:rsidRPr="00A6792B">
        <w:rPr>
          <w:rFonts w:ascii="Segoe UI" w:hAnsi="Segoe UI" w:cs="Segoe UI"/>
          <w:sz w:val="20"/>
          <w:lang w:val="el-GR" w:eastAsia="el-GR" w:bidi="el-GR"/>
        </w:rPr>
        <w:t>.</w:t>
      </w:r>
    </w:p>
    <w:p w:rsidR="00FA7E3A" w:rsidRPr="00A6792B" w:rsidRDefault="007B098D"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Σε επίπεδο Ομίλου, ο ρυθμός δημιουργίας νέων δανείων σε καθυστέρηση άνω των 90 ημερών </w:t>
      </w:r>
      <w:r w:rsidR="0009771F">
        <w:rPr>
          <w:rFonts w:ascii="Segoe UI" w:hAnsi="Segoe UI" w:cs="Segoe UI"/>
          <w:sz w:val="20"/>
          <w:lang w:val="el-GR" w:eastAsia="el-GR" w:bidi="el-GR"/>
        </w:rPr>
        <w:t xml:space="preserve">ανήλθε σε €191 εκατ. </w:t>
      </w:r>
      <w:r w:rsidR="00481DA3" w:rsidRPr="00A6792B">
        <w:rPr>
          <w:rFonts w:ascii="Segoe UI" w:hAnsi="Segoe UI" w:cs="Segoe UI"/>
          <w:sz w:val="20"/>
          <w:lang w:val="el-GR" w:eastAsia="el-GR" w:bidi="el-GR"/>
        </w:rPr>
        <w:t xml:space="preserve">το </w:t>
      </w:r>
      <w:r w:rsidR="0009771F">
        <w:rPr>
          <w:rFonts w:ascii="Segoe UI" w:hAnsi="Segoe UI" w:cs="Segoe UI"/>
          <w:sz w:val="20"/>
          <w:lang w:val="el-GR" w:eastAsia="el-GR" w:bidi="el-GR"/>
        </w:rPr>
        <w:t>Γ</w:t>
      </w:r>
      <w:r w:rsidR="00481DA3" w:rsidRPr="00A6792B">
        <w:rPr>
          <w:rFonts w:ascii="Segoe UI" w:hAnsi="Segoe UI" w:cs="Segoe UI"/>
          <w:sz w:val="20"/>
          <w:lang w:val="el-GR" w:eastAsia="el-GR" w:bidi="el-GR"/>
        </w:rPr>
        <w:t xml:space="preserve">΄ τρίμηνο του 2016, </w:t>
      </w:r>
      <w:r w:rsidR="00B446DD" w:rsidRPr="00B446DD">
        <w:rPr>
          <w:rFonts w:ascii="Segoe UI" w:hAnsi="Segoe UI" w:cs="Segoe UI"/>
          <w:sz w:val="20"/>
          <w:lang w:val="el-GR" w:eastAsia="el-GR" w:bidi="el-GR"/>
        </w:rPr>
        <w:t>αντανακλώντας την εγχώρια αγορά, όπου τα νέα δάνεια σε καθυστέρηση άνω των 90 ημερών διαμορφώθηκαν σε €</w:t>
      </w:r>
      <w:r w:rsidR="00B446DD">
        <w:rPr>
          <w:rFonts w:ascii="Segoe UI" w:hAnsi="Segoe UI" w:cs="Segoe UI"/>
          <w:sz w:val="20"/>
          <w:lang w:val="el-GR" w:eastAsia="el-GR" w:bidi="el-GR"/>
        </w:rPr>
        <w:t>188</w:t>
      </w:r>
      <w:r w:rsidR="00B446DD" w:rsidRPr="00B446DD">
        <w:rPr>
          <w:rFonts w:ascii="Segoe UI" w:hAnsi="Segoe UI" w:cs="Segoe UI"/>
          <w:sz w:val="20"/>
          <w:lang w:val="el-GR" w:eastAsia="el-GR" w:bidi="el-GR"/>
        </w:rPr>
        <w:t xml:space="preserve"> εκατ. </w:t>
      </w:r>
      <w:r w:rsidR="00B446DD">
        <w:rPr>
          <w:rFonts w:ascii="Segoe UI" w:hAnsi="Segoe UI" w:cs="Segoe UI"/>
          <w:sz w:val="20"/>
          <w:lang w:val="el-GR" w:eastAsia="el-GR" w:bidi="el-GR"/>
        </w:rPr>
        <w:t xml:space="preserve">έναντιτου μηδενικού </w:t>
      </w:r>
      <w:r w:rsidR="00B446DD" w:rsidRPr="00A6792B">
        <w:rPr>
          <w:rFonts w:ascii="Segoe UI" w:hAnsi="Segoe UI" w:cs="Segoe UI"/>
          <w:sz w:val="20"/>
          <w:lang w:val="el-GR" w:eastAsia="el-GR" w:bidi="el-GR"/>
        </w:rPr>
        <w:t>ρυθμ</w:t>
      </w:r>
      <w:r w:rsidR="00B446DD">
        <w:rPr>
          <w:rFonts w:ascii="Segoe UI" w:hAnsi="Segoe UI" w:cs="Segoe UI"/>
          <w:sz w:val="20"/>
          <w:lang w:val="el-GR" w:eastAsia="el-GR" w:bidi="el-GR"/>
        </w:rPr>
        <w:t>ού</w:t>
      </w:r>
      <w:r w:rsidR="00B446DD" w:rsidRPr="00A6792B">
        <w:rPr>
          <w:rFonts w:ascii="Segoe UI" w:hAnsi="Segoe UI" w:cs="Segoe UI"/>
          <w:sz w:val="20"/>
          <w:lang w:val="el-GR" w:eastAsia="el-GR" w:bidi="el-GR"/>
        </w:rPr>
        <w:t xml:space="preserve"> δημιουργίας νέων </w:t>
      </w:r>
      <w:r w:rsidR="00B446DD">
        <w:rPr>
          <w:rFonts w:ascii="Segoe UI" w:hAnsi="Segoe UI" w:cs="Segoe UI"/>
          <w:sz w:val="20"/>
          <w:lang w:val="el-GR" w:eastAsia="el-GR" w:bidi="el-GR"/>
        </w:rPr>
        <w:t xml:space="preserve">επισφαλειών </w:t>
      </w:r>
      <w:r w:rsidR="00B446DD" w:rsidRPr="00A6792B">
        <w:rPr>
          <w:rFonts w:ascii="Segoe UI" w:hAnsi="Segoe UI" w:cs="Segoe UI"/>
          <w:sz w:val="20"/>
          <w:lang w:val="el-GR" w:eastAsia="el-GR" w:bidi="el-GR"/>
        </w:rPr>
        <w:t>το</w:t>
      </w:r>
      <w:r w:rsidR="00B446DD">
        <w:rPr>
          <w:rFonts w:ascii="Segoe UI" w:hAnsi="Segoe UI" w:cs="Segoe UI"/>
          <w:sz w:val="20"/>
          <w:lang w:val="el-GR" w:eastAsia="el-GR" w:bidi="el-GR"/>
        </w:rPr>
        <w:t xml:space="preserve"> προηγούμενο </w:t>
      </w:r>
      <w:r w:rsidR="00B446DD" w:rsidRPr="00A6792B">
        <w:rPr>
          <w:rFonts w:ascii="Segoe UI" w:hAnsi="Segoe UI" w:cs="Segoe UI"/>
          <w:sz w:val="20"/>
          <w:lang w:val="el-GR" w:eastAsia="el-GR" w:bidi="el-GR"/>
        </w:rPr>
        <w:t>τρίμηνο</w:t>
      </w:r>
      <w:r w:rsidR="00B446DD" w:rsidRPr="00B446DD">
        <w:rPr>
          <w:rFonts w:ascii="Segoe UI" w:hAnsi="Segoe UI" w:cs="Segoe UI"/>
          <w:sz w:val="20"/>
          <w:lang w:val="el-GR" w:eastAsia="el-GR" w:bidi="el-GR"/>
        </w:rPr>
        <w:t xml:space="preserve">. Η εξέλιξη αυτή οφείλεται </w:t>
      </w:r>
      <w:r w:rsidR="00B446DD">
        <w:rPr>
          <w:rFonts w:ascii="Segoe UI" w:hAnsi="Segoe UI" w:cs="Segoe UI"/>
          <w:sz w:val="20"/>
          <w:lang w:val="el-GR" w:eastAsia="el-GR" w:bidi="el-GR"/>
        </w:rPr>
        <w:t xml:space="preserve">στην </w:t>
      </w:r>
      <w:r w:rsidR="0025167A">
        <w:rPr>
          <w:rFonts w:ascii="Segoe UI" w:hAnsi="Segoe UI" w:cs="Segoe UI"/>
          <w:sz w:val="20"/>
          <w:lang w:val="el-GR" w:eastAsia="el-GR" w:bidi="el-GR"/>
        </w:rPr>
        <w:t xml:space="preserve">αύξηση του </w:t>
      </w:r>
      <w:r w:rsidR="0025167A" w:rsidRPr="00A6792B">
        <w:rPr>
          <w:rFonts w:ascii="Segoe UI" w:hAnsi="Segoe UI" w:cs="Segoe UI"/>
          <w:sz w:val="20"/>
          <w:lang w:val="el-GR" w:eastAsia="el-GR" w:bidi="el-GR"/>
        </w:rPr>
        <w:t>ρυθμ</w:t>
      </w:r>
      <w:r w:rsidR="0025167A">
        <w:rPr>
          <w:rFonts w:ascii="Segoe UI" w:hAnsi="Segoe UI" w:cs="Segoe UI"/>
          <w:sz w:val="20"/>
          <w:lang w:val="el-GR" w:eastAsia="el-GR" w:bidi="el-GR"/>
        </w:rPr>
        <w:t xml:space="preserve">ού </w:t>
      </w:r>
      <w:r w:rsidR="0025167A" w:rsidRPr="00A6792B">
        <w:rPr>
          <w:rFonts w:ascii="Segoe UI" w:hAnsi="Segoe UI" w:cs="Segoe UI"/>
          <w:sz w:val="20"/>
          <w:lang w:val="el-GR" w:eastAsia="el-GR" w:bidi="el-GR"/>
        </w:rPr>
        <w:t xml:space="preserve">δημιουργίας νέων επιχειρηματικών επισφαλειών </w:t>
      </w:r>
      <w:r w:rsidR="0025167A">
        <w:rPr>
          <w:rFonts w:ascii="Segoe UI" w:hAnsi="Segoe UI" w:cs="Segoe UI"/>
          <w:sz w:val="20"/>
          <w:lang w:val="el-GR" w:eastAsia="el-GR" w:bidi="el-GR"/>
        </w:rPr>
        <w:t xml:space="preserve">σε </w:t>
      </w:r>
      <w:r w:rsidR="0025167A" w:rsidRPr="00A6792B">
        <w:rPr>
          <w:rFonts w:ascii="Segoe UI" w:hAnsi="Segoe UI" w:cs="Segoe UI"/>
          <w:sz w:val="20"/>
          <w:lang w:val="el-GR" w:eastAsia="el-GR" w:bidi="el-GR"/>
        </w:rPr>
        <w:t>€</w:t>
      </w:r>
      <w:r w:rsidR="0025167A">
        <w:rPr>
          <w:rFonts w:ascii="Segoe UI" w:hAnsi="Segoe UI" w:cs="Segoe UI"/>
          <w:sz w:val="20"/>
          <w:lang w:val="el-GR" w:eastAsia="el-GR" w:bidi="el-GR"/>
        </w:rPr>
        <w:t>280</w:t>
      </w:r>
      <w:r w:rsidR="0025167A" w:rsidRPr="00A6792B">
        <w:rPr>
          <w:rFonts w:ascii="Segoe UI" w:hAnsi="Segoe UI" w:cs="Segoe UI"/>
          <w:sz w:val="20"/>
          <w:lang w:val="el-GR" w:eastAsia="el-GR" w:bidi="el-GR"/>
        </w:rPr>
        <w:t xml:space="preserve"> εκατ. από €</w:t>
      </w:r>
      <w:r w:rsidR="0025167A">
        <w:rPr>
          <w:rFonts w:ascii="Segoe UI" w:hAnsi="Segoe UI" w:cs="Segoe UI"/>
          <w:sz w:val="20"/>
          <w:lang w:val="el-GR" w:eastAsia="el-GR" w:bidi="el-GR"/>
        </w:rPr>
        <w:t>106</w:t>
      </w:r>
      <w:r w:rsidR="0025167A" w:rsidRPr="00A6792B">
        <w:rPr>
          <w:rFonts w:ascii="Segoe UI" w:hAnsi="Segoe UI" w:cs="Segoe UI"/>
          <w:sz w:val="20"/>
          <w:lang w:val="el-GR" w:eastAsia="el-GR" w:bidi="el-GR"/>
        </w:rPr>
        <w:t xml:space="preserve"> εκατ. στο </w:t>
      </w:r>
      <w:r w:rsidR="0025167A">
        <w:rPr>
          <w:rFonts w:ascii="Segoe UI" w:hAnsi="Segoe UI" w:cs="Segoe UI"/>
          <w:sz w:val="20"/>
          <w:lang w:val="el-GR" w:eastAsia="el-GR" w:bidi="el-GR"/>
        </w:rPr>
        <w:t>Β</w:t>
      </w:r>
      <w:r w:rsidR="0025167A" w:rsidRPr="00A6792B">
        <w:rPr>
          <w:rFonts w:ascii="Segoe UI" w:hAnsi="Segoe UI" w:cs="Segoe UI"/>
          <w:sz w:val="20"/>
          <w:lang w:val="el-GR" w:eastAsia="el-GR" w:bidi="el-GR"/>
        </w:rPr>
        <w:t>΄ τρίμηνο του 2016</w:t>
      </w:r>
      <w:r w:rsidR="0025167A" w:rsidRPr="009A25D5">
        <w:rPr>
          <w:rFonts w:ascii="Segoe UI" w:hAnsi="Segoe UI" w:cs="Segoe UI"/>
          <w:sz w:val="20"/>
          <w:lang w:val="el-GR" w:eastAsia="el-GR" w:bidi="el-GR"/>
        </w:rPr>
        <w:t xml:space="preserve">, καθώς ένας μικρός αριθμός </w:t>
      </w:r>
      <w:r w:rsidR="00F243CB">
        <w:rPr>
          <w:rFonts w:ascii="Segoe UI" w:hAnsi="Segoe UI" w:cs="Segoe UI"/>
          <w:sz w:val="20"/>
          <w:lang w:val="el-GR" w:eastAsia="el-GR" w:bidi="el-GR"/>
        </w:rPr>
        <w:t>μεγάλων</w:t>
      </w:r>
      <w:r w:rsidR="0025167A" w:rsidRPr="009A25D5">
        <w:rPr>
          <w:rFonts w:ascii="Segoe UI" w:hAnsi="Segoe UI" w:cs="Segoe UI"/>
          <w:sz w:val="20"/>
          <w:lang w:val="el-GR" w:eastAsia="el-GR" w:bidi="el-GR"/>
        </w:rPr>
        <w:t xml:space="preserve">επιχειρηματικών δανείων </w:t>
      </w:r>
      <w:r w:rsidR="004E41CF">
        <w:rPr>
          <w:rFonts w:ascii="Segoe UI" w:hAnsi="Segoe UI" w:cs="Segoe UI"/>
          <w:sz w:val="20"/>
          <w:lang w:val="el-GR" w:eastAsia="el-GR" w:bidi="el-GR"/>
        </w:rPr>
        <w:t xml:space="preserve">υπερέβηκε </w:t>
      </w:r>
      <w:r w:rsidR="003B0A7B">
        <w:rPr>
          <w:rFonts w:ascii="Segoe UI" w:hAnsi="Segoe UI" w:cs="Segoe UI"/>
          <w:sz w:val="20"/>
          <w:lang w:val="el-GR" w:eastAsia="el-GR" w:bidi="el-GR"/>
        </w:rPr>
        <w:t>τις 90 ημέρες καθυστέρηση</w:t>
      </w:r>
      <w:r w:rsidR="0025167A" w:rsidRPr="009A25D5">
        <w:rPr>
          <w:rFonts w:ascii="Segoe UI" w:hAnsi="Segoe UI" w:cs="Segoe UI"/>
          <w:sz w:val="20"/>
          <w:lang w:val="el-GR" w:eastAsia="el-GR" w:bidi="el-GR"/>
        </w:rPr>
        <w:t>.</w:t>
      </w:r>
      <w:r w:rsidR="004D7B22">
        <w:rPr>
          <w:rFonts w:ascii="Segoe UI" w:hAnsi="Segoe UI" w:cs="Segoe UI"/>
          <w:sz w:val="20"/>
          <w:lang w:val="el-GR" w:eastAsia="el-GR" w:bidi="el-GR"/>
        </w:rPr>
        <w:t xml:space="preserve">Αντιθέτως, </w:t>
      </w:r>
      <w:r w:rsidR="00481DA3" w:rsidRPr="00A6792B">
        <w:rPr>
          <w:rFonts w:ascii="Segoe UI" w:hAnsi="Segoe UI" w:cs="Segoe UI"/>
          <w:sz w:val="20"/>
          <w:lang w:val="el-GR" w:eastAsia="el-GR" w:bidi="el-GR"/>
        </w:rPr>
        <w:t xml:space="preserve">η δημιουργία νέων δανείων σε καθυστέρηση άνω των 90 ημερών στη Λιανική τραπεζική </w:t>
      </w:r>
      <w:r w:rsidR="00385643" w:rsidRPr="004D7B22">
        <w:rPr>
          <w:rFonts w:ascii="Segoe UI" w:hAnsi="Segoe UI" w:cs="Segoe UI"/>
          <w:sz w:val="20"/>
          <w:lang w:val="el-GR" w:eastAsia="el-GR" w:bidi="el-GR"/>
        </w:rPr>
        <w:t>διατηρήθηκε</w:t>
      </w:r>
      <w:r w:rsidR="00481DA3" w:rsidRPr="004D7B22">
        <w:rPr>
          <w:rFonts w:ascii="Segoe UI" w:hAnsi="Segoe UI" w:cs="Segoe UI"/>
          <w:sz w:val="20"/>
          <w:lang w:val="el-GR" w:eastAsia="el-GR" w:bidi="el-GR"/>
        </w:rPr>
        <w:t xml:space="preserve"> σε αρνητικά επίπεδα </w:t>
      </w:r>
      <w:r w:rsidR="00385643" w:rsidRPr="004D7B22">
        <w:rPr>
          <w:rFonts w:ascii="Segoe UI" w:hAnsi="Segoe UI" w:cs="Segoe UI"/>
          <w:sz w:val="20"/>
          <w:lang w:val="el-GR" w:eastAsia="el-GR" w:bidi="el-GR"/>
        </w:rPr>
        <w:t>(-€9</w:t>
      </w:r>
      <w:r w:rsidR="004D7B22" w:rsidRPr="004D7B22">
        <w:rPr>
          <w:rFonts w:ascii="Segoe UI" w:hAnsi="Segoe UI" w:cs="Segoe UI"/>
          <w:sz w:val="20"/>
          <w:lang w:val="el-GR" w:eastAsia="el-GR" w:bidi="el-GR"/>
        </w:rPr>
        <w:t>2</w:t>
      </w:r>
      <w:r w:rsidR="00385643" w:rsidRPr="004D7B22">
        <w:rPr>
          <w:rFonts w:ascii="Segoe UI" w:hAnsi="Segoe UI" w:cs="Segoe UI"/>
          <w:sz w:val="20"/>
          <w:lang w:val="el-GR" w:eastAsia="el-GR" w:bidi="el-GR"/>
        </w:rPr>
        <w:t xml:space="preserve"> εκατ.), </w:t>
      </w:r>
      <w:r w:rsidR="00EB7678" w:rsidRPr="00EB7678">
        <w:rPr>
          <w:rFonts w:ascii="Segoe UI" w:hAnsi="Segoe UI" w:cs="Segoe UI"/>
          <w:sz w:val="20"/>
          <w:lang w:val="el-GR" w:eastAsia="el-GR" w:bidi="el-GR"/>
        </w:rPr>
        <w:t xml:space="preserve">ως αποτέλεσμα των θετικών τάσεων στη </w:t>
      </w:r>
      <w:r w:rsidR="004D7B22" w:rsidRPr="00EB7678">
        <w:rPr>
          <w:rFonts w:ascii="Segoe UI" w:hAnsi="Segoe UI" w:cs="Segoe UI"/>
          <w:sz w:val="20"/>
          <w:lang w:val="el-GR" w:eastAsia="el-GR" w:bidi="el-GR"/>
        </w:rPr>
        <w:t>δημιουργία νέων επισφαλειών, παρά τις μειωμένες αναδιαρθρώσεις δανείων το Γ’ τρίμηνο (-23% σε τριμηνιαία βάση)</w:t>
      </w:r>
      <w:r w:rsidR="00154F32" w:rsidRPr="00EB7678">
        <w:rPr>
          <w:rFonts w:ascii="Segoe UI" w:hAnsi="Segoe UI" w:cs="Segoe UI"/>
          <w:sz w:val="20"/>
          <w:lang w:val="el-GR" w:eastAsia="el-GR" w:bidi="el-GR"/>
        </w:rPr>
        <w:t>.</w:t>
      </w:r>
    </w:p>
    <w:p w:rsidR="007638B2" w:rsidRPr="00A6792B" w:rsidRDefault="002B2C2A"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Στην Ελλάδα, το</w:t>
      </w:r>
      <w:r w:rsidR="00890AD5" w:rsidRPr="00A6792B">
        <w:rPr>
          <w:rFonts w:ascii="Segoe UI" w:hAnsi="Segoe UI" w:cs="Segoe UI"/>
          <w:sz w:val="20"/>
          <w:lang w:val="el-GR" w:eastAsia="el-GR" w:bidi="el-GR"/>
        </w:rPr>
        <w:t xml:space="preserve"> κόστος </w:t>
      </w:r>
      <w:r w:rsidR="0071156B">
        <w:rPr>
          <w:rFonts w:ascii="Segoe UI" w:hAnsi="Segoe UI" w:cs="Segoe UI"/>
          <w:sz w:val="20"/>
          <w:lang w:val="el-GR" w:eastAsia="el-GR" w:bidi="el-GR"/>
        </w:rPr>
        <w:t xml:space="preserve">πιστωτικού </w:t>
      </w:r>
      <w:r w:rsidR="00890AD5" w:rsidRPr="00A6792B">
        <w:rPr>
          <w:rFonts w:ascii="Segoe UI" w:hAnsi="Segoe UI" w:cs="Segoe UI"/>
          <w:sz w:val="20"/>
          <w:lang w:val="el-GR" w:eastAsia="el-GR" w:bidi="el-GR"/>
        </w:rPr>
        <w:t xml:space="preserve">κινδύνου </w:t>
      </w:r>
      <w:r w:rsidR="00777C69" w:rsidRPr="00A6792B">
        <w:rPr>
          <w:rFonts w:ascii="Segoe UI" w:hAnsi="Segoe UI" w:cs="Segoe UI"/>
          <w:sz w:val="20"/>
          <w:lang w:val="el-GR" w:eastAsia="el-GR" w:bidi="el-GR"/>
        </w:rPr>
        <w:t>διαμορφώθηκε σε 2</w:t>
      </w:r>
      <w:r w:rsidR="00CA294C">
        <w:rPr>
          <w:rFonts w:ascii="Segoe UI" w:hAnsi="Segoe UI" w:cs="Segoe UI"/>
          <w:sz w:val="20"/>
          <w:lang w:val="el-GR" w:eastAsia="el-GR" w:bidi="el-GR"/>
        </w:rPr>
        <w:t>01</w:t>
      </w:r>
      <w:r w:rsidR="00890AD5" w:rsidRPr="00A6792B">
        <w:rPr>
          <w:rFonts w:ascii="Segoe UI" w:hAnsi="Segoe UI" w:cs="Segoe UI"/>
          <w:sz w:val="20"/>
          <w:lang w:val="el-GR" w:eastAsia="el-GR" w:bidi="el-GR"/>
        </w:rPr>
        <w:t xml:space="preserve">μ.β. </w:t>
      </w:r>
      <w:r>
        <w:rPr>
          <w:rFonts w:ascii="Segoe UI" w:hAnsi="Segoe UI" w:cs="Segoe UI"/>
          <w:sz w:val="20"/>
          <w:lang w:val="el-GR" w:eastAsia="el-GR" w:bidi="el-GR"/>
        </w:rPr>
        <w:t xml:space="preserve">το Γ’ τρίμηνο του 2016 </w:t>
      </w:r>
      <w:r w:rsidR="00EA6937">
        <w:rPr>
          <w:rFonts w:ascii="Segoe UI" w:hAnsi="Segoe UI" w:cs="Segoe UI"/>
          <w:sz w:val="20"/>
          <w:lang w:val="el-GR" w:eastAsia="el-GR" w:bidi="el-GR"/>
        </w:rPr>
        <w:t xml:space="preserve">από </w:t>
      </w:r>
      <w:r w:rsidR="00CA294C">
        <w:rPr>
          <w:rFonts w:ascii="Segoe UI" w:hAnsi="Segoe UI" w:cs="Segoe UI"/>
          <w:sz w:val="20"/>
          <w:lang w:val="el-GR" w:eastAsia="el-GR" w:bidi="el-GR"/>
        </w:rPr>
        <w:t>231</w:t>
      </w:r>
      <w:r w:rsidR="00777C69" w:rsidRPr="00A6792B">
        <w:rPr>
          <w:rFonts w:ascii="Segoe UI" w:hAnsi="Segoe UI" w:cs="Segoe UI"/>
          <w:sz w:val="20"/>
          <w:lang w:val="el-GR" w:eastAsia="el-GR" w:bidi="el-GR"/>
        </w:rPr>
        <w:t>μ.β.</w:t>
      </w:r>
      <w:r w:rsidR="00E60984" w:rsidRPr="00A6792B">
        <w:rPr>
          <w:rFonts w:ascii="Segoe UI" w:hAnsi="Segoe UI" w:cs="Segoe UI"/>
          <w:sz w:val="20"/>
          <w:lang w:val="el-GR" w:eastAsia="el-GR" w:bidi="el-GR"/>
        </w:rPr>
        <w:t xml:space="preserve"> το προηγούμενο</w:t>
      </w:r>
      <w:r w:rsidR="007C5802" w:rsidRPr="00A6792B">
        <w:rPr>
          <w:rFonts w:ascii="Segoe UI" w:hAnsi="Segoe UI" w:cs="Segoe UI"/>
          <w:sz w:val="20"/>
          <w:lang w:val="el-GR" w:eastAsia="el-GR" w:bidi="el-GR"/>
        </w:rPr>
        <w:t xml:space="preserve"> τρίμηνο</w:t>
      </w:r>
      <w:r>
        <w:rPr>
          <w:rFonts w:ascii="Segoe UI" w:hAnsi="Segoe UI" w:cs="Segoe UI"/>
          <w:sz w:val="20"/>
          <w:lang w:val="el-GR" w:eastAsia="el-GR" w:bidi="el-GR"/>
        </w:rPr>
        <w:t xml:space="preserve"> και σε 198</w:t>
      </w:r>
      <w:r w:rsidRPr="00A6792B">
        <w:rPr>
          <w:rFonts w:ascii="Segoe UI" w:hAnsi="Segoe UI" w:cs="Segoe UI"/>
          <w:sz w:val="20"/>
          <w:lang w:val="el-GR" w:eastAsia="el-GR" w:bidi="el-GR"/>
        </w:rPr>
        <w:t xml:space="preserve"> μ.β</w:t>
      </w:r>
      <w:r w:rsidR="00777C69" w:rsidRPr="00A6792B">
        <w:rPr>
          <w:rFonts w:ascii="Segoe UI" w:hAnsi="Segoe UI" w:cs="Segoe UI"/>
          <w:sz w:val="20"/>
          <w:lang w:val="el-GR" w:eastAsia="el-GR" w:bidi="el-GR"/>
        </w:rPr>
        <w:t>.</w:t>
      </w:r>
      <w:r>
        <w:rPr>
          <w:rFonts w:ascii="Segoe UI" w:hAnsi="Segoe UI" w:cs="Segoe UI"/>
          <w:sz w:val="20"/>
          <w:lang w:val="el-GR" w:eastAsia="el-GR" w:bidi="el-GR"/>
        </w:rPr>
        <w:t xml:space="preserve"> σε επίπεδο </w:t>
      </w:r>
      <w:r w:rsidR="00CA294C">
        <w:rPr>
          <w:rFonts w:ascii="Segoe UI" w:hAnsi="Segoe UI" w:cs="Segoe UI"/>
          <w:sz w:val="20"/>
          <w:lang w:val="el-GR" w:eastAsia="el-GR" w:bidi="el-GR"/>
        </w:rPr>
        <w:t>εννι</w:t>
      </w:r>
      <w:r>
        <w:rPr>
          <w:rFonts w:ascii="Segoe UI" w:hAnsi="Segoe UI" w:cs="Segoe UI"/>
          <w:sz w:val="20"/>
          <w:lang w:val="el-GR" w:eastAsia="el-GR" w:bidi="el-GR"/>
        </w:rPr>
        <w:t xml:space="preserve">αμήνου. </w:t>
      </w:r>
      <w:r w:rsidR="00890AD5" w:rsidRPr="00A6792B">
        <w:rPr>
          <w:rFonts w:ascii="Segoe UI" w:hAnsi="Segoe UI" w:cs="Segoe UI"/>
          <w:sz w:val="20"/>
          <w:lang w:val="el-GR" w:eastAsia="el-GR" w:bidi="el-GR"/>
        </w:rPr>
        <w:t xml:space="preserve">Ο δείκτης κάλυψης δανείων σε καθυστέρηση άνω των 90 ημερών </w:t>
      </w:r>
      <w:r w:rsidR="004A6972">
        <w:rPr>
          <w:rFonts w:ascii="Segoe UI" w:hAnsi="Segoe UI" w:cs="Segoe UI"/>
          <w:sz w:val="20"/>
          <w:lang w:val="el-GR" w:eastAsia="el-GR" w:bidi="el-GR"/>
        </w:rPr>
        <w:t xml:space="preserve">από σωρευμένες προβλέψεις </w:t>
      </w:r>
      <w:r w:rsidR="008B3AB5">
        <w:rPr>
          <w:rFonts w:ascii="Segoe UI" w:hAnsi="Segoe UI" w:cs="Segoe UI"/>
          <w:sz w:val="20"/>
          <w:lang w:val="el-GR" w:eastAsia="el-GR" w:bidi="el-GR"/>
        </w:rPr>
        <w:t>διαμορφώθηκε</w:t>
      </w:r>
      <w:r w:rsidR="00064C4F" w:rsidRPr="00A6792B">
        <w:rPr>
          <w:rFonts w:ascii="Segoe UI" w:hAnsi="Segoe UI" w:cs="Segoe UI"/>
          <w:sz w:val="20"/>
          <w:lang w:val="el-GR" w:eastAsia="el-GR" w:bidi="el-GR"/>
        </w:rPr>
        <w:t xml:space="preserve"> σε </w:t>
      </w:r>
      <w:r w:rsidR="007E6856">
        <w:rPr>
          <w:rFonts w:ascii="Segoe UI" w:hAnsi="Segoe UI" w:cs="Segoe UI"/>
          <w:sz w:val="20"/>
          <w:lang w:val="el-GR" w:eastAsia="el-GR" w:bidi="el-GR"/>
        </w:rPr>
        <w:t>74,5</w:t>
      </w:r>
      <w:r w:rsidR="00890AD5" w:rsidRPr="00A6792B">
        <w:rPr>
          <w:rFonts w:ascii="Segoe UI" w:hAnsi="Segoe UI" w:cs="Segoe UI"/>
          <w:sz w:val="20"/>
          <w:lang w:val="el-GR" w:eastAsia="el-GR" w:bidi="el-GR"/>
        </w:rPr>
        <w:t xml:space="preserve">% στην Ελλάδα και σε </w:t>
      </w:r>
      <w:r w:rsidR="007E6856">
        <w:rPr>
          <w:rFonts w:ascii="Segoe UI" w:hAnsi="Segoe UI" w:cs="Segoe UI"/>
          <w:sz w:val="20"/>
          <w:lang w:val="el-GR" w:eastAsia="el-GR" w:bidi="el-GR"/>
        </w:rPr>
        <w:t>72,9</w:t>
      </w:r>
      <w:r w:rsidR="00890AD5" w:rsidRPr="00A6792B">
        <w:rPr>
          <w:rFonts w:ascii="Segoe UI" w:hAnsi="Segoe UI" w:cs="Segoe UI"/>
          <w:sz w:val="20"/>
          <w:lang w:val="el-GR" w:eastAsia="el-GR" w:bidi="el-GR"/>
        </w:rPr>
        <w:t xml:space="preserve">% σε επίπεδο Ομίλου, στα υψηλότερα </w:t>
      </w:r>
      <w:r w:rsidR="00487A52" w:rsidRPr="00A6792B">
        <w:rPr>
          <w:rFonts w:ascii="Segoe UI" w:hAnsi="Segoe UI" w:cs="Segoe UI"/>
          <w:sz w:val="20"/>
          <w:lang w:val="el-GR" w:eastAsia="el-GR" w:bidi="el-GR"/>
        </w:rPr>
        <w:t xml:space="preserve">επίπεδα </w:t>
      </w:r>
      <w:r w:rsidR="00890AD5" w:rsidRPr="00A6792B">
        <w:rPr>
          <w:rFonts w:ascii="Segoe UI" w:hAnsi="Segoe UI" w:cs="Segoe UI"/>
          <w:sz w:val="20"/>
          <w:lang w:val="el-GR" w:eastAsia="el-GR" w:bidi="el-GR"/>
        </w:rPr>
        <w:t>του κλάδου</w:t>
      </w:r>
      <w:r w:rsidR="004929D8" w:rsidRPr="00A6792B">
        <w:rPr>
          <w:rStyle w:val="a9"/>
          <w:rFonts w:ascii="Segoe UI" w:hAnsi="Segoe UI" w:cs="Segoe UI"/>
          <w:sz w:val="20"/>
          <w:lang w:val="el-GR" w:eastAsia="el-GR" w:bidi="el-GR"/>
        </w:rPr>
        <w:footnoteReference w:id="3"/>
      </w:r>
      <w:r w:rsidR="00890AD5" w:rsidRPr="00A6792B">
        <w:rPr>
          <w:rFonts w:ascii="Segoe UI" w:hAnsi="Segoe UI" w:cs="Segoe UI"/>
          <w:sz w:val="20"/>
          <w:lang w:val="el-GR" w:eastAsia="el-GR" w:bidi="el-GR"/>
        </w:rPr>
        <w:t xml:space="preserve">. </w:t>
      </w:r>
    </w:p>
    <w:p w:rsidR="00FA7E3A" w:rsidRPr="00A6792B" w:rsidRDefault="002B2393"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Στη ΝΑ Ευρώπη και τις λοιπές διεθνείς δραστηριότητες</w:t>
      </w:r>
      <w:r w:rsidR="004929D8" w:rsidRPr="00A6792B">
        <w:rPr>
          <w:rStyle w:val="a9"/>
          <w:rFonts w:ascii="Segoe UI" w:hAnsi="Segoe UI" w:cs="Segoe UI"/>
          <w:sz w:val="20"/>
          <w:lang w:val="el-GR" w:eastAsia="el-GR" w:bidi="el-GR"/>
        </w:rPr>
        <w:footnoteReference w:id="4"/>
      </w:r>
      <w:r w:rsidRPr="00A6792B">
        <w:rPr>
          <w:rFonts w:ascii="Segoe UI" w:hAnsi="Segoe UI" w:cs="Segoe UI"/>
          <w:sz w:val="20"/>
          <w:lang w:val="el-GR" w:eastAsia="el-GR" w:bidi="el-GR"/>
        </w:rPr>
        <w:t>, ο δείκτης δανείων σε καθυστέρηση ά</w:t>
      </w:r>
      <w:r w:rsidR="00E03C60" w:rsidRPr="00A6792B">
        <w:rPr>
          <w:rFonts w:ascii="Segoe UI" w:hAnsi="Segoe UI" w:cs="Segoe UI"/>
          <w:sz w:val="20"/>
          <w:lang w:val="el-GR" w:eastAsia="el-GR" w:bidi="el-GR"/>
        </w:rPr>
        <w:t xml:space="preserve">νω των 90 ημερών </w:t>
      </w:r>
      <w:r w:rsidR="002B2C2A">
        <w:rPr>
          <w:rFonts w:ascii="Segoe UI" w:hAnsi="Segoe UI" w:cs="Segoe UI"/>
          <w:sz w:val="20"/>
          <w:lang w:val="el-GR" w:eastAsia="el-GR" w:bidi="el-GR"/>
        </w:rPr>
        <w:t>μειώθηκε κατά 20 μ.β. σε τριμηνιαία βάση</w:t>
      </w:r>
      <w:r w:rsidR="00E03C60" w:rsidRPr="00A6792B">
        <w:rPr>
          <w:rFonts w:ascii="Segoe UI" w:hAnsi="Segoe UI" w:cs="Segoe UI"/>
          <w:sz w:val="20"/>
          <w:lang w:val="el-GR" w:eastAsia="el-GR" w:bidi="el-GR"/>
        </w:rPr>
        <w:t xml:space="preserve"> σε 26</w:t>
      </w:r>
      <w:r w:rsidRPr="00A6792B">
        <w:rPr>
          <w:rFonts w:ascii="Segoe UI" w:hAnsi="Segoe UI" w:cs="Segoe UI"/>
          <w:sz w:val="20"/>
          <w:lang w:val="el-GR" w:eastAsia="el-GR" w:bidi="el-GR"/>
        </w:rPr>
        <w:t>,</w:t>
      </w:r>
      <w:r w:rsidR="002B2C2A">
        <w:rPr>
          <w:rFonts w:ascii="Segoe UI" w:hAnsi="Segoe UI" w:cs="Segoe UI"/>
          <w:sz w:val="20"/>
          <w:lang w:val="el-GR" w:eastAsia="el-GR" w:bidi="el-GR"/>
        </w:rPr>
        <w:t>3</w:t>
      </w:r>
      <w:r w:rsidRPr="00A6792B">
        <w:rPr>
          <w:rFonts w:ascii="Segoe UI" w:hAnsi="Segoe UI" w:cs="Segoe UI"/>
          <w:sz w:val="20"/>
          <w:lang w:val="el-GR" w:eastAsia="el-GR" w:bidi="el-GR"/>
        </w:rPr>
        <w:t xml:space="preserve">% το </w:t>
      </w:r>
      <w:r w:rsidR="002B2C2A">
        <w:rPr>
          <w:rFonts w:ascii="Segoe UI" w:hAnsi="Segoe UI" w:cs="Segoe UI"/>
          <w:sz w:val="20"/>
          <w:lang w:val="el-GR" w:eastAsia="el-GR" w:bidi="el-GR"/>
        </w:rPr>
        <w:t>Γ</w:t>
      </w:r>
      <w:r w:rsidR="00E03C60" w:rsidRPr="00A6792B">
        <w:rPr>
          <w:rFonts w:ascii="Segoe UI" w:hAnsi="Segoe UI" w:cs="Segoe UI"/>
          <w:sz w:val="20"/>
          <w:lang w:val="el-GR" w:eastAsia="el-GR" w:bidi="el-GR"/>
        </w:rPr>
        <w:t>' τρίμηνο του 2016</w:t>
      </w:r>
      <w:r w:rsidRPr="00A6792B">
        <w:rPr>
          <w:rFonts w:ascii="Segoe UI" w:hAnsi="Segoe UI" w:cs="Segoe UI"/>
          <w:sz w:val="20"/>
          <w:lang w:val="el-GR" w:eastAsia="el-GR" w:bidi="el-GR"/>
        </w:rPr>
        <w:t xml:space="preserve">, με το δείκτη κάλυψης δανείων σε καθυστέρηση άνω των 90 ημερών </w:t>
      </w:r>
      <w:r w:rsidR="00142C37" w:rsidRPr="00142C37">
        <w:rPr>
          <w:rFonts w:ascii="Segoe UI" w:hAnsi="Segoe UI" w:cs="Segoe UI"/>
          <w:sz w:val="20"/>
          <w:lang w:val="el-GR" w:eastAsia="el-GR" w:bidi="el-GR"/>
        </w:rPr>
        <w:t xml:space="preserve">από σωρευμένες προβλέψεις </w:t>
      </w:r>
      <w:r w:rsidRPr="00A6792B">
        <w:rPr>
          <w:rFonts w:ascii="Segoe UI" w:hAnsi="Segoe UI" w:cs="Segoe UI"/>
          <w:sz w:val="20"/>
          <w:lang w:val="el-GR" w:eastAsia="el-GR" w:bidi="el-GR"/>
        </w:rPr>
        <w:t xml:space="preserve">να </w:t>
      </w:r>
      <w:r w:rsidR="002B2C2A">
        <w:rPr>
          <w:rFonts w:ascii="Segoe UI" w:hAnsi="Segoe UI" w:cs="Segoe UI"/>
          <w:sz w:val="20"/>
          <w:lang w:val="el-GR" w:eastAsia="el-GR" w:bidi="el-GR"/>
        </w:rPr>
        <w:t xml:space="preserve">ενισχύεται </w:t>
      </w:r>
      <w:r w:rsidRPr="00A6792B">
        <w:rPr>
          <w:rFonts w:ascii="Segoe UI" w:hAnsi="Segoe UI" w:cs="Segoe UI"/>
          <w:sz w:val="20"/>
          <w:lang w:val="el-GR" w:eastAsia="el-GR" w:bidi="el-GR"/>
        </w:rPr>
        <w:t xml:space="preserve">σε </w:t>
      </w:r>
      <w:r w:rsidR="002B2C2A">
        <w:rPr>
          <w:rFonts w:ascii="Segoe UI" w:hAnsi="Segoe UI" w:cs="Segoe UI"/>
          <w:sz w:val="20"/>
          <w:lang w:val="el-GR" w:eastAsia="el-GR" w:bidi="el-GR"/>
        </w:rPr>
        <w:t>60,1</w:t>
      </w:r>
      <w:r w:rsidR="00E03C60" w:rsidRPr="00A6792B">
        <w:rPr>
          <w:rFonts w:ascii="Segoe UI" w:hAnsi="Segoe UI" w:cs="Segoe UI"/>
          <w:sz w:val="20"/>
          <w:lang w:val="el-GR" w:eastAsia="el-GR" w:bidi="el-GR"/>
        </w:rPr>
        <w:t xml:space="preserve">% από </w:t>
      </w:r>
      <w:r w:rsidR="002B2C2A">
        <w:rPr>
          <w:rFonts w:ascii="Segoe UI" w:hAnsi="Segoe UI" w:cs="Segoe UI"/>
          <w:sz w:val="20"/>
          <w:lang w:val="el-GR" w:eastAsia="el-GR" w:bidi="el-GR"/>
        </w:rPr>
        <w:t>59,1</w:t>
      </w:r>
      <w:r w:rsidRPr="00A6792B">
        <w:rPr>
          <w:rFonts w:ascii="Segoe UI" w:hAnsi="Segoe UI" w:cs="Segoe UI"/>
          <w:sz w:val="20"/>
          <w:lang w:val="el-GR" w:eastAsia="el-GR" w:bidi="el-GR"/>
        </w:rPr>
        <w:t>% το προηγούμενο τρίμηνο.</w:t>
      </w:r>
    </w:p>
    <w:p w:rsidR="00FA7E3A" w:rsidRPr="00A6792B" w:rsidRDefault="00FA7E3A" w:rsidP="004929D8">
      <w:pPr>
        <w:autoSpaceDE w:val="0"/>
        <w:autoSpaceDN w:val="0"/>
        <w:adjustRightInd w:val="0"/>
        <w:spacing w:after="160" w:line="320" w:lineRule="atLeast"/>
        <w:jc w:val="both"/>
        <w:rPr>
          <w:rFonts w:ascii="Segoe UI" w:hAnsi="Segoe UI" w:cs="Segoe UI"/>
          <w:sz w:val="20"/>
          <w:highlight w:val="yellow"/>
          <w:lang w:val="el-GR" w:eastAsia="el-GR" w:bidi="el-GR"/>
        </w:rPr>
      </w:pPr>
    </w:p>
    <w:p w:rsidR="00216B02" w:rsidRPr="00A6792B" w:rsidRDefault="00216B02"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t>Ενισχυμένη ρευστότητα σε σχέση με τον ανταγωνισμό</w:t>
      </w:r>
      <w:r w:rsidR="00A8549C" w:rsidRPr="00A6792B">
        <w:rPr>
          <w:rFonts w:ascii="Segoe UI" w:hAnsi="Segoe UI" w:cs="Segoe UI"/>
          <w:b/>
          <w:sz w:val="20"/>
          <w:vertAlign w:val="superscript"/>
          <w:lang w:val="el-GR" w:eastAsia="el-GR" w:bidi="el-GR"/>
        </w:rPr>
        <w:t>1</w:t>
      </w:r>
    </w:p>
    <w:p w:rsidR="00216B02" w:rsidRPr="00A6792B" w:rsidRDefault="00BD4A9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Ο</w:t>
      </w:r>
      <w:r w:rsidR="00216B02" w:rsidRPr="00A6792B">
        <w:rPr>
          <w:rFonts w:ascii="Segoe UI" w:hAnsi="Segoe UI" w:cs="Segoe UI"/>
          <w:sz w:val="20"/>
          <w:lang w:val="el-GR" w:eastAsia="el-GR" w:bidi="el-GR"/>
        </w:rPr>
        <w:t>ι καταθέσεις του Ομίλου</w:t>
      </w:r>
      <w:r w:rsidR="0038121C">
        <w:rPr>
          <w:rFonts w:ascii="Segoe UI" w:hAnsi="Segoe UI" w:cs="Segoe UI"/>
          <w:sz w:val="20"/>
          <w:lang w:val="el-GR" w:eastAsia="el-GR" w:bidi="el-GR"/>
        </w:rPr>
        <w:t xml:space="preserve">αυξήθηκαν κατά 1% σε σχέση με το </w:t>
      </w:r>
      <w:r w:rsidR="0029132B">
        <w:rPr>
          <w:rFonts w:ascii="Segoe UI" w:hAnsi="Segoe UI" w:cs="Segoe UI"/>
          <w:sz w:val="20"/>
          <w:lang w:val="el-GR" w:eastAsia="el-GR" w:bidi="el-GR"/>
        </w:rPr>
        <w:t xml:space="preserve">προηγούμενο </w:t>
      </w:r>
      <w:r w:rsidR="005A6B79" w:rsidRPr="00A6792B">
        <w:rPr>
          <w:rFonts w:ascii="Segoe UI" w:hAnsi="Segoe UI" w:cs="Segoe UI"/>
          <w:sz w:val="20"/>
          <w:lang w:val="el-GR" w:eastAsia="el-GR" w:bidi="el-GR"/>
        </w:rPr>
        <w:t xml:space="preserve">τρίμηνο </w:t>
      </w:r>
      <w:r w:rsidR="00837108" w:rsidRPr="00A6792B">
        <w:rPr>
          <w:rFonts w:ascii="Segoe UI" w:hAnsi="Segoe UI" w:cs="Segoe UI"/>
          <w:sz w:val="20"/>
          <w:lang w:val="el-GR" w:eastAsia="el-GR" w:bidi="el-GR"/>
        </w:rPr>
        <w:t>και διαμορφώθηκαν</w:t>
      </w:r>
      <w:r w:rsidR="005A6B79" w:rsidRPr="00A6792B">
        <w:rPr>
          <w:rFonts w:ascii="Segoe UI" w:hAnsi="Segoe UI" w:cs="Segoe UI"/>
          <w:sz w:val="20"/>
          <w:lang w:val="el-GR" w:eastAsia="el-GR" w:bidi="el-GR"/>
        </w:rPr>
        <w:t xml:space="preserve"> σε €</w:t>
      </w:r>
      <w:r w:rsidR="00216B02" w:rsidRPr="00A6792B">
        <w:rPr>
          <w:rFonts w:ascii="Segoe UI" w:hAnsi="Segoe UI" w:cs="Segoe UI"/>
          <w:sz w:val="20"/>
          <w:lang w:val="el-GR" w:eastAsia="el-GR" w:bidi="el-GR"/>
        </w:rPr>
        <w:t>4</w:t>
      </w:r>
      <w:r w:rsidR="005A6B79" w:rsidRPr="00A6792B">
        <w:rPr>
          <w:rFonts w:ascii="Segoe UI" w:hAnsi="Segoe UI" w:cs="Segoe UI"/>
          <w:sz w:val="20"/>
          <w:lang w:val="el-GR" w:eastAsia="el-GR" w:bidi="el-GR"/>
        </w:rPr>
        <w:t>2</w:t>
      </w:r>
      <w:r w:rsidR="00216B02" w:rsidRPr="00A6792B">
        <w:rPr>
          <w:rFonts w:ascii="Segoe UI" w:hAnsi="Segoe UI" w:cs="Segoe UI"/>
          <w:sz w:val="20"/>
          <w:lang w:val="el-GR" w:eastAsia="el-GR" w:bidi="el-GR"/>
        </w:rPr>
        <w:t>,</w:t>
      </w:r>
      <w:r w:rsidR="0038121C">
        <w:rPr>
          <w:rFonts w:ascii="Segoe UI" w:hAnsi="Segoe UI" w:cs="Segoe UI"/>
          <w:sz w:val="20"/>
          <w:lang w:val="el-GR" w:eastAsia="el-GR" w:bidi="el-GR"/>
        </w:rPr>
        <w:t>6</w:t>
      </w:r>
      <w:r w:rsidR="00216B02" w:rsidRPr="00A6792B">
        <w:rPr>
          <w:rFonts w:ascii="Segoe UI" w:hAnsi="Segoe UI" w:cs="Segoe UI"/>
          <w:sz w:val="20"/>
          <w:lang w:val="el-GR" w:eastAsia="el-GR" w:bidi="el-GR"/>
        </w:rPr>
        <w:t xml:space="preserve"> δι</w:t>
      </w:r>
      <w:r w:rsidR="007C5802" w:rsidRPr="00A6792B">
        <w:rPr>
          <w:rFonts w:ascii="Segoe UI" w:hAnsi="Segoe UI" w:cs="Segoe UI"/>
          <w:sz w:val="20"/>
          <w:lang w:val="el-GR" w:eastAsia="el-GR" w:bidi="el-GR"/>
        </w:rPr>
        <w:t>σ</w:t>
      </w:r>
      <w:r w:rsidR="00C31288" w:rsidRPr="00A6792B">
        <w:rPr>
          <w:rFonts w:ascii="Segoe UI" w:hAnsi="Segoe UI" w:cs="Segoe UI"/>
          <w:sz w:val="20"/>
          <w:lang w:val="el-GR" w:eastAsia="el-GR" w:bidi="el-GR"/>
        </w:rPr>
        <w:t>.</w:t>
      </w:r>
      <w:r w:rsidR="0029132B" w:rsidRPr="0029132B">
        <w:rPr>
          <w:rFonts w:ascii="Segoe UI" w:hAnsi="Segoe UI" w:cs="Segoe UI"/>
          <w:sz w:val="20"/>
          <w:lang w:val="el-GR" w:eastAsia="el-GR" w:bidi="el-GR"/>
        </w:rPr>
        <w:t xml:space="preserve">το </w:t>
      </w:r>
      <w:r w:rsidR="00165897">
        <w:rPr>
          <w:rFonts w:ascii="Segoe UI" w:hAnsi="Segoe UI" w:cs="Segoe UI"/>
          <w:sz w:val="20"/>
          <w:lang w:val="el-GR" w:eastAsia="el-GR" w:bidi="el-GR"/>
        </w:rPr>
        <w:t>Γ</w:t>
      </w:r>
      <w:r w:rsidR="0029132B" w:rsidRPr="0029132B">
        <w:rPr>
          <w:rFonts w:ascii="Segoe UI" w:hAnsi="Segoe UI" w:cs="Segoe UI"/>
          <w:sz w:val="20"/>
          <w:lang w:val="el-GR" w:eastAsia="el-GR" w:bidi="el-GR"/>
        </w:rPr>
        <w:t xml:space="preserve">’ τρίμηνο </w:t>
      </w:r>
      <w:r w:rsidR="0040068E">
        <w:rPr>
          <w:rFonts w:ascii="Segoe UI" w:hAnsi="Segoe UI" w:cs="Segoe UI"/>
          <w:sz w:val="20"/>
          <w:lang w:val="el-GR" w:eastAsia="el-GR" w:bidi="el-GR"/>
        </w:rPr>
        <w:t>του 2016</w:t>
      </w:r>
      <w:r w:rsidRPr="00A6792B">
        <w:rPr>
          <w:rFonts w:ascii="Segoe UI" w:hAnsi="Segoe UI" w:cs="Segoe UI"/>
          <w:sz w:val="20"/>
          <w:lang w:val="el-GR" w:eastAsia="el-GR" w:bidi="el-GR"/>
        </w:rPr>
        <w:t xml:space="preserve">, αποτυπώνοντας κυρίως </w:t>
      </w:r>
      <w:r w:rsidR="0038121C">
        <w:rPr>
          <w:rFonts w:ascii="Segoe UI" w:hAnsi="Segoe UI" w:cs="Segoe UI"/>
          <w:sz w:val="20"/>
          <w:lang w:val="el-GR" w:eastAsia="el-GR" w:bidi="el-GR"/>
        </w:rPr>
        <w:t xml:space="preserve">τις εισροές </w:t>
      </w:r>
      <w:r w:rsidR="00BA557F">
        <w:rPr>
          <w:rFonts w:ascii="Segoe UI" w:hAnsi="Segoe UI" w:cs="Segoe UI"/>
          <w:sz w:val="20"/>
          <w:lang w:val="el-GR" w:eastAsia="el-GR" w:bidi="el-GR"/>
        </w:rPr>
        <w:t xml:space="preserve">καταθέσεων </w:t>
      </w:r>
      <w:r w:rsidR="0038121C">
        <w:rPr>
          <w:rFonts w:ascii="Segoe UI" w:hAnsi="Segoe UI" w:cs="Segoe UI"/>
          <w:sz w:val="20"/>
          <w:lang w:val="el-GR" w:eastAsia="el-GR" w:bidi="el-GR"/>
        </w:rPr>
        <w:t xml:space="preserve">ύψους </w:t>
      </w:r>
      <w:r w:rsidR="0029132B">
        <w:rPr>
          <w:rFonts w:ascii="Segoe UI" w:hAnsi="Segoe UI" w:cs="Segoe UI"/>
          <w:sz w:val="20"/>
          <w:lang w:val="el-GR" w:eastAsia="el-GR" w:bidi="el-GR"/>
        </w:rPr>
        <w:t xml:space="preserve">€0,3 δισ. </w:t>
      </w:r>
      <w:r w:rsidRPr="00A6792B">
        <w:rPr>
          <w:rFonts w:ascii="Segoe UI" w:hAnsi="Segoe UI" w:cs="Segoe UI"/>
          <w:sz w:val="20"/>
          <w:lang w:val="el-GR" w:eastAsia="el-GR" w:bidi="el-GR"/>
        </w:rPr>
        <w:t xml:space="preserve">στην Ελλάδα. </w:t>
      </w:r>
      <w:r w:rsidR="0029132B">
        <w:rPr>
          <w:rFonts w:ascii="Segoe UI" w:hAnsi="Segoe UI" w:cs="Segoe UI"/>
          <w:sz w:val="20"/>
          <w:lang w:val="el-GR" w:eastAsia="el-GR" w:bidi="el-GR"/>
        </w:rPr>
        <w:t xml:space="preserve">Οι </w:t>
      </w:r>
      <w:r w:rsidR="005A6B79" w:rsidRPr="00A6792B">
        <w:rPr>
          <w:rFonts w:ascii="Segoe UI" w:hAnsi="Segoe UI" w:cs="Segoe UI"/>
          <w:sz w:val="20"/>
          <w:lang w:val="el-GR" w:eastAsia="el-GR" w:bidi="el-GR"/>
        </w:rPr>
        <w:t xml:space="preserve">καταθέσεις στη </w:t>
      </w:r>
      <w:r w:rsidR="00216B02" w:rsidRPr="00A6792B">
        <w:rPr>
          <w:rFonts w:ascii="Segoe UI" w:hAnsi="Segoe UI" w:cs="Segoe UI"/>
          <w:sz w:val="20"/>
          <w:lang w:val="el-GR" w:eastAsia="el-GR" w:bidi="el-GR"/>
        </w:rPr>
        <w:t>Ν.Α. Ευρώπη και τις λοιπές χώρες</w:t>
      </w:r>
      <w:r w:rsidR="00A8549C" w:rsidRPr="00A6792B">
        <w:rPr>
          <w:rFonts w:ascii="Segoe UI" w:hAnsi="Segoe UI" w:cs="Segoe UI"/>
          <w:sz w:val="20"/>
          <w:vertAlign w:val="superscript"/>
          <w:lang w:val="el-GR" w:eastAsia="el-GR" w:bidi="el-GR"/>
        </w:rPr>
        <w:t>2</w:t>
      </w:r>
      <w:r w:rsidR="00F95E4C">
        <w:rPr>
          <w:rFonts w:ascii="Segoe UI" w:hAnsi="Segoe UI" w:cs="Segoe UI"/>
          <w:sz w:val="20"/>
          <w:lang w:val="el-GR" w:eastAsia="el-GR" w:bidi="el-GR"/>
        </w:rPr>
        <w:t xml:space="preserve">ενισχύθηκαν κατά </w:t>
      </w:r>
      <w:r w:rsidR="0029132B">
        <w:rPr>
          <w:rFonts w:ascii="Segoe UI" w:hAnsi="Segoe UI" w:cs="Segoe UI"/>
          <w:sz w:val="20"/>
          <w:lang w:val="el-GR" w:eastAsia="el-GR" w:bidi="el-GR"/>
        </w:rPr>
        <w:t>1,5</w:t>
      </w:r>
      <w:r w:rsidR="006A5490" w:rsidRPr="00A6792B">
        <w:rPr>
          <w:rFonts w:ascii="Segoe UI" w:hAnsi="Segoe UI" w:cs="Segoe UI"/>
          <w:sz w:val="20"/>
          <w:lang w:val="el-GR" w:eastAsia="el-GR" w:bidi="el-GR"/>
        </w:rPr>
        <w:t xml:space="preserve">% σε σχέση με το προηγούμενο τρίμηνο, ανερχόμενες </w:t>
      </w:r>
      <w:r w:rsidR="005A6B79" w:rsidRPr="00A6792B">
        <w:rPr>
          <w:rFonts w:ascii="Segoe UI" w:hAnsi="Segoe UI" w:cs="Segoe UI"/>
          <w:sz w:val="20"/>
          <w:lang w:val="el-GR" w:eastAsia="el-GR" w:bidi="el-GR"/>
        </w:rPr>
        <w:t>σε €6,</w:t>
      </w:r>
      <w:r w:rsidR="0029132B">
        <w:rPr>
          <w:rFonts w:ascii="Segoe UI" w:hAnsi="Segoe UI" w:cs="Segoe UI"/>
          <w:sz w:val="20"/>
          <w:lang w:val="el-GR" w:eastAsia="el-GR" w:bidi="el-GR"/>
        </w:rPr>
        <w:t>6 δισ</w:t>
      </w:r>
      <w:r w:rsidR="00A8549C" w:rsidRPr="00A6792B">
        <w:rPr>
          <w:rFonts w:ascii="Segoe UI" w:hAnsi="Segoe UI" w:cs="Segoe UI"/>
          <w:sz w:val="20"/>
          <w:lang w:val="el-GR" w:eastAsia="el-GR" w:bidi="el-GR"/>
        </w:rPr>
        <w:t xml:space="preserve">. </w:t>
      </w:r>
    </w:p>
    <w:p w:rsidR="000B3191" w:rsidRPr="00A6792B" w:rsidRDefault="000B3191"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Μετά την ολοκλήρωση </w:t>
      </w:r>
      <w:r w:rsidR="00D767A2">
        <w:rPr>
          <w:rFonts w:ascii="Segoe UI" w:hAnsi="Segoe UI" w:cs="Segoe UI"/>
          <w:sz w:val="20"/>
          <w:lang w:val="el-GR" w:eastAsia="el-GR" w:bidi="el-GR"/>
        </w:rPr>
        <w:t xml:space="preserve">των πωλήσεων </w:t>
      </w:r>
      <w:r w:rsidR="001260A1">
        <w:rPr>
          <w:rFonts w:ascii="Segoe UI" w:hAnsi="Segoe UI" w:cs="Segoe UI"/>
          <w:sz w:val="20"/>
          <w:lang w:val="el-GR" w:eastAsia="el-GR" w:bidi="el-GR"/>
        </w:rPr>
        <w:t>της</w:t>
      </w:r>
      <w:r w:rsidR="0029132B">
        <w:rPr>
          <w:rFonts w:ascii="Segoe UI" w:hAnsi="Segoe UI" w:cs="Segoe UI"/>
          <w:sz w:val="20"/>
          <w:lang w:val="en-US" w:eastAsia="el-GR" w:bidi="el-GR"/>
        </w:rPr>
        <w:t>NBGI</w:t>
      </w:r>
      <w:r w:rsidR="0029132B">
        <w:rPr>
          <w:rFonts w:ascii="Segoe UI" w:hAnsi="Segoe UI" w:cs="Segoe UI"/>
          <w:sz w:val="20"/>
          <w:lang w:val="el-GR" w:eastAsia="el-GR" w:bidi="el-GR"/>
        </w:rPr>
        <w:t xml:space="preserve">στο τέλος του Γ’ τριμήνου </w:t>
      </w:r>
      <w:r w:rsidR="007C127C">
        <w:rPr>
          <w:rFonts w:ascii="Segoe UI" w:hAnsi="Segoe UI" w:cs="Segoe UI"/>
          <w:sz w:val="20"/>
          <w:lang w:val="el-GR" w:eastAsia="el-GR" w:bidi="el-GR"/>
        </w:rPr>
        <w:t xml:space="preserve">και </w:t>
      </w:r>
      <w:r w:rsidR="001260A1">
        <w:rPr>
          <w:rFonts w:ascii="Segoe UI" w:hAnsi="Segoe UI" w:cs="Segoe UI"/>
          <w:sz w:val="20"/>
          <w:lang w:val="el-GR" w:eastAsia="el-GR" w:bidi="el-GR"/>
        </w:rPr>
        <w:t>της</w:t>
      </w:r>
      <w:r w:rsidR="0029132B">
        <w:rPr>
          <w:rFonts w:ascii="Segoe UI" w:hAnsi="Segoe UI" w:cs="Segoe UI"/>
          <w:sz w:val="20"/>
          <w:lang w:val="el-GR" w:eastAsia="el-GR" w:bidi="el-GR"/>
        </w:rPr>
        <w:t xml:space="preserve"> ΑΣΤΗΡ </w:t>
      </w:r>
      <w:r w:rsidR="0029132B" w:rsidRPr="0029132B">
        <w:rPr>
          <w:rFonts w:ascii="Segoe UI" w:hAnsi="Segoe UI" w:cs="Segoe UI"/>
          <w:sz w:val="20"/>
          <w:lang w:val="el-GR" w:eastAsia="el-GR" w:bidi="el-GR"/>
        </w:rPr>
        <w:t>ΠΑΛΑΣ</w:t>
      </w:r>
      <w:r w:rsidR="0029132B">
        <w:rPr>
          <w:rFonts w:ascii="Segoe UI" w:hAnsi="Segoe UI" w:cs="Segoe UI"/>
          <w:sz w:val="20"/>
          <w:lang w:val="el-GR" w:eastAsia="el-GR" w:bidi="el-GR"/>
        </w:rPr>
        <w:t xml:space="preserve"> στο τέλος Οκτωβρίου</w:t>
      </w:r>
      <w:r w:rsidR="00D767A2">
        <w:rPr>
          <w:rFonts w:ascii="Segoe UI" w:hAnsi="Segoe UI" w:cs="Segoe UI"/>
          <w:sz w:val="20"/>
          <w:lang w:val="el-GR" w:eastAsia="el-GR" w:bidi="el-GR"/>
        </w:rPr>
        <w:t xml:space="preserve"> που ενίσχυσαν τη </w:t>
      </w:r>
      <w:r w:rsidR="00D767A2" w:rsidRPr="00D767A2">
        <w:rPr>
          <w:rFonts w:ascii="Segoe UI" w:hAnsi="Segoe UI" w:cs="Segoe UI"/>
          <w:sz w:val="20"/>
          <w:lang w:val="el-GR" w:eastAsia="el-GR" w:bidi="el-GR"/>
        </w:rPr>
        <w:t xml:space="preserve">ρευστότητα της ΕΤΕ κατά </w:t>
      </w:r>
      <w:r w:rsidR="00D767A2">
        <w:rPr>
          <w:rFonts w:ascii="Segoe UI" w:hAnsi="Segoe UI" w:cs="Segoe UI"/>
          <w:sz w:val="20"/>
          <w:lang w:val="el-GR" w:eastAsia="el-GR" w:bidi="el-GR"/>
        </w:rPr>
        <w:t xml:space="preserve">περίπου </w:t>
      </w:r>
      <w:r w:rsidR="00D767A2" w:rsidRPr="00D767A2">
        <w:rPr>
          <w:rFonts w:ascii="Segoe UI" w:hAnsi="Segoe UI" w:cs="Segoe UI"/>
          <w:sz w:val="20"/>
          <w:lang w:val="el-GR" w:eastAsia="el-GR" w:bidi="el-GR"/>
        </w:rPr>
        <w:t>€0,6 δισ.</w:t>
      </w:r>
      <w:r w:rsidRPr="00A6792B">
        <w:rPr>
          <w:rFonts w:ascii="Segoe UI" w:hAnsi="Segoe UI" w:cs="Segoe UI"/>
          <w:sz w:val="20"/>
          <w:lang w:val="el-GR" w:eastAsia="el-GR" w:bidi="el-GR"/>
        </w:rPr>
        <w:t xml:space="preserve">, η χρηματοδότηση από το Ευρωσύστημα μειώθηκε </w:t>
      </w:r>
      <w:r w:rsidR="00D767A2">
        <w:rPr>
          <w:rFonts w:ascii="Segoe UI" w:hAnsi="Segoe UI" w:cs="Segoe UI"/>
          <w:sz w:val="20"/>
          <w:lang w:val="el-GR" w:eastAsia="el-GR" w:bidi="el-GR"/>
        </w:rPr>
        <w:t xml:space="preserve">περεταίρω </w:t>
      </w:r>
      <w:r w:rsidRPr="00A6792B">
        <w:rPr>
          <w:rFonts w:ascii="Segoe UI" w:hAnsi="Segoe UI" w:cs="Segoe UI"/>
          <w:sz w:val="20"/>
          <w:lang w:val="el-GR" w:eastAsia="el-GR" w:bidi="el-GR"/>
        </w:rPr>
        <w:t>σε €</w:t>
      </w:r>
      <w:r w:rsidR="00D767A2">
        <w:rPr>
          <w:rFonts w:ascii="Segoe UI" w:hAnsi="Segoe UI" w:cs="Segoe UI"/>
          <w:sz w:val="20"/>
          <w:lang w:val="el-GR" w:eastAsia="el-GR" w:bidi="el-GR"/>
        </w:rPr>
        <w:t>11,</w:t>
      </w:r>
      <w:r w:rsidR="002B1C81">
        <w:rPr>
          <w:rFonts w:ascii="Segoe UI" w:hAnsi="Segoe UI" w:cs="Segoe UI"/>
          <w:sz w:val="20"/>
          <w:lang w:val="el-GR" w:eastAsia="el-GR" w:bidi="el-GR"/>
        </w:rPr>
        <w:t>3</w:t>
      </w:r>
      <w:r w:rsidR="00D767A2">
        <w:rPr>
          <w:rFonts w:ascii="Segoe UI" w:hAnsi="Segoe UI" w:cs="Segoe UI"/>
          <w:sz w:val="20"/>
          <w:lang w:val="el-GR" w:eastAsia="el-GR" w:bidi="el-GR"/>
        </w:rPr>
        <w:t xml:space="preserve"> δισ. το Νοέμβριο</w:t>
      </w:r>
      <w:r w:rsidR="004929D8" w:rsidRPr="00A6792B">
        <w:rPr>
          <w:rStyle w:val="a9"/>
          <w:rFonts w:ascii="Segoe UI" w:hAnsi="Segoe UI" w:cs="Segoe UI"/>
          <w:sz w:val="20"/>
          <w:lang w:val="el-GR" w:eastAsia="el-GR" w:bidi="el-GR"/>
        </w:rPr>
        <w:footnoteReference w:id="5"/>
      </w:r>
      <w:r w:rsidRPr="00A6792B">
        <w:rPr>
          <w:rFonts w:ascii="Segoe UI" w:hAnsi="Segoe UI" w:cs="Segoe UI"/>
          <w:sz w:val="20"/>
          <w:lang w:val="el-GR" w:eastAsia="el-GR" w:bidi="el-GR"/>
        </w:rPr>
        <w:t xml:space="preserve"> από €</w:t>
      </w:r>
      <w:r w:rsidR="00D767A2">
        <w:rPr>
          <w:rFonts w:ascii="Segoe UI" w:hAnsi="Segoe UI" w:cs="Segoe UI"/>
          <w:sz w:val="20"/>
          <w:lang w:val="el-GR" w:eastAsia="el-GR" w:bidi="el-GR"/>
        </w:rPr>
        <w:t>14,9</w:t>
      </w:r>
      <w:r w:rsidRPr="00A6792B">
        <w:rPr>
          <w:rFonts w:ascii="Segoe UI" w:hAnsi="Segoe UI" w:cs="Segoe UI"/>
          <w:sz w:val="20"/>
          <w:lang w:val="el-GR" w:eastAsia="el-GR" w:bidi="el-GR"/>
        </w:rPr>
        <w:t xml:space="preserve"> δισ. στο τέλος του </w:t>
      </w:r>
      <w:r w:rsidR="00D767A2">
        <w:rPr>
          <w:rFonts w:ascii="Segoe UI" w:hAnsi="Segoe UI" w:cs="Segoe UI"/>
          <w:sz w:val="20"/>
          <w:lang w:val="el-GR" w:eastAsia="el-GR" w:bidi="el-GR"/>
        </w:rPr>
        <w:t>Β</w:t>
      </w:r>
      <w:r w:rsidRPr="00A6792B">
        <w:rPr>
          <w:rFonts w:ascii="Segoe UI" w:hAnsi="Segoe UI" w:cs="Segoe UI"/>
          <w:sz w:val="20"/>
          <w:lang w:val="el-GR" w:eastAsia="el-GR" w:bidi="el-GR"/>
        </w:rPr>
        <w:t>΄ τριμήνου του 2016</w:t>
      </w:r>
      <w:r w:rsidR="00D767A2">
        <w:rPr>
          <w:rFonts w:ascii="Segoe UI" w:hAnsi="Segoe UI" w:cs="Segoe UI"/>
          <w:sz w:val="20"/>
          <w:lang w:val="el-GR" w:eastAsia="el-GR" w:bidi="el-GR"/>
        </w:rPr>
        <w:t xml:space="preserve">. Σημειώνεται ότι η </w:t>
      </w:r>
      <w:r w:rsidRPr="00A6792B">
        <w:rPr>
          <w:rFonts w:ascii="Segoe UI" w:hAnsi="Segoe UI" w:cs="Segoe UI"/>
          <w:sz w:val="20"/>
          <w:lang w:val="el-GR" w:eastAsia="el-GR" w:bidi="el-GR"/>
        </w:rPr>
        <w:t xml:space="preserve">έκθεση στο </w:t>
      </w:r>
      <w:r w:rsidR="009439D9">
        <w:rPr>
          <w:rFonts w:ascii="Segoe UI" w:hAnsi="Segoe UI" w:cs="Segoe UI"/>
          <w:sz w:val="20"/>
          <w:lang w:val="el-GR" w:eastAsia="el-GR" w:bidi="el-GR"/>
        </w:rPr>
        <w:t xml:space="preserve">μηχανισμό </w:t>
      </w:r>
      <w:r w:rsidRPr="00A6792B">
        <w:rPr>
          <w:rFonts w:ascii="Segoe UI" w:hAnsi="Segoe UI" w:cs="Segoe UI"/>
          <w:sz w:val="20"/>
          <w:lang w:val="el-GR" w:eastAsia="el-GR" w:bidi="el-GR"/>
        </w:rPr>
        <w:t xml:space="preserve">ΕLA </w:t>
      </w:r>
      <w:r w:rsidR="00D767A2">
        <w:rPr>
          <w:rFonts w:ascii="Segoe UI" w:hAnsi="Segoe UI" w:cs="Segoe UI"/>
          <w:sz w:val="20"/>
          <w:lang w:val="el-GR" w:eastAsia="el-GR" w:bidi="el-GR"/>
        </w:rPr>
        <w:lastRenderedPageBreak/>
        <w:t xml:space="preserve">έχει μειωθεί σε μόλις </w:t>
      </w:r>
      <w:r w:rsidR="00D767A2" w:rsidRPr="00D767A2">
        <w:rPr>
          <w:rFonts w:ascii="Segoe UI" w:hAnsi="Segoe UI" w:cs="Segoe UI"/>
          <w:sz w:val="20"/>
          <w:lang w:val="el-GR" w:eastAsia="el-GR" w:bidi="el-GR"/>
        </w:rPr>
        <w:t>€4,5 δι</w:t>
      </w:r>
      <w:r w:rsidR="004E1D31">
        <w:rPr>
          <w:rFonts w:ascii="Segoe UI" w:hAnsi="Segoe UI" w:cs="Segoe UI"/>
          <w:sz w:val="20"/>
          <w:lang w:val="el-GR" w:eastAsia="el-GR" w:bidi="el-GR"/>
        </w:rPr>
        <w:t>σ.</w:t>
      </w:r>
      <w:r w:rsidR="000F459A" w:rsidRPr="00A6792B">
        <w:rPr>
          <w:rStyle w:val="a9"/>
          <w:rFonts w:ascii="Segoe UI" w:hAnsi="Segoe UI" w:cs="Segoe UI"/>
          <w:sz w:val="20"/>
          <w:lang w:val="el-GR" w:eastAsia="el-GR" w:bidi="el-GR"/>
        </w:rPr>
        <w:footnoteReference w:id="6"/>
      </w:r>
      <w:r w:rsidR="00D767A2">
        <w:rPr>
          <w:rFonts w:ascii="Segoe UI" w:hAnsi="Segoe UI" w:cs="Segoe UI"/>
          <w:sz w:val="20"/>
          <w:lang w:val="el-GR" w:eastAsia="el-GR" w:bidi="el-GR"/>
        </w:rPr>
        <w:t xml:space="preserve"> από €6,1 δισ. το τέλος του Β’ τριμήνου και </w:t>
      </w:r>
      <w:r w:rsidR="002B1C81">
        <w:rPr>
          <w:rFonts w:ascii="Segoe UI" w:hAnsi="Segoe UI" w:cs="Segoe UI"/>
          <w:sz w:val="20"/>
          <w:lang w:val="el-GR" w:eastAsia="el-GR" w:bidi="el-GR"/>
        </w:rPr>
        <w:t xml:space="preserve">συνολικά </w:t>
      </w:r>
      <w:r w:rsidR="00D767A2">
        <w:rPr>
          <w:rFonts w:ascii="Segoe UI" w:hAnsi="Segoe UI" w:cs="Segoe UI"/>
          <w:sz w:val="20"/>
          <w:lang w:val="el-GR" w:eastAsia="el-GR" w:bidi="el-GR"/>
        </w:rPr>
        <w:t xml:space="preserve">κατά </w:t>
      </w:r>
      <w:r w:rsidRPr="00A6792B">
        <w:rPr>
          <w:rFonts w:ascii="Segoe UI" w:hAnsi="Segoe UI" w:cs="Segoe UI"/>
          <w:sz w:val="20"/>
          <w:lang w:val="el-GR" w:eastAsia="el-GR" w:bidi="el-GR"/>
        </w:rPr>
        <w:t>€</w:t>
      </w:r>
      <w:r w:rsidR="00D767A2">
        <w:rPr>
          <w:rFonts w:ascii="Segoe UI" w:hAnsi="Segoe UI" w:cs="Segoe UI"/>
          <w:sz w:val="20"/>
          <w:lang w:val="el-GR" w:eastAsia="el-GR" w:bidi="el-GR"/>
        </w:rPr>
        <w:t>13,1</w:t>
      </w:r>
      <w:r w:rsidRPr="00A6792B">
        <w:rPr>
          <w:rFonts w:ascii="Segoe UI" w:hAnsi="Segoe UI" w:cs="Segoe UI"/>
          <w:sz w:val="20"/>
          <w:lang w:val="el-GR" w:eastAsia="el-GR" w:bidi="el-GR"/>
        </w:rPr>
        <w:t xml:space="preserve"> δισ. </w:t>
      </w:r>
      <w:r w:rsidR="00D767A2">
        <w:rPr>
          <w:rFonts w:ascii="Segoe UI" w:hAnsi="Segoe UI" w:cs="Segoe UI"/>
          <w:sz w:val="20"/>
          <w:lang w:val="el-GR" w:eastAsia="el-GR" w:bidi="el-GR"/>
        </w:rPr>
        <w:t xml:space="preserve">από την </w:t>
      </w:r>
      <w:r w:rsidR="00D767A2" w:rsidRPr="00D767A2">
        <w:rPr>
          <w:rFonts w:ascii="Segoe UI" w:hAnsi="Segoe UI" w:cs="Segoe UI"/>
          <w:sz w:val="20"/>
          <w:lang w:val="el-GR" w:eastAsia="el-GR" w:bidi="el-GR"/>
        </w:rPr>
        <w:t xml:space="preserve">επιβολή περιορισμών στην κίνηση </w:t>
      </w:r>
      <w:r w:rsidR="00D767A2">
        <w:rPr>
          <w:rFonts w:ascii="Segoe UI" w:hAnsi="Segoe UI" w:cs="Segoe UI"/>
          <w:sz w:val="20"/>
          <w:lang w:val="el-GR" w:eastAsia="el-GR" w:bidi="el-GR"/>
        </w:rPr>
        <w:t>κεφαλαίων</w:t>
      </w:r>
      <w:r w:rsidR="00C35043">
        <w:rPr>
          <w:rFonts w:ascii="Segoe UI" w:hAnsi="Segoe UI" w:cs="Segoe UI"/>
          <w:sz w:val="20"/>
          <w:lang w:val="el-GR" w:eastAsia="el-GR" w:bidi="el-GR"/>
        </w:rPr>
        <w:t xml:space="preserve"> έως σήμερα</w:t>
      </w:r>
      <w:r w:rsidR="00D767A2" w:rsidRPr="00D767A2">
        <w:rPr>
          <w:rFonts w:ascii="Segoe UI" w:hAnsi="Segoe UI" w:cs="Segoe UI"/>
          <w:sz w:val="20"/>
          <w:lang w:val="el-GR" w:eastAsia="el-GR" w:bidi="el-GR"/>
        </w:rPr>
        <w:t>. Η ΕΤΕ παραμένει η τράπεζα με τη χαμηλότερη εξάρτηση από τον έκ</w:t>
      </w:r>
      <w:r w:rsidR="00D767A2">
        <w:rPr>
          <w:rFonts w:ascii="Segoe UI" w:hAnsi="Segoe UI" w:cs="Segoe UI"/>
          <w:sz w:val="20"/>
          <w:lang w:val="el-GR" w:eastAsia="el-GR" w:bidi="el-GR"/>
        </w:rPr>
        <w:t>τακτο μηχανισμό ELA στην Ελλάδα</w:t>
      </w:r>
      <w:r w:rsidR="000F459A" w:rsidRPr="00A6792B">
        <w:rPr>
          <w:rStyle w:val="a9"/>
          <w:rFonts w:ascii="Segoe UI" w:hAnsi="Segoe UI" w:cs="Segoe UI"/>
          <w:sz w:val="20"/>
          <w:lang w:val="el-GR" w:eastAsia="el-GR" w:bidi="el-GR"/>
        </w:rPr>
        <w:footnoteReference w:id="7"/>
      </w:r>
      <w:r w:rsidR="0040068E">
        <w:rPr>
          <w:rFonts w:ascii="Segoe UI" w:hAnsi="Segoe UI" w:cs="Segoe UI"/>
          <w:sz w:val="20"/>
          <w:lang w:val="el-GR" w:eastAsia="el-GR" w:bidi="el-GR"/>
        </w:rPr>
        <w:t xml:space="preserve">, με τη χρηματοδότηση μέσω </w:t>
      </w:r>
      <w:r w:rsidRPr="00A6792B">
        <w:rPr>
          <w:rFonts w:ascii="Segoe UI" w:hAnsi="Segoe UI" w:cs="Segoe UI"/>
          <w:sz w:val="20"/>
          <w:lang w:val="el-GR" w:eastAsia="el-GR" w:bidi="el-GR"/>
        </w:rPr>
        <w:t xml:space="preserve">ELA προς </w:t>
      </w:r>
      <w:r w:rsidR="00B72B68">
        <w:rPr>
          <w:rFonts w:ascii="Segoe UI" w:hAnsi="Segoe UI" w:cs="Segoe UI"/>
          <w:sz w:val="20"/>
          <w:lang w:val="el-GR" w:eastAsia="el-GR" w:bidi="el-GR"/>
        </w:rPr>
        <w:t>Ε</w:t>
      </w:r>
      <w:r w:rsidRPr="00A6792B">
        <w:rPr>
          <w:rFonts w:ascii="Segoe UI" w:hAnsi="Segoe UI" w:cs="Segoe UI"/>
          <w:sz w:val="20"/>
          <w:lang w:val="el-GR" w:eastAsia="el-GR" w:bidi="el-GR"/>
        </w:rPr>
        <w:t>νεργητικό</w:t>
      </w:r>
      <w:r w:rsidR="00B72B68">
        <w:rPr>
          <w:rFonts w:ascii="Segoe UI" w:hAnsi="Segoe UI" w:cs="Segoe UI"/>
          <w:sz w:val="20"/>
          <w:lang w:val="el-GR" w:eastAsia="el-GR" w:bidi="el-GR"/>
        </w:rPr>
        <w:t>,</w:t>
      </w:r>
      <w:r w:rsidRPr="00A6792B">
        <w:rPr>
          <w:rFonts w:ascii="Segoe UI" w:hAnsi="Segoe UI" w:cs="Segoe UI"/>
          <w:sz w:val="20"/>
          <w:lang w:val="el-GR" w:eastAsia="el-GR" w:bidi="el-GR"/>
        </w:rPr>
        <w:t xml:space="preserve"> εξαιρουμένων των ομολόγων EFSF &amp; ESM</w:t>
      </w:r>
      <w:r w:rsidR="00B72B68">
        <w:rPr>
          <w:rFonts w:ascii="Segoe UI" w:hAnsi="Segoe UI" w:cs="Segoe UI"/>
          <w:sz w:val="20"/>
          <w:lang w:val="el-GR" w:eastAsia="el-GR" w:bidi="el-GR"/>
        </w:rPr>
        <w:t>,</w:t>
      </w:r>
      <w:r w:rsidR="0040068E">
        <w:rPr>
          <w:rFonts w:ascii="Segoe UI" w:hAnsi="Segoe UI" w:cs="Segoe UI"/>
          <w:sz w:val="20"/>
          <w:lang w:val="el-GR" w:eastAsia="el-GR" w:bidi="el-GR"/>
        </w:rPr>
        <w:t xml:space="preserve">να διαμορφώνεται σε </w:t>
      </w:r>
      <w:r w:rsidR="00D767A2">
        <w:rPr>
          <w:rFonts w:ascii="Segoe UI" w:hAnsi="Segoe UI" w:cs="Segoe UI"/>
          <w:sz w:val="20"/>
          <w:lang w:val="el-GR" w:eastAsia="el-GR" w:bidi="el-GR"/>
        </w:rPr>
        <w:t>6</w:t>
      </w:r>
      <w:r w:rsidRPr="00A6792B">
        <w:rPr>
          <w:rFonts w:ascii="Segoe UI" w:hAnsi="Segoe UI" w:cs="Segoe UI"/>
          <w:sz w:val="20"/>
          <w:lang w:val="el-GR" w:eastAsia="el-GR" w:bidi="el-GR"/>
        </w:rPr>
        <w:t>%.</w:t>
      </w:r>
      <w:r w:rsidR="007F185E" w:rsidRPr="00A6792B">
        <w:rPr>
          <w:rFonts w:ascii="Segoe UI" w:hAnsi="Segoe UI" w:cs="Segoe UI"/>
          <w:sz w:val="20"/>
          <w:lang w:val="el-GR" w:eastAsia="el-GR" w:bidi="el-GR"/>
        </w:rPr>
        <w:t xml:space="preserve">Η </w:t>
      </w:r>
      <w:r w:rsidR="00F20C41" w:rsidRPr="00F20C41">
        <w:rPr>
          <w:rFonts w:ascii="Segoe UI" w:hAnsi="Segoe UI" w:cs="Segoe UI"/>
          <w:sz w:val="20"/>
          <w:lang w:val="el-GR" w:eastAsia="el-GR" w:bidi="el-GR"/>
        </w:rPr>
        <w:t xml:space="preserve">Τράπεζα </w:t>
      </w:r>
      <w:r w:rsidR="007F185E" w:rsidRPr="00A6792B">
        <w:rPr>
          <w:rFonts w:ascii="Segoe UI" w:hAnsi="Segoe UI" w:cs="Segoe UI"/>
          <w:sz w:val="20"/>
          <w:lang w:val="el-GR" w:eastAsia="el-GR" w:bidi="el-GR"/>
        </w:rPr>
        <w:t xml:space="preserve">έχει δυνατότητα άντλησης επιπλέον ρευστότητας </w:t>
      </w:r>
      <w:r w:rsidR="00F20C41">
        <w:rPr>
          <w:rFonts w:ascii="Segoe UI" w:hAnsi="Segoe UI" w:cs="Segoe UI"/>
          <w:sz w:val="20"/>
          <w:lang w:val="el-GR" w:eastAsia="el-GR" w:bidi="el-GR"/>
        </w:rPr>
        <w:t xml:space="preserve">από το Ευρωσύστημα </w:t>
      </w:r>
      <w:r w:rsidR="007F185E" w:rsidRPr="00A6792B">
        <w:rPr>
          <w:rFonts w:ascii="Segoe UI" w:hAnsi="Segoe UI" w:cs="Segoe UI"/>
          <w:sz w:val="20"/>
          <w:lang w:val="el-GR" w:eastAsia="el-GR" w:bidi="el-GR"/>
        </w:rPr>
        <w:t>έως και €</w:t>
      </w:r>
      <w:r w:rsidR="00D767A2">
        <w:rPr>
          <w:rFonts w:ascii="Segoe UI" w:hAnsi="Segoe UI" w:cs="Segoe UI"/>
          <w:sz w:val="20"/>
          <w:lang w:val="el-GR" w:eastAsia="el-GR" w:bidi="el-GR"/>
        </w:rPr>
        <w:t>10,2</w:t>
      </w:r>
      <w:r w:rsidR="007F185E" w:rsidRPr="00A6792B">
        <w:rPr>
          <w:rFonts w:ascii="Segoe UI" w:hAnsi="Segoe UI" w:cs="Segoe UI"/>
          <w:sz w:val="20"/>
          <w:lang w:val="el-GR" w:eastAsia="el-GR" w:bidi="el-GR"/>
        </w:rPr>
        <w:t xml:space="preserve"> δι</w:t>
      </w:r>
      <w:r w:rsidR="00BA557F">
        <w:rPr>
          <w:rFonts w:ascii="Segoe UI" w:hAnsi="Segoe UI" w:cs="Segoe UI"/>
          <w:sz w:val="20"/>
          <w:lang w:val="el-GR" w:eastAsia="el-GR" w:bidi="el-GR"/>
        </w:rPr>
        <w:t>σ.</w:t>
      </w:r>
      <w:r w:rsidR="00601E57" w:rsidRPr="00601E57">
        <w:rPr>
          <w:rFonts w:ascii="Segoe UI" w:hAnsi="Segoe UI" w:cs="Segoe UI"/>
          <w:sz w:val="20"/>
          <w:vertAlign w:val="superscript"/>
          <w:lang w:val="el-GR" w:eastAsia="el-GR" w:bidi="el-GR"/>
        </w:rPr>
        <w:t>1</w:t>
      </w:r>
    </w:p>
    <w:p w:rsidR="000B3191" w:rsidRPr="00A6792B" w:rsidRDefault="00C85913"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Με την εξάρτηση </w:t>
      </w:r>
      <w:r w:rsidR="00D767A2">
        <w:rPr>
          <w:rFonts w:ascii="Segoe UI" w:hAnsi="Segoe UI" w:cs="Segoe UI"/>
          <w:sz w:val="20"/>
          <w:lang w:val="el-GR" w:eastAsia="el-GR" w:bidi="el-GR"/>
        </w:rPr>
        <w:t xml:space="preserve">από το μηχανισμό </w:t>
      </w:r>
      <w:r w:rsidR="00D767A2">
        <w:rPr>
          <w:rFonts w:ascii="Segoe UI" w:hAnsi="Segoe UI" w:cs="Segoe UI"/>
          <w:sz w:val="20"/>
          <w:lang w:val="en-US" w:eastAsia="el-GR" w:bidi="el-GR"/>
        </w:rPr>
        <w:t>ELA</w:t>
      </w:r>
      <w:r w:rsidR="00D767A2">
        <w:rPr>
          <w:rFonts w:ascii="Segoe UI" w:hAnsi="Segoe UI" w:cs="Segoe UI"/>
          <w:sz w:val="20"/>
          <w:lang w:val="el-GR" w:eastAsia="el-GR" w:bidi="el-GR"/>
        </w:rPr>
        <w:t>κάτω από €5 δι</w:t>
      </w:r>
      <w:r w:rsidR="007C127C">
        <w:rPr>
          <w:rFonts w:ascii="Segoe UI" w:hAnsi="Segoe UI" w:cs="Segoe UI"/>
          <w:sz w:val="20"/>
          <w:lang w:val="el-GR" w:eastAsia="el-GR" w:bidi="el-GR"/>
        </w:rPr>
        <w:t>σ</w:t>
      </w:r>
      <w:r w:rsidR="00D767A2">
        <w:rPr>
          <w:rFonts w:ascii="Segoe UI" w:hAnsi="Segoe UI" w:cs="Segoe UI"/>
          <w:sz w:val="20"/>
          <w:lang w:val="el-GR" w:eastAsia="el-GR" w:bidi="el-GR"/>
        </w:rPr>
        <w:t>., η</w:t>
      </w:r>
      <w:r w:rsidR="00541636" w:rsidRPr="00A6792B">
        <w:rPr>
          <w:rFonts w:ascii="Segoe UI" w:hAnsi="Segoe UI" w:cs="Segoe UI"/>
          <w:sz w:val="20"/>
          <w:lang w:val="el-GR" w:eastAsia="el-GR" w:bidi="el-GR"/>
        </w:rPr>
        <w:t xml:space="preserve"> ΕΤΕ διατηρεί </w:t>
      </w:r>
      <w:r w:rsidR="00D767A2">
        <w:rPr>
          <w:rFonts w:ascii="Segoe UI" w:hAnsi="Segoe UI" w:cs="Segoe UI"/>
          <w:sz w:val="20"/>
          <w:lang w:val="el-GR" w:eastAsia="el-GR" w:bidi="el-GR"/>
        </w:rPr>
        <w:t xml:space="preserve">ένα </w:t>
      </w:r>
      <w:r w:rsidR="00541636" w:rsidRPr="00A6792B">
        <w:rPr>
          <w:rFonts w:ascii="Segoe UI" w:hAnsi="Segoe UI" w:cs="Segoe UI"/>
          <w:sz w:val="20"/>
          <w:lang w:val="el-GR" w:eastAsia="el-GR" w:bidi="el-GR"/>
        </w:rPr>
        <w:t xml:space="preserve">μοναδικό χρηματοδοτικό πλεονέκτημα ενόψει της ανάκαμψης της εγχώριας οικονομίας. Επιπλέον, </w:t>
      </w:r>
      <w:r w:rsidR="00D767A2">
        <w:rPr>
          <w:rFonts w:ascii="Segoe UI" w:hAnsi="Segoe UI" w:cs="Segoe UI"/>
          <w:sz w:val="20"/>
          <w:lang w:val="el-GR" w:eastAsia="el-GR" w:bidi="el-GR"/>
        </w:rPr>
        <w:t xml:space="preserve">αντανακλώντας τις εισροές καταθέσεων </w:t>
      </w:r>
      <w:r w:rsidR="00D368A4">
        <w:rPr>
          <w:rFonts w:ascii="Segoe UI" w:hAnsi="Segoe UI" w:cs="Segoe UI"/>
          <w:sz w:val="20"/>
          <w:lang w:val="el-GR" w:eastAsia="el-GR" w:bidi="el-GR"/>
        </w:rPr>
        <w:t xml:space="preserve">στην Ελλάδα </w:t>
      </w:r>
      <w:r w:rsidR="00D767A2">
        <w:rPr>
          <w:rFonts w:ascii="Segoe UI" w:hAnsi="Segoe UI" w:cs="Segoe UI"/>
          <w:sz w:val="20"/>
          <w:lang w:val="el-GR" w:eastAsia="el-GR" w:bidi="el-GR"/>
        </w:rPr>
        <w:t xml:space="preserve">και την απομόχλευση δανείων, </w:t>
      </w:r>
      <w:r w:rsidR="00541636" w:rsidRPr="00A6792B">
        <w:rPr>
          <w:rFonts w:ascii="Segoe UI" w:hAnsi="Segoe UI" w:cs="Segoe UI"/>
          <w:sz w:val="20"/>
          <w:lang w:val="el-GR" w:eastAsia="el-GR" w:bidi="el-GR"/>
        </w:rPr>
        <w:t xml:space="preserve">ο δείκτης </w:t>
      </w:r>
      <w:r w:rsidR="008106E7">
        <w:rPr>
          <w:rFonts w:ascii="Segoe UI" w:hAnsi="Segoe UI" w:cs="Segoe UI"/>
          <w:sz w:val="20"/>
          <w:lang w:val="el-GR" w:eastAsia="el-GR" w:bidi="el-GR"/>
        </w:rPr>
        <w:t>Δ</w:t>
      </w:r>
      <w:r w:rsidR="00541636" w:rsidRPr="00A6792B">
        <w:rPr>
          <w:rFonts w:ascii="Segoe UI" w:hAnsi="Segoe UI" w:cs="Segoe UI"/>
          <w:sz w:val="20"/>
          <w:lang w:val="el-GR" w:eastAsia="el-GR" w:bidi="el-GR"/>
        </w:rPr>
        <w:t xml:space="preserve">ανείων προς </w:t>
      </w:r>
      <w:r w:rsidR="008106E7">
        <w:rPr>
          <w:rFonts w:ascii="Segoe UI" w:hAnsi="Segoe UI" w:cs="Segoe UI"/>
          <w:sz w:val="20"/>
          <w:lang w:val="el-GR" w:eastAsia="el-GR" w:bidi="el-GR"/>
        </w:rPr>
        <w:t>Κ</w:t>
      </w:r>
      <w:r w:rsidR="00541636" w:rsidRPr="00A6792B">
        <w:rPr>
          <w:rFonts w:ascii="Segoe UI" w:hAnsi="Segoe UI" w:cs="Segoe UI"/>
          <w:sz w:val="20"/>
          <w:lang w:val="el-GR" w:eastAsia="el-GR" w:bidi="el-GR"/>
        </w:rPr>
        <w:t xml:space="preserve">αταθέσεις </w:t>
      </w:r>
      <w:r w:rsidR="003D5064">
        <w:rPr>
          <w:rFonts w:ascii="Segoe UI" w:hAnsi="Segoe UI" w:cs="Segoe UI"/>
          <w:sz w:val="20"/>
          <w:lang w:val="el-GR" w:eastAsia="el-GR" w:bidi="el-GR"/>
        </w:rPr>
        <w:t xml:space="preserve">διαμορφώθηκε </w:t>
      </w:r>
      <w:r w:rsidR="00D767A2">
        <w:rPr>
          <w:rFonts w:ascii="Segoe UI" w:hAnsi="Segoe UI" w:cs="Segoe UI"/>
          <w:sz w:val="20"/>
          <w:lang w:val="el-GR" w:eastAsia="el-GR" w:bidi="el-GR"/>
        </w:rPr>
        <w:t>σε μόλις 89</w:t>
      </w:r>
      <w:r w:rsidR="00541636" w:rsidRPr="00A6792B">
        <w:rPr>
          <w:rFonts w:ascii="Segoe UI" w:hAnsi="Segoe UI" w:cs="Segoe UI"/>
          <w:sz w:val="20"/>
          <w:lang w:val="el-GR" w:eastAsia="el-GR" w:bidi="el-GR"/>
        </w:rPr>
        <w:t>% στην Ελλάδα και σε επίπεδο Ομίλου, στα χαμηλότερα επίπεδα του ελληνικού τραπεζικού κλάδου</w:t>
      </w:r>
      <w:r w:rsidR="000F459A">
        <w:rPr>
          <w:rFonts w:ascii="Segoe UI" w:hAnsi="Segoe UI" w:cs="Segoe UI"/>
          <w:sz w:val="20"/>
          <w:vertAlign w:val="superscript"/>
          <w:lang w:val="el-GR" w:eastAsia="el-GR" w:bidi="el-GR"/>
        </w:rPr>
        <w:t>2</w:t>
      </w:r>
      <w:r w:rsidR="00541636" w:rsidRPr="00A6792B">
        <w:rPr>
          <w:rFonts w:ascii="Segoe UI" w:hAnsi="Segoe UI" w:cs="Segoe UI"/>
          <w:sz w:val="20"/>
          <w:lang w:val="el-GR" w:eastAsia="el-GR" w:bidi="el-GR"/>
        </w:rPr>
        <w:t>.</w:t>
      </w:r>
    </w:p>
    <w:p w:rsidR="00E1084B" w:rsidRPr="00A6792B" w:rsidRDefault="00E1084B" w:rsidP="004929D8">
      <w:pPr>
        <w:autoSpaceDE w:val="0"/>
        <w:autoSpaceDN w:val="0"/>
        <w:adjustRightInd w:val="0"/>
        <w:spacing w:after="160" w:line="320" w:lineRule="atLeast"/>
        <w:jc w:val="both"/>
        <w:rPr>
          <w:rFonts w:ascii="Segoe UI" w:hAnsi="Segoe UI" w:cs="Segoe UI"/>
          <w:b/>
          <w:sz w:val="20"/>
          <w:lang w:val="el-GR" w:eastAsia="el-GR" w:bidi="el-GR"/>
        </w:rPr>
      </w:pPr>
    </w:p>
    <w:p w:rsidR="00E1084B" w:rsidRPr="00A6792B" w:rsidRDefault="00E1084B"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t xml:space="preserve">Κεφαλαιακή επάρκεια </w:t>
      </w:r>
    </w:p>
    <w:p w:rsidR="00E1084B" w:rsidRPr="00A6792B" w:rsidRDefault="00E1084B"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Ο δείκτης </w:t>
      </w:r>
      <w:r w:rsidR="00EA51BD" w:rsidRPr="00EA51BD">
        <w:rPr>
          <w:rFonts w:ascii="Segoe UI" w:hAnsi="Segoe UI" w:cs="Segoe UI"/>
          <w:sz w:val="20"/>
          <w:lang w:val="el-GR" w:eastAsia="el-GR" w:bidi="el-GR"/>
        </w:rPr>
        <w:t xml:space="preserve">Κύριων Βασικών Ιδίων Κεφαλαίων </w:t>
      </w:r>
      <w:r w:rsidR="00EA51BD">
        <w:rPr>
          <w:rFonts w:ascii="Segoe UI" w:hAnsi="Segoe UI" w:cs="Segoe UI"/>
          <w:sz w:val="20"/>
          <w:lang w:val="el-GR" w:eastAsia="el-GR" w:bidi="el-GR"/>
        </w:rPr>
        <w:t>(</w:t>
      </w:r>
      <w:r w:rsidRPr="00A6792B">
        <w:rPr>
          <w:rFonts w:ascii="Segoe UI" w:hAnsi="Segoe UI" w:cs="Segoe UI"/>
          <w:sz w:val="20"/>
          <w:lang w:val="el-GR" w:eastAsia="el-GR" w:bidi="el-GR"/>
        </w:rPr>
        <w:t>CET 1</w:t>
      </w:r>
      <w:r w:rsidR="00EA51BD">
        <w:rPr>
          <w:rFonts w:ascii="Segoe UI" w:hAnsi="Segoe UI" w:cs="Segoe UI"/>
          <w:sz w:val="20"/>
          <w:lang w:val="el-GR" w:eastAsia="el-GR" w:bidi="el-GR"/>
        </w:rPr>
        <w:t>)</w:t>
      </w:r>
      <w:r w:rsidR="007C127C">
        <w:rPr>
          <w:rFonts w:ascii="Segoe UI" w:hAnsi="Segoe UI" w:cs="Segoe UI"/>
          <w:sz w:val="20"/>
          <w:lang w:val="el-GR" w:eastAsia="el-GR" w:bidi="el-GR"/>
        </w:rPr>
        <w:t>ανήλθε</w:t>
      </w:r>
      <w:r w:rsidRPr="00A6792B">
        <w:rPr>
          <w:rFonts w:ascii="Segoe UI" w:hAnsi="Segoe UI" w:cs="Segoe UI"/>
          <w:sz w:val="20"/>
          <w:lang w:val="el-GR" w:eastAsia="el-GR" w:bidi="el-GR"/>
        </w:rPr>
        <w:t xml:space="preserve"> σε 16,</w:t>
      </w:r>
      <w:r w:rsidR="003D5064">
        <w:rPr>
          <w:rFonts w:ascii="Segoe UI" w:hAnsi="Segoe UI" w:cs="Segoe UI"/>
          <w:sz w:val="20"/>
          <w:lang w:val="el-GR" w:eastAsia="el-GR" w:bidi="el-GR"/>
        </w:rPr>
        <w:t>9</w:t>
      </w:r>
      <w:r w:rsidRPr="00A6792B">
        <w:rPr>
          <w:rFonts w:ascii="Segoe UI" w:hAnsi="Segoe UI" w:cs="Segoe UI"/>
          <w:sz w:val="20"/>
          <w:lang w:val="el-GR" w:eastAsia="el-GR" w:bidi="el-GR"/>
        </w:rPr>
        <w:t xml:space="preserve">%, εξαιρώντας τα υπό αίρεση μετατρέψιμα ομόλογα (CoCos) </w:t>
      </w:r>
      <w:r w:rsidR="003D5064" w:rsidRPr="003D5064">
        <w:rPr>
          <w:rFonts w:ascii="Segoe UI" w:hAnsi="Segoe UI" w:cs="Segoe UI"/>
          <w:sz w:val="20"/>
          <w:lang w:val="el-GR" w:eastAsia="el-GR" w:bidi="el-GR"/>
        </w:rPr>
        <w:t>και λαμβάνοντας υπόψη την αποεπένδυση από την ΑΣΤΗΡ ΠΑΛΑΣ</w:t>
      </w:r>
      <w:r w:rsidR="00A8653B">
        <w:rPr>
          <w:rFonts w:ascii="Segoe UI" w:hAnsi="Segoe UI" w:cs="Segoe UI"/>
          <w:sz w:val="20"/>
          <w:lang w:val="el-GR" w:eastAsia="el-GR" w:bidi="el-GR"/>
        </w:rPr>
        <w:t xml:space="preserve">, η οποία </w:t>
      </w:r>
      <w:r w:rsidR="003D5064" w:rsidRPr="003D5064">
        <w:rPr>
          <w:rFonts w:ascii="Segoe UI" w:hAnsi="Segoe UI" w:cs="Segoe UI"/>
          <w:sz w:val="20"/>
          <w:lang w:val="el-GR" w:eastAsia="el-GR" w:bidi="el-GR"/>
        </w:rPr>
        <w:t>ολοκληρώθηκε στο τέλος Οκτωβρίου 2016</w:t>
      </w:r>
      <w:r w:rsidRPr="00A6792B">
        <w:rPr>
          <w:rFonts w:ascii="Segoe UI" w:hAnsi="Segoe UI" w:cs="Segoe UI"/>
          <w:sz w:val="20"/>
          <w:lang w:val="el-GR" w:eastAsia="el-GR" w:bidi="el-GR"/>
        </w:rPr>
        <w:t>.</w:t>
      </w:r>
      <w:r w:rsidR="00997EB7" w:rsidRPr="00997EB7">
        <w:rPr>
          <w:rFonts w:ascii="Segoe UI" w:hAnsi="Segoe UI" w:cs="Segoe UI"/>
          <w:sz w:val="20"/>
          <w:lang w:val="el-GR" w:eastAsia="el-GR" w:bidi="el-GR"/>
        </w:rPr>
        <w:t>Τα κεφάλαια της ΕΤΕ θα ενισχυθούν περαιτέρω από την</w:t>
      </w:r>
      <w:r w:rsidR="00DB2F95">
        <w:rPr>
          <w:rFonts w:ascii="Segoe UI" w:hAnsi="Segoe UI" w:cs="Segoe UI"/>
          <w:sz w:val="20"/>
          <w:lang w:val="el-GR" w:eastAsia="el-GR" w:bidi="el-GR"/>
        </w:rPr>
        <w:t xml:space="preserve"> οργανική κερδοφορία και την</w:t>
      </w:r>
      <w:r w:rsidR="00997EB7" w:rsidRPr="00997EB7">
        <w:rPr>
          <w:rFonts w:ascii="Segoe UI" w:hAnsi="Segoe UI" w:cs="Segoe UI"/>
          <w:sz w:val="20"/>
          <w:lang w:val="el-GR" w:eastAsia="el-GR" w:bidi="el-GR"/>
        </w:rPr>
        <w:t xml:space="preserve"> πλήρη εφαρμογή του σχεδίου αναδιάρθρωσης της Τράπεζας</w:t>
      </w:r>
      <w:r w:rsidR="002B1C81">
        <w:rPr>
          <w:rFonts w:ascii="Segoe UI" w:hAnsi="Segoe UI" w:cs="Segoe UI"/>
          <w:sz w:val="20"/>
          <w:lang w:val="el-GR" w:eastAsia="el-GR" w:bidi="el-GR"/>
        </w:rPr>
        <w:t>.</w:t>
      </w:r>
    </w:p>
    <w:p w:rsidR="00E1084B" w:rsidRPr="00A6792B" w:rsidRDefault="00E1084B"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Με π</w:t>
      </w:r>
      <w:r w:rsidR="00B47215">
        <w:rPr>
          <w:rFonts w:ascii="Segoe UI" w:hAnsi="Segoe UI" w:cs="Segoe UI"/>
          <w:sz w:val="20"/>
          <w:lang w:val="el-GR" w:eastAsia="el-GR" w:bidi="el-GR"/>
        </w:rPr>
        <w:t>λήρη εφαρμογή της Βασιλείας ΙΙΙ και</w:t>
      </w:r>
      <w:r w:rsidRPr="00A6792B">
        <w:rPr>
          <w:rFonts w:ascii="Segoe UI" w:hAnsi="Segoe UI" w:cs="Segoe UI"/>
          <w:sz w:val="20"/>
          <w:lang w:val="el-GR" w:eastAsia="el-GR" w:bidi="el-GR"/>
        </w:rPr>
        <w:t xml:space="preserve"> συμπεριλαμβανομένων των προαναφερθέντων κεφαλαιακών ενεργειών, o δείκτης CET 1 ανέρχεται σε 16,</w:t>
      </w:r>
      <w:r w:rsidR="003D5064">
        <w:rPr>
          <w:rFonts w:ascii="Segoe UI" w:hAnsi="Segoe UI" w:cs="Segoe UI"/>
          <w:sz w:val="20"/>
          <w:lang w:val="el-GR" w:eastAsia="el-GR" w:bidi="el-GR"/>
        </w:rPr>
        <w:t>3</w:t>
      </w:r>
      <w:r w:rsidRPr="00A6792B">
        <w:rPr>
          <w:rFonts w:ascii="Segoe UI" w:hAnsi="Segoe UI" w:cs="Segoe UI"/>
          <w:sz w:val="20"/>
          <w:lang w:val="el-GR" w:eastAsia="el-GR" w:bidi="el-GR"/>
        </w:rPr>
        <w:t xml:space="preserve">%. </w:t>
      </w:r>
    </w:p>
    <w:p w:rsidR="00716E60" w:rsidRPr="00A6792B" w:rsidRDefault="00716E60" w:rsidP="004929D8">
      <w:pPr>
        <w:autoSpaceDE w:val="0"/>
        <w:autoSpaceDN w:val="0"/>
        <w:adjustRightInd w:val="0"/>
        <w:spacing w:after="160" w:line="240" w:lineRule="auto"/>
        <w:jc w:val="both"/>
        <w:rPr>
          <w:rFonts w:ascii="Segoe UI" w:hAnsi="Segoe UI" w:cs="Segoe UI"/>
          <w:b/>
          <w:sz w:val="20"/>
          <w:lang w:val="el-GR"/>
        </w:rPr>
      </w:pPr>
      <w:r w:rsidRPr="00A6792B">
        <w:rPr>
          <w:rFonts w:ascii="Segoe UI" w:hAnsi="Segoe UI" w:cs="Segoe UI"/>
          <w:b/>
          <w:sz w:val="20"/>
          <w:lang w:val="el-GR"/>
        </w:rPr>
        <w:br w:type="page"/>
      </w:r>
    </w:p>
    <w:p w:rsidR="00864E0B" w:rsidRPr="00B522A6" w:rsidRDefault="00E525FE" w:rsidP="004929D8">
      <w:pPr>
        <w:spacing w:after="160"/>
        <w:jc w:val="both"/>
        <w:rPr>
          <w:rFonts w:ascii="Segoe UI" w:hAnsi="Segoe UI" w:cs="Segoe UI"/>
          <w:b/>
          <w:sz w:val="20"/>
          <w:szCs w:val="20"/>
        </w:rPr>
      </w:pPr>
      <w:r w:rsidRPr="00B522A6">
        <w:rPr>
          <w:rFonts w:ascii="Segoe UI" w:hAnsi="Segoe UI" w:cs="Segoe UI"/>
          <w:b/>
          <w:sz w:val="20"/>
          <w:szCs w:val="20"/>
        </w:rPr>
        <w:lastRenderedPageBreak/>
        <w:t>Παράρτημα</w:t>
      </w:r>
    </w:p>
    <w:tbl>
      <w:tblPr>
        <w:tblW w:w="9013" w:type="dxa"/>
        <w:jc w:val="right"/>
        <w:tblLayout w:type="fixed"/>
        <w:tblLook w:val="0000"/>
      </w:tblPr>
      <w:tblGrid>
        <w:gridCol w:w="3005"/>
        <w:gridCol w:w="1077"/>
        <w:gridCol w:w="1077"/>
        <w:gridCol w:w="850"/>
        <w:gridCol w:w="1077"/>
        <w:gridCol w:w="1077"/>
        <w:gridCol w:w="850"/>
      </w:tblGrid>
      <w:tr w:rsidR="00C31715" w:rsidRPr="00B522A6" w:rsidTr="0069150B">
        <w:trPr>
          <w:trHeight w:hRule="exact" w:val="528"/>
          <w:jc w:val="right"/>
        </w:trPr>
        <w:tc>
          <w:tcPr>
            <w:tcW w:w="3005" w:type="dxa"/>
            <w:shd w:val="pct45" w:color="auto" w:fill="auto"/>
            <w:vAlign w:val="bottom"/>
          </w:tcPr>
          <w:p w:rsidR="005A05C6" w:rsidRPr="003C4D83" w:rsidRDefault="005A05C6" w:rsidP="004929D8">
            <w:pPr>
              <w:spacing w:after="160" w:line="240" w:lineRule="auto"/>
              <w:jc w:val="both"/>
              <w:rPr>
                <w:rFonts w:ascii="Segoe UI" w:eastAsia="Times New Roman" w:hAnsi="Segoe UI" w:cs="Segoe UI"/>
                <w:sz w:val="16"/>
                <w:szCs w:val="18"/>
                <w:lang w:val="el-GR"/>
              </w:rPr>
            </w:pPr>
          </w:p>
        </w:tc>
        <w:tc>
          <w:tcPr>
            <w:tcW w:w="1077" w:type="dxa"/>
            <w:shd w:val="pct45" w:color="auto" w:fill="auto"/>
            <w:vAlign w:val="bottom"/>
          </w:tcPr>
          <w:p w:rsidR="005A05C6" w:rsidRPr="003C4D83" w:rsidRDefault="00912870" w:rsidP="003C5467">
            <w:pPr>
              <w:spacing w:after="160" w:line="240" w:lineRule="auto"/>
              <w:jc w:val="right"/>
              <w:rPr>
                <w:rFonts w:ascii="Segoe UI" w:eastAsia="Times New Roman" w:hAnsi="Segoe UI" w:cs="Segoe UI"/>
                <w:b/>
                <w:color w:val="FFFFFF" w:themeColor="background1"/>
                <w:sz w:val="16"/>
                <w:szCs w:val="18"/>
              </w:rPr>
            </w:pPr>
            <w:r>
              <w:rPr>
                <w:rFonts w:ascii="Segoe UI" w:hAnsi="Segoe UI" w:cs="Segoe UI"/>
                <w:b/>
                <w:color w:val="FFFFFF" w:themeColor="background1"/>
                <w:sz w:val="16"/>
                <w:szCs w:val="18"/>
                <w:lang w:val="el-GR"/>
              </w:rPr>
              <w:t>Γ</w:t>
            </w:r>
            <w:r w:rsidR="005A05C6" w:rsidRPr="003C4D83">
              <w:rPr>
                <w:rFonts w:ascii="Segoe UI" w:hAnsi="Segoe UI" w:cs="Segoe UI"/>
                <w:b/>
                <w:color w:val="FFFFFF" w:themeColor="background1"/>
                <w:sz w:val="16"/>
                <w:szCs w:val="18"/>
                <w:lang w:val="el-GR"/>
              </w:rPr>
              <w:t>’ Τρίμηνο 2016</w:t>
            </w:r>
          </w:p>
        </w:tc>
        <w:tc>
          <w:tcPr>
            <w:tcW w:w="1077" w:type="dxa"/>
            <w:shd w:val="pct45" w:color="auto" w:fill="auto"/>
            <w:vAlign w:val="bottom"/>
          </w:tcPr>
          <w:p w:rsidR="005A05C6" w:rsidRPr="003C4D83" w:rsidRDefault="00912870" w:rsidP="003C5467">
            <w:pPr>
              <w:spacing w:after="160" w:line="240" w:lineRule="auto"/>
              <w:jc w:val="right"/>
              <w:rPr>
                <w:rFonts w:ascii="Segoe UI" w:eastAsia="Times New Roman" w:hAnsi="Segoe UI" w:cs="Segoe UI"/>
                <w:b/>
                <w:color w:val="FFFFFF" w:themeColor="background1"/>
                <w:sz w:val="16"/>
                <w:szCs w:val="18"/>
              </w:rPr>
            </w:pPr>
            <w:r>
              <w:rPr>
                <w:rFonts w:ascii="Segoe UI" w:hAnsi="Segoe UI" w:cs="Segoe UI"/>
                <w:b/>
                <w:color w:val="FFFFFF" w:themeColor="background1"/>
                <w:sz w:val="16"/>
                <w:szCs w:val="18"/>
                <w:lang w:val="el-GR"/>
              </w:rPr>
              <w:t>Β</w:t>
            </w:r>
            <w:r w:rsidR="005A05C6" w:rsidRPr="003C4D83">
              <w:rPr>
                <w:rFonts w:ascii="Segoe UI" w:hAnsi="Segoe UI" w:cs="Segoe UI"/>
                <w:b/>
                <w:color w:val="FFFFFF" w:themeColor="background1"/>
                <w:sz w:val="16"/>
                <w:szCs w:val="18"/>
                <w:lang w:val="el-GR"/>
              </w:rPr>
              <w:t>’ Τρίμηνο 2016</w:t>
            </w:r>
          </w:p>
        </w:tc>
        <w:tc>
          <w:tcPr>
            <w:tcW w:w="850" w:type="dxa"/>
            <w:shd w:val="pct45" w:color="auto" w:fill="auto"/>
            <w:vAlign w:val="bottom"/>
          </w:tcPr>
          <w:p w:rsidR="005A05C6" w:rsidRPr="003C4D83" w:rsidRDefault="005A05C6" w:rsidP="003C5467">
            <w:pPr>
              <w:spacing w:after="160" w:line="240" w:lineRule="auto"/>
              <w:jc w:val="right"/>
              <w:rPr>
                <w:rFonts w:ascii="Segoe UI" w:eastAsia="Times New Roman" w:hAnsi="Segoe UI" w:cs="Segoe UI"/>
                <w:b/>
                <w:i/>
                <w:color w:val="FFFFFF" w:themeColor="background1"/>
                <w:sz w:val="16"/>
                <w:szCs w:val="18"/>
              </w:rPr>
            </w:pPr>
            <w:r w:rsidRPr="003C4D83">
              <w:rPr>
                <w:rFonts w:ascii="Segoe UI" w:hAnsi="Segoe UI" w:cs="Segoe UI"/>
                <w:b/>
                <w:i/>
                <w:color w:val="FFFFFF" w:themeColor="background1"/>
                <w:sz w:val="16"/>
                <w:szCs w:val="18"/>
                <w:lang w:val="el-GR"/>
              </w:rPr>
              <w:t xml:space="preserve">Δ </w:t>
            </w:r>
          </w:p>
        </w:tc>
        <w:tc>
          <w:tcPr>
            <w:tcW w:w="1077" w:type="dxa"/>
            <w:shd w:val="pct45" w:color="auto" w:fill="auto"/>
            <w:vAlign w:val="bottom"/>
          </w:tcPr>
          <w:p w:rsidR="005A05C6" w:rsidRPr="003C4D83" w:rsidRDefault="00912870" w:rsidP="003C5467">
            <w:pPr>
              <w:spacing w:after="160" w:line="240" w:lineRule="auto"/>
              <w:jc w:val="right"/>
              <w:rPr>
                <w:rFonts w:ascii="Segoe UI" w:eastAsia="Times New Roman" w:hAnsi="Segoe UI" w:cs="Segoe UI"/>
                <w:b/>
                <w:color w:val="FFFFFF" w:themeColor="background1"/>
                <w:sz w:val="16"/>
                <w:szCs w:val="18"/>
                <w:lang w:val="en-US"/>
              </w:rPr>
            </w:pPr>
            <w:r>
              <w:rPr>
                <w:rFonts w:ascii="Segoe UI" w:eastAsia="Times New Roman" w:hAnsi="Segoe UI" w:cs="Segoe UI"/>
                <w:b/>
                <w:color w:val="FFFFFF" w:themeColor="background1"/>
                <w:sz w:val="16"/>
                <w:szCs w:val="18"/>
                <w:lang w:val="el-GR"/>
              </w:rPr>
              <w:t>Εννι</w:t>
            </w:r>
            <w:r w:rsidR="005A05C6" w:rsidRPr="003C4D83">
              <w:rPr>
                <w:rFonts w:ascii="Segoe UI" w:eastAsia="Times New Roman" w:hAnsi="Segoe UI" w:cs="Segoe UI"/>
                <w:b/>
                <w:color w:val="FFFFFF" w:themeColor="background1"/>
                <w:sz w:val="16"/>
                <w:szCs w:val="18"/>
                <w:lang w:val="el-GR"/>
              </w:rPr>
              <w:t>άμηνο 201</w:t>
            </w:r>
            <w:r w:rsidR="007C5802" w:rsidRPr="003C4D83">
              <w:rPr>
                <w:rFonts w:ascii="Segoe UI" w:eastAsia="Times New Roman" w:hAnsi="Segoe UI" w:cs="Segoe UI"/>
                <w:b/>
                <w:color w:val="FFFFFF" w:themeColor="background1"/>
                <w:sz w:val="16"/>
                <w:szCs w:val="18"/>
                <w:lang w:val="el-GR"/>
              </w:rPr>
              <w:t>6</w:t>
            </w:r>
          </w:p>
        </w:tc>
        <w:tc>
          <w:tcPr>
            <w:tcW w:w="1077" w:type="dxa"/>
            <w:shd w:val="pct45" w:color="auto" w:fill="auto"/>
            <w:vAlign w:val="bottom"/>
          </w:tcPr>
          <w:p w:rsidR="005A05C6" w:rsidRPr="003C4D83" w:rsidRDefault="005A05C6" w:rsidP="003C5467">
            <w:pPr>
              <w:spacing w:after="160" w:line="240" w:lineRule="auto"/>
              <w:jc w:val="right"/>
              <w:rPr>
                <w:rFonts w:ascii="Segoe UI" w:eastAsia="Times New Roman" w:hAnsi="Segoe UI" w:cs="Segoe UI"/>
                <w:b/>
                <w:color w:val="FFFFFF" w:themeColor="background1"/>
                <w:sz w:val="16"/>
                <w:szCs w:val="18"/>
                <w:lang w:val="el-GR"/>
              </w:rPr>
            </w:pPr>
            <w:r w:rsidRPr="003C4D83">
              <w:rPr>
                <w:rFonts w:ascii="Segoe UI" w:eastAsia="Times New Roman" w:hAnsi="Segoe UI" w:cs="Segoe UI"/>
                <w:b/>
                <w:color w:val="FFFFFF" w:themeColor="background1"/>
                <w:sz w:val="16"/>
                <w:szCs w:val="18"/>
                <w:lang w:val="el-GR"/>
              </w:rPr>
              <w:t>Ε</w:t>
            </w:r>
            <w:r w:rsidR="00912870">
              <w:rPr>
                <w:rFonts w:ascii="Segoe UI" w:eastAsia="Times New Roman" w:hAnsi="Segoe UI" w:cs="Segoe UI"/>
                <w:b/>
                <w:color w:val="FFFFFF" w:themeColor="background1"/>
                <w:sz w:val="16"/>
                <w:szCs w:val="18"/>
                <w:lang w:val="el-GR"/>
              </w:rPr>
              <w:t>ννι</w:t>
            </w:r>
            <w:r w:rsidRPr="003C4D83">
              <w:rPr>
                <w:rFonts w:ascii="Segoe UI" w:eastAsia="Times New Roman" w:hAnsi="Segoe UI" w:cs="Segoe UI"/>
                <w:b/>
                <w:color w:val="FFFFFF" w:themeColor="background1"/>
                <w:sz w:val="16"/>
                <w:szCs w:val="18"/>
                <w:lang w:val="el-GR"/>
              </w:rPr>
              <w:t>άμηνο 2015</w:t>
            </w:r>
          </w:p>
        </w:tc>
        <w:tc>
          <w:tcPr>
            <w:tcW w:w="850" w:type="dxa"/>
            <w:shd w:val="pct45" w:color="auto" w:fill="auto"/>
            <w:vAlign w:val="bottom"/>
          </w:tcPr>
          <w:p w:rsidR="005A05C6" w:rsidRPr="003C4D83" w:rsidRDefault="005A05C6" w:rsidP="003C5467">
            <w:pPr>
              <w:spacing w:after="160" w:line="240" w:lineRule="auto"/>
              <w:jc w:val="right"/>
              <w:rPr>
                <w:rFonts w:ascii="Segoe UI" w:eastAsia="Times New Roman" w:hAnsi="Segoe UI" w:cs="Segoe UI"/>
                <w:b/>
                <w:i/>
                <w:color w:val="FFFFFF" w:themeColor="background1"/>
                <w:sz w:val="16"/>
                <w:szCs w:val="18"/>
                <w:lang w:val="el-GR"/>
              </w:rPr>
            </w:pPr>
            <w:r w:rsidRPr="003C4D83">
              <w:rPr>
                <w:rFonts w:ascii="Segoe UI" w:eastAsia="Times New Roman" w:hAnsi="Segoe UI" w:cs="Segoe UI"/>
                <w:b/>
                <w:i/>
                <w:color w:val="FFFFFF" w:themeColor="background1"/>
                <w:sz w:val="16"/>
                <w:szCs w:val="18"/>
                <w:lang w:val="el-GR"/>
              </w:rPr>
              <w:t>Δ</w:t>
            </w:r>
          </w:p>
        </w:tc>
      </w:tr>
      <w:tr w:rsidR="00C31715" w:rsidRPr="00B522A6" w:rsidTr="0069150B">
        <w:trPr>
          <w:trHeight w:hRule="exact" w:val="567"/>
          <w:jc w:val="right"/>
        </w:trPr>
        <w:tc>
          <w:tcPr>
            <w:tcW w:w="3005" w:type="dxa"/>
            <w:tcBorders>
              <w:bottom w:val="single" w:sz="12" w:space="0" w:color="auto"/>
            </w:tcBorders>
            <w:shd w:val="clear" w:color="auto" w:fill="auto"/>
            <w:vAlign w:val="bottom"/>
          </w:tcPr>
          <w:p w:rsidR="005A05C6" w:rsidRPr="003C4D83" w:rsidRDefault="005A05C6" w:rsidP="004929D8">
            <w:pPr>
              <w:spacing w:after="160" w:line="240" w:lineRule="auto"/>
              <w:jc w:val="both"/>
              <w:rPr>
                <w:rFonts w:ascii="Segoe UI" w:eastAsia="Times New Roman" w:hAnsi="Segoe UI" w:cs="Segoe UI"/>
                <w:b/>
                <w:bCs/>
                <w:sz w:val="16"/>
                <w:szCs w:val="18"/>
                <w:lang w:val="en-US"/>
              </w:rPr>
            </w:pPr>
            <w:r w:rsidRPr="003C4D83">
              <w:rPr>
                <w:rFonts w:ascii="Segoe UI" w:eastAsia="Times New Roman" w:hAnsi="Segoe UI" w:cs="Segoe UI"/>
                <w:b/>
                <w:bCs/>
                <w:sz w:val="16"/>
                <w:szCs w:val="18"/>
                <w:lang w:val="el-GR"/>
              </w:rPr>
              <w:t>Αποτελέσματα</w:t>
            </w:r>
            <w:r w:rsidRPr="003C4D83">
              <w:rPr>
                <w:rFonts w:ascii="Segoe UI" w:eastAsia="Times New Roman" w:hAnsi="Segoe UI" w:cs="Segoe UI"/>
                <w:b/>
                <w:bCs/>
                <w:sz w:val="16"/>
                <w:szCs w:val="18"/>
                <w:lang w:val="en-US"/>
              </w:rPr>
              <w:t xml:space="preserve"> (€</w:t>
            </w:r>
            <w:r w:rsidRPr="003C4D83">
              <w:rPr>
                <w:rFonts w:ascii="Segoe UI" w:eastAsia="Times New Roman" w:hAnsi="Segoe UI" w:cs="Segoe UI"/>
                <w:b/>
                <w:bCs/>
                <w:sz w:val="16"/>
                <w:szCs w:val="18"/>
                <w:lang w:val="el-GR"/>
              </w:rPr>
              <w:t xml:space="preserve"> εκατ.</w:t>
            </w:r>
            <w:r w:rsidRPr="003C4D83">
              <w:rPr>
                <w:rFonts w:ascii="Segoe UI" w:eastAsia="Times New Roman" w:hAnsi="Segoe UI" w:cs="Segoe UI"/>
                <w:b/>
                <w:bCs/>
                <w:sz w:val="16"/>
                <w:szCs w:val="18"/>
                <w:lang w:val="en-US"/>
              </w:rPr>
              <w:t>)</w:t>
            </w:r>
          </w:p>
        </w:tc>
        <w:tc>
          <w:tcPr>
            <w:tcW w:w="1077" w:type="dxa"/>
            <w:tcBorders>
              <w:bottom w:val="single" w:sz="12" w:space="0" w:color="auto"/>
            </w:tcBorders>
            <w:vAlign w:val="bottom"/>
          </w:tcPr>
          <w:p w:rsidR="005A05C6" w:rsidRPr="003C4D83" w:rsidRDefault="005A05C6" w:rsidP="004929D8">
            <w:pPr>
              <w:spacing w:after="160" w:line="240" w:lineRule="auto"/>
              <w:jc w:val="right"/>
              <w:rPr>
                <w:rFonts w:ascii="Segoe UI" w:eastAsia="Times New Roman" w:hAnsi="Segoe UI" w:cs="Segoe UI"/>
                <w:sz w:val="16"/>
                <w:szCs w:val="18"/>
                <w:lang w:val="en-US"/>
              </w:rPr>
            </w:pPr>
          </w:p>
        </w:tc>
        <w:tc>
          <w:tcPr>
            <w:tcW w:w="1077" w:type="dxa"/>
            <w:tcBorders>
              <w:bottom w:val="single" w:sz="12" w:space="0" w:color="auto"/>
            </w:tcBorders>
            <w:shd w:val="clear" w:color="auto" w:fill="auto"/>
            <w:vAlign w:val="bottom"/>
          </w:tcPr>
          <w:p w:rsidR="005A05C6" w:rsidRPr="003C4D83" w:rsidRDefault="005A05C6" w:rsidP="004929D8">
            <w:pPr>
              <w:spacing w:after="160" w:line="240" w:lineRule="auto"/>
              <w:jc w:val="right"/>
              <w:rPr>
                <w:rFonts w:ascii="Segoe UI" w:eastAsia="Times New Roman" w:hAnsi="Segoe UI" w:cs="Segoe UI"/>
                <w:sz w:val="16"/>
                <w:szCs w:val="18"/>
              </w:rPr>
            </w:pPr>
          </w:p>
        </w:tc>
        <w:tc>
          <w:tcPr>
            <w:tcW w:w="850" w:type="dxa"/>
            <w:tcBorders>
              <w:bottom w:val="single" w:sz="12" w:space="0" w:color="auto"/>
            </w:tcBorders>
            <w:shd w:val="clear" w:color="auto" w:fill="auto"/>
            <w:vAlign w:val="bottom"/>
          </w:tcPr>
          <w:p w:rsidR="005A05C6" w:rsidRPr="003C4D83" w:rsidRDefault="005A05C6" w:rsidP="004929D8">
            <w:pPr>
              <w:autoSpaceDE w:val="0"/>
              <w:autoSpaceDN w:val="0"/>
              <w:adjustRightInd w:val="0"/>
              <w:spacing w:after="160" w:line="240" w:lineRule="auto"/>
              <w:jc w:val="right"/>
              <w:rPr>
                <w:rFonts w:ascii="Segoe UI" w:hAnsi="Segoe UI" w:cs="Segoe UI"/>
                <w:i/>
                <w:sz w:val="16"/>
                <w:szCs w:val="18"/>
                <w:lang w:val="en-US"/>
              </w:rPr>
            </w:pPr>
          </w:p>
        </w:tc>
        <w:tc>
          <w:tcPr>
            <w:tcW w:w="1077" w:type="dxa"/>
            <w:tcBorders>
              <w:bottom w:val="single" w:sz="12" w:space="0" w:color="auto"/>
            </w:tcBorders>
            <w:vAlign w:val="bottom"/>
          </w:tcPr>
          <w:p w:rsidR="005A05C6" w:rsidRPr="003C4D83" w:rsidRDefault="005A05C6" w:rsidP="004929D8">
            <w:pPr>
              <w:autoSpaceDE w:val="0"/>
              <w:autoSpaceDN w:val="0"/>
              <w:adjustRightInd w:val="0"/>
              <w:spacing w:after="160" w:line="240" w:lineRule="auto"/>
              <w:jc w:val="right"/>
              <w:rPr>
                <w:rFonts w:ascii="Segoe UI" w:hAnsi="Segoe UI" w:cs="Segoe UI"/>
                <w:sz w:val="16"/>
                <w:szCs w:val="18"/>
                <w:lang w:val="en-US"/>
              </w:rPr>
            </w:pPr>
          </w:p>
        </w:tc>
        <w:tc>
          <w:tcPr>
            <w:tcW w:w="1077" w:type="dxa"/>
            <w:tcBorders>
              <w:bottom w:val="single" w:sz="12" w:space="0" w:color="auto"/>
            </w:tcBorders>
            <w:vAlign w:val="bottom"/>
          </w:tcPr>
          <w:p w:rsidR="005A05C6" w:rsidRPr="003C4D83" w:rsidRDefault="005A05C6" w:rsidP="004929D8">
            <w:pPr>
              <w:spacing w:after="160" w:line="240" w:lineRule="auto"/>
              <w:jc w:val="right"/>
              <w:rPr>
                <w:rFonts w:ascii="Segoe UI" w:eastAsia="Times New Roman" w:hAnsi="Segoe UI" w:cs="Segoe UI"/>
                <w:b/>
                <w:color w:val="FFFFFF" w:themeColor="background1"/>
                <w:sz w:val="16"/>
                <w:szCs w:val="18"/>
                <w:lang w:val="el-GR"/>
              </w:rPr>
            </w:pPr>
          </w:p>
        </w:tc>
        <w:tc>
          <w:tcPr>
            <w:tcW w:w="850" w:type="dxa"/>
            <w:tcBorders>
              <w:bottom w:val="single" w:sz="12" w:space="0" w:color="auto"/>
            </w:tcBorders>
            <w:vAlign w:val="bottom"/>
          </w:tcPr>
          <w:p w:rsidR="005A05C6" w:rsidRPr="003C4D83" w:rsidRDefault="005A05C6" w:rsidP="004929D8">
            <w:pPr>
              <w:autoSpaceDE w:val="0"/>
              <w:autoSpaceDN w:val="0"/>
              <w:adjustRightInd w:val="0"/>
              <w:spacing w:after="160" w:line="240" w:lineRule="auto"/>
              <w:jc w:val="right"/>
              <w:rPr>
                <w:rFonts w:ascii="Segoe UI" w:hAnsi="Segoe UI" w:cs="Segoe UI"/>
                <w:i/>
                <w:sz w:val="16"/>
                <w:szCs w:val="18"/>
                <w:lang w:val="en-US"/>
              </w:rPr>
            </w:pPr>
          </w:p>
        </w:tc>
      </w:tr>
      <w:tr w:rsidR="00912870" w:rsidRPr="00B522A6" w:rsidTr="0069150B">
        <w:trPr>
          <w:trHeight w:hRule="exact" w:val="601"/>
          <w:jc w:val="right"/>
        </w:trPr>
        <w:tc>
          <w:tcPr>
            <w:tcW w:w="3005" w:type="dxa"/>
            <w:tcBorders>
              <w:top w:val="single" w:sz="12" w:space="0" w:color="auto"/>
              <w:bottom w:val="single" w:sz="4" w:space="0" w:color="auto"/>
            </w:tcBorders>
            <w:shd w:val="clear" w:color="auto" w:fill="auto"/>
            <w:vAlign w:val="bottom"/>
          </w:tcPr>
          <w:p w:rsidR="00912870" w:rsidRPr="003C4D83" w:rsidRDefault="00912870" w:rsidP="00A27D83">
            <w:pPr>
              <w:spacing w:after="160"/>
              <w:rPr>
                <w:rFonts w:ascii="Segoe UI" w:eastAsia="Times New Roman" w:hAnsi="Segoe UI" w:cs="Segoe UI"/>
                <w:bCs/>
                <w:sz w:val="16"/>
                <w:szCs w:val="18"/>
                <w:lang w:val="el-GR"/>
              </w:rPr>
            </w:pPr>
            <w:r w:rsidRPr="003C4D83">
              <w:rPr>
                <w:rFonts w:ascii="Segoe UI" w:hAnsi="Segoe UI" w:cs="Segoe UI"/>
                <w:sz w:val="16"/>
                <w:szCs w:val="18"/>
                <w:lang w:val="el-GR"/>
              </w:rPr>
              <w:t>Κέρδη μετά φόρων Ομίλου(συνεχιζόμενες δραστηριότητες)</w:t>
            </w:r>
            <w:r w:rsidRPr="003C4D83">
              <w:rPr>
                <w:rStyle w:val="a9"/>
                <w:rFonts w:ascii="Segoe UI" w:hAnsi="Segoe UI" w:cs="Segoe UI"/>
                <w:sz w:val="16"/>
                <w:szCs w:val="18"/>
                <w:lang w:val="el-GR"/>
              </w:rPr>
              <w:footnoteReference w:id="8"/>
            </w:r>
          </w:p>
        </w:tc>
        <w:tc>
          <w:tcPr>
            <w:tcW w:w="1077" w:type="dxa"/>
            <w:tcBorders>
              <w:top w:val="single" w:sz="12" w:space="0" w:color="auto"/>
              <w:bottom w:val="single" w:sz="4" w:space="0" w:color="auto"/>
            </w:tcBorders>
            <w:vAlign w:val="bottom"/>
          </w:tcPr>
          <w:p w:rsidR="00912870" w:rsidRPr="00912870" w:rsidRDefault="00912870" w:rsidP="00402A9B">
            <w:pPr>
              <w:spacing w:after="160" w:line="240" w:lineRule="auto"/>
              <w:jc w:val="right"/>
              <w:rPr>
                <w:rFonts w:ascii="Segoe UI" w:eastAsia="Times New Roman" w:hAnsi="Segoe UI" w:cs="Segoe UI"/>
                <w:sz w:val="16"/>
                <w:szCs w:val="18"/>
                <w:lang w:val="en-US"/>
              </w:rPr>
            </w:pPr>
            <w:r w:rsidRPr="00912870">
              <w:rPr>
                <w:rFonts w:ascii="Segoe UI" w:eastAsia="Times New Roman" w:hAnsi="Segoe UI" w:cs="Segoe UI"/>
                <w:sz w:val="16"/>
                <w:szCs w:val="18"/>
                <w:lang w:val="en-US"/>
              </w:rPr>
              <w:t>23</w:t>
            </w:r>
          </w:p>
        </w:tc>
        <w:tc>
          <w:tcPr>
            <w:tcW w:w="1077" w:type="dxa"/>
            <w:tcBorders>
              <w:top w:val="single" w:sz="12" w:space="0" w:color="auto"/>
              <w:bottom w:val="single" w:sz="4" w:space="0" w:color="auto"/>
            </w:tcBorders>
            <w:vAlign w:val="bottom"/>
          </w:tcPr>
          <w:p w:rsidR="00912870" w:rsidRPr="00912870" w:rsidRDefault="00912870" w:rsidP="00402A9B">
            <w:pPr>
              <w:spacing w:after="160" w:line="240" w:lineRule="auto"/>
              <w:jc w:val="right"/>
              <w:rPr>
                <w:rFonts w:ascii="Segoe UI" w:eastAsia="Times New Roman" w:hAnsi="Segoe UI" w:cs="Segoe UI"/>
                <w:sz w:val="16"/>
                <w:szCs w:val="18"/>
                <w:lang w:val="en-US"/>
              </w:rPr>
            </w:pPr>
            <w:r w:rsidRPr="00912870">
              <w:rPr>
                <w:rFonts w:ascii="Segoe UI" w:eastAsia="Times New Roman" w:hAnsi="Segoe UI" w:cs="Segoe UI"/>
                <w:sz w:val="16"/>
                <w:szCs w:val="18"/>
                <w:lang w:val="en-US"/>
              </w:rPr>
              <w:t>(23)</w:t>
            </w:r>
          </w:p>
        </w:tc>
        <w:tc>
          <w:tcPr>
            <w:tcW w:w="850" w:type="dxa"/>
            <w:tcBorders>
              <w:top w:val="single" w:sz="12" w:space="0" w:color="auto"/>
              <w:bottom w:val="single" w:sz="4" w:space="0" w:color="auto"/>
            </w:tcBorders>
            <w:shd w:val="clear" w:color="auto" w:fill="auto"/>
            <w:vAlign w:val="bottom"/>
          </w:tcPr>
          <w:p w:rsidR="00912870" w:rsidRPr="00912870" w:rsidRDefault="00912870" w:rsidP="00402A9B">
            <w:pPr>
              <w:autoSpaceDE w:val="0"/>
              <w:autoSpaceDN w:val="0"/>
              <w:adjustRightInd w:val="0"/>
              <w:spacing w:after="160" w:line="240" w:lineRule="auto"/>
              <w:jc w:val="right"/>
              <w:rPr>
                <w:rFonts w:ascii="Segoe UI" w:hAnsi="Segoe UI" w:cs="Segoe UI"/>
                <w:i/>
                <w:sz w:val="16"/>
                <w:szCs w:val="18"/>
                <w:lang w:val="el-GR"/>
              </w:rPr>
            </w:pPr>
            <w:r>
              <w:rPr>
                <w:rFonts w:ascii="Segoe UI" w:hAnsi="Segoe UI" w:cs="Segoe UI"/>
                <w:i/>
                <w:sz w:val="16"/>
                <w:szCs w:val="18"/>
                <w:lang w:val="el-GR"/>
              </w:rPr>
              <w:t>--</w:t>
            </w:r>
          </w:p>
        </w:tc>
        <w:tc>
          <w:tcPr>
            <w:tcW w:w="1077" w:type="dxa"/>
            <w:tcBorders>
              <w:top w:val="single" w:sz="12" w:space="0" w:color="auto"/>
              <w:left w:val="nil"/>
              <w:bottom w:val="single" w:sz="4" w:space="0" w:color="auto"/>
              <w:right w:val="nil"/>
            </w:tcBorders>
            <w:shd w:val="clear" w:color="auto" w:fill="auto"/>
            <w:vAlign w:val="bottom"/>
          </w:tcPr>
          <w:p w:rsidR="00912870" w:rsidRPr="00912870" w:rsidRDefault="00912870" w:rsidP="00402A9B">
            <w:pPr>
              <w:spacing w:after="160" w:line="240" w:lineRule="auto"/>
              <w:jc w:val="right"/>
              <w:rPr>
                <w:rFonts w:ascii="Segoe UI" w:eastAsia="Times New Roman" w:hAnsi="Segoe UI" w:cs="Segoe UI"/>
                <w:sz w:val="16"/>
                <w:szCs w:val="18"/>
                <w:lang w:val="en-US"/>
              </w:rPr>
            </w:pPr>
            <w:r w:rsidRPr="00912870">
              <w:rPr>
                <w:rFonts w:ascii="Segoe UI" w:eastAsia="Times New Roman" w:hAnsi="Segoe UI" w:cs="Segoe UI"/>
                <w:sz w:val="16"/>
                <w:szCs w:val="18"/>
                <w:lang w:val="en-US"/>
              </w:rPr>
              <w:t>26</w:t>
            </w:r>
          </w:p>
        </w:tc>
        <w:tc>
          <w:tcPr>
            <w:tcW w:w="1077" w:type="dxa"/>
            <w:tcBorders>
              <w:top w:val="single" w:sz="12" w:space="0" w:color="auto"/>
              <w:left w:val="nil"/>
              <w:bottom w:val="single" w:sz="4" w:space="0" w:color="auto"/>
              <w:right w:val="nil"/>
            </w:tcBorders>
            <w:shd w:val="clear" w:color="auto" w:fill="auto"/>
            <w:vAlign w:val="bottom"/>
          </w:tcPr>
          <w:p w:rsidR="00912870" w:rsidRPr="00912870" w:rsidRDefault="00912870" w:rsidP="005D47BD">
            <w:pPr>
              <w:spacing w:after="160"/>
              <w:jc w:val="right"/>
              <w:rPr>
                <w:rFonts w:ascii="Segoe UI" w:eastAsia="Times New Roman" w:hAnsi="Segoe UI" w:cs="Segoe UI"/>
                <w:sz w:val="16"/>
                <w:szCs w:val="18"/>
                <w:lang w:val="en-US"/>
              </w:rPr>
            </w:pPr>
            <w:r w:rsidRPr="00912870">
              <w:rPr>
                <w:rFonts w:ascii="Segoe UI" w:eastAsia="Times New Roman" w:hAnsi="Segoe UI" w:cs="Segoe UI"/>
                <w:sz w:val="16"/>
                <w:szCs w:val="18"/>
                <w:lang w:val="en-US"/>
              </w:rPr>
              <w:t>(1</w:t>
            </w:r>
            <w:r w:rsidR="005D47BD">
              <w:rPr>
                <w:rFonts w:ascii="Segoe UI" w:eastAsia="Times New Roman" w:hAnsi="Segoe UI" w:cs="Segoe UI"/>
                <w:sz w:val="16"/>
                <w:szCs w:val="18"/>
                <w:lang w:val="en-US"/>
              </w:rPr>
              <w:t>.</w:t>
            </w:r>
            <w:r w:rsidRPr="00912870">
              <w:rPr>
                <w:rFonts w:ascii="Segoe UI" w:eastAsia="Times New Roman" w:hAnsi="Segoe UI" w:cs="Segoe UI"/>
                <w:sz w:val="16"/>
                <w:szCs w:val="18"/>
                <w:lang w:val="en-US"/>
              </w:rPr>
              <w:t>694)</w:t>
            </w:r>
          </w:p>
        </w:tc>
        <w:tc>
          <w:tcPr>
            <w:tcW w:w="850" w:type="dxa"/>
            <w:tcBorders>
              <w:top w:val="single" w:sz="12" w:space="0" w:color="auto"/>
              <w:bottom w:val="single" w:sz="4" w:space="0" w:color="auto"/>
            </w:tcBorders>
            <w:vAlign w:val="bottom"/>
          </w:tcPr>
          <w:p w:rsidR="00912870" w:rsidRPr="003C4D83" w:rsidRDefault="00912870" w:rsidP="00402A9B">
            <w:pPr>
              <w:spacing w:after="160"/>
              <w:jc w:val="right"/>
              <w:rPr>
                <w:rFonts w:ascii="Segoe UI" w:hAnsi="Segoe UI" w:cs="Segoe UI"/>
                <w:i/>
                <w:sz w:val="16"/>
                <w:szCs w:val="18"/>
              </w:rPr>
            </w:pPr>
            <w:r w:rsidRPr="003C4D83">
              <w:rPr>
                <w:rFonts w:ascii="Segoe UI" w:hAnsi="Segoe UI" w:cs="Segoe UI"/>
                <w:i/>
                <w:sz w:val="16"/>
                <w:szCs w:val="18"/>
              </w:rPr>
              <w:t>--</w:t>
            </w:r>
          </w:p>
        </w:tc>
      </w:tr>
      <w:tr w:rsidR="00B678DD"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B678DD" w:rsidRPr="003C4D83" w:rsidRDefault="00B678DD" w:rsidP="003C5467">
            <w:pPr>
              <w:spacing w:after="160"/>
              <w:rPr>
                <w:rFonts w:ascii="Segoe UI" w:eastAsia="Times New Roman" w:hAnsi="Segoe UI" w:cs="Segoe UI"/>
                <w:bCs/>
                <w:sz w:val="16"/>
                <w:szCs w:val="18"/>
                <w:lang w:val="el-GR"/>
              </w:rPr>
            </w:pPr>
            <w:r w:rsidRPr="003C4D83">
              <w:rPr>
                <w:rFonts w:ascii="Segoe UI" w:hAnsi="Segoe UI" w:cs="Segoe UI"/>
                <w:sz w:val="16"/>
                <w:szCs w:val="18"/>
                <w:lang w:val="el-GR"/>
              </w:rPr>
              <w:t>Ελλάδα</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sz w:val="16"/>
                <w:szCs w:val="18"/>
              </w:rPr>
            </w:pPr>
            <w:r w:rsidRPr="00912870">
              <w:rPr>
                <w:rFonts w:ascii="Segoe UI" w:eastAsia="Times New Roman" w:hAnsi="Segoe UI" w:cs="Segoe UI"/>
                <w:sz w:val="16"/>
                <w:szCs w:val="18"/>
              </w:rPr>
              <w:t>(5)</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sz w:val="16"/>
                <w:szCs w:val="18"/>
              </w:rPr>
            </w:pPr>
            <w:r w:rsidRPr="00912870">
              <w:rPr>
                <w:rFonts w:ascii="Segoe UI" w:eastAsia="Times New Roman" w:hAnsi="Segoe UI" w:cs="Segoe UI"/>
                <w:sz w:val="16"/>
                <w:szCs w:val="18"/>
              </w:rPr>
              <w:t>(49)</w:t>
            </w:r>
          </w:p>
        </w:tc>
        <w:tc>
          <w:tcPr>
            <w:tcW w:w="850" w:type="dxa"/>
            <w:tcBorders>
              <w:top w:val="single" w:sz="4" w:space="0" w:color="auto"/>
              <w:bottom w:val="single" w:sz="4" w:space="0" w:color="auto"/>
            </w:tcBorders>
            <w:shd w:val="clear" w:color="auto" w:fill="auto"/>
            <w:vAlign w:val="bottom"/>
          </w:tcPr>
          <w:p w:rsidR="00B678DD" w:rsidRPr="00912870" w:rsidRDefault="00DA751A" w:rsidP="00C04B0E">
            <w:pPr>
              <w:autoSpaceDE w:val="0"/>
              <w:autoSpaceDN w:val="0"/>
              <w:adjustRightInd w:val="0"/>
              <w:spacing w:after="160" w:line="240" w:lineRule="auto"/>
              <w:jc w:val="right"/>
              <w:rPr>
                <w:rFonts w:ascii="Segoe UI" w:hAnsi="Segoe UI" w:cs="Segoe UI"/>
                <w:i/>
                <w:sz w:val="16"/>
                <w:szCs w:val="18"/>
                <w:lang w:val="en-US"/>
              </w:rPr>
            </w:pPr>
            <w:r>
              <w:rPr>
                <w:rFonts w:ascii="Segoe UI" w:hAnsi="Segoe UI" w:cs="Segoe UI"/>
                <w:i/>
                <w:sz w:val="16"/>
                <w:szCs w:val="18"/>
                <w:lang w:val="en-US"/>
              </w:rPr>
              <w:t>-</w:t>
            </w:r>
            <w:r w:rsidR="00B678DD" w:rsidRPr="00912870">
              <w:rPr>
                <w:rFonts w:ascii="Segoe UI" w:hAnsi="Segoe UI" w:cs="Segoe UI"/>
                <w:i/>
                <w:sz w:val="16"/>
                <w:szCs w:val="18"/>
                <w:lang w:val="en-US"/>
              </w:rPr>
              <w:t>90</w:t>
            </w:r>
            <w:r w:rsidR="00B678DD">
              <w:rPr>
                <w:rFonts w:ascii="Segoe UI" w:hAnsi="Segoe UI" w:cs="Segoe UI"/>
                <w:i/>
                <w:sz w:val="16"/>
                <w:szCs w:val="18"/>
                <w:lang w:val="el-GR"/>
              </w:rPr>
              <w:t>,</w:t>
            </w:r>
            <w:r w:rsidR="00C04B0E">
              <w:rPr>
                <w:rFonts w:ascii="Segoe UI" w:hAnsi="Segoe UI" w:cs="Segoe UI"/>
                <w:i/>
                <w:sz w:val="16"/>
                <w:szCs w:val="18"/>
                <w:lang w:val="el-GR"/>
              </w:rPr>
              <w:t>4</w:t>
            </w:r>
            <w:r w:rsidR="00B678DD" w:rsidRPr="00912870">
              <w:rPr>
                <w:rFonts w:ascii="Segoe UI" w:hAnsi="Segoe UI" w:cs="Segoe UI"/>
                <w:i/>
                <w:sz w:val="16"/>
                <w:szCs w:val="18"/>
                <w:lang w:val="en-US"/>
              </w:rPr>
              <w:t>%</w:t>
            </w:r>
          </w:p>
        </w:tc>
        <w:tc>
          <w:tcPr>
            <w:tcW w:w="1077" w:type="dxa"/>
            <w:tcBorders>
              <w:top w:val="single" w:sz="4" w:space="0" w:color="auto"/>
              <w:left w:val="nil"/>
              <w:bottom w:val="single" w:sz="4" w:space="0" w:color="auto"/>
              <w:right w:val="nil"/>
            </w:tcBorders>
            <w:shd w:val="clear" w:color="auto" w:fill="auto"/>
            <w:vAlign w:val="bottom"/>
          </w:tcPr>
          <w:p w:rsidR="00B678DD" w:rsidRPr="00452C57" w:rsidRDefault="00452C57" w:rsidP="00402A9B">
            <w:pPr>
              <w:spacing w:after="160" w:line="240" w:lineRule="auto"/>
              <w:jc w:val="right"/>
              <w:rPr>
                <w:rFonts w:ascii="Segoe UI" w:eastAsia="Times New Roman" w:hAnsi="Segoe UI" w:cs="Segoe UI"/>
                <w:sz w:val="16"/>
                <w:szCs w:val="18"/>
                <w:lang w:val="el-GR"/>
              </w:rPr>
            </w:pPr>
            <w:r>
              <w:rPr>
                <w:rFonts w:ascii="Segoe UI" w:eastAsia="Times New Roman" w:hAnsi="Segoe UI" w:cs="Segoe UI"/>
                <w:sz w:val="16"/>
                <w:szCs w:val="18"/>
                <w:lang w:val="el-GR"/>
              </w:rPr>
              <w:t>(</w:t>
            </w:r>
            <w:r w:rsidR="00B678DD" w:rsidRPr="00912870">
              <w:rPr>
                <w:rFonts w:ascii="Segoe UI" w:eastAsia="Times New Roman" w:hAnsi="Segoe UI" w:cs="Segoe UI"/>
                <w:sz w:val="16"/>
                <w:szCs w:val="18"/>
                <w:lang w:val="en-US"/>
              </w:rPr>
              <w:t>55</w:t>
            </w:r>
            <w:r>
              <w:rPr>
                <w:rFonts w:ascii="Segoe UI" w:eastAsia="Times New Roman" w:hAnsi="Segoe UI" w:cs="Segoe UI"/>
                <w:sz w:val="16"/>
                <w:szCs w:val="18"/>
                <w:lang w:val="el-GR"/>
              </w:rPr>
              <w:t>)</w:t>
            </w:r>
          </w:p>
        </w:tc>
        <w:tc>
          <w:tcPr>
            <w:tcW w:w="1077" w:type="dxa"/>
            <w:tcBorders>
              <w:top w:val="single" w:sz="4" w:space="0" w:color="auto"/>
              <w:left w:val="nil"/>
              <w:bottom w:val="single" w:sz="4" w:space="0" w:color="auto"/>
              <w:right w:val="nil"/>
            </w:tcBorders>
            <w:shd w:val="clear" w:color="auto" w:fill="auto"/>
            <w:vAlign w:val="bottom"/>
          </w:tcPr>
          <w:p w:rsidR="00B678DD" w:rsidRPr="00912870" w:rsidRDefault="00B678DD" w:rsidP="005D47BD">
            <w:pPr>
              <w:spacing w:after="160" w:line="240" w:lineRule="auto"/>
              <w:jc w:val="right"/>
              <w:rPr>
                <w:rFonts w:ascii="Segoe UI" w:eastAsia="Times New Roman" w:hAnsi="Segoe UI" w:cs="Segoe UI"/>
                <w:sz w:val="16"/>
                <w:szCs w:val="18"/>
                <w:lang w:val="en-US"/>
              </w:rPr>
            </w:pPr>
            <w:r w:rsidRPr="00912870">
              <w:rPr>
                <w:rFonts w:ascii="Segoe UI" w:eastAsia="Times New Roman" w:hAnsi="Segoe UI" w:cs="Segoe UI"/>
                <w:sz w:val="16"/>
                <w:szCs w:val="18"/>
                <w:lang w:val="en-US"/>
              </w:rPr>
              <w:t>(1</w:t>
            </w:r>
            <w:r w:rsidR="005D47BD">
              <w:rPr>
                <w:rFonts w:ascii="Segoe UI" w:eastAsia="Times New Roman" w:hAnsi="Segoe UI" w:cs="Segoe UI"/>
                <w:sz w:val="16"/>
                <w:szCs w:val="18"/>
                <w:lang w:val="en-US"/>
              </w:rPr>
              <w:t>.</w:t>
            </w:r>
            <w:r w:rsidRPr="00912870">
              <w:rPr>
                <w:rFonts w:ascii="Segoe UI" w:eastAsia="Times New Roman" w:hAnsi="Segoe UI" w:cs="Segoe UI"/>
                <w:sz w:val="16"/>
                <w:szCs w:val="18"/>
                <w:lang w:val="en-US"/>
              </w:rPr>
              <w:t>735)</w:t>
            </w:r>
          </w:p>
        </w:tc>
        <w:tc>
          <w:tcPr>
            <w:tcW w:w="850" w:type="dxa"/>
            <w:tcBorders>
              <w:top w:val="single" w:sz="4" w:space="0" w:color="auto"/>
              <w:left w:val="nil"/>
              <w:bottom w:val="single" w:sz="4" w:space="0" w:color="auto"/>
              <w:right w:val="nil"/>
            </w:tcBorders>
            <w:shd w:val="clear" w:color="auto" w:fill="auto"/>
            <w:vAlign w:val="bottom"/>
          </w:tcPr>
          <w:p w:rsidR="00B678DD" w:rsidRPr="00B678DD" w:rsidRDefault="00B678DD" w:rsidP="00402A9B">
            <w:pPr>
              <w:spacing w:after="160" w:line="240" w:lineRule="auto"/>
              <w:jc w:val="right"/>
              <w:rPr>
                <w:rFonts w:ascii="Segoe UI" w:eastAsia="Times New Roman" w:hAnsi="Segoe UI" w:cs="Segoe UI"/>
                <w:i/>
                <w:sz w:val="16"/>
                <w:szCs w:val="18"/>
                <w:lang w:val="en-US"/>
              </w:rPr>
            </w:pPr>
            <w:r w:rsidRPr="00B678DD">
              <w:rPr>
                <w:rFonts w:ascii="Segoe UI" w:eastAsia="Times New Roman" w:hAnsi="Segoe UI" w:cs="Segoe UI"/>
                <w:i/>
                <w:sz w:val="16"/>
                <w:szCs w:val="18"/>
                <w:lang w:val="en-US"/>
              </w:rPr>
              <w:t>-96</w:t>
            </w:r>
            <w:r>
              <w:rPr>
                <w:rFonts w:ascii="Segoe UI" w:eastAsia="Times New Roman" w:hAnsi="Segoe UI" w:cs="Segoe UI"/>
                <w:i/>
                <w:sz w:val="16"/>
                <w:szCs w:val="18"/>
                <w:lang w:val="el-GR"/>
              </w:rPr>
              <w:t>,</w:t>
            </w:r>
            <w:r w:rsidRPr="00B678DD">
              <w:rPr>
                <w:rFonts w:ascii="Segoe UI" w:eastAsia="Times New Roman" w:hAnsi="Segoe UI" w:cs="Segoe UI"/>
                <w:i/>
                <w:sz w:val="16"/>
                <w:szCs w:val="18"/>
                <w:lang w:val="en-US"/>
              </w:rPr>
              <w:t>8%</w:t>
            </w:r>
          </w:p>
        </w:tc>
      </w:tr>
      <w:tr w:rsidR="00B678DD" w:rsidRPr="00DA751A"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B678DD" w:rsidRPr="003C4D83" w:rsidRDefault="00B678DD" w:rsidP="003C5467">
            <w:pPr>
              <w:spacing w:after="160"/>
              <w:rPr>
                <w:rFonts w:ascii="Segoe UI" w:hAnsi="Segoe UI" w:cs="Segoe UI"/>
                <w:sz w:val="16"/>
                <w:szCs w:val="18"/>
                <w:lang w:val="en-US"/>
              </w:rPr>
            </w:pPr>
            <w:r w:rsidRPr="003C4D83">
              <w:rPr>
                <w:rFonts w:ascii="Segoe UI" w:hAnsi="Segoe UI" w:cs="Segoe UI"/>
                <w:sz w:val="16"/>
                <w:szCs w:val="18"/>
                <w:lang w:val="el-GR"/>
              </w:rPr>
              <w:t>ΝΑ Ευρώπη</w:t>
            </w:r>
            <w:r w:rsidRPr="003C4D83">
              <w:rPr>
                <w:rStyle w:val="a9"/>
                <w:rFonts w:ascii="Segoe UI" w:hAnsi="Segoe UI" w:cs="Segoe UI"/>
                <w:sz w:val="16"/>
                <w:szCs w:val="18"/>
                <w:lang w:val="el-GR"/>
              </w:rPr>
              <w:footnoteReference w:id="9"/>
            </w:r>
          </w:p>
        </w:tc>
        <w:tc>
          <w:tcPr>
            <w:tcW w:w="1077" w:type="dxa"/>
            <w:tcBorders>
              <w:top w:val="single" w:sz="4" w:space="0" w:color="auto"/>
              <w:bottom w:val="single" w:sz="4" w:space="0" w:color="auto"/>
            </w:tcBorders>
            <w:vAlign w:val="bottom"/>
          </w:tcPr>
          <w:p w:rsidR="00B678DD" w:rsidRPr="00D00660" w:rsidRDefault="00B678DD" w:rsidP="00D00660">
            <w:pPr>
              <w:spacing w:after="160" w:line="240" w:lineRule="auto"/>
              <w:jc w:val="right"/>
              <w:rPr>
                <w:rFonts w:ascii="Segoe UI" w:hAnsi="Segoe UI" w:cs="Segoe UI"/>
                <w:sz w:val="16"/>
                <w:szCs w:val="18"/>
                <w:lang w:val="el-GR"/>
              </w:rPr>
            </w:pPr>
            <w:r w:rsidRPr="00912870">
              <w:rPr>
                <w:rFonts w:ascii="Segoe UI" w:hAnsi="Segoe UI" w:cs="Segoe UI"/>
                <w:sz w:val="16"/>
                <w:szCs w:val="18"/>
              </w:rPr>
              <w:t>2</w:t>
            </w:r>
            <w:r w:rsidR="00D00660">
              <w:rPr>
                <w:rFonts w:ascii="Segoe UI" w:hAnsi="Segoe UI" w:cs="Segoe UI"/>
                <w:sz w:val="16"/>
                <w:szCs w:val="18"/>
                <w:lang w:val="el-GR"/>
              </w:rPr>
              <w:t>8</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26</w:t>
            </w:r>
          </w:p>
        </w:tc>
        <w:tc>
          <w:tcPr>
            <w:tcW w:w="850"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i/>
                <w:sz w:val="16"/>
                <w:szCs w:val="18"/>
              </w:rPr>
            </w:pPr>
            <w:r w:rsidRPr="00912870">
              <w:rPr>
                <w:rFonts w:ascii="Segoe UI" w:hAnsi="Segoe UI" w:cs="Segoe UI"/>
                <w:i/>
                <w:sz w:val="16"/>
                <w:szCs w:val="18"/>
              </w:rPr>
              <w:t>7</w:t>
            </w:r>
            <w:r>
              <w:rPr>
                <w:rFonts w:ascii="Segoe UI" w:hAnsi="Segoe UI" w:cs="Segoe UI"/>
                <w:i/>
                <w:sz w:val="16"/>
                <w:szCs w:val="18"/>
                <w:lang w:val="el-GR"/>
              </w:rPr>
              <w:t>,</w:t>
            </w:r>
            <w:r w:rsidRPr="00912870">
              <w:rPr>
                <w:rFonts w:ascii="Segoe UI" w:hAnsi="Segoe UI" w:cs="Segoe UI"/>
                <w:i/>
                <w:sz w:val="16"/>
                <w:szCs w:val="18"/>
              </w:rPr>
              <w:t>0%</w:t>
            </w:r>
          </w:p>
        </w:tc>
        <w:tc>
          <w:tcPr>
            <w:tcW w:w="1077" w:type="dxa"/>
            <w:tcBorders>
              <w:top w:val="single" w:sz="4" w:space="0" w:color="auto"/>
              <w:left w:val="nil"/>
              <w:bottom w:val="single" w:sz="4" w:space="0" w:color="auto"/>
              <w:right w:val="nil"/>
            </w:tcBorders>
            <w:shd w:val="clear" w:color="auto" w:fill="auto"/>
            <w:vAlign w:val="bottom"/>
          </w:tcPr>
          <w:p w:rsidR="00B678DD" w:rsidRPr="00912870" w:rsidRDefault="00B678DD" w:rsidP="00402A9B">
            <w:pPr>
              <w:spacing w:after="160" w:line="240" w:lineRule="auto"/>
              <w:jc w:val="right"/>
              <w:rPr>
                <w:rFonts w:ascii="Segoe UI" w:eastAsia="Times New Roman" w:hAnsi="Segoe UI" w:cs="Segoe UI"/>
                <w:sz w:val="16"/>
                <w:szCs w:val="18"/>
                <w:lang w:val="en-US"/>
              </w:rPr>
            </w:pPr>
            <w:r w:rsidRPr="00912870">
              <w:rPr>
                <w:rFonts w:ascii="Segoe UI" w:eastAsia="Times New Roman" w:hAnsi="Segoe UI" w:cs="Segoe UI"/>
                <w:sz w:val="16"/>
                <w:szCs w:val="18"/>
                <w:lang w:val="en-US"/>
              </w:rPr>
              <w:t>81</w:t>
            </w:r>
          </w:p>
        </w:tc>
        <w:tc>
          <w:tcPr>
            <w:tcW w:w="1077" w:type="dxa"/>
            <w:tcBorders>
              <w:top w:val="single" w:sz="4" w:space="0" w:color="auto"/>
              <w:left w:val="nil"/>
              <w:bottom w:val="single" w:sz="4" w:space="0" w:color="auto"/>
              <w:right w:val="nil"/>
            </w:tcBorders>
            <w:shd w:val="clear" w:color="auto" w:fill="auto"/>
            <w:vAlign w:val="bottom"/>
          </w:tcPr>
          <w:p w:rsidR="00B678DD" w:rsidRPr="00912870" w:rsidRDefault="00B678DD" w:rsidP="00402A9B">
            <w:pPr>
              <w:spacing w:after="160" w:line="240" w:lineRule="auto"/>
              <w:jc w:val="right"/>
              <w:rPr>
                <w:rFonts w:ascii="Segoe UI" w:eastAsia="Times New Roman" w:hAnsi="Segoe UI" w:cs="Segoe UI"/>
                <w:sz w:val="16"/>
                <w:szCs w:val="18"/>
                <w:lang w:val="en-US"/>
              </w:rPr>
            </w:pPr>
            <w:r w:rsidRPr="00912870">
              <w:rPr>
                <w:rFonts w:ascii="Segoe UI" w:eastAsia="Times New Roman" w:hAnsi="Segoe UI" w:cs="Segoe UI"/>
                <w:sz w:val="16"/>
                <w:szCs w:val="18"/>
                <w:lang w:val="en-US"/>
              </w:rPr>
              <w:t>43</w:t>
            </w:r>
          </w:p>
        </w:tc>
        <w:tc>
          <w:tcPr>
            <w:tcW w:w="850" w:type="dxa"/>
            <w:tcBorders>
              <w:top w:val="single" w:sz="4" w:space="0" w:color="auto"/>
              <w:left w:val="nil"/>
              <w:bottom w:val="single" w:sz="4" w:space="0" w:color="auto"/>
              <w:right w:val="nil"/>
            </w:tcBorders>
            <w:shd w:val="clear" w:color="auto" w:fill="auto"/>
            <w:vAlign w:val="bottom"/>
          </w:tcPr>
          <w:p w:rsidR="00B678DD" w:rsidRPr="00DA751A" w:rsidRDefault="00DA751A" w:rsidP="00DA751A">
            <w:pPr>
              <w:spacing w:after="160" w:line="240" w:lineRule="auto"/>
              <w:jc w:val="right"/>
              <w:rPr>
                <w:rFonts w:ascii="Segoe UI" w:eastAsia="Times New Roman" w:hAnsi="Segoe UI" w:cs="Segoe UI"/>
                <w:i/>
                <w:sz w:val="16"/>
                <w:szCs w:val="18"/>
                <w:lang w:val="el-GR"/>
              </w:rPr>
            </w:pPr>
            <w:r w:rsidRPr="00DA751A">
              <w:rPr>
                <w:rFonts w:ascii="Segoe UI" w:eastAsia="Times New Roman" w:hAnsi="Segoe UI" w:cs="Segoe UI"/>
                <w:i/>
                <w:sz w:val="16"/>
                <w:szCs w:val="18"/>
                <w:lang w:val="el-GR"/>
              </w:rPr>
              <w:t>-</w:t>
            </w:r>
            <w:r w:rsidR="00B678DD" w:rsidRPr="00DA751A">
              <w:rPr>
                <w:rFonts w:ascii="Segoe UI" w:eastAsia="Times New Roman" w:hAnsi="Segoe UI" w:cs="Segoe UI"/>
                <w:i/>
                <w:sz w:val="16"/>
                <w:szCs w:val="18"/>
                <w:lang w:val="el-GR"/>
              </w:rPr>
              <w:t>8</w:t>
            </w:r>
            <w:r>
              <w:rPr>
                <w:rFonts w:ascii="Segoe UI" w:eastAsia="Times New Roman" w:hAnsi="Segoe UI" w:cs="Segoe UI"/>
                <w:i/>
                <w:sz w:val="16"/>
                <w:szCs w:val="18"/>
                <w:lang w:val="el-GR"/>
              </w:rPr>
              <w:t>9,6</w:t>
            </w:r>
            <w:r w:rsidR="00B678DD" w:rsidRPr="00DA751A">
              <w:rPr>
                <w:rFonts w:ascii="Segoe UI" w:eastAsia="Times New Roman" w:hAnsi="Segoe UI" w:cs="Segoe UI"/>
                <w:i/>
                <w:sz w:val="16"/>
                <w:szCs w:val="18"/>
                <w:lang w:val="el-GR"/>
              </w:rPr>
              <w:t>%</w:t>
            </w:r>
          </w:p>
        </w:tc>
      </w:tr>
      <w:tr w:rsidR="00B678DD" w:rsidRPr="00DA751A" w:rsidTr="0069150B">
        <w:trPr>
          <w:trHeight w:hRule="exact" w:val="567"/>
          <w:jc w:val="right"/>
        </w:trPr>
        <w:tc>
          <w:tcPr>
            <w:tcW w:w="3005" w:type="dxa"/>
            <w:tcBorders>
              <w:bottom w:val="single" w:sz="12" w:space="0" w:color="auto"/>
            </w:tcBorders>
            <w:shd w:val="clear" w:color="auto" w:fill="auto"/>
            <w:vAlign w:val="bottom"/>
          </w:tcPr>
          <w:p w:rsidR="00B678DD" w:rsidRPr="00DA751A" w:rsidRDefault="00B678DD" w:rsidP="003C5467">
            <w:pPr>
              <w:spacing w:after="160" w:line="240" w:lineRule="auto"/>
              <w:rPr>
                <w:rFonts w:ascii="Segoe UI" w:hAnsi="Segoe UI" w:cs="Segoe UI"/>
                <w:b/>
                <w:sz w:val="16"/>
                <w:szCs w:val="18"/>
                <w:lang w:val="el-GR"/>
              </w:rPr>
            </w:pPr>
            <w:r w:rsidRPr="003C4D83">
              <w:rPr>
                <w:rFonts w:ascii="Segoe UI" w:eastAsia="Times New Roman" w:hAnsi="Segoe UI" w:cs="Segoe UI"/>
                <w:b/>
                <w:bCs/>
                <w:sz w:val="16"/>
                <w:szCs w:val="18"/>
                <w:lang w:val="el-GR"/>
              </w:rPr>
              <w:t>Οργανικά Έσοδα</w:t>
            </w:r>
            <w:r w:rsidRPr="00DA751A">
              <w:rPr>
                <w:rFonts w:ascii="Segoe UI" w:eastAsia="Times New Roman" w:hAnsi="Segoe UI" w:cs="Segoe UI"/>
                <w:b/>
                <w:bCs/>
                <w:sz w:val="16"/>
                <w:szCs w:val="18"/>
                <w:lang w:val="el-GR"/>
              </w:rPr>
              <w:t xml:space="preserve"> (€</w:t>
            </w:r>
            <w:r w:rsidRPr="003C4D83">
              <w:rPr>
                <w:rFonts w:ascii="Segoe UI" w:eastAsia="Times New Roman" w:hAnsi="Segoe UI" w:cs="Segoe UI"/>
                <w:b/>
                <w:bCs/>
                <w:sz w:val="16"/>
                <w:szCs w:val="18"/>
                <w:lang w:val="el-GR"/>
              </w:rPr>
              <w:t xml:space="preserve"> εκατ.</w:t>
            </w:r>
            <w:r w:rsidRPr="00DA751A">
              <w:rPr>
                <w:rFonts w:ascii="Segoe UI" w:eastAsia="Times New Roman" w:hAnsi="Segoe UI" w:cs="Segoe UI"/>
                <w:b/>
                <w:bCs/>
                <w:sz w:val="16"/>
                <w:szCs w:val="18"/>
                <w:lang w:val="el-GR"/>
              </w:rPr>
              <w:t>)</w:t>
            </w:r>
          </w:p>
        </w:tc>
        <w:tc>
          <w:tcPr>
            <w:tcW w:w="1077" w:type="dxa"/>
            <w:tcBorders>
              <w:bottom w:val="single" w:sz="12" w:space="0" w:color="auto"/>
            </w:tcBorders>
            <w:vAlign w:val="bottom"/>
          </w:tcPr>
          <w:p w:rsidR="00B678DD" w:rsidRPr="00DA751A" w:rsidRDefault="00B678DD" w:rsidP="00402A9B">
            <w:pPr>
              <w:spacing w:after="160" w:line="240" w:lineRule="auto"/>
              <w:jc w:val="right"/>
              <w:rPr>
                <w:rFonts w:ascii="Segoe UI" w:hAnsi="Segoe UI" w:cs="Segoe UI"/>
                <w:sz w:val="16"/>
                <w:szCs w:val="18"/>
                <w:highlight w:val="yellow"/>
                <w:lang w:val="el-GR"/>
              </w:rPr>
            </w:pPr>
          </w:p>
        </w:tc>
        <w:tc>
          <w:tcPr>
            <w:tcW w:w="1077" w:type="dxa"/>
            <w:tcBorders>
              <w:bottom w:val="single" w:sz="12" w:space="0" w:color="auto"/>
            </w:tcBorders>
            <w:vAlign w:val="bottom"/>
          </w:tcPr>
          <w:p w:rsidR="00B678DD" w:rsidRPr="00DA751A" w:rsidRDefault="00B678DD" w:rsidP="00402A9B">
            <w:pPr>
              <w:spacing w:after="160" w:line="240" w:lineRule="auto"/>
              <w:jc w:val="right"/>
              <w:rPr>
                <w:rFonts w:ascii="Segoe UI" w:hAnsi="Segoe UI" w:cs="Segoe UI"/>
                <w:sz w:val="16"/>
                <w:szCs w:val="18"/>
                <w:highlight w:val="yellow"/>
                <w:lang w:val="el-GR"/>
              </w:rPr>
            </w:pPr>
          </w:p>
        </w:tc>
        <w:tc>
          <w:tcPr>
            <w:tcW w:w="850" w:type="dxa"/>
            <w:tcBorders>
              <w:bottom w:val="single" w:sz="12" w:space="0" w:color="auto"/>
            </w:tcBorders>
            <w:vAlign w:val="bottom"/>
          </w:tcPr>
          <w:p w:rsidR="00B678DD" w:rsidRPr="00DA751A" w:rsidRDefault="00B678DD" w:rsidP="00402A9B">
            <w:pPr>
              <w:spacing w:after="160" w:line="240" w:lineRule="auto"/>
              <w:jc w:val="right"/>
              <w:rPr>
                <w:rFonts w:ascii="Segoe UI" w:hAnsi="Segoe UI" w:cs="Segoe UI"/>
                <w:i/>
                <w:sz w:val="16"/>
                <w:szCs w:val="18"/>
                <w:highlight w:val="yellow"/>
                <w:lang w:val="el-GR"/>
              </w:rPr>
            </w:pPr>
          </w:p>
        </w:tc>
        <w:tc>
          <w:tcPr>
            <w:tcW w:w="1077" w:type="dxa"/>
            <w:tcBorders>
              <w:top w:val="single" w:sz="4" w:space="0" w:color="auto"/>
              <w:bottom w:val="single" w:sz="12" w:space="0" w:color="auto"/>
            </w:tcBorders>
            <w:vAlign w:val="bottom"/>
          </w:tcPr>
          <w:p w:rsidR="00B678DD" w:rsidRPr="00DA751A" w:rsidRDefault="00B678DD" w:rsidP="00402A9B">
            <w:pPr>
              <w:spacing w:after="160" w:line="240" w:lineRule="auto"/>
              <w:jc w:val="right"/>
              <w:rPr>
                <w:rFonts w:ascii="Segoe UI" w:hAnsi="Segoe UI" w:cs="Segoe UI"/>
                <w:sz w:val="16"/>
                <w:szCs w:val="18"/>
                <w:highlight w:val="yellow"/>
                <w:lang w:val="el-GR"/>
              </w:rPr>
            </w:pPr>
          </w:p>
        </w:tc>
        <w:tc>
          <w:tcPr>
            <w:tcW w:w="1077" w:type="dxa"/>
            <w:tcBorders>
              <w:top w:val="single" w:sz="4" w:space="0" w:color="auto"/>
              <w:bottom w:val="single" w:sz="12" w:space="0" w:color="auto"/>
            </w:tcBorders>
            <w:vAlign w:val="bottom"/>
          </w:tcPr>
          <w:p w:rsidR="00B678DD" w:rsidRPr="00DA751A" w:rsidRDefault="00B678DD" w:rsidP="00402A9B">
            <w:pPr>
              <w:spacing w:after="160" w:line="240" w:lineRule="auto"/>
              <w:jc w:val="right"/>
              <w:rPr>
                <w:rFonts w:ascii="Segoe UI" w:hAnsi="Segoe UI" w:cs="Segoe UI"/>
                <w:sz w:val="16"/>
                <w:szCs w:val="18"/>
                <w:highlight w:val="yellow"/>
                <w:lang w:val="el-GR"/>
              </w:rPr>
            </w:pPr>
          </w:p>
        </w:tc>
        <w:tc>
          <w:tcPr>
            <w:tcW w:w="850" w:type="dxa"/>
            <w:tcBorders>
              <w:top w:val="single" w:sz="4" w:space="0" w:color="auto"/>
              <w:bottom w:val="single" w:sz="12" w:space="0" w:color="auto"/>
            </w:tcBorders>
            <w:shd w:val="clear" w:color="auto" w:fill="auto"/>
            <w:vAlign w:val="bottom"/>
          </w:tcPr>
          <w:p w:rsidR="00B678DD" w:rsidRPr="00DA751A" w:rsidRDefault="00B678DD" w:rsidP="00402A9B">
            <w:pPr>
              <w:spacing w:after="160" w:line="240" w:lineRule="auto"/>
              <w:jc w:val="right"/>
              <w:rPr>
                <w:rFonts w:ascii="Segoe UI" w:hAnsi="Segoe UI" w:cs="Segoe UI"/>
                <w:i/>
                <w:sz w:val="16"/>
                <w:szCs w:val="18"/>
                <w:highlight w:val="yellow"/>
                <w:lang w:val="el-GR"/>
              </w:rPr>
            </w:pPr>
          </w:p>
        </w:tc>
      </w:tr>
      <w:tr w:rsidR="00B678DD" w:rsidRPr="00DA751A" w:rsidTr="0069150B">
        <w:trPr>
          <w:trHeight w:hRule="exact" w:val="340"/>
          <w:jc w:val="right"/>
        </w:trPr>
        <w:tc>
          <w:tcPr>
            <w:tcW w:w="3005" w:type="dxa"/>
            <w:tcBorders>
              <w:top w:val="single" w:sz="12" w:space="0" w:color="auto"/>
            </w:tcBorders>
            <w:shd w:val="clear" w:color="auto" w:fill="auto"/>
            <w:vAlign w:val="bottom"/>
          </w:tcPr>
          <w:p w:rsidR="00B678DD" w:rsidRPr="003C4D83" w:rsidRDefault="00B678DD" w:rsidP="003C5467">
            <w:pPr>
              <w:spacing w:after="160"/>
              <w:rPr>
                <w:rFonts w:ascii="Segoe UI" w:hAnsi="Segoe UI" w:cs="Segoe UI"/>
                <w:sz w:val="16"/>
                <w:szCs w:val="18"/>
                <w:lang w:val="el-GR"/>
              </w:rPr>
            </w:pPr>
            <w:r w:rsidRPr="003C4D83">
              <w:rPr>
                <w:rFonts w:ascii="Segoe UI" w:hAnsi="Segoe UI" w:cs="Segoe UI"/>
                <w:sz w:val="16"/>
                <w:szCs w:val="18"/>
                <w:lang w:val="el-GR"/>
              </w:rPr>
              <w:t>Ομίλου</w:t>
            </w:r>
          </w:p>
        </w:tc>
        <w:tc>
          <w:tcPr>
            <w:tcW w:w="1077" w:type="dxa"/>
            <w:tcBorders>
              <w:top w:val="single" w:sz="12" w:space="0" w:color="auto"/>
            </w:tcBorders>
            <w:vAlign w:val="bottom"/>
          </w:tcPr>
          <w:p w:rsidR="00B678DD" w:rsidRPr="00DA751A" w:rsidRDefault="00B678DD" w:rsidP="00402A9B">
            <w:pPr>
              <w:spacing w:after="160" w:line="240" w:lineRule="auto"/>
              <w:jc w:val="right"/>
              <w:rPr>
                <w:rFonts w:ascii="Segoe UI" w:hAnsi="Segoe UI" w:cs="Segoe UI"/>
                <w:sz w:val="16"/>
                <w:szCs w:val="18"/>
                <w:lang w:val="el-GR"/>
              </w:rPr>
            </w:pPr>
            <w:r w:rsidRPr="00DA751A">
              <w:rPr>
                <w:rFonts w:ascii="Segoe UI" w:hAnsi="Segoe UI" w:cs="Segoe UI"/>
                <w:sz w:val="16"/>
                <w:szCs w:val="18"/>
                <w:lang w:val="el-GR"/>
              </w:rPr>
              <w:t>563</w:t>
            </w:r>
          </w:p>
        </w:tc>
        <w:tc>
          <w:tcPr>
            <w:tcW w:w="1077" w:type="dxa"/>
            <w:tcBorders>
              <w:top w:val="single" w:sz="12" w:space="0" w:color="auto"/>
            </w:tcBorders>
            <w:vAlign w:val="bottom"/>
          </w:tcPr>
          <w:p w:rsidR="00B678DD" w:rsidRPr="00DA751A" w:rsidRDefault="00B678DD" w:rsidP="00402A9B">
            <w:pPr>
              <w:spacing w:after="160" w:line="240" w:lineRule="auto"/>
              <w:jc w:val="right"/>
              <w:rPr>
                <w:rFonts w:ascii="Segoe UI" w:hAnsi="Segoe UI" w:cs="Segoe UI"/>
                <w:sz w:val="16"/>
                <w:szCs w:val="18"/>
                <w:lang w:val="el-GR"/>
              </w:rPr>
            </w:pPr>
            <w:r w:rsidRPr="00DA751A">
              <w:rPr>
                <w:rFonts w:ascii="Segoe UI" w:hAnsi="Segoe UI" w:cs="Segoe UI"/>
                <w:sz w:val="16"/>
                <w:szCs w:val="18"/>
                <w:lang w:val="el-GR"/>
              </w:rPr>
              <w:t>567</w:t>
            </w:r>
          </w:p>
        </w:tc>
        <w:tc>
          <w:tcPr>
            <w:tcW w:w="850" w:type="dxa"/>
            <w:tcBorders>
              <w:top w:val="single" w:sz="12" w:space="0" w:color="auto"/>
              <w:bottom w:val="single" w:sz="4" w:space="0" w:color="auto"/>
            </w:tcBorders>
            <w:shd w:val="clear" w:color="auto" w:fill="auto"/>
            <w:vAlign w:val="bottom"/>
          </w:tcPr>
          <w:p w:rsidR="00B678DD" w:rsidRPr="00DA751A" w:rsidRDefault="00B678DD" w:rsidP="00402A9B">
            <w:pPr>
              <w:spacing w:after="160" w:line="240" w:lineRule="auto"/>
              <w:jc w:val="right"/>
              <w:rPr>
                <w:rFonts w:ascii="Segoe UI" w:hAnsi="Segoe UI" w:cs="Segoe UI"/>
                <w:i/>
                <w:sz w:val="16"/>
                <w:szCs w:val="18"/>
                <w:lang w:val="el-GR"/>
              </w:rPr>
            </w:pPr>
            <w:r w:rsidRPr="00DA751A">
              <w:rPr>
                <w:rFonts w:ascii="Segoe UI" w:hAnsi="Segoe UI" w:cs="Segoe UI"/>
                <w:i/>
                <w:sz w:val="16"/>
                <w:szCs w:val="18"/>
                <w:lang w:val="el-GR"/>
              </w:rPr>
              <w:t>-0</w:t>
            </w:r>
            <w:r>
              <w:rPr>
                <w:rFonts w:ascii="Segoe UI" w:hAnsi="Segoe UI" w:cs="Segoe UI"/>
                <w:i/>
                <w:sz w:val="16"/>
                <w:szCs w:val="18"/>
                <w:lang w:val="el-GR"/>
              </w:rPr>
              <w:t>,</w:t>
            </w:r>
            <w:r w:rsidRPr="00DA751A">
              <w:rPr>
                <w:rFonts w:ascii="Segoe UI" w:hAnsi="Segoe UI" w:cs="Segoe UI"/>
                <w:i/>
                <w:sz w:val="16"/>
                <w:szCs w:val="18"/>
                <w:lang w:val="el-GR"/>
              </w:rPr>
              <w:t>6%</w:t>
            </w:r>
          </w:p>
        </w:tc>
        <w:tc>
          <w:tcPr>
            <w:tcW w:w="1077" w:type="dxa"/>
            <w:tcBorders>
              <w:top w:val="single" w:sz="12" w:space="0" w:color="auto"/>
              <w:left w:val="nil"/>
              <w:bottom w:val="single" w:sz="4" w:space="0" w:color="auto"/>
              <w:right w:val="nil"/>
            </w:tcBorders>
            <w:shd w:val="clear" w:color="auto" w:fill="auto"/>
            <w:vAlign w:val="bottom"/>
          </w:tcPr>
          <w:p w:rsidR="00B678DD" w:rsidRPr="00DA751A" w:rsidRDefault="00B678DD" w:rsidP="00402A9B">
            <w:pPr>
              <w:spacing w:after="160" w:line="240" w:lineRule="auto"/>
              <w:jc w:val="right"/>
              <w:rPr>
                <w:rFonts w:ascii="Segoe UI" w:hAnsi="Segoe UI" w:cs="Segoe UI"/>
                <w:sz w:val="16"/>
                <w:szCs w:val="18"/>
                <w:lang w:val="el-GR"/>
              </w:rPr>
            </w:pPr>
            <w:r w:rsidRPr="00DA751A">
              <w:rPr>
                <w:rFonts w:ascii="Segoe UI" w:hAnsi="Segoe UI" w:cs="Segoe UI"/>
                <w:sz w:val="16"/>
                <w:szCs w:val="18"/>
                <w:lang w:val="el-GR"/>
              </w:rPr>
              <w:t>1</w:t>
            </w:r>
            <w:r>
              <w:rPr>
                <w:rFonts w:ascii="Segoe UI" w:hAnsi="Segoe UI" w:cs="Segoe UI"/>
                <w:sz w:val="16"/>
                <w:szCs w:val="18"/>
                <w:lang w:val="el-GR"/>
              </w:rPr>
              <w:t>.</w:t>
            </w:r>
            <w:r w:rsidRPr="00DA751A">
              <w:rPr>
                <w:rFonts w:ascii="Segoe UI" w:hAnsi="Segoe UI" w:cs="Segoe UI"/>
                <w:sz w:val="16"/>
                <w:szCs w:val="18"/>
                <w:lang w:val="el-GR"/>
              </w:rPr>
              <w:t>669</w:t>
            </w:r>
          </w:p>
        </w:tc>
        <w:tc>
          <w:tcPr>
            <w:tcW w:w="1077" w:type="dxa"/>
            <w:tcBorders>
              <w:top w:val="single" w:sz="12" w:space="0" w:color="auto"/>
              <w:left w:val="nil"/>
              <w:bottom w:val="single" w:sz="4" w:space="0" w:color="auto"/>
              <w:right w:val="nil"/>
            </w:tcBorders>
            <w:shd w:val="clear" w:color="auto" w:fill="auto"/>
            <w:vAlign w:val="bottom"/>
          </w:tcPr>
          <w:p w:rsidR="00B678DD" w:rsidRPr="00DA751A" w:rsidRDefault="00B678DD" w:rsidP="00402A9B">
            <w:pPr>
              <w:spacing w:after="160"/>
              <w:jc w:val="right"/>
              <w:rPr>
                <w:rFonts w:ascii="Segoe UI" w:hAnsi="Segoe UI" w:cs="Segoe UI"/>
                <w:sz w:val="16"/>
                <w:szCs w:val="18"/>
                <w:lang w:val="el-GR"/>
              </w:rPr>
            </w:pPr>
            <w:r w:rsidRPr="00DA751A">
              <w:rPr>
                <w:rFonts w:ascii="Segoe UI" w:hAnsi="Segoe UI" w:cs="Segoe UI"/>
                <w:sz w:val="16"/>
                <w:szCs w:val="18"/>
                <w:lang w:val="el-GR"/>
              </w:rPr>
              <w:t>1</w:t>
            </w:r>
            <w:r>
              <w:rPr>
                <w:rFonts w:ascii="Segoe UI" w:hAnsi="Segoe UI" w:cs="Segoe UI"/>
                <w:sz w:val="16"/>
                <w:szCs w:val="18"/>
                <w:lang w:val="el-GR"/>
              </w:rPr>
              <w:t>.</w:t>
            </w:r>
            <w:r w:rsidRPr="00DA751A">
              <w:rPr>
                <w:rFonts w:ascii="Segoe UI" w:hAnsi="Segoe UI" w:cs="Segoe UI"/>
                <w:sz w:val="16"/>
                <w:szCs w:val="18"/>
                <w:lang w:val="el-GR"/>
              </w:rPr>
              <w:t>586</w:t>
            </w:r>
          </w:p>
        </w:tc>
        <w:tc>
          <w:tcPr>
            <w:tcW w:w="850" w:type="dxa"/>
            <w:tcBorders>
              <w:top w:val="single" w:sz="12" w:space="0" w:color="auto"/>
              <w:left w:val="nil"/>
              <w:bottom w:val="single" w:sz="4" w:space="0" w:color="auto"/>
              <w:right w:val="nil"/>
            </w:tcBorders>
            <w:shd w:val="clear" w:color="auto" w:fill="auto"/>
            <w:vAlign w:val="bottom"/>
          </w:tcPr>
          <w:p w:rsidR="00B678DD" w:rsidRPr="00DA751A" w:rsidRDefault="00B678DD" w:rsidP="00402A9B">
            <w:pPr>
              <w:spacing w:after="160"/>
              <w:jc w:val="right"/>
              <w:rPr>
                <w:rFonts w:ascii="Segoe UI" w:hAnsi="Segoe UI" w:cs="Segoe UI"/>
                <w:i/>
                <w:sz w:val="16"/>
                <w:szCs w:val="18"/>
                <w:lang w:val="el-GR"/>
              </w:rPr>
            </w:pPr>
            <w:r w:rsidRPr="00DA751A">
              <w:rPr>
                <w:rFonts w:ascii="Segoe UI" w:hAnsi="Segoe UI" w:cs="Segoe UI"/>
                <w:i/>
                <w:sz w:val="16"/>
                <w:szCs w:val="18"/>
                <w:lang w:val="el-GR"/>
              </w:rPr>
              <w:t>5</w:t>
            </w:r>
            <w:r>
              <w:rPr>
                <w:rFonts w:ascii="Segoe UI" w:hAnsi="Segoe UI" w:cs="Segoe UI"/>
                <w:i/>
                <w:sz w:val="16"/>
                <w:szCs w:val="18"/>
                <w:lang w:val="el-GR"/>
              </w:rPr>
              <w:t>,</w:t>
            </w:r>
            <w:r w:rsidRPr="00DA751A">
              <w:rPr>
                <w:rFonts w:ascii="Segoe UI" w:hAnsi="Segoe UI" w:cs="Segoe UI"/>
                <w:i/>
                <w:sz w:val="16"/>
                <w:szCs w:val="18"/>
                <w:lang w:val="el-GR"/>
              </w:rPr>
              <w:t>2%</w:t>
            </w:r>
          </w:p>
        </w:tc>
      </w:tr>
      <w:tr w:rsidR="00B678DD" w:rsidRPr="00DA751A"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B678DD" w:rsidRPr="003C4D83" w:rsidRDefault="00B678DD" w:rsidP="003C5467">
            <w:pPr>
              <w:spacing w:after="160"/>
              <w:rPr>
                <w:rFonts w:ascii="Segoe UI" w:hAnsi="Segoe UI" w:cs="Segoe UI"/>
                <w:sz w:val="16"/>
                <w:szCs w:val="18"/>
                <w:lang w:val="el-GR"/>
              </w:rPr>
            </w:pPr>
            <w:r w:rsidRPr="003C4D83">
              <w:rPr>
                <w:rFonts w:ascii="Segoe UI" w:hAnsi="Segoe UI" w:cs="Segoe UI"/>
                <w:sz w:val="16"/>
                <w:szCs w:val="18"/>
                <w:lang w:val="el-GR"/>
              </w:rPr>
              <w:t xml:space="preserve">          Ελλάδα</w:t>
            </w:r>
          </w:p>
        </w:tc>
        <w:tc>
          <w:tcPr>
            <w:tcW w:w="1077" w:type="dxa"/>
            <w:tcBorders>
              <w:top w:val="single" w:sz="4" w:space="0" w:color="auto"/>
              <w:bottom w:val="single" w:sz="4" w:space="0" w:color="auto"/>
            </w:tcBorders>
            <w:vAlign w:val="bottom"/>
          </w:tcPr>
          <w:p w:rsidR="00B678DD" w:rsidRPr="00DA751A" w:rsidRDefault="00B678DD" w:rsidP="00402A9B">
            <w:pPr>
              <w:spacing w:after="160" w:line="240" w:lineRule="auto"/>
              <w:jc w:val="right"/>
              <w:rPr>
                <w:rFonts w:ascii="Segoe UI" w:hAnsi="Segoe UI" w:cs="Segoe UI"/>
                <w:sz w:val="16"/>
                <w:szCs w:val="18"/>
                <w:lang w:val="el-GR"/>
              </w:rPr>
            </w:pPr>
            <w:r w:rsidRPr="00DA751A">
              <w:rPr>
                <w:rFonts w:ascii="Segoe UI" w:hAnsi="Segoe UI" w:cs="Segoe UI"/>
                <w:sz w:val="16"/>
                <w:szCs w:val="18"/>
                <w:lang w:val="el-GR"/>
              </w:rPr>
              <w:t>457</w:t>
            </w:r>
          </w:p>
        </w:tc>
        <w:tc>
          <w:tcPr>
            <w:tcW w:w="1077" w:type="dxa"/>
            <w:tcBorders>
              <w:top w:val="single" w:sz="4" w:space="0" w:color="auto"/>
              <w:bottom w:val="single" w:sz="4" w:space="0" w:color="auto"/>
            </w:tcBorders>
            <w:vAlign w:val="bottom"/>
          </w:tcPr>
          <w:p w:rsidR="00B678DD" w:rsidRPr="00DA751A" w:rsidRDefault="00B678DD" w:rsidP="00402A9B">
            <w:pPr>
              <w:spacing w:after="160" w:line="240" w:lineRule="auto"/>
              <w:jc w:val="right"/>
              <w:rPr>
                <w:rFonts w:ascii="Segoe UI" w:hAnsi="Segoe UI" w:cs="Segoe UI"/>
                <w:sz w:val="16"/>
                <w:szCs w:val="18"/>
                <w:lang w:val="el-GR"/>
              </w:rPr>
            </w:pPr>
            <w:r w:rsidRPr="00DA751A">
              <w:rPr>
                <w:rFonts w:ascii="Segoe UI" w:hAnsi="Segoe UI" w:cs="Segoe UI"/>
                <w:sz w:val="16"/>
                <w:szCs w:val="18"/>
                <w:lang w:val="el-GR"/>
              </w:rPr>
              <w:t>459</w:t>
            </w:r>
          </w:p>
        </w:tc>
        <w:tc>
          <w:tcPr>
            <w:tcW w:w="850" w:type="dxa"/>
            <w:tcBorders>
              <w:top w:val="single" w:sz="4" w:space="0" w:color="auto"/>
              <w:bottom w:val="single" w:sz="4" w:space="0" w:color="auto"/>
            </w:tcBorders>
            <w:vAlign w:val="bottom"/>
          </w:tcPr>
          <w:p w:rsidR="00B678DD" w:rsidRPr="00DA751A" w:rsidRDefault="00B678DD" w:rsidP="00402A9B">
            <w:pPr>
              <w:spacing w:after="160" w:line="240" w:lineRule="auto"/>
              <w:jc w:val="right"/>
              <w:rPr>
                <w:rFonts w:ascii="Segoe UI" w:hAnsi="Segoe UI" w:cs="Segoe UI"/>
                <w:i/>
                <w:sz w:val="16"/>
                <w:szCs w:val="18"/>
                <w:lang w:val="el-GR"/>
              </w:rPr>
            </w:pPr>
            <w:r w:rsidRPr="00DA751A">
              <w:rPr>
                <w:rFonts w:ascii="Segoe UI" w:hAnsi="Segoe UI" w:cs="Segoe UI"/>
                <w:i/>
                <w:sz w:val="16"/>
                <w:szCs w:val="18"/>
                <w:lang w:val="el-GR"/>
              </w:rPr>
              <w:t>-0</w:t>
            </w:r>
            <w:r>
              <w:rPr>
                <w:rFonts w:ascii="Segoe UI" w:hAnsi="Segoe UI" w:cs="Segoe UI"/>
                <w:i/>
                <w:sz w:val="16"/>
                <w:szCs w:val="18"/>
                <w:lang w:val="el-GR"/>
              </w:rPr>
              <w:t>,</w:t>
            </w:r>
            <w:r w:rsidRPr="00DA751A">
              <w:rPr>
                <w:rFonts w:ascii="Segoe UI" w:hAnsi="Segoe UI" w:cs="Segoe UI"/>
                <w:i/>
                <w:sz w:val="16"/>
                <w:szCs w:val="18"/>
                <w:lang w:val="el-GR"/>
              </w:rPr>
              <w:t>5%</w:t>
            </w:r>
          </w:p>
        </w:tc>
        <w:tc>
          <w:tcPr>
            <w:tcW w:w="1077" w:type="dxa"/>
            <w:tcBorders>
              <w:top w:val="single" w:sz="4" w:space="0" w:color="auto"/>
              <w:left w:val="nil"/>
              <w:bottom w:val="single" w:sz="4" w:space="0" w:color="auto"/>
              <w:right w:val="nil"/>
            </w:tcBorders>
            <w:shd w:val="clear" w:color="auto" w:fill="auto"/>
            <w:vAlign w:val="bottom"/>
          </w:tcPr>
          <w:p w:rsidR="00B678DD" w:rsidRPr="00DA751A" w:rsidRDefault="00B678DD" w:rsidP="00402A9B">
            <w:pPr>
              <w:spacing w:after="160" w:line="240" w:lineRule="auto"/>
              <w:jc w:val="right"/>
              <w:rPr>
                <w:rFonts w:ascii="Segoe UI" w:hAnsi="Segoe UI" w:cs="Segoe UI"/>
                <w:sz w:val="16"/>
                <w:szCs w:val="18"/>
                <w:lang w:val="el-GR"/>
              </w:rPr>
            </w:pPr>
            <w:r w:rsidRPr="00DA751A">
              <w:rPr>
                <w:rFonts w:ascii="Segoe UI" w:hAnsi="Segoe UI" w:cs="Segoe UI"/>
                <w:sz w:val="16"/>
                <w:szCs w:val="18"/>
                <w:lang w:val="el-GR"/>
              </w:rPr>
              <w:t>1</w:t>
            </w:r>
            <w:r>
              <w:rPr>
                <w:rFonts w:ascii="Segoe UI" w:hAnsi="Segoe UI" w:cs="Segoe UI"/>
                <w:sz w:val="16"/>
                <w:szCs w:val="18"/>
                <w:lang w:val="el-GR"/>
              </w:rPr>
              <w:t>.</w:t>
            </w:r>
            <w:r w:rsidRPr="00DA751A">
              <w:rPr>
                <w:rFonts w:ascii="Segoe UI" w:hAnsi="Segoe UI" w:cs="Segoe UI"/>
                <w:sz w:val="16"/>
                <w:szCs w:val="18"/>
                <w:lang w:val="el-GR"/>
              </w:rPr>
              <w:t>348</w:t>
            </w:r>
          </w:p>
        </w:tc>
        <w:tc>
          <w:tcPr>
            <w:tcW w:w="1077" w:type="dxa"/>
            <w:tcBorders>
              <w:top w:val="single" w:sz="4" w:space="0" w:color="auto"/>
              <w:left w:val="nil"/>
              <w:bottom w:val="single" w:sz="4" w:space="0" w:color="auto"/>
              <w:right w:val="nil"/>
            </w:tcBorders>
            <w:shd w:val="clear" w:color="auto" w:fill="auto"/>
            <w:vAlign w:val="bottom"/>
          </w:tcPr>
          <w:p w:rsidR="00B678DD" w:rsidRPr="00DA751A" w:rsidRDefault="00B678DD" w:rsidP="00402A9B">
            <w:pPr>
              <w:spacing w:after="160" w:line="240" w:lineRule="auto"/>
              <w:jc w:val="right"/>
              <w:rPr>
                <w:rFonts w:ascii="Segoe UI" w:hAnsi="Segoe UI" w:cs="Segoe UI"/>
                <w:sz w:val="16"/>
                <w:szCs w:val="18"/>
                <w:lang w:val="el-GR"/>
              </w:rPr>
            </w:pPr>
            <w:r w:rsidRPr="00DA751A">
              <w:rPr>
                <w:rFonts w:ascii="Segoe UI" w:hAnsi="Segoe UI" w:cs="Segoe UI"/>
                <w:sz w:val="16"/>
                <w:szCs w:val="18"/>
                <w:lang w:val="el-GR"/>
              </w:rPr>
              <w:t>1</w:t>
            </w:r>
            <w:r>
              <w:rPr>
                <w:rFonts w:ascii="Segoe UI" w:hAnsi="Segoe UI" w:cs="Segoe UI"/>
                <w:sz w:val="16"/>
                <w:szCs w:val="18"/>
                <w:lang w:val="el-GR"/>
              </w:rPr>
              <w:t>.</w:t>
            </w:r>
            <w:r w:rsidRPr="00DA751A">
              <w:rPr>
                <w:rFonts w:ascii="Segoe UI" w:hAnsi="Segoe UI" w:cs="Segoe UI"/>
                <w:sz w:val="16"/>
                <w:szCs w:val="18"/>
                <w:lang w:val="el-GR"/>
              </w:rPr>
              <w:t>262</w:t>
            </w:r>
          </w:p>
        </w:tc>
        <w:tc>
          <w:tcPr>
            <w:tcW w:w="850" w:type="dxa"/>
            <w:tcBorders>
              <w:top w:val="single" w:sz="4" w:space="0" w:color="auto"/>
              <w:left w:val="nil"/>
              <w:bottom w:val="single" w:sz="4" w:space="0" w:color="auto"/>
              <w:right w:val="nil"/>
            </w:tcBorders>
            <w:shd w:val="clear" w:color="auto" w:fill="auto"/>
            <w:vAlign w:val="bottom"/>
          </w:tcPr>
          <w:p w:rsidR="00B678DD" w:rsidRPr="00DA751A" w:rsidRDefault="00B678DD" w:rsidP="00402A9B">
            <w:pPr>
              <w:spacing w:after="160" w:line="240" w:lineRule="auto"/>
              <w:jc w:val="right"/>
              <w:rPr>
                <w:rFonts w:ascii="Segoe UI" w:hAnsi="Segoe UI" w:cs="Segoe UI"/>
                <w:i/>
                <w:sz w:val="16"/>
                <w:szCs w:val="18"/>
                <w:lang w:val="el-GR"/>
              </w:rPr>
            </w:pPr>
            <w:r w:rsidRPr="00DA751A">
              <w:rPr>
                <w:rFonts w:ascii="Segoe UI" w:hAnsi="Segoe UI" w:cs="Segoe UI"/>
                <w:i/>
                <w:sz w:val="16"/>
                <w:szCs w:val="18"/>
                <w:lang w:val="el-GR"/>
              </w:rPr>
              <w:t>6</w:t>
            </w:r>
            <w:r>
              <w:rPr>
                <w:rFonts w:ascii="Segoe UI" w:hAnsi="Segoe UI" w:cs="Segoe UI"/>
                <w:i/>
                <w:sz w:val="16"/>
                <w:szCs w:val="18"/>
                <w:lang w:val="el-GR"/>
              </w:rPr>
              <w:t>,</w:t>
            </w:r>
            <w:r w:rsidRPr="00DA751A">
              <w:rPr>
                <w:rFonts w:ascii="Segoe UI" w:hAnsi="Segoe UI" w:cs="Segoe UI"/>
                <w:i/>
                <w:sz w:val="16"/>
                <w:szCs w:val="18"/>
                <w:lang w:val="el-GR"/>
              </w:rPr>
              <w:t>8%</w:t>
            </w:r>
          </w:p>
        </w:tc>
      </w:tr>
      <w:tr w:rsidR="00B678DD"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B678DD" w:rsidRPr="003C4D83" w:rsidRDefault="00B678DD" w:rsidP="003C5467">
            <w:pPr>
              <w:spacing w:after="160"/>
              <w:rPr>
                <w:rFonts w:ascii="Segoe UI" w:hAnsi="Segoe UI" w:cs="Segoe UI"/>
                <w:sz w:val="16"/>
                <w:szCs w:val="18"/>
                <w:lang w:val="el-GR"/>
              </w:rPr>
            </w:pPr>
            <w:r w:rsidRPr="003C4D83">
              <w:rPr>
                <w:rFonts w:ascii="Segoe UI" w:hAnsi="Segoe UI" w:cs="Segoe UI"/>
                <w:sz w:val="16"/>
                <w:szCs w:val="18"/>
                <w:lang w:val="el-GR"/>
              </w:rPr>
              <w:t xml:space="preserve">          ΝΑ Ευρώπη</w:t>
            </w:r>
            <w:r w:rsidRPr="003C4D83">
              <w:rPr>
                <w:rFonts w:ascii="Segoe UI" w:hAnsi="Segoe UI" w:cs="Segoe UI"/>
                <w:sz w:val="16"/>
                <w:szCs w:val="18"/>
                <w:vertAlign w:val="superscript"/>
                <w:lang w:val="el-GR"/>
              </w:rPr>
              <w:t>2</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106</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107</w:t>
            </w:r>
          </w:p>
        </w:tc>
        <w:tc>
          <w:tcPr>
            <w:tcW w:w="850" w:type="dxa"/>
            <w:tcBorders>
              <w:top w:val="single" w:sz="4" w:space="0" w:color="auto"/>
              <w:bottom w:val="single" w:sz="4" w:space="0" w:color="auto"/>
            </w:tcBorders>
            <w:vAlign w:val="bottom"/>
          </w:tcPr>
          <w:p w:rsidR="00B678DD" w:rsidRPr="00912870" w:rsidRDefault="00B678DD" w:rsidP="00C04B0E">
            <w:pPr>
              <w:spacing w:after="160" w:line="240" w:lineRule="auto"/>
              <w:jc w:val="right"/>
              <w:rPr>
                <w:rFonts w:ascii="Segoe UI" w:hAnsi="Segoe UI" w:cs="Segoe UI"/>
                <w:i/>
                <w:sz w:val="16"/>
                <w:szCs w:val="18"/>
              </w:rPr>
            </w:pPr>
            <w:r w:rsidRPr="00912870">
              <w:rPr>
                <w:rFonts w:ascii="Segoe UI" w:hAnsi="Segoe UI" w:cs="Segoe UI"/>
                <w:i/>
                <w:sz w:val="16"/>
                <w:szCs w:val="18"/>
              </w:rPr>
              <w:t>-1</w:t>
            </w:r>
            <w:r>
              <w:rPr>
                <w:rFonts w:ascii="Segoe UI" w:hAnsi="Segoe UI" w:cs="Segoe UI"/>
                <w:i/>
                <w:sz w:val="16"/>
                <w:szCs w:val="18"/>
                <w:lang w:val="el-GR"/>
              </w:rPr>
              <w:t>,</w:t>
            </w:r>
            <w:r w:rsidR="00C04B0E">
              <w:rPr>
                <w:rFonts w:ascii="Segoe UI" w:hAnsi="Segoe UI" w:cs="Segoe UI"/>
                <w:i/>
                <w:sz w:val="16"/>
                <w:szCs w:val="18"/>
                <w:lang w:val="el-GR"/>
              </w:rPr>
              <w:t>2</w:t>
            </w:r>
            <w:r w:rsidRPr="00912870">
              <w:rPr>
                <w:rFonts w:ascii="Segoe UI" w:hAnsi="Segoe UI" w:cs="Segoe UI"/>
                <w:i/>
                <w:sz w:val="16"/>
                <w:szCs w:val="18"/>
              </w:rPr>
              <w:t>%</w:t>
            </w:r>
          </w:p>
        </w:tc>
        <w:tc>
          <w:tcPr>
            <w:tcW w:w="1077" w:type="dxa"/>
            <w:tcBorders>
              <w:top w:val="single" w:sz="4" w:space="0" w:color="auto"/>
              <w:left w:val="nil"/>
              <w:bottom w:val="single" w:sz="4" w:space="0" w:color="auto"/>
              <w:right w:val="nil"/>
            </w:tcBorders>
            <w:shd w:val="clear" w:color="auto" w:fill="auto"/>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321</w:t>
            </w:r>
          </w:p>
        </w:tc>
        <w:tc>
          <w:tcPr>
            <w:tcW w:w="1077" w:type="dxa"/>
            <w:tcBorders>
              <w:top w:val="single" w:sz="4" w:space="0" w:color="auto"/>
              <w:left w:val="nil"/>
              <w:bottom w:val="single" w:sz="4" w:space="0" w:color="auto"/>
              <w:right w:val="nil"/>
            </w:tcBorders>
            <w:shd w:val="clear" w:color="auto" w:fill="auto"/>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324</w:t>
            </w:r>
          </w:p>
        </w:tc>
        <w:tc>
          <w:tcPr>
            <w:tcW w:w="850" w:type="dxa"/>
            <w:tcBorders>
              <w:top w:val="single" w:sz="4" w:space="0" w:color="auto"/>
              <w:left w:val="nil"/>
              <w:bottom w:val="single" w:sz="4" w:space="0" w:color="auto"/>
              <w:right w:val="nil"/>
            </w:tcBorders>
            <w:shd w:val="clear" w:color="auto" w:fill="auto"/>
            <w:vAlign w:val="bottom"/>
          </w:tcPr>
          <w:p w:rsidR="00B678DD" w:rsidRPr="00B678DD" w:rsidRDefault="00B678DD" w:rsidP="00A43CF4">
            <w:pPr>
              <w:spacing w:after="160" w:line="240" w:lineRule="auto"/>
              <w:jc w:val="right"/>
              <w:rPr>
                <w:rFonts w:ascii="Segoe UI" w:hAnsi="Segoe UI" w:cs="Segoe UI"/>
                <w:i/>
                <w:sz w:val="16"/>
                <w:szCs w:val="18"/>
              </w:rPr>
            </w:pPr>
            <w:r w:rsidRPr="00B678DD">
              <w:rPr>
                <w:rFonts w:ascii="Segoe UI" w:hAnsi="Segoe UI" w:cs="Segoe UI"/>
                <w:i/>
                <w:sz w:val="16"/>
                <w:szCs w:val="18"/>
              </w:rPr>
              <w:t>-0</w:t>
            </w:r>
            <w:r>
              <w:rPr>
                <w:rFonts w:ascii="Segoe UI" w:hAnsi="Segoe UI" w:cs="Segoe UI"/>
                <w:i/>
                <w:sz w:val="16"/>
                <w:szCs w:val="18"/>
                <w:lang w:val="el-GR"/>
              </w:rPr>
              <w:t>,</w:t>
            </w:r>
            <w:r w:rsidR="00A43CF4">
              <w:rPr>
                <w:rFonts w:ascii="Segoe UI" w:hAnsi="Segoe UI" w:cs="Segoe UI"/>
                <w:i/>
                <w:sz w:val="16"/>
                <w:szCs w:val="18"/>
              </w:rPr>
              <w:t>8</w:t>
            </w:r>
            <w:r w:rsidRPr="00B678DD">
              <w:rPr>
                <w:rFonts w:ascii="Segoe UI" w:hAnsi="Segoe UI" w:cs="Segoe UI"/>
                <w:i/>
                <w:sz w:val="16"/>
                <w:szCs w:val="18"/>
              </w:rPr>
              <w:t>%</w:t>
            </w:r>
          </w:p>
        </w:tc>
      </w:tr>
      <w:tr w:rsidR="00B678DD" w:rsidRPr="00B522A6" w:rsidTr="0069150B">
        <w:trPr>
          <w:trHeight w:hRule="exact" w:val="567"/>
          <w:jc w:val="right"/>
        </w:trPr>
        <w:tc>
          <w:tcPr>
            <w:tcW w:w="3005" w:type="dxa"/>
            <w:tcBorders>
              <w:bottom w:val="single" w:sz="12" w:space="0" w:color="auto"/>
            </w:tcBorders>
            <w:shd w:val="clear" w:color="auto" w:fill="auto"/>
            <w:vAlign w:val="bottom"/>
          </w:tcPr>
          <w:p w:rsidR="00B678DD" w:rsidRPr="003C4D83" w:rsidRDefault="00B678DD" w:rsidP="003C5467">
            <w:pPr>
              <w:spacing w:after="160" w:line="240" w:lineRule="auto"/>
              <w:rPr>
                <w:rFonts w:ascii="Segoe UI" w:hAnsi="Segoe UI" w:cs="Segoe UI"/>
                <w:b/>
                <w:sz w:val="16"/>
                <w:szCs w:val="18"/>
                <w:lang w:val="el-GR"/>
              </w:rPr>
            </w:pPr>
            <w:r w:rsidRPr="003C4D83">
              <w:rPr>
                <w:rFonts w:ascii="Segoe UI" w:eastAsia="Times New Roman" w:hAnsi="Segoe UI" w:cs="Segoe UI"/>
                <w:b/>
                <w:bCs/>
                <w:sz w:val="16"/>
                <w:szCs w:val="18"/>
                <w:lang w:val="el-GR"/>
              </w:rPr>
              <w:t xml:space="preserve">Λειτουργικά Έξοδα (€ εκατ.) </w:t>
            </w:r>
          </w:p>
        </w:tc>
        <w:tc>
          <w:tcPr>
            <w:tcW w:w="1077" w:type="dxa"/>
            <w:tcBorders>
              <w:bottom w:val="single" w:sz="12" w:space="0" w:color="auto"/>
            </w:tcBorders>
            <w:vAlign w:val="bottom"/>
          </w:tcPr>
          <w:p w:rsidR="00B678DD" w:rsidRPr="00912870" w:rsidRDefault="00B678DD" w:rsidP="00402A9B">
            <w:pPr>
              <w:spacing w:after="160" w:line="240" w:lineRule="auto"/>
              <w:jc w:val="right"/>
              <w:rPr>
                <w:rFonts w:ascii="Segoe UI" w:hAnsi="Segoe UI" w:cs="Segoe UI"/>
                <w:sz w:val="16"/>
                <w:szCs w:val="18"/>
                <w:highlight w:val="yellow"/>
              </w:rPr>
            </w:pPr>
          </w:p>
        </w:tc>
        <w:tc>
          <w:tcPr>
            <w:tcW w:w="1077" w:type="dxa"/>
            <w:tcBorders>
              <w:bottom w:val="single" w:sz="12" w:space="0" w:color="auto"/>
            </w:tcBorders>
            <w:vAlign w:val="bottom"/>
          </w:tcPr>
          <w:p w:rsidR="00B678DD" w:rsidRPr="00912870" w:rsidRDefault="00B678DD" w:rsidP="00402A9B">
            <w:pPr>
              <w:spacing w:after="160" w:line="240" w:lineRule="auto"/>
              <w:jc w:val="right"/>
              <w:rPr>
                <w:rFonts w:ascii="Segoe UI" w:hAnsi="Segoe UI" w:cs="Segoe UI"/>
                <w:sz w:val="16"/>
                <w:szCs w:val="18"/>
                <w:highlight w:val="yellow"/>
              </w:rPr>
            </w:pPr>
          </w:p>
        </w:tc>
        <w:tc>
          <w:tcPr>
            <w:tcW w:w="850" w:type="dxa"/>
            <w:tcBorders>
              <w:bottom w:val="single" w:sz="12" w:space="0" w:color="auto"/>
            </w:tcBorders>
            <w:vAlign w:val="bottom"/>
          </w:tcPr>
          <w:p w:rsidR="00B678DD" w:rsidRPr="00912870" w:rsidRDefault="00B678DD" w:rsidP="00402A9B">
            <w:pPr>
              <w:spacing w:after="160" w:line="240" w:lineRule="auto"/>
              <w:jc w:val="right"/>
              <w:rPr>
                <w:rFonts w:ascii="Segoe UI" w:hAnsi="Segoe UI" w:cs="Segoe UI"/>
                <w:i/>
                <w:sz w:val="16"/>
                <w:szCs w:val="18"/>
                <w:highlight w:val="yellow"/>
              </w:rPr>
            </w:pPr>
          </w:p>
        </w:tc>
        <w:tc>
          <w:tcPr>
            <w:tcW w:w="1077" w:type="dxa"/>
            <w:tcBorders>
              <w:top w:val="single" w:sz="4" w:space="0" w:color="auto"/>
              <w:bottom w:val="single" w:sz="12" w:space="0" w:color="auto"/>
            </w:tcBorders>
            <w:vAlign w:val="bottom"/>
          </w:tcPr>
          <w:p w:rsidR="00B678DD" w:rsidRPr="00912870" w:rsidRDefault="00B678DD" w:rsidP="00402A9B">
            <w:pPr>
              <w:spacing w:after="160" w:line="240" w:lineRule="auto"/>
              <w:jc w:val="right"/>
              <w:rPr>
                <w:rFonts w:ascii="Segoe UI" w:hAnsi="Segoe UI" w:cs="Segoe UI"/>
                <w:sz w:val="16"/>
                <w:szCs w:val="18"/>
                <w:highlight w:val="yellow"/>
              </w:rPr>
            </w:pPr>
          </w:p>
        </w:tc>
        <w:tc>
          <w:tcPr>
            <w:tcW w:w="1077" w:type="dxa"/>
            <w:tcBorders>
              <w:top w:val="single" w:sz="4" w:space="0" w:color="auto"/>
              <w:bottom w:val="single" w:sz="12" w:space="0" w:color="auto"/>
            </w:tcBorders>
            <w:vAlign w:val="bottom"/>
          </w:tcPr>
          <w:p w:rsidR="00B678DD" w:rsidRPr="00912870" w:rsidRDefault="00B678DD" w:rsidP="00402A9B">
            <w:pPr>
              <w:spacing w:after="160" w:line="240" w:lineRule="auto"/>
              <w:jc w:val="right"/>
              <w:rPr>
                <w:rFonts w:ascii="Segoe UI" w:hAnsi="Segoe UI" w:cs="Segoe UI"/>
                <w:sz w:val="16"/>
                <w:szCs w:val="18"/>
                <w:highlight w:val="yellow"/>
              </w:rPr>
            </w:pPr>
          </w:p>
        </w:tc>
        <w:tc>
          <w:tcPr>
            <w:tcW w:w="850" w:type="dxa"/>
            <w:tcBorders>
              <w:top w:val="single" w:sz="4" w:space="0" w:color="auto"/>
              <w:bottom w:val="single" w:sz="12" w:space="0" w:color="auto"/>
            </w:tcBorders>
            <w:shd w:val="clear" w:color="auto" w:fill="auto"/>
            <w:vAlign w:val="bottom"/>
          </w:tcPr>
          <w:p w:rsidR="00B678DD" w:rsidRPr="00B678DD" w:rsidRDefault="00B678DD" w:rsidP="00402A9B">
            <w:pPr>
              <w:spacing w:after="160" w:line="240" w:lineRule="auto"/>
              <w:jc w:val="right"/>
              <w:rPr>
                <w:rFonts w:ascii="Segoe UI" w:hAnsi="Segoe UI" w:cs="Segoe UI"/>
                <w:i/>
                <w:sz w:val="16"/>
                <w:szCs w:val="18"/>
                <w:highlight w:val="yellow"/>
              </w:rPr>
            </w:pPr>
          </w:p>
        </w:tc>
      </w:tr>
      <w:tr w:rsidR="00B678DD" w:rsidRPr="00B522A6" w:rsidTr="0069150B">
        <w:trPr>
          <w:trHeight w:hRule="exact" w:val="340"/>
          <w:jc w:val="right"/>
        </w:trPr>
        <w:tc>
          <w:tcPr>
            <w:tcW w:w="3005" w:type="dxa"/>
            <w:tcBorders>
              <w:top w:val="single" w:sz="12" w:space="0" w:color="auto"/>
              <w:bottom w:val="single" w:sz="4" w:space="0" w:color="auto"/>
            </w:tcBorders>
            <w:shd w:val="clear" w:color="auto" w:fill="auto"/>
            <w:vAlign w:val="bottom"/>
          </w:tcPr>
          <w:p w:rsidR="00B678DD" w:rsidRPr="003C4D83" w:rsidRDefault="00B678DD" w:rsidP="003C5467">
            <w:pPr>
              <w:spacing w:after="160"/>
              <w:rPr>
                <w:rFonts w:ascii="Segoe UI" w:eastAsia="Times New Roman" w:hAnsi="Segoe UI" w:cs="Segoe UI"/>
                <w:sz w:val="16"/>
                <w:szCs w:val="18"/>
                <w:lang w:val="el-GR"/>
              </w:rPr>
            </w:pPr>
            <w:r w:rsidRPr="003C4D83">
              <w:rPr>
                <w:rFonts w:ascii="Segoe UI" w:hAnsi="Segoe UI" w:cs="Segoe UI"/>
                <w:sz w:val="16"/>
                <w:szCs w:val="18"/>
                <w:lang w:val="el-GR"/>
              </w:rPr>
              <w:t>Ομίλου</w:t>
            </w:r>
          </w:p>
        </w:tc>
        <w:tc>
          <w:tcPr>
            <w:tcW w:w="1077" w:type="dxa"/>
            <w:tcBorders>
              <w:top w:val="single" w:sz="12" w:space="0" w:color="auto"/>
              <w:bottom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sz w:val="16"/>
                <w:szCs w:val="18"/>
              </w:rPr>
            </w:pPr>
            <w:r w:rsidRPr="00912870">
              <w:rPr>
                <w:rFonts w:ascii="Segoe UI" w:eastAsia="Times New Roman" w:hAnsi="Segoe UI" w:cs="Segoe UI"/>
                <w:sz w:val="16"/>
                <w:szCs w:val="18"/>
              </w:rPr>
              <w:t>318</w:t>
            </w:r>
          </w:p>
        </w:tc>
        <w:tc>
          <w:tcPr>
            <w:tcW w:w="1077" w:type="dxa"/>
            <w:tcBorders>
              <w:top w:val="single" w:sz="12" w:space="0" w:color="auto"/>
              <w:bottom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sz w:val="16"/>
                <w:szCs w:val="18"/>
              </w:rPr>
            </w:pPr>
            <w:r w:rsidRPr="00912870">
              <w:rPr>
                <w:rFonts w:ascii="Segoe UI" w:eastAsia="Times New Roman" w:hAnsi="Segoe UI" w:cs="Segoe UI"/>
                <w:sz w:val="16"/>
                <w:szCs w:val="18"/>
              </w:rPr>
              <w:t>319</w:t>
            </w:r>
          </w:p>
        </w:tc>
        <w:tc>
          <w:tcPr>
            <w:tcW w:w="850" w:type="dxa"/>
            <w:tcBorders>
              <w:top w:val="single" w:sz="12" w:space="0" w:color="auto"/>
              <w:bottom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i/>
                <w:sz w:val="16"/>
                <w:szCs w:val="18"/>
              </w:rPr>
            </w:pPr>
            <w:r w:rsidRPr="00912870">
              <w:rPr>
                <w:rFonts w:ascii="Segoe UI" w:eastAsia="Times New Roman" w:hAnsi="Segoe UI" w:cs="Segoe UI"/>
                <w:i/>
                <w:sz w:val="16"/>
                <w:szCs w:val="18"/>
              </w:rPr>
              <w:t>-0</w:t>
            </w:r>
            <w:r>
              <w:rPr>
                <w:rFonts w:ascii="Segoe UI" w:eastAsia="Times New Roman" w:hAnsi="Segoe UI" w:cs="Segoe UI"/>
                <w:i/>
                <w:sz w:val="16"/>
                <w:szCs w:val="18"/>
                <w:lang w:val="el-GR"/>
              </w:rPr>
              <w:t>,</w:t>
            </w:r>
            <w:r w:rsidRPr="00912870">
              <w:rPr>
                <w:rFonts w:ascii="Segoe UI" w:eastAsia="Times New Roman" w:hAnsi="Segoe UI" w:cs="Segoe UI"/>
                <w:i/>
                <w:sz w:val="16"/>
                <w:szCs w:val="18"/>
              </w:rPr>
              <w:t>4%</w:t>
            </w:r>
          </w:p>
        </w:tc>
        <w:tc>
          <w:tcPr>
            <w:tcW w:w="1077" w:type="dxa"/>
            <w:tcBorders>
              <w:top w:val="single" w:sz="12" w:space="0" w:color="auto"/>
              <w:bottom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sz w:val="16"/>
                <w:szCs w:val="18"/>
              </w:rPr>
            </w:pPr>
            <w:r w:rsidRPr="00912870">
              <w:rPr>
                <w:rFonts w:ascii="Segoe UI" w:eastAsia="Times New Roman" w:hAnsi="Segoe UI" w:cs="Segoe UI"/>
                <w:sz w:val="16"/>
                <w:szCs w:val="18"/>
              </w:rPr>
              <w:t>947</w:t>
            </w:r>
          </w:p>
        </w:tc>
        <w:tc>
          <w:tcPr>
            <w:tcW w:w="1077" w:type="dxa"/>
            <w:tcBorders>
              <w:top w:val="single" w:sz="12" w:space="0" w:color="auto"/>
              <w:bottom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sz w:val="16"/>
                <w:szCs w:val="18"/>
              </w:rPr>
            </w:pPr>
            <w:r w:rsidRPr="00912870">
              <w:rPr>
                <w:rFonts w:ascii="Segoe UI" w:eastAsia="Times New Roman" w:hAnsi="Segoe UI" w:cs="Segoe UI"/>
                <w:sz w:val="16"/>
                <w:szCs w:val="18"/>
              </w:rPr>
              <w:t>966</w:t>
            </w:r>
          </w:p>
        </w:tc>
        <w:tc>
          <w:tcPr>
            <w:tcW w:w="850" w:type="dxa"/>
            <w:tcBorders>
              <w:top w:val="single" w:sz="12" w:space="0" w:color="auto"/>
              <w:bottom w:val="single" w:sz="4" w:space="0" w:color="auto"/>
            </w:tcBorders>
            <w:shd w:val="clear" w:color="auto" w:fill="auto"/>
            <w:vAlign w:val="bottom"/>
          </w:tcPr>
          <w:p w:rsidR="00B678DD" w:rsidRPr="00B678DD" w:rsidRDefault="00B678DD" w:rsidP="00402A9B">
            <w:pPr>
              <w:spacing w:after="160" w:line="240" w:lineRule="auto"/>
              <w:jc w:val="right"/>
              <w:rPr>
                <w:rFonts w:ascii="Segoe UI" w:eastAsia="Times New Roman" w:hAnsi="Segoe UI" w:cs="Segoe UI"/>
                <w:i/>
                <w:sz w:val="16"/>
                <w:szCs w:val="18"/>
              </w:rPr>
            </w:pPr>
            <w:r w:rsidRPr="00B678DD">
              <w:rPr>
                <w:rFonts w:ascii="Segoe UI" w:eastAsia="Times New Roman" w:hAnsi="Segoe UI" w:cs="Segoe UI"/>
                <w:i/>
                <w:sz w:val="16"/>
                <w:szCs w:val="18"/>
              </w:rPr>
              <w:t>-2</w:t>
            </w:r>
            <w:r>
              <w:rPr>
                <w:rFonts w:ascii="Segoe UI" w:eastAsia="Times New Roman" w:hAnsi="Segoe UI" w:cs="Segoe UI"/>
                <w:i/>
                <w:sz w:val="16"/>
                <w:szCs w:val="18"/>
                <w:lang w:val="el-GR"/>
              </w:rPr>
              <w:t>,</w:t>
            </w:r>
            <w:r w:rsidRPr="00B678DD">
              <w:rPr>
                <w:rFonts w:ascii="Segoe UI" w:eastAsia="Times New Roman" w:hAnsi="Segoe UI" w:cs="Segoe UI"/>
                <w:i/>
                <w:sz w:val="16"/>
                <w:szCs w:val="18"/>
              </w:rPr>
              <w:t>0%</w:t>
            </w:r>
          </w:p>
        </w:tc>
      </w:tr>
      <w:tr w:rsidR="00B678DD"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B678DD" w:rsidRPr="003C4D83" w:rsidRDefault="00B678DD" w:rsidP="003C5467">
            <w:pPr>
              <w:spacing w:after="160"/>
              <w:rPr>
                <w:rFonts w:ascii="Segoe UI" w:hAnsi="Segoe UI" w:cs="Segoe UI"/>
                <w:sz w:val="16"/>
                <w:szCs w:val="18"/>
                <w:lang w:val="el-GR"/>
              </w:rPr>
            </w:pPr>
            <w:r w:rsidRPr="003C4D83">
              <w:rPr>
                <w:rFonts w:ascii="Segoe UI" w:hAnsi="Segoe UI" w:cs="Segoe UI"/>
                <w:sz w:val="16"/>
                <w:szCs w:val="18"/>
                <w:lang w:val="el-GR"/>
              </w:rPr>
              <w:t xml:space="preserve">          Ελλάδα</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252</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252</w:t>
            </w:r>
          </w:p>
        </w:tc>
        <w:tc>
          <w:tcPr>
            <w:tcW w:w="850"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i/>
                <w:sz w:val="16"/>
                <w:szCs w:val="18"/>
              </w:rPr>
            </w:pPr>
            <w:r w:rsidRPr="00912870">
              <w:rPr>
                <w:rFonts w:ascii="Segoe UI" w:hAnsi="Segoe UI" w:cs="Segoe UI"/>
                <w:i/>
                <w:sz w:val="16"/>
                <w:szCs w:val="18"/>
              </w:rPr>
              <w:t>-0</w:t>
            </w:r>
            <w:r>
              <w:rPr>
                <w:rFonts w:ascii="Segoe UI" w:hAnsi="Segoe UI" w:cs="Segoe UI"/>
                <w:i/>
                <w:sz w:val="16"/>
                <w:szCs w:val="18"/>
                <w:lang w:val="el-GR"/>
              </w:rPr>
              <w:t>,</w:t>
            </w:r>
            <w:r w:rsidRPr="00912870">
              <w:rPr>
                <w:rFonts w:ascii="Segoe UI" w:hAnsi="Segoe UI" w:cs="Segoe UI"/>
                <w:i/>
                <w:sz w:val="16"/>
                <w:szCs w:val="18"/>
              </w:rPr>
              <w:t>1%</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sz w:val="16"/>
                <w:szCs w:val="18"/>
              </w:rPr>
            </w:pPr>
            <w:r w:rsidRPr="00912870">
              <w:rPr>
                <w:rFonts w:ascii="Segoe UI" w:eastAsia="Times New Roman" w:hAnsi="Segoe UI" w:cs="Segoe UI"/>
                <w:sz w:val="16"/>
                <w:szCs w:val="18"/>
              </w:rPr>
              <w:t>747</w:t>
            </w:r>
          </w:p>
        </w:tc>
        <w:tc>
          <w:tcPr>
            <w:tcW w:w="1077" w:type="dxa"/>
            <w:tcBorders>
              <w:top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sz w:val="16"/>
                <w:szCs w:val="18"/>
              </w:rPr>
            </w:pPr>
            <w:r w:rsidRPr="00912870">
              <w:rPr>
                <w:rFonts w:ascii="Segoe UI" w:eastAsia="Times New Roman" w:hAnsi="Segoe UI" w:cs="Segoe UI"/>
                <w:sz w:val="16"/>
                <w:szCs w:val="18"/>
              </w:rPr>
              <w:t>768</w:t>
            </w:r>
          </w:p>
        </w:tc>
        <w:tc>
          <w:tcPr>
            <w:tcW w:w="850" w:type="dxa"/>
            <w:tcBorders>
              <w:top w:val="single" w:sz="4" w:space="0" w:color="auto"/>
            </w:tcBorders>
            <w:shd w:val="clear" w:color="auto" w:fill="auto"/>
            <w:vAlign w:val="bottom"/>
          </w:tcPr>
          <w:p w:rsidR="00B678DD" w:rsidRPr="00B678DD" w:rsidRDefault="00B678DD" w:rsidP="00402A9B">
            <w:pPr>
              <w:spacing w:after="160" w:line="240" w:lineRule="auto"/>
              <w:jc w:val="right"/>
              <w:rPr>
                <w:rFonts w:ascii="Segoe UI" w:eastAsia="Times New Roman" w:hAnsi="Segoe UI" w:cs="Segoe UI"/>
                <w:i/>
                <w:sz w:val="16"/>
                <w:szCs w:val="18"/>
              </w:rPr>
            </w:pPr>
            <w:r w:rsidRPr="00B678DD">
              <w:rPr>
                <w:rFonts w:ascii="Segoe UI" w:eastAsia="Times New Roman" w:hAnsi="Segoe UI" w:cs="Segoe UI"/>
                <w:i/>
                <w:sz w:val="16"/>
                <w:szCs w:val="18"/>
              </w:rPr>
              <w:t>-2</w:t>
            </w:r>
            <w:r>
              <w:rPr>
                <w:rFonts w:ascii="Segoe UI" w:eastAsia="Times New Roman" w:hAnsi="Segoe UI" w:cs="Segoe UI"/>
                <w:i/>
                <w:sz w:val="16"/>
                <w:szCs w:val="18"/>
                <w:lang w:val="el-GR"/>
              </w:rPr>
              <w:t>,</w:t>
            </w:r>
            <w:r w:rsidRPr="00B678DD">
              <w:rPr>
                <w:rFonts w:ascii="Segoe UI" w:eastAsia="Times New Roman" w:hAnsi="Segoe UI" w:cs="Segoe UI"/>
                <w:i/>
                <w:sz w:val="16"/>
                <w:szCs w:val="18"/>
              </w:rPr>
              <w:t>7%</w:t>
            </w:r>
          </w:p>
        </w:tc>
      </w:tr>
      <w:tr w:rsidR="00B678DD"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B678DD" w:rsidRPr="003C4D83" w:rsidRDefault="00B678DD" w:rsidP="003C5467">
            <w:pPr>
              <w:spacing w:after="160"/>
              <w:rPr>
                <w:rFonts w:ascii="Segoe UI" w:hAnsi="Segoe UI" w:cs="Segoe UI"/>
                <w:sz w:val="16"/>
                <w:szCs w:val="18"/>
              </w:rPr>
            </w:pPr>
            <w:r w:rsidRPr="003C4D83">
              <w:rPr>
                <w:rFonts w:ascii="Segoe UI" w:hAnsi="Segoe UI" w:cs="Segoe UI"/>
                <w:sz w:val="16"/>
                <w:szCs w:val="18"/>
                <w:lang w:val="el-GR"/>
              </w:rPr>
              <w:t>ΝΑ Ευρώπη</w:t>
            </w:r>
            <w:r w:rsidRPr="003C4D83">
              <w:rPr>
                <w:rFonts w:ascii="Segoe UI" w:hAnsi="Segoe UI" w:cs="Segoe UI"/>
                <w:sz w:val="16"/>
                <w:szCs w:val="18"/>
                <w:vertAlign w:val="superscript"/>
                <w:lang w:val="el-GR"/>
              </w:rPr>
              <w:t>2</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67</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67</w:t>
            </w:r>
          </w:p>
        </w:tc>
        <w:tc>
          <w:tcPr>
            <w:tcW w:w="850"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i/>
                <w:sz w:val="16"/>
                <w:szCs w:val="18"/>
              </w:rPr>
            </w:pPr>
            <w:r w:rsidRPr="00912870">
              <w:rPr>
                <w:rFonts w:ascii="Segoe UI" w:hAnsi="Segoe UI" w:cs="Segoe UI"/>
                <w:i/>
                <w:sz w:val="16"/>
                <w:szCs w:val="18"/>
                <w:lang w:val="en-US"/>
              </w:rPr>
              <w:t>-1</w:t>
            </w:r>
            <w:r>
              <w:rPr>
                <w:rFonts w:ascii="Segoe UI" w:hAnsi="Segoe UI" w:cs="Segoe UI"/>
                <w:i/>
                <w:sz w:val="16"/>
                <w:szCs w:val="18"/>
                <w:lang w:val="el-GR"/>
              </w:rPr>
              <w:t>,</w:t>
            </w:r>
            <w:r w:rsidRPr="00912870">
              <w:rPr>
                <w:rFonts w:ascii="Segoe UI" w:hAnsi="Segoe UI" w:cs="Segoe UI"/>
                <w:i/>
                <w:sz w:val="16"/>
                <w:szCs w:val="18"/>
                <w:lang w:val="en-US"/>
              </w:rPr>
              <w:t>3</w:t>
            </w:r>
            <w:r w:rsidRPr="00912870">
              <w:rPr>
                <w:rFonts w:ascii="Segoe UI" w:hAnsi="Segoe UI" w:cs="Segoe UI"/>
                <w:i/>
                <w:sz w:val="16"/>
                <w:szCs w:val="18"/>
              </w:rPr>
              <w:t>%</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sz w:val="16"/>
                <w:szCs w:val="18"/>
              </w:rPr>
            </w:pPr>
            <w:r w:rsidRPr="00912870">
              <w:rPr>
                <w:rFonts w:ascii="Segoe UI" w:eastAsia="Times New Roman" w:hAnsi="Segoe UI" w:cs="Segoe UI"/>
                <w:sz w:val="16"/>
                <w:szCs w:val="18"/>
              </w:rPr>
              <w:t>200</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eastAsia="Times New Roman" w:hAnsi="Segoe UI" w:cs="Segoe UI"/>
                <w:sz w:val="16"/>
                <w:szCs w:val="18"/>
              </w:rPr>
            </w:pPr>
            <w:r w:rsidRPr="00912870">
              <w:rPr>
                <w:rFonts w:ascii="Segoe UI" w:eastAsia="Times New Roman" w:hAnsi="Segoe UI" w:cs="Segoe UI"/>
                <w:sz w:val="16"/>
                <w:szCs w:val="18"/>
              </w:rPr>
              <w:t>198</w:t>
            </w:r>
          </w:p>
        </w:tc>
        <w:tc>
          <w:tcPr>
            <w:tcW w:w="850" w:type="dxa"/>
            <w:tcBorders>
              <w:top w:val="single" w:sz="4" w:space="0" w:color="auto"/>
              <w:bottom w:val="single" w:sz="4" w:space="0" w:color="auto"/>
            </w:tcBorders>
            <w:shd w:val="clear" w:color="auto" w:fill="auto"/>
            <w:vAlign w:val="bottom"/>
          </w:tcPr>
          <w:p w:rsidR="00B678DD" w:rsidRPr="00B678DD" w:rsidRDefault="00B678DD" w:rsidP="00402A9B">
            <w:pPr>
              <w:spacing w:after="160" w:line="240" w:lineRule="auto"/>
              <w:jc w:val="right"/>
              <w:rPr>
                <w:rFonts w:ascii="Segoe UI" w:eastAsia="Times New Roman" w:hAnsi="Segoe UI" w:cs="Segoe UI"/>
                <w:i/>
                <w:sz w:val="16"/>
                <w:szCs w:val="18"/>
              </w:rPr>
            </w:pPr>
            <w:r w:rsidRPr="00B678DD">
              <w:rPr>
                <w:rFonts w:ascii="Segoe UI" w:eastAsia="Times New Roman" w:hAnsi="Segoe UI" w:cs="Segoe UI"/>
                <w:i/>
                <w:sz w:val="16"/>
                <w:szCs w:val="18"/>
              </w:rPr>
              <w:t>0</w:t>
            </w:r>
            <w:r>
              <w:rPr>
                <w:rFonts w:ascii="Segoe UI" w:eastAsia="Times New Roman" w:hAnsi="Segoe UI" w:cs="Segoe UI"/>
                <w:i/>
                <w:sz w:val="16"/>
                <w:szCs w:val="18"/>
                <w:lang w:val="el-GR"/>
              </w:rPr>
              <w:t>,</w:t>
            </w:r>
            <w:r w:rsidRPr="00B678DD">
              <w:rPr>
                <w:rFonts w:ascii="Segoe UI" w:eastAsia="Times New Roman" w:hAnsi="Segoe UI" w:cs="Segoe UI"/>
                <w:i/>
                <w:sz w:val="16"/>
                <w:szCs w:val="18"/>
              </w:rPr>
              <w:t>6%</w:t>
            </w:r>
          </w:p>
        </w:tc>
      </w:tr>
      <w:tr w:rsidR="00B678DD" w:rsidRPr="00B522A6" w:rsidTr="0069150B">
        <w:trPr>
          <w:trHeight w:hRule="exact" w:val="567"/>
          <w:jc w:val="right"/>
        </w:trPr>
        <w:tc>
          <w:tcPr>
            <w:tcW w:w="3005" w:type="dxa"/>
            <w:tcBorders>
              <w:bottom w:val="single" w:sz="12" w:space="0" w:color="auto"/>
            </w:tcBorders>
            <w:shd w:val="clear" w:color="auto" w:fill="auto"/>
            <w:vAlign w:val="bottom"/>
          </w:tcPr>
          <w:p w:rsidR="00B678DD" w:rsidRPr="003C4D83" w:rsidRDefault="00B678DD" w:rsidP="003C5467">
            <w:pPr>
              <w:spacing w:after="160" w:line="240" w:lineRule="auto"/>
              <w:rPr>
                <w:rFonts w:ascii="Segoe UI" w:hAnsi="Segoe UI" w:cs="Segoe UI"/>
                <w:b/>
                <w:sz w:val="16"/>
                <w:szCs w:val="18"/>
              </w:rPr>
            </w:pPr>
            <w:r w:rsidRPr="003C4D83">
              <w:rPr>
                <w:rFonts w:ascii="Segoe UI" w:eastAsia="Times New Roman" w:hAnsi="Segoe UI" w:cs="Segoe UI"/>
                <w:b/>
                <w:bCs/>
                <w:sz w:val="16"/>
                <w:szCs w:val="18"/>
                <w:lang w:val="el-GR"/>
              </w:rPr>
              <w:t>Ισολογισμός-Ομίλου</w:t>
            </w:r>
            <w:r w:rsidRPr="003C4D83">
              <w:rPr>
                <w:rFonts w:ascii="Segoe UI" w:eastAsia="Times New Roman" w:hAnsi="Segoe UI" w:cs="Segoe UI"/>
                <w:b/>
                <w:bCs/>
                <w:sz w:val="16"/>
                <w:szCs w:val="18"/>
                <w:lang w:val="en-US"/>
              </w:rPr>
              <w:t xml:space="preserve"> (€</w:t>
            </w:r>
            <w:r w:rsidRPr="003C4D83">
              <w:rPr>
                <w:rFonts w:ascii="Segoe UI" w:eastAsia="Times New Roman" w:hAnsi="Segoe UI" w:cs="Segoe UI"/>
                <w:b/>
                <w:bCs/>
                <w:sz w:val="16"/>
                <w:szCs w:val="18"/>
                <w:lang w:val="el-GR"/>
              </w:rPr>
              <w:t xml:space="preserve"> εκατ.</w:t>
            </w:r>
            <w:r w:rsidRPr="003C4D83">
              <w:rPr>
                <w:rFonts w:ascii="Segoe UI" w:eastAsia="Times New Roman" w:hAnsi="Segoe UI" w:cs="Segoe UI"/>
                <w:b/>
                <w:bCs/>
                <w:sz w:val="16"/>
                <w:szCs w:val="18"/>
                <w:lang w:val="en-US"/>
              </w:rPr>
              <w:t>)</w:t>
            </w:r>
          </w:p>
        </w:tc>
        <w:tc>
          <w:tcPr>
            <w:tcW w:w="1077" w:type="dxa"/>
            <w:tcBorders>
              <w:bottom w:val="single" w:sz="12" w:space="0" w:color="auto"/>
            </w:tcBorders>
            <w:vAlign w:val="bottom"/>
          </w:tcPr>
          <w:p w:rsidR="00B678DD" w:rsidRPr="00912870" w:rsidRDefault="00B678DD" w:rsidP="00402A9B">
            <w:pPr>
              <w:spacing w:after="160" w:line="240" w:lineRule="auto"/>
              <w:jc w:val="right"/>
              <w:rPr>
                <w:rFonts w:ascii="Segoe UI" w:hAnsi="Segoe UI" w:cs="Segoe UI"/>
                <w:sz w:val="16"/>
                <w:szCs w:val="18"/>
                <w:highlight w:val="yellow"/>
              </w:rPr>
            </w:pPr>
          </w:p>
        </w:tc>
        <w:tc>
          <w:tcPr>
            <w:tcW w:w="1077" w:type="dxa"/>
            <w:tcBorders>
              <w:bottom w:val="single" w:sz="12" w:space="0" w:color="auto"/>
            </w:tcBorders>
            <w:vAlign w:val="bottom"/>
          </w:tcPr>
          <w:p w:rsidR="00B678DD" w:rsidRPr="00912870" w:rsidRDefault="00B678DD" w:rsidP="00402A9B">
            <w:pPr>
              <w:spacing w:after="160" w:line="240" w:lineRule="auto"/>
              <w:jc w:val="right"/>
              <w:rPr>
                <w:rFonts w:ascii="Segoe UI" w:hAnsi="Segoe UI" w:cs="Segoe UI"/>
                <w:sz w:val="16"/>
                <w:szCs w:val="18"/>
                <w:highlight w:val="yellow"/>
              </w:rPr>
            </w:pPr>
          </w:p>
        </w:tc>
        <w:tc>
          <w:tcPr>
            <w:tcW w:w="850" w:type="dxa"/>
            <w:tcBorders>
              <w:bottom w:val="single" w:sz="12" w:space="0" w:color="auto"/>
            </w:tcBorders>
            <w:vAlign w:val="bottom"/>
          </w:tcPr>
          <w:p w:rsidR="00B678DD" w:rsidRPr="00912870" w:rsidRDefault="00B678DD" w:rsidP="00402A9B">
            <w:pPr>
              <w:spacing w:after="160" w:line="240" w:lineRule="auto"/>
              <w:jc w:val="right"/>
              <w:rPr>
                <w:rFonts w:ascii="Segoe UI" w:hAnsi="Segoe UI" w:cs="Segoe UI"/>
                <w:i/>
                <w:sz w:val="16"/>
                <w:szCs w:val="18"/>
                <w:highlight w:val="yellow"/>
              </w:rPr>
            </w:pPr>
          </w:p>
        </w:tc>
        <w:tc>
          <w:tcPr>
            <w:tcW w:w="1077" w:type="dxa"/>
            <w:tcBorders>
              <w:bottom w:val="single" w:sz="12" w:space="0" w:color="auto"/>
            </w:tcBorders>
            <w:vAlign w:val="bottom"/>
          </w:tcPr>
          <w:p w:rsidR="00B678DD" w:rsidRPr="00912870" w:rsidRDefault="00B678DD" w:rsidP="00402A9B">
            <w:pPr>
              <w:spacing w:after="160" w:line="240" w:lineRule="auto"/>
              <w:jc w:val="right"/>
              <w:rPr>
                <w:rFonts w:ascii="Segoe UI" w:hAnsi="Segoe UI" w:cs="Segoe UI"/>
                <w:sz w:val="16"/>
                <w:szCs w:val="18"/>
                <w:highlight w:val="yellow"/>
              </w:rPr>
            </w:pPr>
          </w:p>
        </w:tc>
        <w:tc>
          <w:tcPr>
            <w:tcW w:w="1077" w:type="dxa"/>
            <w:tcBorders>
              <w:bottom w:val="single" w:sz="12" w:space="0" w:color="auto"/>
            </w:tcBorders>
            <w:vAlign w:val="bottom"/>
          </w:tcPr>
          <w:p w:rsidR="00B678DD" w:rsidRPr="00912870" w:rsidRDefault="00B678DD" w:rsidP="00402A9B">
            <w:pPr>
              <w:spacing w:after="160" w:line="240" w:lineRule="auto"/>
              <w:jc w:val="right"/>
              <w:rPr>
                <w:rFonts w:ascii="Segoe UI" w:hAnsi="Segoe UI" w:cs="Segoe UI"/>
                <w:sz w:val="16"/>
                <w:szCs w:val="18"/>
                <w:highlight w:val="yellow"/>
              </w:rPr>
            </w:pPr>
          </w:p>
        </w:tc>
        <w:tc>
          <w:tcPr>
            <w:tcW w:w="850" w:type="dxa"/>
            <w:tcBorders>
              <w:bottom w:val="single" w:sz="12" w:space="0" w:color="auto"/>
            </w:tcBorders>
            <w:shd w:val="clear" w:color="auto" w:fill="auto"/>
            <w:vAlign w:val="bottom"/>
          </w:tcPr>
          <w:p w:rsidR="00B678DD" w:rsidRPr="00B678DD" w:rsidRDefault="00B678DD" w:rsidP="00402A9B">
            <w:pPr>
              <w:spacing w:after="160" w:line="240" w:lineRule="auto"/>
              <w:jc w:val="right"/>
              <w:rPr>
                <w:rFonts w:ascii="Segoe UI" w:hAnsi="Segoe UI" w:cs="Segoe UI"/>
                <w:i/>
                <w:sz w:val="16"/>
                <w:szCs w:val="18"/>
                <w:highlight w:val="yellow"/>
              </w:rPr>
            </w:pPr>
          </w:p>
        </w:tc>
      </w:tr>
      <w:tr w:rsidR="00B678DD"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B678DD" w:rsidRPr="003C4D83" w:rsidRDefault="00B678DD" w:rsidP="003C5467">
            <w:pPr>
              <w:spacing w:after="160"/>
              <w:rPr>
                <w:rFonts w:ascii="Segoe UI" w:hAnsi="Segoe UI" w:cs="Segoe UI"/>
                <w:sz w:val="16"/>
                <w:szCs w:val="18"/>
              </w:rPr>
            </w:pPr>
            <w:r w:rsidRPr="003C4D83">
              <w:rPr>
                <w:rFonts w:ascii="Segoe UI" w:hAnsi="Segoe UI" w:cs="Segoe UI"/>
                <w:sz w:val="16"/>
                <w:szCs w:val="18"/>
                <w:lang w:val="el-GR"/>
              </w:rPr>
              <w:t>Συνολικό Ενεργητικό</w:t>
            </w:r>
            <w:r w:rsidRPr="003C4D83">
              <w:rPr>
                <w:rFonts w:ascii="Segoe UI" w:hAnsi="Segoe UI" w:cs="Segoe UI"/>
                <w:sz w:val="16"/>
                <w:szCs w:val="18"/>
                <w:vertAlign w:val="superscript"/>
                <w:lang w:val="el-GR"/>
              </w:rPr>
              <w:t>1</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81</w:t>
            </w:r>
            <w:r>
              <w:rPr>
                <w:rFonts w:ascii="Segoe UI" w:hAnsi="Segoe UI" w:cs="Segoe UI"/>
                <w:sz w:val="16"/>
                <w:szCs w:val="18"/>
                <w:lang w:val="el-GR"/>
              </w:rPr>
              <w:t>.</w:t>
            </w:r>
            <w:r w:rsidRPr="00912870">
              <w:rPr>
                <w:rFonts w:ascii="Segoe UI" w:hAnsi="Segoe UI" w:cs="Segoe UI"/>
                <w:sz w:val="16"/>
                <w:szCs w:val="18"/>
              </w:rPr>
              <w:t>539</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83</w:t>
            </w:r>
            <w:r>
              <w:rPr>
                <w:rFonts w:ascii="Segoe UI" w:hAnsi="Segoe UI" w:cs="Segoe UI"/>
                <w:sz w:val="16"/>
                <w:szCs w:val="18"/>
                <w:lang w:val="el-GR"/>
              </w:rPr>
              <w:t>.</w:t>
            </w:r>
            <w:r w:rsidRPr="00912870">
              <w:rPr>
                <w:rFonts w:ascii="Segoe UI" w:hAnsi="Segoe UI" w:cs="Segoe UI"/>
                <w:sz w:val="16"/>
                <w:szCs w:val="18"/>
              </w:rPr>
              <w:t>174</w:t>
            </w:r>
          </w:p>
        </w:tc>
        <w:tc>
          <w:tcPr>
            <w:tcW w:w="850"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i/>
                <w:sz w:val="16"/>
                <w:szCs w:val="18"/>
              </w:rPr>
            </w:pPr>
            <w:r w:rsidRPr="00912870">
              <w:rPr>
                <w:rFonts w:ascii="Segoe UI" w:hAnsi="Segoe UI" w:cs="Segoe UI"/>
                <w:i/>
                <w:sz w:val="16"/>
                <w:szCs w:val="18"/>
              </w:rPr>
              <w:t>-2</w:t>
            </w:r>
            <w:r>
              <w:rPr>
                <w:rFonts w:ascii="Segoe UI" w:hAnsi="Segoe UI" w:cs="Segoe UI"/>
                <w:i/>
                <w:sz w:val="16"/>
                <w:szCs w:val="18"/>
                <w:lang w:val="el-GR"/>
              </w:rPr>
              <w:t>,</w:t>
            </w:r>
            <w:r w:rsidRPr="00912870">
              <w:rPr>
                <w:rFonts w:ascii="Segoe UI" w:hAnsi="Segoe UI" w:cs="Segoe UI"/>
                <w:i/>
                <w:sz w:val="16"/>
                <w:szCs w:val="18"/>
              </w:rPr>
              <w:t>0%</w:t>
            </w:r>
          </w:p>
        </w:tc>
        <w:tc>
          <w:tcPr>
            <w:tcW w:w="1077" w:type="dxa"/>
            <w:tcBorders>
              <w:top w:val="single" w:sz="12"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83</w:t>
            </w:r>
            <w:r>
              <w:rPr>
                <w:rFonts w:ascii="Segoe UI" w:hAnsi="Segoe UI" w:cs="Segoe UI"/>
                <w:sz w:val="16"/>
                <w:szCs w:val="18"/>
                <w:lang w:val="el-GR"/>
              </w:rPr>
              <w:t>.</w:t>
            </w:r>
            <w:r w:rsidRPr="00912870">
              <w:rPr>
                <w:rFonts w:ascii="Segoe UI" w:hAnsi="Segoe UI" w:cs="Segoe UI"/>
                <w:sz w:val="16"/>
                <w:szCs w:val="18"/>
              </w:rPr>
              <w:t>539</w:t>
            </w:r>
          </w:p>
        </w:tc>
        <w:tc>
          <w:tcPr>
            <w:tcW w:w="1077" w:type="dxa"/>
            <w:tcBorders>
              <w:top w:val="single" w:sz="12"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81</w:t>
            </w:r>
            <w:r>
              <w:rPr>
                <w:rFonts w:ascii="Segoe UI" w:hAnsi="Segoe UI" w:cs="Segoe UI"/>
                <w:sz w:val="16"/>
                <w:szCs w:val="18"/>
                <w:lang w:val="el-GR"/>
              </w:rPr>
              <w:t>.</w:t>
            </w:r>
            <w:r w:rsidRPr="00912870">
              <w:rPr>
                <w:rFonts w:ascii="Segoe UI" w:hAnsi="Segoe UI" w:cs="Segoe UI"/>
                <w:sz w:val="16"/>
                <w:szCs w:val="18"/>
              </w:rPr>
              <w:t>958</w:t>
            </w:r>
          </w:p>
        </w:tc>
        <w:tc>
          <w:tcPr>
            <w:tcW w:w="850" w:type="dxa"/>
            <w:tcBorders>
              <w:top w:val="single" w:sz="12" w:space="0" w:color="auto"/>
              <w:bottom w:val="single" w:sz="4" w:space="0" w:color="auto"/>
            </w:tcBorders>
            <w:shd w:val="clear" w:color="auto" w:fill="auto"/>
            <w:vAlign w:val="bottom"/>
          </w:tcPr>
          <w:p w:rsidR="00B678DD" w:rsidRPr="00B678DD" w:rsidRDefault="00B678DD" w:rsidP="00402A9B">
            <w:pPr>
              <w:spacing w:after="160" w:line="240" w:lineRule="auto"/>
              <w:jc w:val="right"/>
              <w:rPr>
                <w:rFonts w:ascii="Segoe UI" w:hAnsi="Segoe UI" w:cs="Segoe UI"/>
                <w:i/>
                <w:sz w:val="16"/>
                <w:szCs w:val="18"/>
              </w:rPr>
            </w:pPr>
            <w:r w:rsidRPr="00B678DD">
              <w:rPr>
                <w:rFonts w:ascii="Segoe UI" w:hAnsi="Segoe UI" w:cs="Segoe UI"/>
                <w:i/>
                <w:sz w:val="16"/>
                <w:szCs w:val="18"/>
              </w:rPr>
              <w:t>-0</w:t>
            </w:r>
            <w:r>
              <w:rPr>
                <w:rFonts w:ascii="Segoe UI" w:hAnsi="Segoe UI" w:cs="Segoe UI"/>
                <w:i/>
                <w:sz w:val="16"/>
                <w:szCs w:val="18"/>
                <w:lang w:val="el-GR"/>
              </w:rPr>
              <w:t>,</w:t>
            </w:r>
            <w:r w:rsidRPr="00B678DD">
              <w:rPr>
                <w:rFonts w:ascii="Segoe UI" w:hAnsi="Segoe UI" w:cs="Segoe UI"/>
                <w:i/>
                <w:sz w:val="16"/>
                <w:szCs w:val="18"/>
              </w:rPr>
              <w:t>5%</w:t>
            </w:r>
          </w:p>
        </w:tc>
      </w:tr>
      <w:tr w:rsidR="00B678DD" w:rsidRPr="00B522A6" w:rsidTr="0069150B">
        <w:trPr>
          <w:trHeight w:hRule="exact" w:val="340"/>
          <w:jc w:val="right"/>
        </w:trPr>
        <w:tc>
          <w:tcPr>
            <w:tcW w:w="3005" w:type="dxa"/>
            <w:tcBorders>
              <w:bottom w:val="single" w:sz="4" w:space="0" w:color="auto"/>
            </w:tcBorders>
            <w:shd w:val="clear" w:color="auto" w:fill="auto"/>
            <w:vAlign w:val="bottom"/>
          </w:tcPr>
          <w:p w:rsidR="00B678DD" w:rsidRPr="003C4D83" w:rsidRDefault="00B678DD" w:rsidP="003C5467">
            <w:pPr>
              <w:spacing w:after="160"/>
              <w:rPr>
                <w:rFonts w:ascii="Segoe UI" w:hAnsi="Segoe UI" w:cs="Segoe UI"/>
                <w:sz w:val="16"/>
                <w:szCs w:val="18"/>
                <w:lang w:val="el-GR"/>
              </w:rPr>
            </w:pPr>
            <w:r w:rsidRPr="003C4D83">
              <w:rPr>
                <w:rFonts w:ascii="Segoe UI" w:hAnsi="Segoe UI" w:cs="Segoe UI"/>
                <w:sz w:val="16"/>
                <w:szCs w:val="18"/>
                <w:lang w:val="el-GR"/>
              </w:rPr>
              <w:t>Καθαρές Χορηγήσεις</w:t>
            </w:r>
          </w:p>
        </w:tc>
        <w:tc>
          <w:tcPr>
            <w:tcW w:w="1077" w:type="dxa"/>
            <w:tcBorders>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37</w:t>
            </w:r>
            <w:r>
              <w:rPr>
                <w:rFonts w:ascii="Segoe UI" w:hAnsi="Segoe UI" w:cs="Segoe UI"/>
                <w:sz w:val="16"/>
                <w:szCs w:val="18"/>
                <w:lang w:val="el-GR"/>
              </w:rPr>
              <w:t>.</w:t>
            </w:r>
            <w:r w:rsidRPr="00912870">
              <w:rPr>
                <w:rFonts w:ascii="Segoe UI" w:hAnsi="Segoe UI" w:cs="Segoe UI"/>
                <w:sz w:val="16"/>
                <w:szCs w:val="18"/>
              </w:rPr>
              <w:t>890</w:t>
            </w:r>
          </w:p>
        </w:tc>
        <w:tc>
          <w:tcPr>
            <w:tcW w:w="1077" w:type="dxa"/>
            <w:tcBorders>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38</w:t>
            </w:r>
            <w:r>
              <w:rPr>
                <w:rFonts w:ascii="Segoe UI" w:hAnsi="Segoe UI" w:cs="Segoe UI"/>
                <w:sz w:val="16"/>
                <w:szCs w:val="18"/>
                <w:lang w:val="el-GR"/>
              </w:rPr>
              <w:t>.</w:t>
            </w:r>
            <w:r w:rsidRPr="00912870">
              <w:rPr>
                <w:rFonts w:ascii="Segoe UI" w:hAnsi="Segoe UI" w:cs="Segoe UI"/>
                <w:sz w:val="16"/>
                <w:szCs w:val="18"/>
              </w:rPr>
              <w:t>422</w:t>
            </w:r>
          </w:p>
        </w:tc>
        <w:tc>
          <w:tcPr>
            <w:tcW w:w="850"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i/>
                <w:sz w:val="16"/>
                <w:szCs w:val="18"/>
              </w:rPr>
            </w:pPr>
            <w:r w:rsidRPr="00912870">
              <w:rPr>
                <w:rFonts w:ascii="Segoe UI" w:hAnsi="Segoe UI" w:cs="Segoe UI"/>
                <w:i/>
                <w:sz w:val="16"/>
                <w:szCs w:val="18"/>
              </w:rPr>
              <w:t>-1</w:t>
            </w:r>
            <w:r>
              <w:rPr>
                <w:rFonts w:ascii="Segoe UI" w:hAnsi="Segoe UI" w:cs="Segoe UI"/>
                <w:i/>
                <w:sz w:val="16"/>
                <w:szCs w:val="18"/>
                <w:lang w:val="el-GR"/>
              </w:rPr>
              <w:t>,</w:t>
            </w:r>
            <w:r w:rsidRPr="00912870">
              <w:rPr>
                <w:rFonts w:ascii="Segoe UI" w:hAnsi="Segoe UI" w:cs="Segoe UI"/>
                <w:i/>
                <w:sz w:val="16"/>
                <w:szCs w:val="18"/>
              </w:rPr>
              <w:t>4%</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37</w:t>
            </w:r>
            <w:r>
              <w:rPr>
                <w:rFonts w:ascii="Segoe UI" w:hAnsi="Segoe UI" w:cs="Segoe UI"/>
                <w:sz w:val="16"/>
                <w:szCs w:val="18"/>
                <w:lang w:val="el-GR"/>
              </w:rPr>
              <w:t>.</w:t>
            </w:r>
            <w:r w:rsidRPr="00912870">
              <w:rPr>
                <w:rFonts w:ascii="Segoe UI" w:hAnsi="Segoe UI" w:cs="Segoe UI"/>
                <w:sz w:val="16"/>
                <w:szCs w:val="18"/>
              </w:rPr>
              <w:t>890</w:t>
            </w:r>
          </w:p>
        </w:tc>
        <w:tc>
          <w:tcPr>
            <w:tcW w:w="1077" w:type="dxa"/>
            <w:tcBorders>
              <w:top w:val="single" w:sz="4" w:space="0" w:color="auto"/>
              <w:left w:val="nil"/>
              <w:bottom w:val="single" w:sz="4" w:space="0" w:color="auto"/>
              <w:right w:val="nil"/>
            </w:tcBorders>
            <w:shd w:val="clear" w:color="auto" w:fill="auto"/>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40</w:t>
            </w:r>
            <w:r>
              <w:rPr>
                <w:rFonts w:ascii="Segoe UI" w:hAnsi="Segoe UI" w:cs="Segoe UI"/>
                <w:sz w:val="16"/>
                <w:szCs w:val="18"/>
                <w:lang w:val="el-GR"/>
              </w:rPr>
              <w:t>.</w:t>
            </w:r>
            <w:r w:rsidRPr="00912870">
              <w:rPr>
                <w:rFonts w:ascii="Segoe UI" w:hAnsi="Segoe UI" w:cs="Segoe UI"/>
                <w:sz w:val="16"/>
                <w:szCs w:val="18"/>
              </w:rPr>
              <w:t>119</w:t>
            </w:r>
          </w:p>
        </w:tc>
        <w:tc>
          <w:tcPr>
            <w:tcW w:w="850" w:type="dxa"/>
            <w:tcBorders>
              <w:top w:val="single" w:sz="4" w:space="0" w:color="auto"/>
              <w:left w:val="nil"/>
              <w:bottom w:val="single" w:sz="4" w:space="0" w:color="auto"/>
              <w:right w:val="nil"/>
            </w:tcBorders>
            <w:shd w:val="clear" w:color="auto" w:fill="auto"/>
            <w:vAlign w:val="bottom"/>
          </w:tcPr>
          <w:p w:rsidR="00B678DD" w:rsidRPr="00B678DD" w:rsidRDefault="00B678DD" w:rsidP="00402A9B">
            <w:pPr>
              <w:spacing w:after="160" w:line="240" w:lineRule="auto"/>
              <w:jc w:val="right"/>
              <w:rPr>
                <w:rFonts w:ascii="Segoe UI" w:hAnsi="Segoe UI" w:cs="Segoe UI"/>
                <w:i/>
                <w:sz w:val="16"/>
                <w:szCs w:val="18"/>
              </w:rPr>
            </w:pPr>
            <w:r w:rsidRPr="00B678DD">
              <w:rPr>
                <w:rFonts w:ascii="Segoe UI" w:hAnsi="Segoe UI" w:cs="Segoe UI"/>
                <w:i/>
                <w:sz w:val="16"/>
                <w:szCs w:val="18"/>
              </w:rPr>
              <w:t>-5</w:t>
            </w:r>
            <w:r>
              <w:rPr>
                <w:rFonts w:ascii="Segoe UI" w:hAnsi="Segoe UI" w:cs="Segoe UI"/>
                <w:i/>
                <w:sz w:val="16"/>
                <w:szCs w:val="18"/>
                <w:lang w:val="el-GR"/>
              </w:rPr>
              <w:t>,</w:t>
            </w:r>
            <w:r w:rsidRPr="00B678DD">
              <w:rPr>
                <w:rFonts w:ascii="Segoe UI" w:hAnsi="Segoe UI" w:cs="Segoe UI"/>
                <w:i/>
                <w:sz w:val="16"/>
                <w:szCs w:val="18"/>
              </w:rPr>
              <w:t>6%</w:t>
            </w:r>
          </w:p>
        </w:tc>
      </w:tr>
      <w:tr w:rsidR="00B678DD"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B678DD" w:rsidRPr="003C4D83" w:rsidRDefault="00B678DD" w:rsidP="003C5467">
            <w:pPr>
              <w:spacing w:after="160"/>
              <w:rPr>
                <w:rFonts w:ascii="Segoe UI" w:hAnsi="Segoe UI" w:cs="Segoe UI"/>
                <w:sz w:val="16"/>
                <w:szCs w:val="18"/>
                <w:lang w:val="el-GR"/>
              </w:rPr>
            </w:pPr>
            <w:r w:rsidRPr="003C4D83">
              <w:rPr>
                <w:rFonts w:ascii="Segoe UI" w:hAnsi="Segoe UI" w:cs="Segoe UI"/>
                <w:sz w:val="16"/>
                <w:szCs w:val="18"/>
                <w:lang w:val="el-GR"/>
              </w:rPr>
              <w:t>Καταθέσεις</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42</w:t>
            </w:r>
            <w:r>
              <w:rPr>
                <w:rFonts w:ascii="Segoe UI" w:hAnsi="Segoe UI" w:cs="Segoe UI"/>
                <w:sz w:val="16"/>
                <w:szCs w:val="18"/>
                <w:lang w:val="el-GR"/>
              </w:rPr>
              <w:t>.</w:t>
            </w:r>
            <w:r w:rsidRPr="00912870">
              <w:rPr>
                <w:rFonts w:ascii="Segoe UI" w:hAnsi="Segoe UI" w:cs="Segoe UI"/>
                <w:sz w:val="16"/>
                <w:szCs w:val="18"/>
              </w:rPr>
              <w:t>567</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42</w:t>
            </w:r>
            <w:r>
              <w:rPr>
                <w:rFonts w:ascii="Segoe UI" w:hAnsi="Segoe UI" w:cs="Segoe UI"/>
                <w:sz w:val="16"/>
                <w:szCs w:val="18"/>
                <w:lang w:val="el-GR"/>
              </w:rPr>
              <w:t>.</w:t>
            </w:r>
            <w:r w:rsidRPr="00912870">
              <w:rPr>
                <w:rFonts w:ascii="Segoe UI" w:hAnsi="Segoe UI" w:cs="Segoe UI"/>
                <w:sz w:val="16"/>
                <w:szCs w:val="18"/>
              </w:rPr>
              <w:t>184</w:t>
            </w:r>
          </w:p>
        </w:tc>
        <w:tc>
          <w:tcPr>
            <w:tcW w:w="850"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i/>
                <w:sz w:val="16"/>
                <w:szCs w:val="18"/>
              </w:rPr>
            </w:pPr>
            <w:r w:rsidRPr="00912870">
              <w:rPr>
                <w:rFonts w:ascii="Segoe UI" w:hAnsi="Segoe UI" w:cs="Segoe UI"/>
                <w:i/>
                <w:sz w:val="16"/>
                <w:szCs w:val="18"/>
              </w:rPr>
              <w:t>0</w:t>
            </w:r>
            <w:r>
              <w:rPr>
                <w:rFonts w:ascii="Segoe UI" w:hAnsi="Segoe UI" w:cs="Segoe UI"/>
                <w:i/>
                <w:sz w:val="16"/>
                <w:szCs w:val="18"/>
                <w:lang w:val="el-GR"/>
              </w:rPr>
              <w:t>,</w:t>
            </w:r>
            <w:r w:rsidRPr="00912870">
              <w:rPr>
                <w:rFonts w:ascii="Segoe UI" w:hAnsi="Segoe UI" w:cs="Segoe UI"/>
                <w:i/>
                <w:sz w:val="16"/>
                <w:szCs w:val="18"/>
              </w:rPr>
              <w:t>9%</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42</w:t>
            </w:r>
            <w:r>
              <w:rPr>
                <w:rFonts w:ascii="Segoe UI" w:hAnsi="Segoe UI" w:cs="Segoe UI"/>
                <w:sz w:val="16"/>
                <w:szCs w:val="18"/>
                <w:lang w:val="el-GR"/>
              </w:rPr>
              <w:t>.</w:t>
            </w:r>
            <w:r w:rsidRPr="00912870">
              <w:rPr>
                <w:rFonts w:ascii="Segoe UI" w:hAnsi="Segoe UI" w:cs="Segoe UI"/>
                <w:sz w:val="16"/>
                <w:szCs w:val="18"/>
              </w:rPr>
              <w:t>567</w:t>
            </w:r>
          </w:p>
        </w:tc>
        <w:tc>
          <w:tcPr>
            <w:tcW w:w="1077" w:type="dxa"/>
            <w:tcBorders>
              <w:top w:val="single" w:sz="4" w:space="0" w:color="auto"/>
              <w:left w:val="nil"/>
              <w:bottom w:val="single" w:sz="4" w:space="0" w:color="auto"/>
              <w:right w:val="nil"/>
            </w:tcBorders>
            <w:shd w:val="clear" w:color="auto" w:fill="auto"/>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41</w:t>
            </w:r>
            <w:r>
              <w:rPr>
                <w:rFonts w:ascii="Segoe UI" w:hAnsi="Segoe UI" w:cs="Segoe UI"/>
                <w:sz w:val="16"/>
                <w:szCs w:val="18"/>
                <w:lang w:val="el-GR"/>
              </w:rPr>
              <w:t>.</w:t>
            </w:r>
            <w:r w:rsidRPr="00912870">
              <w:rPr>
                <w:rFonts w:ascii="Segoe UI" w:hAnsi="Segoe UI" w:cs="Segoe UI"/>
                <w:sz w:val="16"/>
                <w:szCs w:val="18"/>
              </w:rPr>
              <w:t>890</w:t>
            </w:r>
          </w:p>
        </w:tc>
        <w:tc>
          <w:tcPr>
            <w:tcW w:w="850" w:type="dxa"/>
            <w:tcBorders>
              <w:top w:val="single" w:sz="4" w:space="0" w:color="auto"/>
              <w:left w:val="nil"/>
              <w:bottom w:val="single" w:sz="4" w:space="0" w:color="auto"/>
              <w:right w:val="nil"/>
            </w:tcBorders>
            <w:shd w:val="clear" w:color="auto" w:fill="auto"/>
            <w:vAlign w:val="bottom"/>
          </w:tcPr>
          <w:p w:rsidR="00B678DD" w:rsidRPr="00B678DD" w:rsidRDefault="00B678DD" w:rsidP="00402A9B">
            <w:pPr>
              <w:spacing w:after="160" w:line="240" w:lineRule="auto"/>
              <w:jc w:val="right"/>
              <w:rPr>
                <w:rFonts w:ascii="Segoe UI" w:hAnsi="Segoe UI" w:cs="Segoe UI"/>
                <w:i/>
                <w:sz w:val="16"/>
                <w:szCs w:val="18"/>
              </w:rPr>
            </w:pPr>
            <w:r w:rsidRPr="00B678DD">
              <w:rPr>
                <w:rFonts w:ascii="Segoe UI" w:hAnsi="Segoe UI" w:cs="Segoe UI"/>
                <w:i/>
                <w:sz w:val="16"/>
                <w:szCs w:val="18"/>
              </w:rPr>
              <w:t>1</w:t>
            </w:r>
            <w:r>
              <w:rPr>
                <w:rFonts w:ascii="Segoe UI" w:hAnsi="Segoe UI" w:cs="Segoe UI"/>
                <w:i/>
                <w:sz w:val="16"/>
                <w:szCs w:val="18"/>
                <w:lang w:val="el-GR"/>
              </w:rPr>
              <w:t>,</w:t>
            </w:r>
            <w:r w:rsidRPr="00B678DD">
              <w:rPr>
                <w:rFonts w:ascii="Segoe UI" w:hAnsi="Segoe UI" w:cs="Segoe UI"/>
                <w:i/>
                <w:sz w:val="16"/>
                <w:szCs w:val="18"/>
              </w:rPr>
              <w:t>6%</w:t>
            </w:r>
          </w:p>
        </w:tc>
      </w:tr>
      <w:tr w:rsidR="00B678DD"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B678DD" w:rsidRPr="003C4D83" w:rsidRDefault="00B678DD" w:rsidP="003C5467">
            <w:pPr>
              <w:spacing w:after="160"/>
              <w:rPr>
                <w:rFonts w:ascii="Segoe UI" w:hAnsi="Segoe UI" w:cs="Segoe UI"/>
                <w:sz w:val="16"/>
                <w:szCs w:val="18"/>
                <w:lang w:val="el-GR"/>
              </w:rPr>
            </w:pPr>
            <w:r w:rsidRPr="003C4D83">
              <w:rPr>
                <w:rFonts w:ascii="Segoe UI" w:hAnsi="Segoe UI" w:cs="Segoe UI"/>
                <w:sz w:val="16"/>
                <w:szCs w:val="18"/>
                <w:lang w:val="el-GR"/>
              </w:rPr>
              <w:t>Ίδια Κεφάλαια</w:t>
            </w:r>
            <w:r w:rsidRPr="003C4D83">
              <w:rPr>
                <w:rStyle w:val="a9"/>
                <w:rFonts w:ascii="Segoe UI" w:hAnsi="Segoe UI" w:cs="Segoe UI"/>
                <w:sz w:val="16"/>
                <w:szCs w:val="18"/>
                <w:lang w:val="el-GR"/>
              </w:rPr>
              <w:footnoteReference w:id="10"/>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7</w:t>
            </w:r>
            <w:r>
              <w:rPr>
                <w:rFonts w:ascii="Segoe UI" w:hAnsi="Segoe UI" w:cs="Segoe UI"/>
                <w:sz w:val="16"/>
                <w:szCs w:val="18"/>
                <w:lang w:val="el-GR"/>
              </w:rPr>
              <w:t>.</w:t>
            </w:r>
            <w:r w:rsidRPr="00912870">
              <w:rPr>
                <w:rFonts w:ascii="Segoe UI" w:hAnsi="Segoe UI" w:cs="Segoe UI"/>
                <w:sz w:val="16"/>
                <w:szCs w:val="18"/>
              </w:rPr>
              <w:t>070</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7</w:t>
            </w:r>
            <w:r>
              <w:rPr>
                <w:rFonts w:ascii="Segoe UI" w:hAnsi="Segoe UI" w:cs="Segoe UI"/>
                <w:sz w:val="16"/>
                <w:szCs w:val="18"/>
                <w:lang w:val="el-GR"/>
              </w:rPr>
              <w:t>.</w:t>
            </w:r>
            <w:r w:rsidRPr="00912870">
              <w:rPr>
                <w:rFonts w:ascii="Segoe UI" w:hAnsi="Segoe UI" w:cs="Segoe UI"/>
                <w:sz w:val="16"/>
                <w:szCs w:val="18"/>
              </w:rPr>
              <w:t>035</w:t>
            </w:r>
          </w:p>
        </w:tc>
        <w:tc>
          <w:tcPr>
            <w:tcW w:w="850"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i/>
                <w:sz w:val="16"/>
                <w:szCs w:val="18"/>
              </w:rPr>
            </w:pPr>
            <w:r w:rsidRPr="00912870">
              <w:rPr>
                <w:rFonts w:ascii="Segoe UI" w:hAnsi="Segoe UI" w:cs="Segoe UI"/>
                <w:i/>
                <w:sz w:val="16"/>
                <w:szCs w:val="18"/>
              </w:rPr>
              <w:t>0</w:t>
            </w:r>
            <w:r>
              <w:rPr>
                <w:rFonts w:ascii="Segoe UI" w:hAnsi="Segoe UI" w:cs="Segoe UI"/>
                <w:i/>
                <w:sz w:val="16"/>
                <w:szCs w:val="18"/>
                <w:lang w:val="el-GR"/>
              </w:rPr>
              <w:t>,</w:t>
            </w:r>
            <w:r w:rsidRPr="00912870">
              <w:rPr>
                <w:rFonts w:ascii="Segoe UI" w:hAnsi="Segoe UI" w:cs="Segoe UI"/>
                <w:i/>
                <w:sz w:val="16"/>
                <w:szCs w:val="18"/>
              </w:rPr>
              <w:t>5%</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Pr>
                <w:rFonts w:ascii="Segoe UI" w:hAnsi="Segoe UI" w:cs="Segoe UI"/>
                <w:sz w:val="16"/>
                <w:szCs w:val="18"/>
              </w:rPr>
              <w:t>7.</w:t>
            </w:r>
            <w:r w:rsidRPr="00912870">
              <w:rPr>
                <w:rFonts w:ascii="Segoe UI" w:hAnsi="Segoe UI" w:cs="Segoe UI"/>
                <w:sz w:val="16"/>
                <w:szCs w:val="18"/>
              </w:rPr>
              <w:t>070</w:t>
            </w:r>
          </w:p>
        </w:tc>
        <w:tc>
          <w:tcPr>
            <w:tcW w:w="1077" w:type="dxa"/>
            <w:tcBorders>
              <w:top w:val="single" w:sz="4" w:space="0" w:color="auto"/>
              <w:left w:val="nil"/>
              <w:bottom w:val="single" w:sz="4" w:space="0" w:color="auto"/>
              <w:right w:val="nil"/>
            </w:tcBorders>
            <w:shd w:val="clear" w:color="auto" w:fill="auto"/>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4</w:t>
            </w:r>
            <w:r>
              <w:rPr>
                <w:rFonts w:ascii="Segoe UI" w:hAnsi="Segoe UI" w:cs="Segoe UI"/>
                <w:sz w:val="16"/>
                <w:szCs w:val="18"/>
                <w:lang w:val="el-GR"/>
              </w:rPr>
              <w:t>.</w:t>
            </w:r>
            <w:r w:rsidRPr="00912870">
              <w:rPr>
                <w:rFonts w:ascii="Segoe UI" w:hAnsi="Segoe UI" w:cs="Segoe UI"/>
                <w:sz w:val="16"/>
                <w:szCs w:val="18"/>
              </w:rPr>
              <w:t>996</w:t>
            </w:r>
          </w:p>
        </w:tc>
        <w:tc>
          <w:tcPr>
            <w:tcW w:w="850" w:type="dxa"/>
            <w:tcBorders>
              <w:top w:val="single" w:sz="4" w:space="0" w:color="auto"/>
              <w:left w:val="nil"/>
              <w:bottom w:val="single" w:sz="4" w:space="0" w:color="auto"/>
              <w:right w:val="nil"/>
            </w:tcBorders>
            <w:shd w:val="clear" w:color="auto" w:fill="auto"/>
            <w:vAlign w:val="bottom"/>
          </w:tcPr>
          <w:p w:rsidR="00B678DD" w:rsidRPr="00B678DD" w:rsidRDefault="00B678DD" w:rsidP="00402A9B">
            <w:pPr>
              <w:spacing w:after="160" w:line="240" w:lineRule="auto"/>
              <w:jc w:val="right"/>
              <w:rPr>
                <w:rFonts w:ascii="Segoe UI" w:hAnsi="Segoe UI" w:cs="Segoe UI"/>
                <w:i/>
                <w:sz w:val="16"/>
                <w:szCs w:val="18"/>
              </w:rPr>
            </w:pPr>
            <w:r>
              <w:rPr>
                <w:rFonts w:ascii="Segoe UI" w:hAnsi="Segoe UI" w:cs="Segoe UI"/>
                <w:i/>
                <w:sz w:val="16"/>
                <w:szCs w:val="18"/>
              </w:rPr>
              <w:t>41,</w:t>
            </w:r>
            <w:r w:rsidRPr="00B678DD">
              <w:rPr>
                <w:rFonts w:ascii="Segoe UI" w:hAnsi="Segoe UI" w:cs="Segoe UI"/>
                <w:i/>
                <w:sz w:val="16"/>
                <w:szCs w:val="18"/>
              </w:rPr>
              <w:t>5%</w:t>
            </w:r>
          </w:p>
        </w:tc>
      </w:tr>
      <w:tr w:rsidR="00B678DD"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B678DD" w:rsidRPr="003C4D83" w:rsidRDefault="00B678DD" w:rsidP="003C5467">
            <w:pPr>
              <w:spacing w:after="160"/>
              <w:rPr>
                <w:rFonts w:ascii="Segoe UI" w:hAnsi="Segoe UI" w:cs="Segoe UI"/>
                <w:sz w:val="16"/>
                <w:szCs w:val="18"/>
              </w:rPr>
            </w:pPr>
            <w:r w:rsidRPr="003C4D83">
              <w:rPr>
                <w:rFonts w:ascii="Segoe UI" w:hAnsi="Segoe UI" w:cs="Segoe UI"/>
                <w:sz w:val="16"/>
                <w:szCs w:val="18"/>
                <w:lang w:val="el-GR"/>
              </w:rPr>
              <w:t>Ενσώματα Ίδια Κεφάλαια</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6</w:t>
            </w:r>
            <w:r>
              <w:rPr>
                <w:rFonts w:ascii="Segoe UI" w:hAnsi="Segoe UI" w:cs="Segoe UI"/>
                <w:sz w:val="16"/>
                <w:szCs w:val="18"/>
                <w:lang w:val="el-GR"/>
              </w:rPr>
              <w:t>.</w:t>
            </w:r>
            <w:r w:rsidRPr="00912870">
              <w:rPr>
                <w:rFonts w:ascii="Segoe UI" w:hAnsi="Segoe UI" w:cs="Segoe UI"/>
                <w:sz w:val="16"/>
                <w:szCs w:val="18"/>
              </w:rPr>
              <w:t>930</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6</w:t>
            </w:r>
            <w:r>
              <w:rPr>
                <w:rFonts w:ascii="Segoe UI" w:hAnsi="Segoe UI" w:cs="Segoe UI"/>
                <w:sz w:val="16"/>
                <w:szCs w:val="18"/>
                <w:lang w:val="el-GR"/>
              </w:rPr>
              <w:t>.</w:t>
            </w:r>
            <w:r w:rsidRPr="00912870">
              <w:rPr>
                <w:rFonts w:ascii="Segoe UI" w:hAnsi="Segoe UI" w:cs="Segoe UI"/>
                <w:sz w:val="16"/>
                <w:szCs w:val="18"/>
              </w:rPr>
              <w:t>892</w:t>
            </w:r>
          </w:p>
        </w:tc>
        <w:tc>
          <w:tcPr>
            <w:tcW w:w="850"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i/>
                <w:sz w:val="16"/>
                <w:szCs w:val="18"/>
              </w:rPr>
            </w:pPr>
            <w:r w:rsidRPr="00912870">
              <w:rPr>
                <w:rFonts w:ascii="Segoe UI" w:hAnsi="Segoe UI" w:cs="Segoe UI"/>
                <w:i/>
                <w:sz w:val="16"/>
                <w:szCs w:val="18"/>
              </w:rPr>
              <w:t>0</w:t>
            </w:r>
            <w:r>
              <w:rPr>
                <w:rFonts w:ascii="Segoe UI" w:hAnsi="Segoe UI" w:cs="Segoe UI"/>
                <w:i/>
                <w:sz w:val="16"/>
                <w:szCs w:val="18"/>
                <w:lang w:val="el-GR"/>
              </w:rPr>
              <w:t>,</w:t>
            </w:r>
            <w:r w:rsidRPr="00912870">
              <w:rPr>
                <w:rFonts w:ascii="Segoe UI" w:hAnsi="Segoe UI" w:cs="Segoe UI"/>
                <w:i/>
                <w:sz w:val="16"/>
                <w:szCs w:val="18"/>
              </w:rPr>
              <w:t>6%</w:t>
            </w:r>
          </w:p>
        </w:tc>
        <w:tc>
          <w:tcPr>
            <w:tcW w:w="1077" w:type="dxa"/>
            <w:tcBorders>
              <w:top w:val="single" w:sz="4" w:space="0" w:color="auto"/>
              <w:bottom w:val="single" w:sz="4" w:space="0" w:color="auto"/>
            </w:tcBorders>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6</w:t>
            </w:r>
            <w:r>
              <w:rPr>
                <w:rFonts w:ascii="Segoe UI" w:hAnsi="Segoe UI" w:cs="Segoe UI"/>
                <w:sz w:val="16"/>
                <w:szCs w:val="18"/>
                <w:lang w:val="el-GR"/>
              </w:rPr>
              <w:t>.</w:t>
            </w:r>
            <w:r w:rsidRPr="00912870">
              <w:rPr>
                <w:rFonts w:ascii="Segoe UI" w:hAnsi="Segoe UI" w:cs="Segoe UI"/>
                <w:sz w:val="16"/>
                <w:szCs w:val="18"/>
              </w:rPr>
              <w:t>930</w:t>
            </w:r>
          </w:p>
        </w:tc>
        <w:tc>
          <w:tcPr>
            <w:tcW w:w="1077" w:type="dxa"/>
            <w:tcBorders>
              <w:top w:val="single" w:sz="4" w:space="0" w:color="auto"/>
              <w:left w:val="nil"/>
              <w:bottom w:val="single" w:sz="4" w:space="0" w:color="auto"/>
              <w:right w:val="nil"/>
            </w:tcBorders>
            <w:shd w:val="clear" w:color="auto" w:fill="auto"/>
            <w:vAlign w:val="bottom"/>
          </w:tcPr>
          <w:p w:rsidR="00B678DD" w:rsidRPr="00912870" w:rsidRDefault="00B678DD" w:rsidP="00402A9B">
            <w:pPr>
              <w:spacing w:after="160" w:line="240" w:lineRule="auto"/>
              <w:jc w:val="right"/>
              <w:rPr>
                <w:rFonts w:ascii="Segoe UI" w:hAnsi="Segoe UI" w:cs="Segoe UI"/>
                <w:sz w:val="16"/>
                <w:szCs w:val="18"/>
              </w:rPr>
            </w:pPr>
            <w:r w:rsidRPr="00912870">
              <w:rPr>
                <w:rFonts w:ascii="Segoe UI" w:hAnsi="Segoe UI" w:cs="Segoe UI"/>
                <w:sz w:val="16"/>
                <w:szCs w:val="18"/>
              </w:rPr>
              <w:t>4</w:t>
            </w:r>
            <w:r>
              <w:rPr>
                <w:rFonts w:ascii="Segoe UI" w:hAnsi="Segoe UI" w:cs="Segoe UI"/>
                <w:sz w:val="16"/>
                <w:szCs w:val="18"/>
                <w:lang w:val="el-GR"/>
              </w:rPr>
              <w:t>.</w:t>
            </w:r>
            <w:r w:rsidRPr="00912870">
              <w:rPr>
                <w:rFonts w:ascii="Segoe UI" w:hAnsi="Segoe UI" w:cs="Segoe UI"/>
                <w:sz w:val="16"/>
                <w:szCs w:val="18"/>
              </w:rPr>
              <w:t>737</w:t>
            </w:r>
          </w:p>
        </w:tc>
        <w:tc>
          <w:tcPr>
            <w:tcW w:w="850" w:type="dxa"/>
            <w:tcBorders>
              <w:top w:val="single" w:sz="4" w:space="0" w:color="auto"/>
              <w:left w:val="nil"/>
              <w:bottom w:val="single" w:sz="4" w:space="0" w:color="auto"/>
              <w:right w:val="nil"/>
            </w:tcBorders>
            <w:shd w:val="clear" w:color="auto" w:fill="auto"/>
            <w:vAlign w:val="bottom"/>
          </w:tcPr>
          <w:p w:rsidR="00B678DD" w:rsidRPr="00B678DD" w:rsidRDefault="00B678DD" w:rsidP="00402A9B">
            <w:pPr>
              <w:spacing w:after="160" w:line="240" w:lineRule="auto"/>
              <w:jc w:val="right"/>
              <w:rPr>
                <w:rFonts w:ascii="Segoe UI" w:hAnsi="Segoe UI" w:cs="Segoe UI"/>
                <w:i/>
                <w:sz w:val="16"/>
                <w:szCs w:val="18"/>
              </w:rPr>
            </w:pPr>
            <w:r w:rsidRPr="00B678DD">
              <w:rPr>
                <w:rFonts w:ascii="Segoe UI" w:hAnsi="Segoe UI" w:cs="Segoe UI"/>
                <w:i/>
                <w:sz w:val="16"/>
                <w:szCs w:val="18"/>
              </w:rPr>
              <w:t>46</w:t>
            </w:r>
            <w:r>
              <w:rPr>
                <w:rFonts w:ascii="Segoe UI" w:hAnsi="Segoe UI" w:cs="Segoe UI"/>
                <w:i/>
                <w:sz w:val="16"/>
                <w:szCs w:val="18"/>
                <w:lang w:val="el-GR"/>
              </w:rPr>
              <w:t>,</w:t>
            </w:r>
            <w:r w:rsidRPr="00B678DD">
              <w:rPr>
                <w:rFonts w:ascii="Segoe UI" w:hAnsi="Segoe UI" w:cs="Segoe UI"/>
                <w:i/>
                <w:sz w:val="16"/>
                <w:szCs w:val="18"/>
              </w:rPr>
              <w:t>3%</w:t>
            </w:r>
          </w:p>
        </w:tc>
      </w:tr>
      <w:tr w:rsidR="00912870" w:rsidRPr="00B522A6" w:rsidTr="0069150B">
        <w:trPr>
          <w:trHeight w:hRule="exact" w:val="567"/>
          <w:jc w:val="right"/>
        </w:trPr>
        <w:tc>
          <w:tcPr>
            <w:tcW w:w="3005" w:type="dxa"/>
            <w:tcBorders>
              <w:bottom w:val="single" w:sz="12" w:space="0" w:color="auto"/>
            </w:tcBorders>
            <w:shd w:val="clear" w:color="auto" w:fill="auto"/>
            <w:vAlign w:val="bottom"/>
          </w:tcPr>
          <w:p w:rsidR="00912870" w:rsidRPr="003C4D83" w:rsidRDefault="00912870" w:rsidP="003C5467">
            <w:pPr>
              <w:spacing w:after="160" w:line="240" w:lineRule="auto"/>
              <w:rPr>
                <w:rFonts w:ascii="Segoe UI" w:hAnsi="Segoe UI" w:cs="Segoe UI"/>
                <w:b/>
                <w:sz w:val="16"/>
                <w:szCs w:val="18"/>
                <w:lang w:val="en-US"/>
              </w:rPr>
            </w:pPr>
            <w:r w:rsidRPr="003C4D83">
              <w:rPr>
                <w:rFonts w:ascii="Segoe UI" w:eastAsia="Times New Roman" w:hAnsi="Segoe UI" w:cs="Segoe UI"/>
                <w:b/>
                <w:bCs/>
                <w:sz w:val="16"/>
                <w:szCs w:val="18"/>
                <w:lang w:val="el-GR"/>
              </w:rPr>
              <w:t>ΔείκτεςΟμίλου</w:t>
            </w:r>
          </w:p>
        </w:tc>
        <w:tc>
          <w:tcPr>
            <w:tcW w:w="1077" w:type="dxa"/>
            <w:tcBorders>
              <w:bottom w:val="single" w:sz="12" w:space="0" w:color="auto"/>
            </w:tcBorders>
            <w:vAlign w:val="bottom"/>
          </w:tcPr>
          <w:p w:rsidR="00912870" w:rsidRPr="00912870" w:rsidRDefault="00912870" w:rsidP="00402A9B">
            <w:pPr>
              <w:spacing w:after="160"/>
              <w:jc w:val="right"/>
              <w:rPr>
                <w:rFonts w:ascii="Segoe UI" w:hAnsi="Segoe UI" w:cs="Segoe UI"/>
                <w:sz w:val="16"/>
                <w:szCs w:val="18"/>
                <w:highlight w:val="yellow"/>
              </w:rPr>
            </w:pPr>
          </w:p>
        </w:tc>
        <w:tc>
          <w:tcPr>
            <w:tcW w:w="1077" w:type="dxa"/>
            <w:tcBorders>
              <w:bottom w:val="single" w:sz="12" w:space="0" w:color="auto"/>
            </w:tcBorders>
            <w:vAlign w:val="bottom"/>
          </w:tcPr>
          <w:p w:rsidR="00912870" w:rsidRPr="00912870" w:rsidRDefault="00912870" w:rsidP="00402A9B">
            <w:pPr>
              <w:spacing w:after="160"/>
              <w:jc w:val="right"/>
              <w:rPr>
                <w:rFonts w:ascii="Segoe UI" w:hAnsi="Segoe UI" w:cs="Segoe UI"/>
                <w:sz w:val="16"/>
                <w:szCs w:val="18"/>
                <w:highlight w:val="yellow"/>
              </w:rPr>
            </w:pPr>
          </w:p>
        </w:tc>
        <w:tc>
          <w:tcPr>
            <w:tcW w:w="850" w:type="dxa"/>
            <w:tcBorders>
              <w:bottom w:val="single" w:sz="12" w:space="0" w:color="auto"/>
            </w:tcBorders>
            <w:vAlign w:val="bottom"/>
          </w:tcPr>
          <w:p w:rsidR="00912870" w:rsidRPr="003C4D83" w:rsidRDefault="00912870" w:rsidP="00402A9B">
            <w:pPr>
              <w:spacing w:after="160"/>
              <w:jc w:val="right"/>
              <w:rPr>
                <w:rFonts w:ascii="Segoe UI" w:hAnsi="Segoe UI" w:cs="Segoe UI"/>
                <w:i/>
                <w:sz w:val="16"/>
                <w:szCs w:val="18"/>
              </w:rPr>
            </w:pPr>
          </w:p>
        </w:tc>
        <w:tc>
          <w:tcPr>
            <w:tcW w:w="1077" w:type="dxa"/>
            <w:tcBorders>
              <w:bottom w:val="single" w:sz="12" w:space="0" w:color="auto"/>
            </w:tcBorders>
            <w:vAlign w:val="bottom"/>
          </w:tcPr>
          <w:p w:rsidR="00912870" w:rsidRPr="00912870" w:rsidRDefault="00912870" w:rsidP="00402A9B">
            <w:pPr>
              <w:spacing w:after="160"/>
              <w:jc w:val="right"/>
              <w:rPr>
                <w:rFonts w:ascii="Segoe UI" w:hAnsi="Segoe UI" w:cs="Segoe UI"/>
                <w:sz w:val="16"/>
                <w:szCs w:val="18"/>
                <w:highlight w:val="yellow"/>
              </w:rPr>
            </w:pPr>
          </w:p>
        </w:tc>
        <w:tc>
          <w:tcPr>
            <w:tcW w:w="1077" w:type="dxa"/>
            <w:tcBorders>
              <w:top w:val="single" w:sz="4" w:space="0" w:color="auto"/>
              <w:bottom w:val="single" w:sz="12" w:space="0" w:color="auto"/>
            </w:tcBorders>
            <w:vAlign w:val="bottom"/>
          </w:tcPr>
          <w:p w:rsidR="00912870" w:rsidRPr="00912870" w:rsidRDefault="00912870" w:rsidP="00402A9B">
            <w:pPr>
              <w:spacing w:after="160"/>
              <w:jc w:val="right"/>
              <w:rPr>
                <w:rFonts w:ascii="Segoe UI" w:hAnsi="Segoe UI" w:cs="Segoe UI"/>
                <w:sz w:val="16"/>
                <w:szCs w:val="18"/>
                <w:highlight w:val="yellow"/>
              </w:rPr>
            </w:pPr>
          </w:p>
        </w:tc>
        <w:tc>
          <w:tcPr>
            <w:tcW w:w="850" w:type="dxa"/>
            <w:tcBorders>
              <w:bottom w:val="single" w:sz="12" w:space="0" w:color="auto"/>
            </w:tcBorders>
            <w:vAlign w:val="bottom"/>
          </w:tcPr>
          <w:p w:rsidR="00912870" w:rsidRPr="003C4D83" w:rsidRDefault="00912870" w:rsidP="00402A9B">
            <w:pPr>
              <w:spacing w:after="160"/>
              <w:jc w:val="right"/>
              <w:rPr>
                <w:rFonts w:ascii="Segoe UI" w:hAnsi="Segoe UI" w:cs="Segoe UI"/>
                <w:i/>
                <w:sz w:val="16"/>
                <w:szCs w:val="18"/>
              </w:rPr>
            </w:pPr>
          </w:p>
        </w:tc>
      </w:tr>
      <w:tr w:rsidR="00912870" w:rsidRPr="00B522A6" w:rsidTr="00F760A8">
        <w:trPr>
          <w:trHeight w:hRule="exact" w:val="535"/>
          <w:jc w:val="right"/>
        </w:trPr>
        <w:tc>
          <w:tcPr>
            <w:tcW w:w="3005" w:type="dxa"/>
            <w:tcBorders>
              <w:top w:val="single" w:sz="12" w:space="0" w:color="auto"/>
              <w:bottom w:val="single" w:sz="4" w:space="0" w:color="auto"/>
            </w:tcBorders>
            <w:shd w:val="clear" w:color="auto" w:fill="auto"/>
            <w:vAlign w:val="bottom"/>
          </w:tcPr>
          <w:p w:rsidR="00912870" w:rsidRPr="003C4D83" w:rsidRDefault="00912870" w:rsidP="00F760A8">
            <w:pPr>
              <w:spacing w:after="160"/>
              <w:rPr>
                <w:rFonts w:ascii="Segoe UI" w:hAnsi="Segoe UI" w:cs="Segoe UI"/>
                <w:sz w:val="16"/>
                <w:szCs w:val="18"/>
                <w:lang w:val="el-GR"/>
              </w:rPr>
            </w:pPr>
            <w:r w:rsidRPr="003C4D83">
              <w:rPr>
                <w:rFonts w:ascii="Segoe UI" w:hAnsi="Segoe UI" w:cs="Segoe UI"/>
                <w:sz w:val="16"/>
                <w:szCs w:val="18"/>
                <w:lang w:val="el-GR"/>
              </w:rPr>
              <w:t>Δάνεια (</w:t>
            </w:r>
            <w:r w:rsidR="00F760A8">
              <w:rPr>
                <w:rFonts w:ascii="Segoe UI" w:hAnsi="Segoe UI" w:cs="Segoe UI"/>
                <w:sz w:val="16"/>
                <w:szCs w:val="18"/>
                <w:lang w:val="el-GR"/>
              </w:rPr>
              <w:t>μετά</w:t>
            </w:r>
            <w:r w:rsidRPr="003C4D83">
              <w:rPr>
                <w:rFonts w:ascii="Segoe UI" w:hAnsi="Segoe UI" w:cs="Segoe UI"/>
                <w:sz w:val="16"/>
                <w:szCs w:val="18"/>
                <w:lang w:val="el-GR"/>
              </w:rPr>
              <w:t xml:space="preserve"> προβλέψεων): Καταθέσεις </w:t>
            </w:r>
            <w:r w:rsidR="00C35BEC">
              <w:rPr>
                <w:rFonts w:ascii="Segoe UI" w:hAnsi="Segoe UI" w:cs="Segoe UI"/>
                <w:sz w:val="16"/>
                <w:szCs w:val="18"/>
                <w:lang w:val="el-GR"/>
              </w:rPr>
              <w:t>(%)</w:t>
            </w:r>
          </w:p>
        </w:tc>
        <w:tc>
          <w:tcPr>
            <w:tcW w:w="1077" w:type="dxa"/>
            <w:tcBorders>
              <w:top w:val="single" w:sz="12" w:space="0" w:color="auto"/>
              <w:bottom w:val="single" w:sz="4" w:space="0" w:color="auto"/>
            </w:tcBorders>
            <w:vAlign w:val="bottom"/>
          </w:tcPr>
          <w:p w:rsidR="00912870" w:rsidRPr="00912870" w:rsidRDefault="00912870" w:rsidP="00402A9B">
            <w:pPr>
              <w:spacing w:after="160"/>
              <w:jc w:val="right"/>
              <w:rPr>
                <w:rFonts w:ascii="Segoe UI" w:hAnsi="Segoe UI" w:cs="Segoe UI"/>
                <w:sz w:val="16"/>
                <w:szCs w:val="18"/>
              </w:rPr>
            </w:pPr>
            <w:r w:rsidRPr="00912870">
              <w:rPr>
                <w:rFonts w:ascii="Segoe UI" w:hAnsi="Segoe UI" w:cs="Segoe UI"/>
                <w:sz w:val="16"/>
                <w:szCs w:val="18"/>
              </w:rPr>
              <w:t>89%</w:t>
            </w:r>
          </w:p>
        </w:tc>
        <w:tc>
          <w:tcPr>
            <w:tcW w:w="1077" w:type="dxa"/>
            <w:tcBorders>
              <w:top w:val="single" w:sz="12" w:space="0" w:color="auto"/>
              <w:bottom w:val="single" w:sz="4" w:space="0" w:color="auto"/>
            </w:tcBorders>
            <w:vAlign w:val="bottom"/>
          </w:tcPr>
          <w:p w:rsidR="00912870" w:rsidRPr="00912870" w:rsidRDefault="00912870" w:rsidP="00402A9B">
            <w:pPr>
              <w:spacing w:after="160"/>
              <w:jc w:val="right"/>
              <w:rPr>
                <w:rFonts w:ascii="Segoe UI" w:hAnsi="Segoe UI" w:cs="Segoe UI"/>
                <w:sz w:val="16"/>
                <w:szCs w:val="18"/>
              </w:rPr>
            </w:pPr>
            <w:r w:rsidRPr="00912870">
              <w:rPr>
                <w:rFonts w:ascii="Segoe UI" w:hAnsi="Segoe UI" w:cs="Segoe UI"/>
                <w:sz w:val="16"/>
                <w:szCs w:val="18"/>
              </w:rPr>
              <w:t>91%</w:t>
            </w:r>
          </w:p>
        </w:tc>
        <w:tc>
          <w:tcPr>
            <w:tcW w:w="850" w:type="dxa"/>
            <w:tcBorders>
              <w:top w:val="single" w:sz="12" w:space="0" w:color="auto"/>
              <w:bottom w:val="single" w:sz="4" w:space="0" w:color="auto"/>
            </w:tcBorders>
            <w:vAlign w:val="bottom"/>
          </w:tcPr>
          <w:p w:rsidR="00912870" w:rsidRPr="003C4D83" w:rsidRDefault="00912870" w:rsidP="00A43CF4">
            <w:pPr>
              <w:spacing w:after="160"/>
              <w:jc w:val="right"/>
              <w:rPr>
                <w:rFonts w:ascii="Segoe UI" w:hAnsi="Segoe UI" w:cs="Segoe UI"/>
                <w:i/>
                <w:sz w:val="16"/>
                <w:szCs w:val="18"/>
              </w:rPr>
            </w:pPr>
            <w:r w:rsidRPr="003C4D83">
              <w:rPr>
                <w:rFonts w:ascii="Segoe UI" w:hAnsi="Segoe UI" w:cs="Segoe UI"/>
                <w:i/>
                <w:sz w:val="16"/>
                <w:szCs w:val="18"/>
              </w:rPr>
              <w:t>-</w:t>
            </w:r>
            <w:r w:rsidR="00A43CF4">
              <w:rPr>
                <w:rFonts w:ascii="Segoe UI" w:hAnsi="Segoe UI" w:cs="Segoe UI"/>
                <w:i/>
                <w:sz w:val="16"/>
                <w:szCs w:val="18"/>
              </w:rPr>
              <w:t>2</w:t>
            </w:r>
            <w:r w:rsidRPr="003C4D83">
              <w:rPr>
                <w:rFonts w:ascii="Segoe UI" w:hAnsi="Segoe UI" w:cs="Segoe UI"/>
                <w:i/>
                <w:sz w:val="16"/>
                <w:szCs w:val="18"/>
                <w:lang w:val="el-GR"/>
              </w:rPr>
              <w:t>μ.β.</w:t>
            </w:r>
          </w:p>
        </w:tc>
        <w:tc>
          <w:tcPr>
            <w:tcW w:w="1077" w:type="dxa"/>
            <w:tcBorders>
              <w:top w:val="single" w:sz="12" w:space="0" w:color="auto"/>
              <w:bottom w:val="single" w:sz="4" w:space="0" w:color="auto"/>
            </w:tcBorders>
            <w:vAlign w:val="bottom"/>
          </w:tcPr>
          <w:p w:rsidR="00912870" w:rsidRPr="00912870" w:rsidRDefault="00912870" w:rsidP="00402A9B">
            <w:pPr>
              <w:spacing w:after="160"/>
              <w:jc w:val="right"/>
              <w:rPr>
                <w:rFonts w:ascii="Segoe UI" w:hAnsi="Segoe UI" w:cs="Segoe UI"/>
                <w:sz w:val="16"/>
                <w:szCs w:val="18"/>
              </w:rPr>
            </w:pPr>
            <w:r w:rsidRPr="00912870">
              <w:rPr>
                <w:rFonts w:ascii="Segoe UI" w:hAnsi="Segoe UI" w:cs="Segoe UI"/>
                <w:sz w:val="16"/>
                <w:szCs w:val="18"/>
              </w:rPr>
              <w:t>89%</w:t>
            </w:r>
          </w:p>
        </w:tc>
        <w:tc>
          <w:tcPr>
            <w:tcW w:w="1077" w:type="dxa"/>
            <w:tcBorders>
              <w:top w:val="single" w:sz="12" w:space="0" w:color="auto"/>
              <w:bottom w:val="single" w:sz="4" w:space="0" w:color="auto"/>
            </w:tcBorders>
            <w:vAlign w:val="bottom"/>
          </w:tcPr>
          <w:p w:rsidR="00912870" w:rsidRPr="00912870" w:rsidRDefault="00912870" w:rsidP="00402A9B">
            <w:pPr>
              <w:spacing w:after="160"/>
              <w:jc w:val="right"/>
              <w:rPr>
                <w:rFonts w:ascii="Segoe UI" w:hAnsi="Segoe UI" w:cs="Segoe UI"/>
                <w:sz w:val="16"/>
                <w:szCs w:val="18"/>
              </w:rPr>
            </w:pPr>
            <w:r w:rsidRPr="00912870">
              <w:rPr>
                <w:rFonts w:ascii="Segoe UI" w:hAnsi="Segoe UI" w:cs="Segoe UI"/>
                <w:sz w:val="16"/>
                <w:szCs w:val="18"/>
              </w:rPr>
              <w:t>96%</w:t>
            </w:r>
          </w:p>
        </w:tc>
        <w:tc>
          <w:tcPr>
            <w:tcW w:w="850" w:type="dxa"/>
            <w:tcBorders>
              <w:top w:val="single" w:sz="12" w:space="0" w:color="auto"/>
              <w:bottom w:val="single" w:sz="4" w:space="0" w:color="auto"/>
            </w:tcBorders>
            <w:vAlign w:val="bottom"/>
          </w:tcPr>
          <w:p w:rsidR="00912870" w:rsidRPr="003C4D83" w:rsidRDefault="00912870" w:rsidP="00402A9B">
            <w:pPr>
              <w:spacing w:after="160"/>
              <w:jc w:val="right"/>
              <w:rPr>
                <w:rFonts w:ascii="Segoe UI" w:hAnsi="Segoe UI" w:cs="Segoe UI"/>
                <w:i/>
                <w:sz w:val="16"/>
                <w:szCs w:val="18"/>
              </w:rPr>
            </w:pPr>
            <w:r w:rsidRPr="003C4D83">
              <w:rPr>
                <w:rFonts w:ascii="Segoe UI" w:hAnsi="Segoe UI" w:cs="Segoe UI"/>
                <w:i/>
                <w:sz w:val="16"/>
                <w:szCs w:val="18"/>
              </w:rPr>
              <w:t>-</w:t>
            </w:r>
            <w:r w:rsidR="00B678DD">
              <w:rPr>
                <w:rFonts w:ascii="Segoe UI" w:hAnsi="Segoe UI" w:cs="Segoe UI"/>
                <w:i/>
                <w:sz w:val="16"/>
                <w:szCs w:val="18"/>
                <w:lang w:val="el-GR"/>
              </w:rPr>
              <w:t>7</w:t>
            </w:r>
            <w:r w:rsidRPr="003C4D83">
              <w:rPr>
                <w:rFonts w:ascii="Segoe UI" w:hAnsi="Segoe UI" w:cs="Segoe UI"/>
                <w:i/>
                <w:sz w:val="16"/>
                <w:szCs w:val="18"/>
                <w:lang w:val="el-GR"/>
              </w:rPr>
              <w:t>μ.β.</w:t>
            </w:r>
          </w:p>
        </w:tc>
      </w:tr>
      <w:tr w:rsidR="00912870"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912870" w:rsidRPr="003C4D83" w:rsidRDefault="00912870" w:rsidP="003C5467">
            <w:pPr>
              <w:spacing w:after="160"/>
              <w:rPr>
                <w:rFonts w:ascii="Segoe UI" w:hAnsi="Segoe UI" w:cs="Segoe UI"/>
                <w:sz w:val="16"/>
                <w:szCs w:val="18"/>
                <w:lang w:val="el-GR"/>
              </w:rPr>
            </w:pPr>
            <w:r w:rsidRPr="003C4D83">
              <w:rPr>
                <w:rFonts w:ascii="Segoe UI" w:hAnsi="Segoe UI" w:cs="Segoe UI"/>
                <w:sz w:val="16"/>
                <w:szCs w:val="18"/>
                <w:lang w:val="el-GR"/>
              </w:rPr>
              <w:t>Επιτοκιακό Περιθώριο (μ.β.)</w:t>
            </w:r>
          </w:p>
        </w:tc>
        <w:tc>
          <w:tcPr>
            <w:tcW w:w="1077" w:type="dxa"/>
            <w:tcBorders>
              <w:top w:val="single" w:sz="4" w:space="0" w:color="auto"/>
              <w:bottom w:val="single" w:sz="4" w:space="0" w:color="auto"/>
            </w:tcBorders>
            <w:vAlign w:val="bottom"/>
          </w:tcPr>
          <w:p w:rsidR="00912870" w:rsidRPr="00912870" w:rsidRDefault="00912870" w:rsidP="00402A9B">
            <w:pPr>
              <w:spacing w:after="160"/>
              <w:jc w:val="right"/>
              <w:rPr>
                <w:rFonts w:ascii="Segoe UI" w:hAnsi="Segoe UI" w:cs="Segoe UI"/>
                <w:sz w:val="16"/>
                <w:szCs w:val="18"/>
              </w:rPr>
            </w:pPr>
            <w:r w:rsidRPr="00912870">
              <w:rPr>
                <w:rFonts w:ascii="Segoe UI" w:hAnsi="Segoe UI" w:cs="Segoe UI"/>
                <w:sz w:val="16"/>
                <w:szCs w:val="18"/>
              </w:rPr>
              <w:t>293</w:t>
            </w:r>
          </w:p>
        </w:tc>
        <w:tc>
          <w:tcPr>
            <w:tcW w:w="1077" w:type="dxa"/>
            <w:tcBorders>
              <w:top w:val="single" w:sz="4" w:space="0" w:color="auto"/>
              <w:bottom w:val="single" w:sz="4" w:space="0" w:color="auto"/>
            </w:tcBorders>
            <w:vAlign w:val="bottom"/>
          </w:tcPr>
          <w:p w:rsidR="00912870" w:rsidRPr="00912870" w:rsidRDefault="00912870" w:rsidP="00402A9B">
            <w:pPr>
              <w:spacing w:after="160"/>
              <w:jc w:val="right"/>
              <w:rPr>
                <w:rFonts w:ascii="Segoe UI" w:hAnsi="Segoe UI" w:cs="Segoe UI"/>
                <w:sz w:val="16"/>
                <w:szCs w:val="18"/>
              </w:rPr>
            </w:pPr>
            <w:r w:rsidRPr="00912870">
              <w:rPr>
                <w:rFonts w:ascii="Segoe UI" w:hAnsi="Segoe UI" w:cs="Segoe UI"/>
                <w:sz w:val="16"/>
                <w:szCs w:val="18"/>
              </w:rPr>
              <w:t>285</w:t>
            </w:r>
          </w:p>
        </w:tc>
        <w:tc>
          <w:tcPr>
            <w:tcW w:w="850" w:type="dxa"/>
            <w:tcBorders>
              <w:top w:val="single" w:sz="4" w:space="0" w:color="auto"/>
              <w:bottom w:val="single" w:sz="4" w:space="0" w:color="auto"/>
            </w:tcBorders>
            <w:vAlign w:val="bottom"/>
          </w:tcPr>
          <w:p w:rsidR="00912870" w:rsidRPr="003C4D83" w:rsidRDefault="00A43CF4" w:rsidP="00402A9B">
            <w:pPr>
              <w:spacing w:after="160"/>
              <w:jc w:val="right"/>
              <w:rPr>
                <w:rFonts w:ascii="Segoe UI" w:hAnsi="Segoe UI" w:cs="Segoe UI"/>
                <w:i/>
                <w:sz w:val="16"/>
                <w:szCs w:val="18"/>
              </w:rPr>
            </w:pPr>
            <w:r>
              <w:rPr>
                <w:rFonts w:ascii="Segoe UI" w:hAnsi="Segoe UI" w:cs="Segoe UI"/>
                <w:i/>
                <w:sz w:val="16"/>
                <w:szCs w:val="18"/>
              </w:rPr>
              <w:t>8</w:t>
            </w:r>
            <w:r w:rsidR="00912870" w:rsidRPr="003C4D83">
              <w:rPr>
                <w:rFonts w:ascii="Segoe UI" w:hAnsi="Segoe UI" w:cs="Segoe UI"/>
                <w:i/>
                <w:sz w:val="16"/>
                <w:szCs w:val="18"/>
                <w:lang w:val="el-GR"/>
              </w:rPr>
              <w:t>μ.β.</w:t>
            </w:r>
          </w:p>
        </w:tc>
        <w:tc>
          <w:tcPr>
            <w:tcW w:w="1077" w:type="dxa"/>
            <w:tcBorders>
              <w:top w:val="single" w:sz="4" w:space="0" w:color="auto"/>
              <w:bottom w:val="single" w:sz="4" w:space="0" w:color="auto"/>
            </w:tcBorders>
            <w:vAlign w:val="bottom"/>
          </w:tcPr>
          <w:p w:rsidR="00912870" w:rsidRPr="00912870" w:rsidRDefault="00912870" w:rsidP="00402A9B">
            <w:pPr>
              <w:spacing w:after="160"/>
              <w:jc w:val="right"/>
              <w:rPr>
                <w:rFonts w:ascii="Segoe UI" w:hAnsi="Segoe UI" w:cs="Segoe UI"/>
                <w:sz w:val="16"/>
                <w:szCs w:val="18"/>
              </w:rPr>
            </w:pPr>
            <w:r w:rsidRPr="00912870">
              <w:rPr>
                <w:rFonts w:ascii="Segoe UI" w:hAnsi="Segoe UI" w:cs="Segoe UI"/>
                <w:sz w:val="16"/>
                <w:szCs w:val="18"/>
              </w:rPr>
              <w:t>286</w:t>
            </w:r>
          </w:p>
        </w:tc>
        <w:tc>
          <w:tcPr>
            <w:tcW w:w="1077" w:type="dxa"/>
            <w:tcBorders>
              <w:top w:val="single" w:sz="4" w:space="0" w:color="auto"/>
              <w:bottom w:val="single" w:sz="4" w:space="0" w:color="auto"/>
            </w:tcBorders>
            <w:vAlign w:val="bottom"/>
          </w:tcPr>
          <w:p w:rsidR="00912870" w:rsidRPr="00912870" w:rsidRDefault="00912870" w:rsidP="00402A9B">
            <w:pPr>
              <w:spacing w:after="160"/>
              <w:jc w:val="right"/>
              <w:rPr>
                <w:rFonts w:ascii="Segoe UI" w:hAnsi="Segoe UI" w:cs="Segoe UI"/>
                <w:sz w:val="16"/>
                <w:szCs w:val="18"/>
              </w:rPr>
            </w:pPr>
            <w:r w:rsidRPr="00912870">
              <w:rPr>
                <w:rFonts w:ascii="Segoe UI" w:hAnsi="Segoe UI" w:cs="Segoe UI"/>
                <w:sz w:val="16"/>
                <w:szCs w:val="18"/>
              </w:rPr>
              <w:t>275</w:t>
            </w:r>
          </w:p>
        </w:tc>
        <w:tc>
          <w:tcPr>
            <w:tcW w:w="850" w:type="dxa"/>
            <w:tcBorders>
              <w:top w:val="single" w:sz="4" w:space="0" w:color="auto"/>
              <w:bottom w:val="single" w:sz="4" w:space="0" w:color="auto"/>
            </w:tcBorders>
            <w:vAlign w:val="bottom"/>
          </w:tcPr>
          <w:p w:rsidR="00912870" w:rsidRPr="003C4D83" w:rsidRDefault="00912870" w:rsidP="00402A9B">
            <w:pPr>
              <w:spacing w:after="160"/>
              <w:jc w:val="right"/>
              <w:rPr>
                <w:rFonts w:ascii="Segoe UI" w:hAnsi="Segoe UI" w:cs="Segoe UI"/>
                <w:i/>
                <w:sz w:val="16"/>
                <w:szCs w:val="18"/>
              </w:rPr>
            </w:pPr>
            <w:r w:rsidRPr="003C4D83">
              <w:rPr>
                <w:rFonts w:ascii="Segoe UI" w:hAnsi="Segoe UI" w:cs="Segoe UI"/>
                <w:i/>
                <w:sz w:val="16"/>
                <w:szCs w:val="18"/>
              </w:rPr>
              <w:t xml:space="preserve">11 </w:t>
            </w:r>
            <w:r w:rsidRPr="003C4D83">
              <w:rPr>
                <w:rFonts w:ascii="Segoe UI" w:hAnsi="Segoe UI" w:cs="Segoe UI"/>
                <w:i/>
                <w:sz w:val="16"/>
                <w:szCs w:val="18"/>
                <w:lang w:val="el-GR"/>
              </w:rPr>
              <w:t>μ.β.</w:t>
            </w:r>
          </w:p>
        </w:tc>
      </w:tr>
      <w:tr w:rsidR="00912870" w:rsidRPr="00B522A6" w:rsidTr="0069150B">
        <w:trPr>
          <w:trHeight w:hRule="exact" w:val="567"/>
          <w:jc w:val="right"/>
        </w:trPr>
        <w:tc>
          <w:tcPr>
            <w:tcW w:w="3005" w:type="dxa"/>
            <w:tcBorders>
              <w:bottom w:val="single" w:sz="12" w:space="0" w:color="auto"/>
            </w:tcBorders>
            <w:shd w:val="clear" w:color="auto" w:fill="auto"/>
            <w:vAlign w:val="bottom"/>
          </w:tcPr>
          <w:p w:rsidR="00912870" w:rsidRPr="003C4D83" w:rsidRDefault="00912870" w:rsidP="003C5467">
            <w:pPr>
              <w:spacing w:after="160" w:line="240" w:lineRule="auto"/>
              <w:rPr>
                <w:rFonts w:ascii="Segoe UI" w:hAnsi="Segoe UI" w:cs="Segoe UI"/>
                <w:b/>
                <w:sz w:val="16"/>
                <w:szCs w:val="18"/>
              </w:rPr>
            </w:pPr>
            <w:r w:rsidRPr="003C4D83">
              <w:rPr>
                <w:rFonts w:ascii="Segoe UI" w:eastAsia="Times New Roman" w:hAnsi="Segoe UI" w:cs="Segoe UI"/>
                <w:b/>
                <w:bCs/>
                <w:sz w:val="16"/>
                <w:szCs w:val="18"/>
                <w:lang w:val="el-GR"/>
              </w:rPr>
              <w:t xml:space="preserve">Ποιότητα Δανειακού Χαρτοφυλακίου </w:t>
            </w:r>
            <w:r w:rsidR="007974A0">
              <w:rPr>
                <w:rFonts w:ascii="Segoe UI" w:eastAsia="Times New Roman" w:hAnsi="Segoe UI" w:cs="Segoe UI"/>
                <w:b/>
                <w:bCs/>
                <w:sz w:val="16"/>
                <w:szCs w:val="18"/>
                <w:lang w:val="el-GR"/>
              </w:rPr>
              <w:t>(%)</w:t>
            </w:r>
          </w:p>
        </w:tc>
        <w:tc>
          <w:tcPr>
            <w:tcW w:w="1077" w:type="dxa"/>
            <w:tcBorders>
              <w:bottom w:val="single" w:sz="12" w:space="0" w:color="auto"/>
            </w:tcBorders>
            <w:vAlign w:val="bottom"/>
          </w:tcPr>
          <w:p w:rsidR="00912870" w:rsidRPr="00912870" w:rsidRDefault="00912870" w:rsidP="00402A9B">
            <w:pPr>
              <w:spacing w:after="160" w:line="240" w:lineRule="auto"/>
              <w:jc w:val="right"/>
              <w:rPr>
                <w:rFonts w:ascii="Segoe UI" w:hAnsi="Segoe UI" w:cs="Segoe UI"/>
                <w:sz w:val="16"/>
                <w:szCs w:val="18"/>
                <w:highlight w:val="yellow"/>
              </w:rPr>
            </w:pPr>
          </w:p>
        </w:tc>
        <w:tc>
          <w:tcPr>
            <w:tcW w:w="1077" w:type="dxa"/>
            <w:tcBorders>
              <w:bottom w:val="single" w:sz="12" w:space="0" w:color="auto"/>
            </w:tcBorders>
            <w:vAlign w:val="bottom"/>
          </w:tcPr>
          <w:p w:rsidR="00912870" w:rsidRPr="00912870" w:rsidRDefault="00912870" w:rsidP="00402A9B">
            <w:pPr>
              <w:spacing w:after="160" w:line="240" w:lineRule="auto"/>
              <w:jc w:val="right"/>
              <w:rPr>
                <w:rFonts w:ascii="Segoe UI" w:hAnsi="Segoe UI" w:cs="Segoe UI"/>
                <w:sz w:val="16"/>
                <w:szCs w:val="18"/>
                <w:highlight w:val="yellow"/>
              </w:rPr>
            </w:pPr>
          </w:p>
        </w:tc>
        <w:tc>
          <w:tcPr>
            <w:tcW w:w="850" w:type="dxa"/>
            <w:tcBorders>
              <w:bottom w:val="single" w:sz="12" w:space="0" w:color="auto"/>
            </w:tcBorders>
            <w:vAlign w:val="bottom"/>
          </w:tcPr>
          <w:p w:rsidR="00912870" w:rsidRPr="003C4D83" w:rsidRDefault="00912870" w:rsidP="00402A9B">
            <w:pPr>
              <w:spacing w:after="160"/>
              <w:jc w:val="right"/>
              <w:rPr>
                <w:rFonts w:ascii="Segoe UI" w:hAnsi="Segoe UI" w:cs="Segoe UI"/>
                <w:i/>
                <w:sz w:val="16"/>
                <w:szCs w:val="18"/>
              </w:rPr>
            </w:pPr>
          </w:p>
        </w:tc>
        <w:tc>
          <w:tcPr>
            <w:tcW w:w="1077" w:type="dxa"/>
            <w:tcBorders>
              <w:bottom w:val="single" w:sz="12" w:space="0" w:color="auto"/>
            </w:tcBorders>
            <w:vAlign w:val="bottom"/>
          </w:tcPr>
          <w:p w:rsidR="00912870" w:rsidRPr="00912870" w:rsidRDefault="00912870" w:rsidP="00402A9B">
            <w:pPr>
              <w:spacing w:after="160" w:line="240" w:lineRule="auto"/>
              <w:jc w:val="right"/>
              <w:rPr>
                <w:rFonts w:ascii="Segoe UI" w:hAnsi="Segoe UI" w:cs="Segoe UI"/>
                <w:sz w:val="16"/>
                <w:szCs w:val="18"/>
                <w:highlight w:val="yellow"/>
              </w:rPr>
            </w:pPr>
          </w:p>
        </w:tc>
        <w:tc>
          <w:tcPr>
            <w:tcW w:w="1077" w:type="dxa"/>
            <w:tcBorders>
              <w:bottom w:val="single" w:sz="12" w:space="0" w:color="auto"/>
            </w:tcBorders>
            <w:vAlign w:val="bottom"/>
          </w:tcPr>
          <w:p w:rsidR="00912870" w:rsidRPr="00912870" w:rsidRDefault="00912870" w:rsidP="00402A9B">
            <w:pPr>
              <w:spacing w:after="160" w:line="240" w:lineRule="auto"/>
              <w:jc w:val="right"/>
              <w:rPr>
                <w:rFonts w:ascii="Segoe UI" w:hAnsi="Segoe UI" w:cs="Segoe UI"/>
                <w:sz w:val="16"/>
                <w:szCs w:val="18"/>
                <w:highlight w:val="yellow"/>
              </w:rPr>
            </w:pPr>
          </w:p>
        </w:tc>
        <w:tc>
          <w:tcPr>
            <w:tcW w:w="850" w:type="dxa"/>
            <w:tcBorders>
              <w:bottom w:val="single" w:sz="12" w:space="0" w:color="auto"/>
            </w:tcBorders>
            <w:vAlign w:val="bottom"/>
          </w:tcPr>
          <w:p w:rsidR="00912870" w:rsidRPr="003C4D83" w:rsidRDefault="00912870" w:rsidP="00402A9B">
            <w:pPr>
              <w:spacing w:after="160"/>
              <w:jc w:val="right"/>
              <w:rPr>
                <w:rFonts w:ascii="Segoe UI" w:hAnsi="Segoe UI" w:cs="Segoe UI"/>
                <w:i/>
                <w:sz w:val="16"/>
                <w:szCs w:val="18"/>
              </w:rPr>
            </w:pPr>
          </w:p>
        </w:tc>
      </w:tr>
      <w:tr w:rsidR="00327E4E" w:rsidRPr="00B522A6" w:rsidTr="0069150B">
        <w:trPr>
          <w:trHeight w:hRule="exact" w:val="587"/>
          <w:jc w:val="right"/>
        </w:trPr>
        <w:tc>
          <w:tcPr>
            <w:tcW w:w="3005" w:type="dxa"/>
            <w:tcBorders>
              <w:top w:val="single" w:sz="12" w:space="0" w:color="auto"/>
            </w:tcBorders>
            <w:shd w:val="clear" w:color="auto" w:fill="auto"/>
            <w:vAlign w:val="bottom"/>
          </w:tcPr>
          <w:p w:rsidR="00327E4E" w:rsidRPr="003C4D83" w:rsidRDefault="00327E4E" w:rsidP="007974A0">
            <w:pPr>
              <w:spacing w:after="160"/>
              <w:rPr>
                <w:rFonts w:ascii="Segoe UI" w:hAnsi="Segoe UI" w:cs="Segoe UI"/>
                <w:sz w:val="16"/>
                <w:szCs w:val="18"/>
                <w:lang w:val="el-GR"/>
              </w:rPr>
            </w:pPr>
            <w:r w:rsidRPr="003C4D83">
              <w:rPr>
                <w:rFonts w:ascii="Segoe UI" w:hAnsi="Segoe UI" w:cs="Segoe UI"/>
                <w:sz w:val="16"/>
                <w:szCs w:val="18"/>
                <w:lang w:val="el-GR"/>
              </w:rPr>
              <w:t>Δείκτης δανείων σε καθυστέρηση +90</w:t>
            </w:r>
            <w:r w:rsidR="004B6BE1">
              <w:rPr>
                <w:rFonts w:ascii="Segoe UI" w:hAnsi="Segoe UI" w:cs="Segoe UI"/>
                <w:sz w:val="16"/>
                <w:szCs w:val="18"/>
                <w:lang w:val="el-GR"/>
              </w:rPr>
              <w:t xml:space="preserve"> ημερών Ομίλου </w:t>
            </w:r>
          </w:p>
        </w:tc>
        <w:tc>
          <w:tcPr>
            <w:tcW w:w="1077" w:type="dxa"/>
            <w:tcBorders>
              <w:top w:val="single" w:sz="12" w:space="0" w:color="auto"/>
            </w:tcBorders>
            <w:vAlign w:val="bottom"/>
          </w:tcPr>
          <w:p w:rsidR="00327E4E" w:rsidRPr="00E00C2D" w:rsidRDefault="00327E4E" w:rsidP="00327E4E">
            <w:pPr>
              <w:spacing w:after="160"/>
              <w:jc w:val="right"/>
              <w:rPr>
                <w:rFonts w:ascii="Segoe UI" w:hAnsi="Segoe UI" w:cs="Segoe UI"/>
                <w:sz w:val="16"/>
                <w:szCs w:val="18"/>
              </w:rPr>
            </w:pPr>
            <w:r>
              <w:rPr>
                <w:rFonts w:ascii="Segoe UI" w:hAnsi="Segoe UI" w:cs="Segoe UI"/>
                <w:sz w:val="16"/>
                <w:szCs w:val="18"/>
                <w:lang w:val="el-GR"/>
              </w:rPr>
              <w:t>34,1</w:t>
            </w:r>
            <w:r w:rsidRPr="00E00C2D">
              <w:rPr>
                <w:rFonts w:ascii="Segoe UI" w:hAnsi="Segoe UI" w:cs="Segoe UI"/>
                <w:sz w:val="16"/>
                <w:szCs w:val="18"/>
              </w:rPr>
              <w:t>%</w:t>
            </w:r>
          </w:p>
        </w:tc>
        <w:tc>
          <w:tcPr>
            <w:tcW w:w="1077" w:type="dxa"/>
            <w:tcBorders>
              <w:top w:val="single" w:sz="12"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3</w:t>
            </w:r>
            <w:r>
              <w:rPr>
                <w:rFonts w:ascii="Segoe UI" w:hAnsi="Segoe UI" w:cs="Segoe UI"/>
                <w:sz w:val="16"/>
                <w:szCs w:val="18"/>
              </w:rPr>
              <w:t>3,</w:t>
            </w:r>
            <w:r w:rsidRPr="00912870">
              <w:rPr>
                <w:rFonts w:ascii="Segoe UI" w:hAnsi="Segoe UI" w:cs="Segoe UI"/>
                <w:sz w:val="16"/>
                <w:szCs w:val="18"/>
              </w:rPr>
              <w:t>3%</w:t>
            </w:r>
          </w:p>
        </w:tc>
        <w:tc>
          <w:tcPr>
            <w:tcW w:w="850" w:type="dxa"/>
            <w:tcBorders>
              <w:top w:val="single" w:sz="12" w:space="0" w:color="auto"/>
              <w:bottom w:val="single" w:sz="4" w:space="0" w:color="auto"/>
            </w:tcBorders>
            <w:shd w:val="clear" w:color="auto" w:fill="auto"/>
            <w:vAlign w:val="bottom"/>
          </w:tcPr>
          <w:p w:rsidR="00327E4E" w:rsidRPr="003C4D83" w:rsidRDefault="00327E4E" w:rsidP="00327E4E">
            <w:pPr>
              <w:spacing w:after="160"/>
              <w:jc w:val="right"/>
              <w:rPr>
                <w:rFonts w:ascii="Segoe UI" w:hAnsi="Segoe UI" w:cs="Segoe UI"/>
                <w:i/>
                <w:sz w:val="16"/>
                <w:szCs w:val="18"/>
                <w:lang w:val="el-GR"/>
              </w:rPr>
            </w:pPr>
            <w:r w:rsidRPr="003C4D83">
              <w:rPr>
                <w:rFonts w:ascii="Segoe UI" w:hAnsi="Segoe UI" w:cs="Segoe UI"/>
                <w:i/>
                <w:sz w:val="16"/>
                <w:szCs w:val="18"/>
              </w:rPr>
              <w:t>0</w:t>
            </w:r>
            <w:r>
              <w:rPr>
                <w:rFonts w:ascii="Segoe UI" w:hAnsi="Segoe UI" w:cs="Segoe UI"/>
                <w:i/>
                <w:sz w:val="16"/>
                <w:szCs w:val="18"/>
                <w:lang w:val="el-GR"/>
              </w:rPr>
              <w:t>,8</w:t>
            </w:r>
            <w:r w:rsidRPr="003C4D83">
              <w:rPr>
                <w:rFonts w:ascii="Segoe UI" w:hAnsi="Segoe UI" w:cs="Segoe UI"/>
                <w:i/>
                <w:sz w:val="16"/>
                <w:szCs w:val="18"/>
                <w:lang w:val="el-GR"/>
              </w:rPr>
              <w:t xml:space="preserve"> μ.β.</w:t>
            </w:r>
          </w:p>
        </w:tc>
        <w:tc>
          <w:tcPr>
            <w:tcW w:w="1077" w:type="dxa"/>
            <w:tcBorders>
              <w:top w:val="single" w:sz="12" w:space="0" w:color="auto"/>
            </w:tcBorders>
            <w:vAlign w:val="bottom"/>
          </w:tcPr>
          <w:p w:rsidR="00327E4E" w:rsidRPr="00E00C2D" w:rsidRDefault="00327E4E" w:rsidP="00327E4E">
            <w:pPr>
              <w:spacing w:after="160"/>
              <w:jc w:val="right"/>
              <w:rPr>
                <w:rFonts w:ascii="Segoe UI" w:hAnsi="Segoe UI" w:cs="Segoe UI"/>
                <w:sz w:val="16"/>
                <w:szCs w:val="18"/>
              </w:rPr>
            </w:pPr>
            <w:r>
              <w:rPr>
                <w:rFonts w:ascii="Segoe UI" w:hAnsi="Segoe UI" w:cs="Segoe UI"/>
                <w:sz w:val="16"/>
                <w:szCs w:val="18"/>
                <w:lang w:val="el-GR"/>
              </w:rPr>
              <w:t>34,1</w:t>
            </w:r>
            <w:r w:rsidRPr="00E00C2D">
              <w:rPr>
                <w:rFonts w:ascii="Segoe UI" w:hAnsi="Segoe UI" w:cs="Segoe UI"/>
                <w:sz w:val="16"/>
                <w:szCs w:val="18"/>
              </w:rPr>
              <w:t>%</w:t>
            </w:r>
          </w:p>
        </w:tc>
        <w:tc>
          <w:tcPr>
            <w:tcW w:w="1077" w:type="dxa"/>
            <w:tcBorders>
              <w:top w:val="single" w:sz="12" w:space="0" w:color="auto"/>
              <w:bottom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33</w:t>
            </w:r>
            <w:r>
              <w:rPr>
                <w:rFonts w:ascii="Segoe UI" w:hAnsi="Segoe UI" w:cs="Segoe UI"/>
                <w:sz w:val="16"/>
                <w:szCs w:val="18"/>
                <w:lang w:val="el-GR"/>
              </w:rPr>
              <w:t>,</w:t>
            </w:r>
            <w:r w:rsidRPr="00912870">
              <w:rPr>
                <w:rFonts w:ascii="Segoe UI" w:hAnsi="Segoe UI" w:cs="Segoe UI"/>
                <w:sz w:val="16"/>
                <w:szCs w:val="18"/>
              </w:rPr>
              <w:t>0%</w:t>
            </w:r>
          </w:p>
        </w:tc>
        <w:tc>
          <w:tcPr>
            <w:tcW w:w="850" w:type="dxa"/>
            <w:tcBorders>
              <w:top w:val="single" w:sz="12" w:space="0" w:color="auto"/>
              <w:bottom w:val="single" w:sz="4" w:space="0" w:color="auto"/>
            </w:tcBorders>
            <w:vAlign w:val="bottom"/>
          </w:tcPr>
          <w:p w:rsidR="00327E4E" w:rsidRPr="003C4D83" w:rsidRDefault="00327E4E" w:rsidP="00327E4E">
            <w:pPr>
              <w:spacing w:after="160"/>
              <w:jc w:val="right"/>
              <w:rPr>
                <w:rFonts w:ascii="Segoe UI" w:hAnsi="Segoe UI" w:cs="Segoe UI"/>
                <w:i/>
                <w:sz w:val="16"/>
                <w:szCs w:val="18"/>
              </w:rPr>
            </w:pPr>
            <w:r>
              <w:rPr>
                <w:rFonts w:ascii="Segoe UI" w:hAnsi="Segoe UI" w:cs="Segoe UI"/>
                <w:i/>
                <w:sz w:val="16"/>
                <w:szCs w:val="18"/>
                <w:lang w:val="el-GR"/>
              </w:rPr>
              <w:t>1,1</w:t>
            </w:r>
            <w:r w:rsidRPr="003C4D83">
              <w:rPr>
                <w:rFonts w:ascii="Segoe UI" w:hAnsi="Segoe UI" w:cs="Segoe UI"/>
                <w:i/>
                <w:sz w:val="16"/>
                <w:szCs w:val="18"/>
                <w:lang w:val="el-GR"/>
              </w:rPr>
              <w:t>μ.β.</w:t>
            </w:r>
          </w:p>
        </w:tc>
      </w:tr>
      <w:tr w:rsidR="00327E4E"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327E4E" w:rsidRPr="003C4D83" w:rsidRDefault="00327E4E" w:rsidP="007974A0">
            <w:pPr>
              <w:spacing w:after="160"/>
              <w:rPr>
                <w:rFonts w:ascii="Segoe UI" w:hAnsi="Segoe UI" w:cs="Segoe UI"/>
                <w:sz w:val="16"/>
                <w:szCs w:val="18"/>
                <w:lang w:val="el-GR"/>
              </w:rPr>
            </w:pPr>
            <w:r w:rsidRPr="003C4D83">
              <w:rPr>
                <w:rFonts w:ascii="Segoe UI" w:hAnsi="Segoe UI" w:cs="Segoe UI"/>
                <w:sz w:val="16"/>
                <w:szCs w:val="18"/>
                <w:lang w:val="el-GR"/>
              </w:rPr>
              <w:t>Ελλάδα</w:t>
            </w:r>
          </w:p>
        </w:tc>
        <w:tc>
          <w:tcPr>
            <w:tcW w:w="1077" w:type="dxa"/>
            <w:tcBorders>
              <w:top w:val="single" w:sz="4" w:space="0" w:color="auto"/>
              <w:bottom w:val="single" w:sz="4" w:space="0" w:color="auto"/>
            </w:tcBorders>
            <w:vAlign w:val="bottom"/>
          </w:tcPr>
          <w:p w:rsidR="00327E4E" w:rsidRPr="00E00C2D" w:rsidRDefault="00327E4E" w:rsidP="00327E4E">
            <w:pPr>
              <w:spacing w:after="160"/>
              <w:jc w:val="right"/>
              <w:rPr>
                <w:rFonts w:ascii="Segoe UI" w:hAnsi="Segoe UI" w:cs="Segoe UI"/>
                <w:sz w:val="16"/>
                <w:szCs w:val="18"/>
              </w:rPr>
            </w:pPr>
            <w:r>
              <w:rPr>
                <w:rFonts w:ascii="Segoe UI" w:hAnsi="Segoe UI" w:cs="Segoe UI"/>
                <w:sz w:val="16"/>
                <w:szCs w:val="18"/>
                <w:lang w:val="el-GR"/>
              </w:rPr>
              <w:t>35,4</w:t>
            </w:r>
            <w:r w:rsidRPr="00E00C2D">
              <w:rPr>
                <w:rFonts w:ascii="Segoe UI" w:hAnsi="Segoe UI" w:cs="Segoe UI"/>
                <w:sz w:val="16"/>
                <w:szCs w:val="18"/>
              </w:rPr>
              <w:t>%</w:t>
            </w:r>
          </w:p>
        </w:tc>
        <w:tc>
          <w:tcPr>
            <w:tcW w:w="1077" w:type="dxa"/>
            <w:tcBorders>
              <w:top w:val="single" w:sz="4" w:space="0" w:color="auto"/>
              <w:bottom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34</w:t>
            </w:r>
            <w:r>
              <w:rPr>
                <w:rFonts w:ascii="Segoe UI" w:hAnsi="Segoe UI" w:cs="Segoe UI"/>
                <w:sz w:val="16"/>
                <w:szCs w:val="18"/>
                <w:lang w:val="el-GR"/>
              </w:rPr>
              <w:t>,</w:t>
            </w:r>
            <w:r w:rsidRPr="00912870">
              <w:rPr>
                <w:rFonts w:ascii="Segoe UI" w:hAnsi="Segoe UI" w:cs="Segoe UI"/>
                <w:sz w:val="16"/>
                <w:szCs w:val="18"/>
              </w:rPr>
              <w:t>4%</w:t>
            </w:r>
          </w:p>
        </w:tc>
        <w:tc>
          <w:tcPr>
            <w:tcW w:w="850" w:type="dxa"/>
            <w:tcBorders>
              <w:top w:val="single" w:sz="4" w:space="0" w:color="auto"/>
              <w:bottom w:val="single" w:sz="4" w:space="0" w:color="auto"/>
            </w:tcBorders>
            <w:vAlign w:val="bottom"/>
          </w:tcPr>
          <w:p w:rsidR="00327E4E" w:rsidRPr="003C4D83" w:rsidRDefault="00327E4E" w:rsidP="00327E4E">
            <w:pPr>
              <w:spacing w:after="160"/>
              <w:jc w:val="right"/>
              <w:rPr>
                <w:rFonts w:ascii="Segoe UI" w:hAnsi="Segoe UI" w:cs="Segoe UI"/>
                <w:i/>
                <w:sz w:val="16"/>
                <w:szCs w:val="18"/>
              </w:rPr>
            </w:pPr>
            <w:r>
              <w:rPr>
                <w:rFonts w:ascii="Segoe UI" w:hAnsi="Segoe UI" w:cs="Segoe UI"/>
                <w:i/>
                <w:sz w:val="16"/>
                <w:szCs w:val="18"/>
                <w:lang w:val="el-GR"/>
              </w:rPr>
              <w:t>1,0</w:t>
            </w:r>
            <w:r w:rsidRPr="003C4D83">
              <w:rPr>
                <w:rFonts w:ascii="Segoe UI" w:hAnsi="Segoe UI" w:cs="Segoe UI"/>
                <w:i/>
                <w:sz w:val="16"/>
                <w:szCs w:val="18"/>
                <w:lang w:val="el-GR"/>
              </w:rPr>
              <w:t>μ.β.</w:t>
            </w:r>
          </w:p>
        </w:tc>
        <w:tc>
          <w:tcPr>
            <w:tcW w:w="1077" w:type="dxa"/>
            <w:tcBorders>
              <w:top w:val="single" w:sz="4" w:space="0" w:color="auto"/>
              <w:bottom w:val="single" w:sz="4" w:space="0" w:color="auto"/>
            </w:tcBorders>
            <w:vAlign w:val="bottom"/>
          </w:tcPr>
          <w:p w:rsidR="00327E4E" w:rsidRPr="00E00C2D" w:rsidRDefault="00327E4E" w:rsidP="00327E4E">
            <w:pPr>
              <w:spacing w:after="160"/>
              <w:jc w:val="right"/>
              <w:rPr>
                <w:rFonts w:ascii="Segoe UI" w:hAnsi="Segoe UI" w:cs="Segoe UI"/>
                <w:sz w:val="16"/>
                <w:szCs w:val="18"/>
              </w:rPr>
            </w:pPr>
            <w:r>
              <w:rPr>
                <w:rFonts w:ascii="Segoe UI" w:hAnsi="Segoe UI" w:cs="Segoe UI"/>
                <w:sz w:val="16"/>
                <w:szCs w:val="18"/>
                <w:lang w:val="el-GR"/>
              </w:rPr>
              <w:t>35,4</w:t>
            </w:r>
            <w:r w:rsidRPr="00E00C2D">
              <w:rPr>
                <w:rFonts w:ascii="Segoe UI" w:hAnsi="Segoe UI" w:cs="Segoe UI"/>
                <w:sz w:val="16"/>
                <w:szCs w:val="18"/>
              </w:rPr>
              <w:t>%</w:t>
            </w:r>
          </w:p>
        </w:tc>
        <w:tc>
          <w:tcPr>
            <w:tcW w:w="1077" w:type="dxa"/>
            <w:tcBorders>
              <w:top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33</w:t>
            </w:r>
            <w:r>
              <w:rPr>
                <w:rFonts w:ascii="Segoe UI" w:hAnsi="Segoe UI" w:cs="Segoe UI"/>
                <w:sz w:val="16"/>
                <w:szCs w:val="18"/>
                <w:lang w:val="el-GR"/>
              </w:rPr>
              <w:t>,</w:t>
            </w:r>
            <w:r w:rsidRPr="00912870">
              <w:rPr>
                <w:rFonts w:ascii="Segoe UI" w:hAnsi="Segoe UI" w:cs="Segoe UI"/>
                <w:sz w:val="16"/>
                <w:szCs w:val="18"/>
              </w:rPr>
              <w:t>8%</w:t>
            </w:r>
          </w:p>
        </w:tc>
        <w:tc>
          <w:tcPr>
            <w:tcW w:w="850" w:type="dxa"/>
            <w:tcBorders>
              <w:top w:val="single" w:sz="4" w:space="0" w:color="auto"/>
            </w:tcBorders>
            <w:vAlign w:val="bottom"/>
          </w:tcPr>
          <w:p w:rsidR="00327E4E" w:rsidRPr="003C4D83" w:rsidRDefault="00327E4E" w:rsidP="00327E4E">
            <w:pPr>
              <w:spacing w:after="160"/>
              <w:jc w:val="right"/>
              <w:rPr>
                <w:rFonts w:ascii="Segoe UI" w:hAnsi="Segoe UI" w:cs="Segoe UI"/>
                <w:i/>
                <w:sz w:val="16"/>
                <w:szCs w:val="18"/>
                <w:lang w:val="el-GR"/>
              </w:rPr>
            </w:pPr>
            <w:r>
              <w:rPr>
                <w:rFonts w:ascii="Segoe UI" w:hAnsi="Segoe UI" w:cs="Segoe UI"/>
                <w:i/>
                <w:sz w:val="16"/>
                <w:szCs w:val="18"/>
                <w:lang w:val="el-GR"/>
              </w:rPr>
              <w:t xml:space="preserve">1,6 </w:t>
            </w:r>
            <w:r w:rsidRPr="003C4D83">
              <w:rPr>
                <w:rFonts w:ascii="Segoe UI" w:hAnsi="Segoe UI" w:cs="Segoe UI"/>
                <w:i/>
                <w:sz w:val="16"/>
                <w:szCs w:val="18"/>
                <w:lang w:val="el-GR"/>
              </w:rPr>
              <w:t>μ.β.</w:t>
            </w:r>
          </w:p>
        </w:tc>
      </w:tr>
      <w:tr w:rsidR="00327E4E"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327E4E" w:rsidRPr="00C35BEC" w:rsidRDefault="00327E4E" w:rsidP="007974A0">
            <w:pPr>
              <w:spacing w:after="160"/>
              <w:rPr>
                <w:rFonts w:ascii="Segoe UI" w:hAnsi="Segoe UI" w:cs="Segoe UI"/>
                <w:sz w:val="16"/>
                <w:szCs w:val="18"/>
                <w:lang w:val="el-GR"/>
              </w:rPr>
            </w:pPr>
            <w:r w:rsidRPr="003C4D83">
              <w:rPr>
                <w:rFonts w:ascii="Segoe UI" w:hAnsi="Segoe UI" w:cs="Segoe UI"/>
                <w:sz w:val="16"/>
                <w:szCs w:val="18"/>
                <w:lang w:val="el-GR"/>
              </w:rPr>
              <w:t xml:space="preserve">          ΝΑ Ευρώπη</w:t>
            </w:r>
            <w:r w:rsidRPr="003C4D83">
              <w:rPr>
                <w:rFonts w:ascii="Segoe UI" w:hAnsi="Segoe UI" w:cs="Segoe UI"/>
                <w:sz w:val="16"/>
                <w:szCs w:val="18"/>
                <w:vertAlign w:val="superscript"/>
                <w:lang w:val="el-GR"/>
              </w:rPr>
              <w:t>2</w:t>
            </w:r>
          </w:p>
        </w:tc>
        <w:tc>
          <w:tcPr>
            <w:tcW w:w="1077" w:type="dxa"/>
            <w:tcBorders>
              <w:top w:val="single" w:sz="4" w:space="0" w:color="auto"/>
              <w:bottom w:val="single" w:sz="4" w:space="0" w:color="auto"/>
            </w:tcBorders>
            <w:vAlign w:val="bottom"/>
          </w:tcPr>
          <w:p w:rsidR="00327E4E" w:rsidRPr="00E00C2D" w:rsidRDefault="00327E4E" w:rsidP="00327E4E">
            <w:pPr>
              <w:spacing w:after="160"/>
              <w:jc w:val="right"/>
              <w:rPr>
                <w:rFonts w:ascii="Segoe UI" w:hAnsi="Segoe UI" w:cs="Segoe UI"/>
                <w:sz w:val="16"/>
                <w:szCs w:val="18"/>
              </w:rPr>
            </w:pPr>
            <w:r w:rsidRPr="00E00C2D">
              <w:rPr>
                <w:rFonts w:ascii="Segoe UI" w:hAnsi="Segoe UI" w:cs="Segoe UI"/>
                <w:sz w:val="16"/>
                <w:szCs w:val="18"/>
              </w:rPr>
              <w:t>26</w:t>
            </w:r>
            <w:r>
              <w:rPr>
                <w:rFonts w:ascii="Segoe UI" w:hAnsi="Segoe UI" w:cs="Segoe UI"/>
                <w:sz w:val="16"/>
                <w:szCs w:val="18"/>
                <w:lang w:val="el-GR"/>
              </w:rPr>
              <w:t>,</w:t>
            </w:r>
            <w:r w:rsidRPr="00E00C2D">
              <w:rPr>
                <w:rFonts w:ascii="Segoe UI" w:hAnsi="Segoe UI" w:cs="Segoe UI"/>
                <w:sz w:val="16"/>
                <w:szCs w:val="18"/>
              </w:rPr>
              <w:t>3%</w:t>
            </w:r>
          </w:p>
        </w:tc>
        <w:tc>
          <w:tcPr>
            <w:tcW w:w="1077" w:type="dxa"/>
            <w:tcBorders>
              <w:top w:val="single" w:sz="4" w:space="0" w:color="auto"/>
              <w:bottom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26</w:t>
            </w:r>
            <w:r>
              <w:rPr>
                <w:rFonts w:ascii="Segoe UI" w:hAnsi="Segoe UI" w:cs="Segoe UI"/>
                <w:sz w:val="16"/>
                <w:szCs w:val="18"/>
                <w:lang w:val="el-GR"/>
              </w:rPr>
              <w:t>,</w:t>
            </w:r>
            <w:r w:rsidRPr="00912870">
              <w:rPr>
                <w:rFonts w:ascii="Segoe UI" w:hAnsi="Segoe UI" w:cs="Segoe UI"/>
                <w:sz w:val="16"/>
                <w:szCs w:val="18"/>
              </w:rPr>
              <w:t>5%</w:t>
            </w:r>
          </w:p>
        </w:tc>
        <w:tc>
          <w:tcPr>
            <w:tcW w:w="850" w:type="dxa"/>
            <w:tcBorders>
              <w:top w:val="single" w:sz="4" w:space="0" w:color="auto"/>
              <w:bottom w:val="single" w:sz="4" w:space="0" w:color="auto"/>
            </w:tcBorders>
            <w:vAlign w:val="bottom"/>
          </w:tcPr>
          <w:p w:rsidR="00327E4E" w:rsidRPr="003C4D83" w:rsidRDefault="00327E4E" w:rsidP="00327E4E">
            <w:pPr>
              <w:spacing w:after="160"/>
              <w:jc w:val="right"/>
              <w:rPr>
                <w:rFonts w:ascii="Segoe UI" w:hAnsi="Segoe UI" w:cs="Segoe UI"/>
                <w:i/>
                <w:sz w:val="16"/>
                <w:szCs w:val="18"/>
                <w:lang w:val="el-GR"/>
              </w:rPr>
            </w:pPr>
            <w:r w:rsidRPr="003C4D83">
              <w:rPr>
                <w:rFonts w:ascii="Segoe UI" w:hAnsi="Segoe UI" w:cs="Segoe UI"/>
                <w:i/>
                <w:sz w:val="16"/>
                <w:szCs w:val="18"/>
                <w:lang w:val="el-GR"/>
              </w:rPr>
              <w:t>-0,</w:t>
            </w:r>
            <w:r>
              <w:rPr>
                <w:rFonts w:ascii="Segoe UI" w:hAnsi="Segoe UI" w:cs="Segoe UI"/>
                <w:i/>
                <w:sz w:val="16"/>
                <w:szCs w:val="18"/>
                <w:lang w:val="el-GR"/>
              </w:rPr>
              <w:t>2</w:t>
            </w:r>
            <w:r w:rsidRPr="003C4D83">
              <w:rPr>
                <w:rFonts w:ascii="Segoe UI" w:hAnsi="Segoe UI" w:cs="Segoe UI"/>
                <w:i/>
                <w:sz w:val="16"/>
                <w:szCs w:val="18"/>
                <w:lang w:val="el-GR"/>
              </w:rPr>
              <w:t xml:space="preserve"> μ.β.</w:t>
            </w:r>
          </w:p>
        </w:tc>
        <w:tc>
          <w:tcPr>
            <w:tcW w:w="1077" w:type="dxa"/>
            <w:tcBorders>
              <w:top w:val="single" w:sz="4" w:space="0" w:color="auto"/>
              <w:bottom w:val="single" w:sz="4" w:space="0" w:color="auto"/>
            </w:tcBorders>
            <w:vAlign w:val="bottom"/>
          </w:tcPr>
          <w:p w:rsidR="00327E4E" w:rsidRPr="00E00C2D" w:rsidRDefault="00327E4E" w:rsidP="00327E4E">
            <w:pPr>
              <w:spacing w:after="160"/>
              <w:jc w:val="right"/>
              <w:rPr>
                <w:rFonts w:ascii="Segoe UI" w:hAnsi="Segoe UI" w:cs="Segoe UI"/>
                <w:sz w:val="16"/>
                <w:szCs w:val="18"/>
              </w:rPr>
            </w:pPr>
            <w:r w:rsidRPr="00E00C2D">
              <w:rPr>
                <w:rFonts w:ascii="Segoe UI" w:hAnsi="Segoe UI" w:cs="Segoe UI"/>
                <w:sz w:val="16"/>
                <w:szCs w:val="18"/>
              </w:rPr>
              <w:t>26</w:t>
            </w:r>
            <w:r>
              <w:rPr>
                <w:rFonts w:ascii="Segoe UI" w:hAnsi="Segoe UI" w:cs="Segoe UI"/>
                <w:sz w:val="16"/>
                <w:szCs w:val="18"/>
                <w:lang w:val="el-GR"/>
              </w:rPr>
              <w:t>,</w:t>
            </w:r>
            <w:r w:rsidRPr="00E00C2D">
              <w:rPr>
                <w:rFonts w:ascii="Segoe UI" w:hAnsi="Segoe UI" w:cs="Segoe UI"/>
                <w:sz w:val="16"/>
                <w:szCs w:val="18"/>
              </w:rPr>
              <w:t>3%</w:t>
            </w:r>
          </w:p>
        </w:tc>
        <w:tc>
          <w:tcPr>
            <w:tcW w:w="1077" w:type="dxa"/>
            <w:tcBorders>
              <w:top w:val="single" w:sz="4" w:space="0" w:color="auto"/>
              <w:bottom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28</w:t>
            </w:r>
            <w:r>
              <w:rPr>
                <w:rFonts w:ascii="Segoe UI" w:hAnsi="Segoe UI" w:cs="Segoe UI"/>
                <w:sz w:val="16"/>
                <w:szCs w:val="18"/>
                <w:lang w:val="el-GR"/>
              </w:rPr>
              <w:t>,</w:t>
            </w:r>
            <w:r w:rsidRPr="00912870">
              <w:rPr>
                <w:rFonts w:ascii="Segoe UI" w:hAnsi="Segoe UI" w:cs="Segoe UI"/>
                <w:sz w:val="16"/>
                <w:szCs w:val="18"/>
              </w:rPr>
              <w:t>3%</w:t>
            </w:r>
          </w:p>
        </w:tc>
        <w:tc>
          <w:tcPr>
            <w:tcW w:w="850" w:type="dxa"/>
            <w:tcBorders>
              <w:top w:val="single" w:sz="4" w:space="0" w:color="auto"/>
              <w:bottom w:val="single" w:sz="4" w:space="0" w:color="auto"/>
            </w:tcBorders>
            <w:vAlign w:val="bottom"/>
          </w:tcPr>
          <w:p w:rsidR="00327E4E" w:rsidRPr="003C4D83" w:rsidRDefault="00327E4E" w:rsidP="00327E4E">
            <w:pPr>
              <w:spacing w:after="160"/>
              <w:jc w:val="right"/>
              <w:rPr>
                <w:rFonts w:ascii="Segoe UI" w:hAnsi="Segoe UI" w:cs="Segoe UI"/>
                <w:i/>
                <w:sz w:val="16"/>
                <w:szCs w:val="18"/>
                <w:lang w:val="el-GR"/>
              </w:rPr>
            </w:pPr>
            <w:r w:rsidRPr="003C4D83">
              <w:rPr>
                <w:rFonts w:ascii="Segoe UI" w:hAnsi="Segoe UI" w:cs="Segoe UI"/>
                <w:i/>
                <w:sz w:val="16"/>
                <w:szCs w:val="18"/>
                <w:lang w:val="el-GR"/>
              </w:rPr>
              <w:t>-</w:t>
            </w:r>
            <w:r>
              <w:rPr>
                <w:rFonts w:ascii="Segoe UI" w:hAnsi="Segoe UI" w:cs="Segoe UI"/>
                <w:i/>
                <w:sz w:val="16"/>
                <w:szCs w:val="18"/>
                <w:lang w:val="el-GR"/>
              </w:rPr>
              <w:t>2,0</w:t>
            </w:r>
            <w:r w:rsidRPr="003C4D83">
              <w:rPr>
                <w:rFonts w:ascii="Segoe UI" w:hAnsi="Segoe UI" w:cs="Segoe UI"/>
                <w:i/>
                <w:sz w:val="16"/>
                <w:szCs w:val="18"/>
                <w:lang w:val="el-GR"/>
              </w:rPr>
              <w:t xml:space="preserve"> μ.β.</w:t>
            </w:r>
          </w:p>
        </w:tc>
      </w:tr>
      <w:tr w:rsidR="00327E4E" w:rsidRPr="00B522A6" w:rsidTr="0069150B">
        <w:trPr>
          <w:trHeight w:hRule="exact" w:val="571"/>
          <w:jc w:val="right"/>
        </w:trPr>
        <w:tc>
          <w:tcPr>
            <w:tcW w:w="3005" w:type="dxa"/>
            <w:tcBorders>
              <w:top w:val="single" w:sz="4" w:space="0" w:color="auto"/>
              <w:bottom w:val="single" w:sz="4" w:space="0" w:color="auto"/>
            </w:tcBorders>
            <w:shd w:val="clear" w:color="auto" w:fill="auto"/>
            <w:vAlign w:val="bottom"/>
          </w:tcPr>
          <w:p w:rsidR="00327E4E" w:rsidRPr="003C4D83" w:rsidRDefault="00327E4E" w:rsidP="007974A0">
            <w:pPr>
              <w:spacing w:after="160"/>
              <w:rPr>
                <w:rFonts w:ascii="Segoe UI" w:hAnsi="Segoe UI" w:cs="Segoe UI"/>
                <w:sz w:val="16"/>
                <w:szCs w:val="18"/>
                <w:lang w:val="el-GR"/>
              </w:rPr>
            </w:pPr>
            <w:r w:rsidRPr="003C4D83">
              <w:rPr>
                <w:rFonts w:ascii="Segoe UI" w:hAnsi="Segoe UI" w:cs="Segoe UI"/>
                <w:sz w:val="16"/>
                <w:szCs w:val="18"/>
                <w:lang w:val="el-GR"/>
              </w:rPr>
              <w:t xml:space="preserve">Δείκτης κάλυψης δανείων σε καθυστέρηση +90 ημερών Ομίλου </w:t>
            </w:r>
          </w:p>
        </w:tc>
        <w:tc>
          <w:tcPr>
            <w:tcW w:w="1077" w:type="dxa"/>
            <w:tcBorders>
              <w:top w:val="single" w:sz="4" w:space="0" w:color="auto"/>
              <w:bottom w:val="single" w:sz="4" w:space="0" w:color="auto"/>
            </w:tcBorders>
            <w:vAlign w:val="bottom"/>
          </w:tcPr>
          <w:p w:rsidR="00327E4E" w:rsidRPr="00E00C2D" w:rsidRDefault="00327E4E" w:rsidP="00327E4E">
            <w:pPr>
              <w:spacing w:after="160"/>
              <w:jc w:val="right"/>
              <w:rPr>
                <w:rFonts w:ascii="Segoe UI" w:hAnsi="Segoe UI" w:cs="Segoe UI"/>
                <w:sz w:val="16"/>
                <w:szCs w:val="18"/>
              </w:rPr>
            </w:pPr>
            <w:r>
              <w:rPr>
                <w:rFonts w:ascii="Segoe UI" w:hAnsi="Segoe UI" w:cs="Segoe UI"/>
                <w:sz w:val="16"/>
                <w:szCs w:val="18"/>
                <w:lang w:val="el-GR"/>
              </w:rPr>
              <w:t>72,9</w:t>
            </w:r>
            <w:r w:rsidRPr="00E00C2D">
              <w:rPr>
                <w:rFonts w:ascii="Segoe UI" w:hAnsi="Segoe UI" w:cs="Segoe UI"/>
                <w:sz w:val="16"/>
                <w:szCs w:val="18"/>
              </w:rPr>
              <w:t>%</w:t>
            </w:r>
          </w:p>
        </w:tc>
        <w:tc>
          <w:tcPr>
            <w:tcW w:w="1077" w:type="dxa"/>
            <w:tcBorders>
              <w:top w:val="single" w:sz="4" w:space="0" w:color="auto"/>
              <w:bottom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74</w:t>
            </w:r>
            <w:r>
              <w:rPr>
                <w:rFonts w:ascii="Segoe UI" w:hAnsi="Segoe UI" w:cs="Segoe UI"/>
                <w:sz w:val="16"/>
                <w:szCs w:val="18"/>
                <w:lang w:val="el-GR"/>
              </w:rPr>
              <w:t>,</w:t>
            </w:r>
            <w:r w:rsidRPr="00912870">
              <w:rPr>
                <w:rFonts w:ascii="Segoe UI" w:hAnsi="Segoe UI" w:cs="Segoe UI"/>
                <w:sz w:val="16"/>
                <w:szCs w:val="18"/>
              </w:rPr>
              <w:t>7%</w:t>
            </w:r>
          </w:p>
        </w:tc>
        <w:tc>
          <w:tcPr>
            <w:tcW w:w="850" w:type="dxa"/>
            <w:tcBorders>
              <w:top w:val="single" w:sz="4" w:space="0" w:color="auto"/>
              <w:bottom w:val="single" w:sz="4" w:space="0" w:color="auto"/>
            </w:tcBorders>
            <w:shd w:val="clear" w:color="auto" w:fill="auto"/>
            <w:vAlign w:val="bottom"/>
          </w:tcPr>
          <w:p w:rsidR="00327E4E" w:rsidRPr="003C4D83" w:rsidRDefault="00327E4E" w:rsidP="00327E4E">
            <w:pPr>
              <w:spacing w:after="160"/>
              <w:jc w:val="right"/>
              <w:rPr>
                <w:rFonts w:ascii="Segoe UI" w:hAnsi="Segoe UI" w:cs="Segoe UI"/>
                <w:i/>
                <w:sz w:val="16"/>
                <w:szCs w:val="18"/>
              </w:rPr>
            </w:pPr>
            <w:r>
              <w:rPr>
                <w:rFonts w:ascii="Segoe UI" w:hAnsi="Segoe UI" w:cs="Segoe UI"/>
                <w:i/>
                <w:sz w:val="16"/>
                <w:szCs w:val="18"/>
                <w:lang w:val="el-GR"/>
              </w:rPr>
              <w:t>-1,8</w:t>
            </w:r>
            <w:r w:rsidRPr="003C4D83">
              <w:rPr>
                <w:rFonts w:ascii="Segoe UI" w:hAnsi="Segoe UI" w:cs="Segoe UI"/>
                <w:i/>
                <w:sz w:val="16"/>
                <w:szCs w:val="18"/>
                <w:lang w:val="el-GR"/>
              </w:rPr>
              <w:t>μ.β.</w:t>
            </w:r>
          </w:p>
        </w:tc>
        <w:tc>
          <w:tcPr>
            <w:tcW w:w="1077" w:type="dxa"/>
            <w:tcBorders>
              <w:top w:val="single" w:sz="4" w:space="0" w:color="auto"/>
              <w:bottom w:val="single" w:sz="4" w:space="0" w:color="auto"/>
            </w:tcBorders>
            <w:vAlign w:val="bottom"/>
          </w:tcPr>
          <w:p w:rsidR="00327E4E" w:rsidRPr="00E00C2D" w:rsidRDefault="00327E4E" w:rsidP="00327E4E">
            <w:pPr>
              <w:spacing w:after="160"/>
              <w:jc w:val="right"/>
              <w:rPr>
                <w:rFonts w:ascii="Segoe UI" w:hAnsi="Segoe UI" w:cs="Segoe UI"/>
                <w:sz w:val="16"/>
                <w:szCs w:val="18"/>
              </w:rPr>
            </w:pPr>
            <w:r>
              <w:rPr>
                <w:rFonts w:ascii="Segoe UI" w:hAnsi="Segoe UI" w:cs="Segoe UI"/>
                <w:sz w:val="16"/>
                <w:szCs w:val="18"/>
                <w:lang w:val="el-GR"/>
              </w:rPr>
              <w:t>72,9</w:t>
            </w:r>
            <w:r w:rsidRPr="00E00C2D">
              <w:rPr>
                <w:rFonts w:ascii="Segoe UI" w:hAnsi="Segoe UI" w:cs="Segoe UI"/>
                <w:sz w:val="16"/>
                <w:szCs w:val="18"/>
              </w:rPr>
              <w:t>%</w:t>
            </w:r>
          </w:p>
        </w:tc>
        <w:tc>
          <w:tcPr>
            <w:tcW w:w="1077" w:type="dxa"/>
            <w:tcBorders>
              <w:top w:val="single" w:sz="4" w:space="0" w:color="auto"/>
              <w:bottom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71</w:t>
            </w:r>
            <w:r>
              <w:rPr>
                <w:rFonts w:ascii="Segoe UI" w:hAnsi="Segoe UI" w:cs="Segoe UI"/>
                <w:sz w:val="16"/>
                <w:szCs w:val="18"/>
                <w:lang w:val="el-GR"/>
              </w:rPr>
              <w:t>,</w:t>
            </w:r>
            <w:r w:rsidRPr="00912870">
              <w:rPr>
                <w:rFonts w:ascii="Segoe UI" w:hAnsi="Segoe UI" w:cs="Segoe UI"/>
                <w:sz w:val="16"/>
                <w:szCs w:val="18"/>
              </w:rPr>
              <w:t>3%</w:t>
            </w:r>
          </w:p>
        </w:tc>
        <w:tc>
          <w:tcPr>
            <w:tcW w:w="850" w:type="dxa"/>
            <w:tcBorders>
              <w:top w:val="single" w:sz="4" w:space="0" w:color="auto"/>
              <w:bottom w:val="single" w:sz="4" w:space="0" w:color="auto"/>
            </w:tcBorders>
            <w:vAlign w:val="bottom"/>
          </w:tcPr>
          <w:p w:rsidR="00327E4E" w:rsidRPr="003C4D83" w:rsidRDefault="00327E4E" w:rsidP="00327E4E">
            <w:pPr>
              <w:spacing w:after="160"/>
              <w:jc w:val="right"/>
              <w:rPr>
                <w:rFonts w:ascii="Segoe UI" w:hAnsi="Segoe UI" w:cs="Segoe UI"/>
                <w:i/>
                <w:sz w:val="16"/>
                <w:szCs w:val="18"/>
              </w:rPr>
            </w:pPr>
            <w:r>
              <w:rPr>
                <w:rFonts w:ascii="Segoe UI" w:hAnsi="Segoe UI" w:cs="Segoe UI"/>
                <w:i/>
                <w:sz w:val="16"/>
                <w:szCs w:val="18"/>
                <w:lang w:val="el-GR"/>
              </w:rPr>
              <w:t>1,6</w:t>
            </w:r>
            <w:r w:rsidRPr="003C4D83">
              <w:rPr>
                <w:rFonts w:ascii="Segoe UI" w:hAnsi="Segoe UI" w:cs="Segoe UI"/>
                <w:i/>
                <w:sz w:val="16"/>
                <w:szCs w:val="18"/>
                <w:lang w:val="el-GR"/>
              </w:rPr>
              <w:t>μ.β.</w:t>
            </w:r>
          </w:p>
        </w:tc>
      </w:tr>
      <w:tr w:rsidR="00327E4E"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327E4E" w:rsidRPr="003C4D83" w:rsidRDefault="00327E4E" w:rsidP="007974A0">
            <w:pPr>
              <w:spacing w:after="160"/>
              <w:rPr>
                <w:rFonts w:ascii="Segoe UI" w:hAnsi="Segoe UI" w:cs="Segoe UI"/>
                <w:sz w:val="16"/>
                <w:szCs w:val="18"/>
                <w:lang w:val="el-GR"/>
              </w:rPr>
            </w:pPr>
            <w:r w:rsidRPr="003C4D83">
              <w:rPr>
                <w:rFonts w:ascii="Segoe UI" w:hAnsi="Segoe UI" w:cs="Segoe UI"/>
                <w:sz w:val="16"/>
                <w:szCs w:val="18"/>
                <w:lang w:val="el-GR"/>
              </w:rPr>
              <w:t>Ελλάδα</w:t>
            </w:r>
          </w:p>
        </w:tc>
        <w:tc>
          <w:tcPr>
            <w:tcW w:w="1077" w:type="dxa"/>
            <w:tcBorders>
              <w:top w:val="single" w:sz="4" w:space="0" w:color="auto"/>
              <w:bottom w:val="single" w:sz="4" w:space="0" w:color="auto"/>
            </w:tcBorders>
            <w:vAlign w:val="bottom"/>
          </w:tcPr>
          <w:p w:rsidR="00327E4E" w:rsidRPr="00E00C2D" w:rsidRDefault="00327E4E" w:rsidP="00327E4E">
            <w:pPr>
              <w:spacing w:after="160"/>
              <w:jc w:val="right"/>
              <w:rPr>
                <w:rFonts w:ascii="Segoe UI" w:hAnsi="Segoe UI" w:cs="Segoe UI"/>
                <w:sz w:val="16"/>
                <w:szCs w:val="18"/>
              </w:rPr>
            </w:pPr>
            <w:r w:rsidRPr="00E00C2D">
              <w:rPr>
                <w:rFonts w:ascii="Segoe UI" w:hAnsi="Segoe UI" w:cs="Segoe UI"/>
                <w:sz w:val="16"/>
                <w:szCs w:val="18"/>
                <w:lang w:val="el-GR"/>
              </w:rPr>
              <w:t>7</w:t>
            </w:r>
            <w:r>
              <w:rPr>
                <w:rFonts w:ascii="Segoe UI" w:hAnsi="Segoe UI" w:cs="Segoe UI"/>
                <w:sz w:val="16"/>
                <w:szCs w:val="18"/>
                <w:lang w:val="el-GR"/>
              </w:rPr>
              <w:t>4,</w:t>
            </w:r>
            <w:r w:rsidRPr="00E00C2D">
              <w:rPr>
                <w:rFonts w:ascii="Segoe UI" w:hAnsi="Segoe UI" w:cs="Segoe UI"/>
                <w:sz w:val="16"/>
                <w:szCs w:val="18"/>
                <w:lang w:val="el-GR"/>
              </w:rPr>
              <w:t>5</w:t>
            </w:r>
            <w:r w:rsidRPr="00E00C2D">
              <w:rPr>
                <w:rFonts w:ascii="Segoe UI" w:hAnsi="Segoe UI" w:cs="Segoe UI"/>
                <w:sz w:val="16"/>
                <w:szCs w:val="18"/>
              </w:rPr>
              <w:t>%</w:t>
            </w:r>
          </w:p>
        </w:tc>
        <w:tc>
          <w:tcPr>
            <w:tcW w:w="1077" w:type="dxa"/>
            <w:tcBorders>
              <w:top w:val="single" w:sz="4" w:space="0" w:color="auto"/>
              <w:bottom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76</w:t>
            </w:r>
            <w:r>
              <w:rPr>
                <w:rFonts w:ascii="Segoe UI" w:hAnsi="Segoe UI" w:cs="Segoe UI"/>
                <w:sz w:val="16"/>
                <w:szCs w:val="18"/>
                <w:lang w:val="el-GR"/>
              </w:rPr>
              <w:t>,</w:t>
            </w:r>
            <w:r w:rsidRPr="00912870">
              <w:rPr>
                <w:rFonts w:ascii="Segoe UI" w:hAnsi="Segoe UI" w:cs="Segoe UI"/>
                <w:sz w:val="16"/>
                <w:szCs w:val="18"/>
              </w:rPr>
              <w:t>6%</w:t>
            </w:r>
          </w:p>
        </w:tc>
        <w:tc>
          <w:tcPr>
            <w:tcW w:w="850" w:type="dxa"/>
            <w:tcBorders>
              <w:top w:val="single" w:sz="4" w:space="0" w:color="auto"/>
              <w:bottom w:val="single" w:sz="4" w:space="0" w:color="auto"/>
            </w:tcBorders>
            <w:vAlign w:val="bottom"/>
          </w:tcPr>
          <w:p w:rsidR="00327E4E" w:rsidRPr="003C4D83" w:rsidRDefault="00327E4E" w:rsidP="00327E4E">
            <w:pPr>
              <w:spacing w:after="160"/>
              <w:jc w:val="right"/>
              <w:rPr>
                <w:rFonts w:ascii="Segoe UI" w:hAnsi="Segoe UI" w:cs="Segoe UI"/>
                <w:i/>
                <w:sz w:val="16"/>
                <w:szCs w:val="18"/>
              </w:rPr>
            </w:pPr>
            <w:r>
              <w:rPr>
                <w:rFonts w:ascii="Segoe UI" w:hAnsi="Segoe UI" w:cs="Segoe UI"/>
                <w:i/>
                <w:sz w:val="16"/>
                <w:szCs w:val="18"/>
                <w:lang w:val="el-GR"/>
              </w:rPr>
              <w:t xml:space="preserve">-2,1 </w:t>
            </w:r>
            <w:r w:rsidRPr="003C4D83">
              <w:rPr>
                <w:rFonts w:ascii="Segoe UI" w:hAnsi="Segoe UI" w:cs="Segoe UI"/>
                <w:i/>
                <w:sz w:val="16"/>
                <w:szCs w:val="18"/>
                <w:lang w:val="el-GR"/>
              </w:rPr>
              <w:t>μ.β.</w:t>
            </w:r>
          </w:p>
        </w:tc>
        <w:tc>
          <w:tcPr>
            <w:tcW w:w="1077" w:type="dxa"/>
            <w:tcBorders>
              <w:top w:val="single" w:sz="4" w:space="0" w:color="auto"/>
              <w:bottom w:val="single" w:sz="4" w:space="0" w:color="auto"/>
            </w:tcBorders>
            <w:vAlign w:val="bottom"/>
          </w:tcPr>
          <w:p w:rsidR="00327E4E" w:rsidRPr="00E00C2D" w:rsidRDefault="00327E4E" w:rsidP="00327E4E">
            <w:pPr>
              <w:spacing w:after="160"/>
              <w:jc w:val="right"/>
              <w:rPr>
                <w:rFonts w:ascii="Segoe UI" w:hAnsi="Segoe UI" w:cs="Segoe UI"/>
                <w:sz w:val="16"/>
                <w:szCs w:val="18"/>
              </w:rPr>
            </w:pPr>
            <w:r w:rsidRPr="00E00C2D">
              <w:rPr>
                <w:rFonts w:ascii="Segoe UI" w:hAnsi="Segoe UI" w:cs="Segoe UI"/>
                <w:sz w:val="16"/>
                <w:szCs w:val="18"/>
                <w:lang w:val="el-GR"/>
              </w:rPr>
              <w:t>7</w:t>
            </w:r>
            <w:r>
              <w:rPr>
                <w:rFonts w:ascii="Segoe UI" w:hAnsi="Segoe UI" w:cs="Segoe UI"/>
                <w:sz w:val="16"/>
                <w:szCs w:val="18"/>
                <w:lang w:val="el-GR"/>
              </w:rPr>
              <w:t>4,</w:t>
            </w:r>
            <w:r w:rsidRPr="00E00C2D">
              <w:rPr>
                <w:rFonts w:ascii="Segoe UI" w:hAnsi="Segoe UI" w:cs="Segoe UI"/>
                <w:sz w:val="16"/>
                <w:szCs w:val="18"/>
                <w:lang w:val="el-GR"/>
              </w:rPr>
              <w:t>5</w:t>
            </w:r>
            <w:r w:rsidRPr="00E00C2D">
              <w:rPr>
                <w:rFonts w:ascii="Segoe UI" w:hAnsi="Segoe UI" w:cs="Segoe UI"/>
                <w:sz w:val="16"/>
                <w:szCs w:val="18"/>
              </w:rPr>
              <w:t>%</w:t>
            </w:r>
          </w:p>
        </w:tc>
        <w:tc>
          <w:tcPr>
            <w:tcW w:w="1077" w:type="dxa"/>
            <w:tcBorders>
              <w:top w:val="single" w:sz="4" w:space="0" w:color="auto"/>
              <w:bottom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7</w:t>
            </w:r>
            <w:r>
              <w:rPr>
                <w:rFonts w:ascii="Segoe UI" w:hAnsi="Segoe UI" w:cs="Segoe UI"/>
                <w:sz w:val="16"/>
                <w:szCs w:val="18"/>
                <w:lang w:val="el-GR"/>
              </w:rPr>
              <w:t>3,4</w:t>
            </w:r>
            <w:r w:rsidRPr="00912870">
              <w:rPr>
                <w:rFonts w:ascii="Segoe UI" w:hAnsi="Segoe UI" w:cs="Segoe UI"/>
                <w:sz w:val="16"/>
                <w:szCs w:val="18"/>
              </w:rPr>
              <w:t>%</w:t>
            </w:r>
          </w:p>
          <w:p w:rsidR="00327E4E" w:rsidRPr="00912870" w:rsidRDefault="00327E4E" w:rsidP="00327E4E">
            <w:pPr>
              <w:spacing w:after="160"/>
              <w:jc w:val="right"/>
              <w:rPr>
                <w:rFonts w:ascii="Segoe UI" w:hAnsi="Segoe UI" w:cs="Segoe UI"/>
                <w:sz w:val="16"/>
                <w:szCs w:val="18"/>
              </w:rPr>
            </w:pPr>
          </w:p>
        </w:tc>
        <w:tc>
          <w:tcPr>
            <w:tcW w:w="850" w:type="dxa"/>
            <w:tcBorders>
              <w:top w:val="single" w:sz="4" w:space="0" w:color="auto"/>
              <w:bottom w:val="single" w:sz="4" w:space="0" w:color="auto"/>
            </w:tcBorders>
            <w:vAlign w:val="bottom"/>
          </w:tcPr>
          <w:p w:rsidR="00327E4E" w:rsidRPr="003C4D83" w:rsidRDefault="00327E4E" w:rsidP="00327E4E">
            <w:pPr>
              <w:spacing w:after="160"/>
              <w:jc w:val="right"/>
              <w:rPr>
                <w:rFonts w:ascii="Segoe UI" w:hAnsi="Segoe UI" w:cs="Segoe UI"/>
                <w:i/>
                <w:sz w:val="16"/>
                <w:szCs w:val="18"/>
              </w:rPr>
            </w:pPr>
            <w:r>
              <w:rPr>
                <w:rFonts w:ascii="Segoe UI" w:hAnsi="Segoe UI" w:cs="Segoe UI"/>
                <w:i/>
                <w:sz w:val="16"/>
                <w:szCs w:val="18"/>
                <w:lang w:val="el-GR"/>
              </w:rPr>
              <w:t>1,1</w:t>
            </w:r>
            <w:r w:rsidRPr="003C4D83">
              <w:rPr>
                <w:rFonts w:ascii="Segoe UI" w:hAnsi="Segoe UI" w:cs="Segoe UI"/>
                <w:i/>
                <w:sz w:val="16"/>
                <w:szCs w:val="18"/>
                <w:lang w:val="el-GR"/>
              </w:rPr>
              <w:t>μ.β.</w:t>
            </w:r>
          </w:p>
        </w:tc>
      </w:tr>
      <w:tr w:rsidR="00327E4E" w:rsidRPr="00B522A6" w:rsidTr="0069150B">
        <w:trPr>
          <w:trHeight w:hRule="exact" w:val="340"/>
          <w:jc w:val="right"/>
        </w:trPr>
        <w:tc>
          <w:tcPr>
            <w:tcW w:w="3005" w:type="dxa"/>
            <w:tcBorders>
              <w:top w:val="single" w:sz="4" w:space="0" w:color="auto"/>
              <w:bottom w:val="single" w:sz="4" w:space="0" w:color="auto"/>
            </w:tcBorders>
            <w:shd w:val="clear" w:color="auto" w:fill="auto"/>
            <w:vAlign w:val="bottom"/>
          </w:tcPr>
          <w:p w:rsidR="00327E4E" w:rsidRPr="00486B04" w:rsidRDefault="00327E4E" w:rsidP="007974A0">
            <w:pPr>
              <w:spacing w:after="160"/>
              <w:rPr>
                <w:rFonts w:ascii="Segoe UI" w:hAnsi="Segoe UI" w:cs="Segoe UI"/>
                <w:sz w:val="16"/>
                <w:szCs w:val="18"/>
              </w:rPr>
            </w:pPr>
            <w:r w:rsidRPr="00486B04">
              <w:rPr>
                <w:rFonts w:ascii="Segoe UI" w:hAnsi="Segoe UI" w:cs="Segoe UI"/>
                <w:sz w:val="16"/>
                <w:szCs w:val="18"/>
                <w:lang w:val="el-GR"/>
              </w:rPr>
              <w:t>ΝΑ Ευρώπη</w:t>
            </w:r>
            <w:r w:rsidRPr="00486B04">
              <w:rPr>
                <w:rFonts w:ascii="Segoe UI" w:hAnsi="Segoe UI" w:cs="Segoe UI"/>
                <w:sz w:val="16"/>
                <w:szCs w:val="18"/>
                <w:vertAlign w:val="superscript"/>
                <w:lang w:val="el-GR"/>
              </w:rPr>
              <w:t>2</w:t>
            </w:r>
          </w:p>
        </w:tc>
        <w:tc>
          <w:tcPr>
            <w:tcW w:w="1077" w:type="dxa"/>
            <w:tcBorders>
              <w:top w:val="single" w:sz="4" w:space="0" w:color="auto"/>
              <w:bottom w:val="single" w:sz="4" w:space="0" w:color="auto"/>
            </w:tcBorders>
            <w:vAlign w:val="bottom"/>
          </w:tcPr>
          <w:p w:rsidR="00327E4E" w:rsidRPr="00E00C2D" w:rsidRDefault="00327E4E" w:rsidP="00327E4E">
            <w:pPr>
              <w:spacing w:after="160"/>
              <w:jc w:val="right"/>
              <w:rPr>
                <w:rFonts w:ascii="Segoe UI" w:hAnsi="Segoe UI" w:cs="Segoe UI"/>
                <w:sz w:val="16"/>
                <w:szCs w:val="18"/>
              </w:rPr>
            </w:pPr>
            <w:r w:rsidRPr="00E00C2D">
              <w:rPr>
                <w:rFonts w:ascii="Segoe UI" w:hAnsi="Segoe UI" w:cs="Segoe UI"/>
                <w:sz w:val="16"/>
                <w:szCs w:val="18"/>
              </w:rPr>
              <w:t>60</w:t>
            </w:r>
            <w:r>
              <w:rPr>
                <w:rFonts w:ascii="Segoe UI" w:hAnsi="Segoe UI" w:cs="Segoe UI"/>
                <w:sz w:val="16"/>
                <w:szCs w:val="18"/>
                <w:lang w:val="el-GR"/>
              </w:rPr>
              <w:t>,</w:t>
            </w:r>
            <w:r w:rsidRPr="00E00C2D">
              <w:rPr>
                <w:rFonts w:ascii="Segoe UI" w:hAnsi="Segoe UI" w:cs="Segoe UI"/>
                <w:sz w:val="16"/>
                <w:szCs w:val="18"/>
                <w:lang w:val="el-GR"/>
              </w:rPr>
              <w:t>1</w:t>
            </w:r>
            <w:r w:rsidRPr="00E00C2D">
              <w:rPr>
                <w:rFonts w:ascii="Segoe UI" w:hAnsi="Segoe UI" w:cs="Segoe UI"/>
                <w:sz w:val="16"/>
                <w:szCs w:val="18"/>
              </w:rPr>
              <w:t>%</w:t>
            </w:r>
          </w:p>
        </w:tc>
        <w:tc>
          <w:tcPr>
            <w:tcW w:w="1077" w:type="dxa"/>
            <w:tcBorders>
              <w:top w:val="single" w:sz="4" w:space="0" w:color="auto"/>
              <w:bottom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59</w:t>
            </w:r>
            <w:r>
              <w:rPr>
                <w:rFonts w:ascii="Segoe UI" w:hAnsi="Segoe UI" w:cs="Segoe UI"/>
                <w:sz w:val="16"/>
                <w:szCs w:val="18"/>
                <w:lang w:val="el-GR"/>
              </w:rPr>
              <w:t>,</w:t>
            </w:r>
            <w:r w:rsidRPr="00912870">
              <w:rPr>
                <w:rFonts w:ascii="Segoe UI" w:hAnsi="Segoe UI" w:cs="Segoe UI"/>
                <w:sz w:val="16"/>
                <w:szCs w:val="18"/>
              </w:rPr>
              <w:t>1%</w:t>
            </w:r>
          </w:p>
        </w:tc>
        <w:tc>
          <w:tcPr>
            <w:tcW w:w="850" w:type="dxa"/>
            <w:tcBorders>
              <w:top w:val="single" w:sz="4" w:space="0" w:color="auto"/>
              <w:bottom w:val="single" w:sz="4" w:space="0" w:color="auto"/>
            </w:tcBorders>
            <w:vAlign w:val="bottom"/>
          </w:tcPr>
          <w:p w:rsidR="00327E4E" w:rsidRPr="00486B04" w:rsidRDefault="00327E4E" w:rsidP="00327E4E">
            <w:pPr>
              <w:spacing w:after="160"/>
              <w:jc w:val="right"/>
              <w:rPr>
                <w:rFonts w:ascii="Segoe UI" w:hAnsi="Segoe UI" w:cs="Segoe UI"/>
                <w:i/>
                <w:sz w:val="16"/>
                <w:szCs w:val="18"/>
              </w:rPr>
            </w:pPr>
            <w:r>
              <w:rPr>
                <w:rFonts w:ascii="Segoe UI" w:hAnsi="Segoe UI" w:cs="Segoe UI"/>
                <w:i/>
                <w:sz w:val="16"/>
                <w:szCs w:val="18"/>
                <w:lang w:val="el-GR"/>
              </w:rPr>
              <w:t>1,0</w:t>
            </w:r>
            <w:r w:rsidRPr="00486B04">
              <w:rPr>
                <w:rFonts w:ascii="Segoe UI" w:hAnsi="Segoe UI" w:cs="Segoe UI"/>
                <w:i/>
                <w:sz w:val="16"/>
                <w:szCs w:val="18"/>
                <w:lang w:val="el-GR"/>
              </w:rPr>
              <w:t>μ.β.</w:t>
            </w:r>
          </w:p>
        </w:tc>
        <w:tc>
          <w:tcPr>
            <w:tcW w:w="1077" w:type="dxa"/>
            <w:tcBorders>
              <w:top w:val="single" w:sz="4" w:space="0" w:color="auto"/>
              <w:bottom w:val="single" w:sz="4" w:space="0" w:color="auto"/>
            </w:tcBorders>
            <w:vAlign w:val="bottom"/>
          </w:tcPr>
          <w:p w:rsidR="00327E4E" w:rsidRPr="00E00C2D" w:rsidRDefault="00327E4E" w:rsidP="00327E4E">
            <w:pPr>
              <w:spacing w:after="160"/>
              <w:jc w:val="right"/>
              <w:rPr>
                <w:rFonts w:ascii="Segoe UI" w:hAnsi="Segoe UI" w:cs="Segoe UI"/>
                <w:sz w:val="16"/>
                <w:szCs w:val="18"/>
              </w:rPr>
            </w:pPr>
            <w:r w:rsidRPr="00E00C2D">
              <w:rPr>
                <w:rFonts w:ascii="Segoe UI" w:hAnsi="Segoe UI" w:cs="Segoe UI"/>
                <w:sz w:val="16"/>
                <w:szCs w:val="18"/>
              </w:rPr>
              <w:t>60</w:t>
            </w:r>
            <w:r>
              <w:rPr>
                <w:rFonts w:ascii="Segoe UI" w:hAnsi="Segoe UI" w:cs="Segoe UI"/>
                <w:sz w:val="16"/>
                <w:szCs w:val="18"/>
                <w:lang w:val="el-GR"/>
              </w:rPr>
              <w:t>,</w:t>
            </w:r>
            <w:r w:rsidRPr="00E00C2D">
              <w:rPr>
                <w:rFonts w:ascii="Segoe UI" w:hAnsi="Segoe UI" w:cs="Segoe UI"/>
                <w:sz w:val="16"/>
                <w:szCs w:val="18"/>
                <w:lang w:val="el-GR"/>
              </w:rPr>
              <w:t>1</w:t>
            </w:r>
            <w:r w:rsidRPr="00E00C2D">
              <w:rPr>
                <w:rFonts w:ascii="Segoe UI" w:hAnsi="Segoe UI" w:cs="Segoe UI"/>
                <w:sz w:val="16"/>
                <w:szCs w:val="18"/>
              </w:rPr>
              <w:t>%</w:t>
            </w:r>
          </w:p>
        </w:tc>
        <w:tc>
          <w:tcPr>
            <w:tcW w:w="1077" w:type="dxa"/>
            <w:tcBorders>
              <w:top w:val="single" w:sz="4" w:space="0" w:color="auto"/>
              <w:bottom w:val="single" w:sz="4" w:space="0" w:color="auto"/>
            </w:tcBorders>
            <w:vAlign w:val="bottom"/>
          </w:tcPr>
          <w:p w:rsidR="00327E4E" w:rsidRPr="00912870" w:rsidRDefault="00327E4E" w:rsidP="00327E4E">
            <w:pPr>
              <w:spacing w:after="160"/>
              <w:jc w:val="right"/>
              <w:rPr>
                <w:rFonts w:ascii="Segoe UI" w:hAnsi="Segoe UI" w:cs="Segoe UI"/>
                <w:sz w:val="16"/>
                <w:szCs w:val="18"/>
              </w:rPr>
            </w:pPr>
            <w:r w:rsidRPr="00912870">
              <w:rPr>
                <w:rFonts w:ascii="Segoe UI" w:hAnsi="Segoe UI" w:cs="Segoe UI"/>
                <w:sz w:val="16"/>
                <w:szCs w:val="18"/>
              </w:rPr>
              <w:t>56</w:t>
            </w:r>
            <w:r>
              <w:rPr>
                <w:rFonts w:ascii="Segoe UI" w:hAnsi="Segoe UI" w:cs="Segoe UI"/>
                <w:sz w:val="16"/>
                <w:szCs w:val="18"/>
                <w:lang w:val="el-GR"/>
              </w:rPr>
              <w:t>,</w:t>
            </w:r>
            <w:r w:rsidRPr="00912870">
              <w:rPr>
                <w:rFonts w:ascii="Segoe UI" w:hAnsi="Segoe UI" w:cs="Segoe UI"/>
                <w:sz w:val="16"/>
                <w:szCs w:val="18"/>
              </w:rPr>
              <w:t>3%</w:t>
            </w:r>
          </w:p>
        </w:tc>
        <w:tc>
          <w:tcPr>
            <w:tcW w:w="850" w:type="dxa"/>
            <w:tcBorders>
              <w:top w:val="single" w:sz="4" w:space="0" w:color="auto"/>
              <w:bottom w:val="single" w:sz="4" w:space="0" w:color="auto"/>
            </w:tcBorders>
            <w:vAlign w:val="bottom"/>
          </w:tcPr>
          <w:p w:rsidR="00327E4E" w:rsidRPr="00486B04" w:rsidRDefault="00327E4E" w:rsidP="00327E4E">
            <w:pPr>
              <w:spacing w:after="160"/>
              <w:jc w:val="right"/>
              <w:rPr>
                <w:rFonts w:ascii="Segoe UI" w:hAnsi="Segoe UI" w:cs="Segoe UI"/>
                <w:i/>
                <w:sz w:val="16"/>
                <w:szCs w:val="18"/>
              </w:rPr>
            </w:pPr>
            <w:r>
              <w:rPr>
                <w:rFonts w:ascii="Segoe UI" w:hAnsi="Segoe UI" w:cs="Segoe UI"/>
                <w:i/>
                <w:sz w:val="16"/>
                <w:szCs w:val="18"/>
                <w:lang w:val="el-GR"/>
              </w:rPr>
              <w:t>3,8</w:t>
            </w:r>
            <w:r w:rsidRPr="00486B04">
              <w:rPr>
                <w:rFonts w:ascii="Segoe UI" w:hAnsi="Segoe UI" w:cs="Segoe UI"/>
                <w:i/>
                <w:sz w:val="16"/>
                <w:szCs w:val="18"/>
                <w:lang w:val="el-GR"/>
              </w:rPr>
              <w:t>μ.β.</w:t>
            </w:r>
          </w:p>
        </w:tc>
      </w:tr>
    </w:tbl>
    <w:p w:rsidR="0069150B" w:rsidRDefault="0069150B">
      <w:pPr>
        <w:spacing w:after="0" w:line="240" w:lineRule="auto"/>
        <w:rPr>
          <w:rFonts w:ascii="Segoe UI" w:hAnsi="Segoe UI" w:cs="Segoe UI"/>
          <w:b/>
          <w:sz w:val="16"/>
          <w:lang w:val="el-GR"/>
        </w:rPr>
      </w:pPr>
      <w:r>
        <w:rPr>
          <w:rFonts w:ascii="Segoe UI" w:hAnsi="Segoe UI" w:cs="Segoe UI"/>
          <w:b/>
          <w:sz w:val="16"/>
          <w:lang w:val="el-GR"/>
        </w:rPr>
        <w:br w:type="page"/>
      </w:r>
    </w:p>
    <w:p w:rsidR="000C3F12" w:rsidRPr="00751AEB" w:rsidRDefault="000C3F12" w:rsidP="004929D8">
      <w:pPr>
        <w:spacing w:after="160"/>
        <w:jc w:val="both"/>
        <w:rPr>
          <w:rFonts w:ascii="Segoe UI" w:hAnsi="Segoe UI" w:cs="Segoe UI"/>
          <w:b/>
          <w:sz w:val="16"/>
          <w:lang w:val="el-GR"/>
        </w:rPr>
      </w:pPr>
      <w:r w:rsidRPr="00751AEB">
        <w:rPr>
          <w:rFonts w:ascii="Segoe UI" w:hAnsi="Segoe UI" w:cs="Segoe UI"/>
          <w:b/>
          <w:sz w:val="16"/>
          <w:lang w:val="el-GR"/>
        </w:rPr>
        <w:lastRenderedPageBreak/>
        <w:t>ΔΗΛΩΣΗ ΑΠΟΠΟΙΗΣΗΣ ΕΥΘΥΝΗΣ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Εθνική Τράπεζα της Ελλάδος (ο «</w:t>
      </w:r>
      <w:r w:rsidRPr="00751AEB">
        <w:rPr>
          <w:rFonts w:ascii="Segoe UI" w:hAnsi="Segoe UI" w:cs="Segoe UI"/>
          <w:b/>
          <w:sz w:val="16"/>
          <w:lang w:val="el-GR"/>
        </w:rPr>
        <w:t>Όμιλος</w:t>
      </w:r>
      <w:r w:rsidRPr="00751AEB">
        <w:rPr>
          <w:rFonts w:ascii="Segoe UI" w:hAnsi="Segoe UI" w:cs="Segoe UI"/>
          <w:sz w:val="16"/>
          <w:lang w:val="el-GR"/>
        </w:rPr>
        <w:t xml:space="preserve">») δεν προβαίνει και δεν θα προβεί σε καμία εγγυοδοτική δήλωση ή άλλη εγγύηση, ρητή ή σιωπηρή, και δεν αποδέχεται ούτε θα αποδεχτεί ευθύνη ως προς την ακρίβεια ή πληρότητα των πληροφοριών που περιέχονται στην παρούσα ανακοίνωση και τίποτε από τα αναφερόμενα στην παρούσα ανακοίνωση δεν μπορεί να θεωρηθεί ότι συνιστά τέτοια δήλωση ή εγγύηση. </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Παρόλο που οι δηλώσεις που αφορούν σε πραγματικά γεγονότα και ορισμένες πληροφορίες για τον κλάδο, την αγορά και τον ανταγωνισμό που περιέχονται στην παρούσα ανακοίνωση, έχουν προκύψει από και είναι βασισμένες σε πηγές που θεωρούνται από την Εθνική Τράπεζα της Ελλάδος αξιόπιστες, η ακρίβειά τους δεν είναι εγγυημένη και κάθε τέτοια πληροφορία μπορεί να είναι ελλιπής ή συνοπτική. Όλες οι απόψεις και εκτιμήσεις που περιλαμβάνονται στην παρούσα ανακοίνωση είναι υποκείμενες σε αλλαγή χωρίς προηγούμενη ειδοποίηση. Ο Όμιλος δεν φέρει ευθύνη να επικαιροποιεί ή να διατηρεί ως έχουν τις πληροφορίες που περιέχονται στην παρούσα ανακοίνωση.</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Επιπλέον, ορισμένα από αυτά τα στοιχεία προέρχονται από εσωτερική έρευνα και εκτιμήσεις του ίδιου του Ομίλου βάσει γνώσεως και εμπειρίας στη διαχείριση της αγοράς στην οποία δραστηριοποιείται. Η εν λόγω έρευνα και οι εκτιμήσεις, καθώς και η υποκείμενη μεθοδολογία τους δεν έχουν ελεγχθεί από οποιαδήποτε ανεξάρτητη αρχή για την ακρίβεια και την πληρότητά τους. Συνεπώς, δεν θα πρέπει ο αναγνώστης να βασίζεται υπέρμετρα σε αυτές.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Ως αποτέλεσμα,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rsidR="000C3F12" w:rsidRPr="00751AEB" w:rsidRDefault="000C3F12" w:rsidP="004929D8">
      <w:pPr>
        <w:spacing w:after="160"/>
        <w:jc w:val="both"/>
        <w:rPr>
          <w:rFonts w:ascii="Segoe UI" w:hAnsi="Segoe UI" w:cs="Segoe UI"/>
          <w:sz w:val="16"/>
          <w:lang w:val="el-GR"/>
        </w:rPr>
      </w:pPr>
    </w:p>
    <w:sectPr w:rsidR="000C3F12" w:rsidRPr="00751AEB" w:rsidSect="0096101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388" w:right="1274" w:bottom="709" w:left="1985"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7A5" w:rsidRDefault="008107A5">
      <w:pPr>
        <w:spacing w:after="0" w:line="240" w:lineRule="auto"/>
      </w:pPr>
      <w:r>
        <w:separator/>
      </w:r>
    </w:p>
  </w:endnote>
  <w:endnote w:type="continuationSeparator" w:id="1">
    <w:p w:rsidR="008107A5" w:rsidRDefault="00810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42" w:rsidRDefault="00967C4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70060"/>
      <w:docPartObj>
        <w:docPartGallery w:val="Page Numbers (Bottom of Page)"/>
        <w:docPartUnique/>
      </w:docPartObj>
    </w:sdtPr>
    <w:sdtEndPr>
      <w:rPr>
        <w:sz w:val="16"/>
      </w:rPr>
    </w:sdtEndPr>
    <w:sdtContent>
      <w:p w:rsidR="007C5D8F" w:rsidRPr="007218B0" w:rsidRDefault="00807DDB">
        <w:pPr>
          <w:pStyle w:val="a6"/>
          <w:jc w:val="right"/>
          <w:rPr>
            <w:sz w:val="16"/>
          </w:rPr>
        </w:pPr>
        <w:r w:rsidRPr="00EE1E78">
          <w:fldChar w:fldCharType="begin"/>
        </w:r>
        <w:r w:rsidR="007C5D8F" w:rsidRPr="00EE1E78">
          <w:instrText xml:space="preserve"> PAGE   \* MERGEFORMAT </w:instrText>
        </w:r>
        <w:r w:rsidRPr="00EE1E78">
          <w:fldChar w:fldCharType="separate"/>
        </w:r>
        <w:r w:rsidR="00116755">
          <w:rPr>
            <w:noProof/>
          </w:rPr>
          <w:t>3</w:t>
        </w:r>
        <w:r w:rsidRPr="00EE1E78">
          <w:rPr>
            <w:noProof/>
          </w:rPr>
          <w:fldChar w:fldCharType="end"/>
        </w:r>
      </w:p>
    </w:sdtContent>
  </w:sdt>
  <w:p w:rsidR="007C5D8F" w:rsidRPr="00BA6671" w:rsidRDefault="007C5D8F" w:rsidP="00D22CCD">
    <w:pPr>
      <w:pStyle w:val="a6"/>
      <w:jc w:val="right"/>
      <w:rPr>
        <w:color w:val="A6A6A6"/>
        <w:sz w:val="18"/>
        <w:szCs w:val="20"/>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180683"/>
      <w:docPartObj>
        <w:docPartGallery w:val="Page Numbers (Bottom of Page)"/>
        <w:docPartUnique/>
      </w:docPartObj>
    </w:sdtPr>
    <w:sdtContent>
      <w:p w:rsidR="007C5D8F" w:rsidRDefault="00807DDB">
        <w:pPr>
          <w:pStyle w:val="a6"/>
          <w:jc w:val="right"/>
        </w:pPr>
        <w:r>
          <w:fldChar w:fldCharType="begin"/>
        </w:r>
        <w:r w:rsidR="007C5D8F">
          <w:instrText xml:space="preserve"> PAGE   \* MERGEFORMAT </w:instrText>
        </w:r>
        <w:r>
          <w:fldChar w:fldCharType="separate"/>
        </w:r>
        <w:r w:rsidR="007C5D8F">
          <w:rPr>
            <w:noProof/>
          </w:rPr>
          <w:t>1</w:t>
        </w:r>
        <w:r>
          <w:rPr>
            <w:noProof/>
          </w:rPr>
          <w:fldChar w:fldCharType="end"/>
        </w:r>
      </w:p>
    </w:sdtContent>
  </w:sdt>
  <w:p w:rsidR="007C5D8F" w:rsidRDefault="007C5D8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7A5" w:rsidRDefault="008107A5">
      <w:pPr>
        <w:spacing w:after="0" w:line="240" w:lineRule="auto"/>
      </w:pPr>
      <w:r>
        <w:separator/>
      </w:r>
    </w:p>
  </w:footnote>
  <w:footnote w:type="continuationSeparator" w:id="1">
    <w:p w:rsidR="008107A5" w:rsidRDefault="008107A5">
      <w:pPr>
        <w:spacing w:after="0" w:line="240" w:lineRule="auto"/>
      </w:pPr>
      <w:r>
        <w:continuationSeparator/>
      </w:r>
    </w:p>
  </w:footnote>
  <w:footnote w:id="2">
    <w:p w:rsidR="007C5D8F" w:rsidRPr="004223DC" w:rsidRDefault="007C5D8F" w:rsidP="00330556">
      <w:pPr>
        <w:pStyle w:val="a8"/>
        <w:jc w:val="both"/>
        <w:rPr>
          <w:rFonts w:ascii="Segoe UI" w:hAnsi="Segoe UI" w:cs="Segoe UI"/>
          <w:sz w:val="12"/>
          <w:szCs w:val="12"/>
          <w:lang w:val="el-GR"/>
        </w:rPr>
      </w:pPr>
      <w:r w:rsidRPr="004223DC">
        <w:rPr>
          <w:rStyle w:val="a9"/>
          <w:rFonts w:ascii="Segoe UI" w:hAnsi="Segoe UI" w:cs="Segoe UI"/>
          <w:sz w:val="12"/>
          <w:szCs w:val="12"/>
        </w:rPr>
        <w:footnoteRef/>
      </w:r>
      <w:r w:rsidRPr="004223DC">
        <w:rPr>
          <w:rFonts w:ascii="Segoe UI" w:hAnsi="Segoe UI" w:cs="Segoe UI"/>
          <w:sz w:val="12"/>
          <w:szCs w:val="12"/>
          <w:lang w:val="el-GR"/>
        </w:rPr>
        <w:t xml:space="preserve"> Περιλαμβάνει τις δραστηριότητες του Ομίλου σε Βουλγαρία, Ρουμανία, Σερβία, Αλβανία, ΠΓΔΜ και λοιπές χώρες</w:t>
      </w:r>
    </w:p>
  </w:footnote>
  <w:footnote w:id="3">
    <w:p w:rsidR="007C5D8F" w:rsidRPr="002A220C" w:rsidRDefault="007C5D8F" w:rsidP="00116755">
      <w:pPr>
        <w:autoSpaceDE w:val="0"/>
        <w:autoSpaceDN w:val="0"/>
        <w:adjustRightInd w:val="0"/>
        <w:spacing w:afterLines="60" w:line="240" w:lineRule="auto"/>
        <w:jc w:val="both"/>
        <w:rPr>
          <w:rFonts w:ascii="Segoe UI" w:hAnsi="Segoe UI" w:cs="Segoe UI"/>
          <w:sz w:val="12"/>
          <w:szCs w:val="14"/>
          <w:lang w:val="el-GR"/>
        </w:rPr>
      </w:pPr>
      <w:r w:rsidRPr="002A220C">
        <w:rPr>
          <w:rStyle w:val="a9"/>
          <w:rFonts w:ascii="Segoe UI" w:hAnsi="Segoe UI" w:cs="Segoe UI"/>
          <w:sz w:val="12"/>
          <w:szCs w:val="14"/>
        </w:rPr>
        <w:footnoteRef/>
      </w:r>
      <w:r w:rsidRPr="002A220C">
        <w:rPr>
          <w:rFonts w:ascii="Segoe UI" w:hAnsi="Segoe UI" w:cs="Segoe UI"/>
          <w:sz w:val="12"/>
          <w:szCs w:val="14"/>
          <w:lang w:val="el-GR"/>
        </w:rPr>
        <w:t xml:space="preserve"> Η σύγκριση με τις λοιπές εγχώριες συστημικές τράπεζες βασίζεται σε στοιχεία που έχουν δημοσιευθεί μέχρι 30 Αυγούστου, 2016</w:t>
      </w:r>
    </w:p>
  </w:footnote>
  <w:footnote w:id="4">
    <w:p w:rsidR="007C5D8F" w:rsidRPr="002A220C" w:rsidRDefault="007C5D8F" w:rsidP="00116755">
      <w:pPr>
        <w:pStyle w:val="a8"/>
        <w:spacing w:afterLines="60"/>
        <w:jc w:val="both"/>
        <w:rPr>
          <w:sz w:val="18"/>
          <w:lang w:val="el-GR"/>
        </w:rPr>
      </w:pPr>
      <w:r w:rsidRPr="002A220C">
        <w:rPr>
          <w:rStyle w:val="a9"/>
          <w:rFonts w:ascii="Segoe UI" w:hAnsi="Segoe UI" w:cs="Segoe UI"/>
          <w:sz w:val="12"/>
          <w:szCs w:val="14"/>
        </w:rPr>
        <w:footnoteRef/>
      </w:r>
      <w:r w:rsidRPr="002A220C">
        <w:rPr>
          <w:rFonts w:ascii="Segoe UI" w:hAnsi="Segoe UI" w:cs="Segoe UI"/>
          <w:sz w:val="12"/>
          <w:szCs w:val="14"/>
          <w:lang w:val="el-GR"/>
        </w:rPr>
        <w:t xml:space="preserve"> Περιλαμβάνει τις δραστηριότητες του Ομίλου σε Βουλγαρία, Ρουμανία, Σερβία, Αλβανία, ΠΓΔΜ και λοιπές χώρες</w:t>
      </w:r>
    </w:p>
  </w:footnote>
  <w:footnote w:id="5">
    <w:p w:rsidR="007C5D8F" w:rsidRPr="004929D8" w:rsidRDefault="007C5D8F" w:rsidP="00116755">
      <w:pPr>
        <w:pStyle w:val="a8"/>
        <w:spacing w:afterLines="60"/>
        <w:jc w:val="both"/>
        <w:rPr>
          <w:rFonts w:ascii="Segoe UI" w:hAnsi="Segoe UI" w:cs="Segoe UI"/>
          <w:sz w:val="14"/>
          <w:szCs w:val="14"/>
          <w:lang w:val="el-GR"/>
        </w:rPr>
      </w:pPr>
      <w:r w:rsidRPr="002A220C">
        <w:rPr>
          <w:rStyle w:val="a9"/>
          <w:rFonts w:ascii="Segoe UI" w:hAnsi="Segoe UI" w:cs="Segoe UI"/>
          <w:sz w:val="12"/>
          <w:szCs w:val="14"/>
        </w:rPr>
        <w:footnoteRef/>
      </w:r>
      <w:r w:rsidRPr="002A220C">
        <w:rPr>
          <w:rFonts w:ascii="Segoe UI" w:hAnsi="Segoe UI" w:cs="Segoe UI"/>
          <w:sz w:val="12"/>
          <w:szCs w:val="14"/>
          <w:lang w:val="el-GR"/>
        </w:rPr>
        <w:t xml:space="preserve">Στοιχεία με ημερομηνία </w:t>
      </w:r>
      <w:r>
        <w:rPr>
          <w:rFonts w:ascii="Segoe UI" w:hAnsi="Segoe UI" w:cs="Segoe UI"/>
          <w:sz w:val="12"/>
          <w:szCs w:val="14"/>
          <w:lang w:val="el-GR"/>
        </w:rPr>
        <w:t>1</w:t>
      </w:r>
      <w:r w:rsidR="00A45ADF" w:rsidRPr="00F14883">
        <w:rPr>
          <w:rFonts w:ascii="Segoe UI" w:hAnsi="Segoe UI" w:cs="Segoe UI"/>
          <w:sz w:val="12"/>
          <w:szCs w:val="14"/>
          <w:lang w:val="el-GR"/>
        </w:rPr>
        <w:t>8</w:t>
      </w:r>
      <w:r>
        <w:rPr>
          <w:rFonts w:ascii="Segoe UI" w:hAnsi="Segoe UI" w:cs="Segoe UI"/>
          <w:sz w:val="12"/>
          <w:szCs w:val="14"/>
          <w:lang w:val="el-GR"/>
        </w:rPr>
        <w:t xml:space="preserve"> Νοεμβρίου</w:t>
      </w:r>
      <w:r w:rsidRPr="002A220C">
        <w:rPr>
          <w:rFonts w:ascii="Segoe UI" w:hAnsi="Segoe UI" w:cs="Segoe UI"/>
          <w:sz w:val="12"/>
          <w:szCs w:val="14"/>
          <w:lang w:val="el-GR"/>
        </w:rPr>
        <w:t>, 2016</w:t>
      </w:r>
    </w:p>
  </w:footnote>
  <w:footnote w:id="6">
    <w:p w:rsidR="000F459A" w:rsidRPr="002A220C" w:rsidRDefault="000F459A" w:rsidP="000F459A">
      <w:pPr>
        <w:pStyle w:val="a8"/>
        <w:spacing w:after="60"/>
        <w:jc w:val="both"/>
        <w:rPr>
          <w:rFonts w:ascii="Segoe UI" w:hAnsi="Segoe UI" w:cs="Segoe UI"/>
          <w:sz w:val="12"/>
          <w:szCs w:val="14"/>
          <w:lang w:val="el-GR"/>
        </w:rPr>
      </w:pPr>
      <w:r w:rsidRPr="002A220C">
        <w:rPr>
          <w:rStyle w:val="a9"/>
          <w:rFonts w:ascii="Segoe UI" w:hAnsi="Segoe UI" w:cs="Segoe UI"/>
          <w:sz w:val="12"/>
          <w:szCs w:val="14"/>
        </w:rPr>
        <w:footnoteRef/>
      </w:r>
      <w:r w:rsidR="002E5443" w:rsidRPr="002A220C">
        <w:rPr>
          <w:rFonts w:ascii="Segoe UI" w:hAnsi="Segoe UI" w:cs="Segoe UI"/>
          <w:sz w:val="12"/>
          <w:szCs w:val="14"/>
          <w:lang w:val="el-GR"/>
        </w:rPr>
        <w:t xml:space="preserve">Στοιχεία με ημερομηνία </w:t>
      </w:r>
      <w:r w:rsidR="002E5443">
        <w:rPr>
          <w:rFonts w:ascii="Segoe UI" w:hAnsi="Segoe UI" w:cs="Segoe UI"/>
          <w:sz w:val="12"/>
          <w:szCs w:val="14"/>
          <w:lang w:val="el-GR"/>
        </w:rPr>
        <w:t>1</w:t>
      </w:r>
      <w:r w:rsidR="002E5443" w:rsidRPr="00F14883">
        <w:rPr>
          <w:rFonts w:ascii="Segoe UI" w:hAnsi="Segoe UI" w:cs="Segoe UI"/>
          <w:sz w:val="12"/>
          <w:szCs w:val="14"/>
          <w:lang w:val="el-GR"/>
        </w:rPr>
        <w:t>8</w:t>
      </w:r>
      <w:r w:rsidR="002E5443">
        <w:rPr>
          <w:rFonts w:ascii="Segoe UI" w:hAnsi="Segoe UI" w:cs="Segoe UI"/>
          <w:sz w:val="12"/>
          <w:szCs w:val="14"/>
          <w:lang w:val="el-GR"/>
        </w:rPr>
        <w:t xml:space="preserve"> Νοεμβρίου</w:t>
      </w:r>
      <w:r w:rsidR="002E5443" w:rsidRPr="002A220C">
        <w:rPr>
          <w:rFonts w:ascii="Segoe UI" w:hAnsi="Segoe UI" w:cs="Segoe UI"/>
          <w:sz w:val="12"/>
          <w:szCs w:val="14"/>
          <w:lang w:val="el-GR"/>
        </w:rPr>
        <w:t>, 2016</w:t>
      </w:r>
    </w:p>
  </w:footnote>
  <w:footnote w:id="7">
    <w:p w:rsidR="000F459A" w:rsidRPr="002A220C" w:rsidRDefault="000F459A" w:rsidP="000F459A">
      <w:pPr>
        <w:pStyle w:val="a8"/>
        <w:spacing w:after="60"/>
        <w:jc w:val="both"/>
        <w:rPr>
          <w:rFonts w:ascii="Segoe UI" w:hAnsi="Segoe UI" w:cs="Segoe UI"/>
          <w:sz w:val="12"/>
          <w:szCs w:val="14"/>
          <w:lang w:val="el-GR"/>
        </w:rPr>
      </w:pPr>
      <w:r w:rsidRPr="002A220C">
        <w:rPr>
          <w:rStyle w:val="a9"/>
          <w:rFonts w:ascii="Segoe UI" w:hAnsi="Segoe UI" w:cs="Segoe UI"/>
          <w:sz w:val="12"/>
          <w:szCs w:val="14"/>
        </w:rPr>
        <w:footnoteRef/>
      </w:r>
      <w:r w:rsidRPr="002A220C">
        <w:rPr>
          <w:rFonts w:ascii="Segoe UI" w:hAnsi="Segoe UI" w:cs="Segoe UI"/>
          <w:sz w:val="12"/>
          <w:szCs w:val="14"/>
          <w:lang w:val="el-GR"/>
        </w:rPr>
        <w:t xml:space="preserve"> Η σύγκριση με τις λοιπές εγχώριες συστημικές τράπεζες βασίζεται σε στοιχεία που έχουν δημοσιευθεί μέχρι 30 Αυγούστου, 2016</w:t>
      </w:r>
    </w:p>
  </w:footnote>
  <w:footnote w:id="8">
    <w:p w:rsidR="007C5D8F" w:rsidRPr="00330556" w:rsidRDefault="007C5D8F" w:rsidP="0022794A">
      <w:pPr>
        <w:pStyle w:val="a8"/>
        <w:spacing w:after="60"/>
        <w:jc w:val="both"/>
        <w:rPr>
          <w:rFonts w:ascii="Segoe UI" w:hAnsi="Segoe UI" w:cs="Segoe UI"/>
          <w:sz w:val="14"/>
          <w:szCs w:val="14"/>
          <w:lang w:val="el-GR"/>
        </w:rPr>
      </w:pPr>
      <w:r w:rsidRPr="00E8717E">
        <w:rPr>
          <w:rStyle w:val="a9"/>
          <w:rFonts w:ascii="Segoe UI" w:hAnsi="Segoe UI" w:cs="Segoe UI"/>
          <w:sz w:val="12"/>
          <w:szCs w:val="14"/>
        </w:rPr>
        <w:footnoteRef/>
      </w:r>
      <w:r w:rsidRPr="00E8717E">
        <w:rPr>
          <w:rFonts w:ascii="Segoe UI" w:hAnsi="Segoe UI" w:cs="Segoe UI"/>
          <w:sz w:val="12"/>
          <w:szCs w:val="14"/>
          <w:lang w:val="el-GR"/>
        </w:rPr>
        <w:t xml:space="preserve"> Ο όμιλος εξαιρεί τα στοιχεία </w:t>
      </w:r>
      <w:r>
        <w:rPr>
          <w:rFonts w:ascii="Segoe UI" w:hAnsi="Segoe UI" w:cs="Segoe UI"/>
          <w:sz w:val="12"/>
          <w:szCs w:val="14"/>
          <w:lang w:val="el-GR"/>
        </w:rPr>
        <w:t>Ε</w:t>
      </w:r>
      <w:r w:rsidRPr="00E8717E">
        <w:rPr>
          <w:rFonts w:ascii="Segoe UI" w:hAnsi="Segoe UI" w:cs="Segoe UI"/>
          <w:sz w:val="12"/>
          <w:szCs w:val="14"/>
          <w:lang w:val="el-GR"/>
        </w:rPr>
        <w:t>νεργητικού και τα κέρδη / (ζημίες) από διακοπείσες δραστηριότητες</w:t>
      </w:r>
      <w:r>
        <w:rPr>
          <w:rFonts w:ascii="Segoe UI" w:hAnsi="Segoe UI" w:cs="Segoe UI"/>
          <w:sz w:val="12"/>
          <w:szCs w:val="14"/>
          <w:lang w:val="el-GR"/>
        </w:rPr>
        <w:t xml:space="preserve"> (ΑΣΤΗΡ ΠΑΛΑΣ, </w:t>
      </w:r>
      <w:r>
        <w:rPr>
          <w:rFonts w:ascii="Segoe UI" w:hAnsi="Segoe UI" w:cs="Segoe UI"/>
          <w:sz w:val="12"/>
          <w:szCs w:val="14"/>
          <w:lang w:val="en-US"/>
        </w:rPr>
        <w:t>NBGI</w:t>
      </w:r>
      <w:r w:rsidRPr="00E8717E">
        <w:rPr>
          <w:rFonts w:ascii="Segoe UI" w:hAnsi="Segoe UI" w:cs="Segoe UI"/>
          <w:sz w:val="12"/>
          <w:szCs w:val="14"/>
          <w:lang w:val="el-GR"/>
        </w:rPr>
        <w:t xml:space="preserve">, </w:t>
      </w:r>
      <w:r w:rsidRPr="007165DE">
        <w:rPr>
          <w:rFonts w:ascii="Segoe UI" w:hAnsi="Segoe UI" w:cs="Segoe UI"/>
          <w:sz w:val="12"/>
          <w:szCs w:val="14"/>
          <w:lang w:val="el-GR"/>
        </w:rPr>
        <w:t xml:space="preserve">η πώληση της οποίας ολοκληρώθηκε το </w:t>
      </w:r>
      <w:r>
        <w:rPr>
          <w:rFonts w:ascii="Segoe UI" w:hAnsi="Segoe UI" w:cs="Segoe UI"/>
          <w:sz w:val="12"/>
          <w:szCs w:val="14"/>
          <w:lang w:val="el-GR"/>
        </w:rPr>
        <w:t>Γ</w:t>
      </w:r>
      <w:r w:rsidRPr="007165DE">
        <w:rPr>
          <w:rFonts w:ascii="Segoe UI" w:hAnsi="Segoe UI" w:cs="Segoe UI"/>
          <w:sz w:val="12"/>
          <w:szCs w:val="14"/>
          <w:lang w:val="el-GR"/>
        </w:rPr>
        <w:t>’ τρίμηνο του 2016</w:t>
      </w:r>
      <w:r>
        <w:rPr>
          <w:rFonts w:ascii="Segoe UI" w:hAnsi="Segoe UI" w:cs="Segoe UI"/>
          <w:sz w:val="12"/>
          <w:szCs w:val="14"/>
          <w:lang w:val="el-GR"/>
        </w:rPr>
        <w:t xml:space="preserve">, και </w:t>
      </w:r>
      <w:r>
        <w:rPr>
          <w:rFonts w:ascii="Segoe UI" w:hAnsi="Segoe UI" w:cs="Segoe UI"/>
          <w:sz w:val="12"/>
          <w:szCs w:val="14"/>
          <w:lang w:val="en-US"/>
        </w:rPr>
        <w:t>Finansbank</w:t>
      </w:r>
      <w:r>
        <w:rPr>
          <w:rFonts w:ascii="Segoe UI" w:hAnsi="Segoe UI" w:cs="Segoe UI"/>
          <w:sz w:val="12"/>
          <w:szCs w:val="14"/>
          <w:lang w:val="el-GR"/>
        </w:rPr>
        <w:t xml:space="preserve">, η πώληση της οποίας ολοκληρώθηκε το Β’ τρίμηνο του 2016).  </w:t>
      </w:r>
    </w:p>
  </w:footnote>
  <w:footnote w:id="9">
    <w:p w:rsidR="007C5D8F" w:rsidRPr="001B088D" w:rsidRDefault="007C5D8F" w:rsidP="0022794A">
      <w:pPr>
        <w:spacing w:after="60" w:line="240" w:lineRule="auto"/>
        <w:jc w:val="both"/>
        <w:rPr>
          <w:rFonts w:ascii="Segoe UI" w:hAnsi="Segoe UI" w:cs="Segoe UI"/>
          <w:sz w:val="12"/>
          <w:szCs w:val="12"/>
          <w:lang w:val="el-GR"/>
        </w:rPr>
      </w:pPr>
      <w:r w:rsidRPr="001B088D">
        <w:rPr>
          <w:rStyle w:val="a9"/>
          <w:rFonts w:ascii="Segoe UI" w:hAnsi="Segoe UI" w:cs="Segoe UI"/>
          <w:sz w:val="12"/>
          <w:szCs w:val="12"/>
        </w:rPr>
        <w:footnoteRef/>
      </w:r>
      <w:r w:rsidRPr="001B088D">
        <w:rPr>
          <w:rFonts w:ascii="Segoe UI" w:hAnsi="Segoe UI" w:cs="Segoe UI"/>
          <w:sz w:val="12"/>
          <w:szCs w:val="12"/>
          <w:lang w:val="el-GR"/>
        </w:rPr>
        <w:t xml:space="preserve"> Περιλαμβάνει τις δραστηριότητες του Ομίλου σε Βουλγαρία, Ρουμανία, Σερβία, Αλβανία, ΠΓΔΜ και λοιπές χώρες</w:t>
      </w:r>
    </w:p>
  </w:footnote>
  <w:footnote w:id="10">
    <w:p w:rsidR="007C5D8F" w:rsidRPr="001B088D" w:rsidRDefault="007C5D8F" w:rsidP="0022794A">
      <w:pPr>
        <w:pStyle w:val="a8"/>
        <w:spacing w:after="60"/>
        <w:rPr>
          <w:lang w:val="el-GR"/>
        </w:rPr>
      </w:pPr>
      <w:r w:rsidRPr="001B088D">
        <w:rPr>
          <w:rStyle w:val="a9"/>
          <w:rFonts w:ascii="Segoe UI" w:hAnsi="Segoe UI" w:cs="Segoe UI"/>
          <w:sz w:val="12"/>
          <w:szCs w:val="12"/>
        </w:rPr>
        <w:footnoteRef/>
      </w:r>
      <w:r w:rsidRPr="001B088D">
        <w:rPr>
          <w:rFonts w:ascii="Segoe UI" w:hAnsi="Segoe UI" w:cs="Segoe UI"/>
          <w:sz w:val="12"/>
          <w:szCs w:val="12"/>
          <w:lang w:val="el-GR"/>
        </w:rPr>
        <w:t xml:space="preserve"> Τα ίδια Κεφάλαια εξαιρούν τα δικαιώματα μειοψηφίας και (</w:t>
      </w:r>
      <w:r w:rsidRPr="001B088D">
        <w:rPr>
          <w:rFonts w:ascii="Segoe UI" w:hAnsi="Segoe UI" w:cs="Segoe UI"/>
          <w:sz w:val="12"/>
          <w:szCs w:val="12"/>
        </w:rPr>
        <w:t>i</w:t>
      </w:r>
      <w:r w:rsidRPr="001B088D">
        <w:rPr>
          <w:rFonts w:ascii="Segoe UI" w:hAnsi="Segoe UI" w:cs="Segoe UI"/>
          <w:sz w:val="12"/>
          <w:szCs w:val="12"/>
          <w:lang w:val="el-GR"/>
        </w:rPr>
        <w:t>) τις προνομιούχες μετοχές Αμερικής και του Ελληνικού Δημοσίου για το 2015 και (</w:t>
      </w:r>
      <w:r w:rsidRPr="001B088D">
        <w:rPr>
          <w:rFonts w:ascii="Segoe UI" w:hAnsi="Segoe UI" w:cs="Segoe UI"/>
          <w:sz w:val="12"/>
          <w:szCs w:val="12"/>
        </w:rPr>
        <w:t>ii</w:t>
      </w:r>
      <w:r w:rsidRPr="001B088D">
        <w:rPr>
          <w:rFonts w:ascii="Segoe UI" w:hAnsi="Segoe UI" w:cs="Segoe UI"/>
          <w:sz w:val="12"/>
          <w:szCs w:val="12"/>
          <w:lang w:val="el-GR"/>
        </w:rPr>
        <w:t>) τις υπό αίρεση μετατρέψιμες ομολογίες για το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42" w:rsidRDefault="00967C4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8F" w:rsidRPr="00C95096" w:rsidRDefault="007C5D8F" w:rsidP="001523EE">
    <w:pPr>
      <w:pStyle w:val="a5"/>
      <w:pBdr>
        <w:bottom w:val="single" w:sz="4" w:space="1" w:color="BFBFBF"/>
      </w:pBdr>
      <w:tabs>
        <w:tab w:val="clear" w:pos="8306"/>
      </w:tabs>
      <w:spacing w:after="0"/>
      <w:rPr>
        <w:color w:val="808080"/>
        <w:sz w:val="18"/>
        <w:lang w:val="el-GR"/>
      </w:rPr>
    </w:pPr>
    <w:r>
      <w:rPr>
        <w:noProof/>
        <w:color w:val="808080"/>
        <w:sz w:val="18"/>
        <w:lang w:val="en-US"/>
      </w:rPr>
      <w:drawing>
        <wp:anchor distT="0" distB="0" distL="114300" distR="114300" simplePos="0" relativeHeight="25165619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9" name="Picture 9"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noProof/>
        <w:color w:val="808080"/>
        <w:sz w:val="18"/>
        <w:lang w:val="en-US"/>
      </w:rPr>
      <w:drawing>
        <wp:anchor distT="0" distB="0" distL="114300" distR="114300" simplePos="0" relativeHeight="25166131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10" name="Picture 1"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color w:val="808080"/>
        <w:sz w:val="18"/>
        <w:lang w:val="el-GR"/>
      </w:rPr>
      <w:t>Εθνική Τράπεζα της Ελλάδος</w:t>
    </w:r>
    <w:r w:rsidRPr="00E525FE">
      <w:rPr>
        <w:lang w:val="el-GR"/>
      </w:rPr>
      <w:tab/>
    </w:r>
    <w:r w:rsidRPr="00E525FE">
      <w:rPr>
        <w:lang w:val="el-GR"/>
      </w:rPr>
      <w:tab/>
    </w:r>
    <w:r>
      <w:rPr>
        <w:color w:val="808080"/>
        <w:sz w:val="18"/>
        <w:lang w:val="el-GR"/>
      </w:rPr>
      <w:t>Αποτελέσματα Γ’ Τριμήνου 2016</w:t>
    </w:r>
  </w:p>
  <w:p w:rsidR="007C5D8F" w:rsidRPr="00E525FE" w:rsidRDefault="007C5D8F" w:rsidP="00D22CCD">
    <w:pPr>
      <w:pStyle w:val="a5"/>
      <w:pBdr>
        <w:bottom w:val="single" w:sz="4" w:space="1" w:color="BFBFBF"/>
      </w:pBdr>
      <w:tabs>
        <w:tab w:val="clear" w:pos="8306"/>
        <w:tab w:val="right" w:pos="8647"/>
      </w:tabs>
      <w:spacing w:after="0" w:line="120" w:lineRule="auto"/>
      <w:rPr>
        <w:color w:val="808080"/>
        <w:sz w:val="18"/>
        <w:lang w:val="el-G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42" w:rsidRDefault="00967C4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1525E"/>
    <w:multiLevelType w:val="hybridMultilevel"/>
    <w:tmpl w:val="2A94C00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249938D8"/>
    <w:multiLevelType w:val="hybridMultilevel"/>
    <w:tmpl w:val="0D1ADB5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7E35DF2"/>
    <w:multiLevelType w:val="hybridMultilevel"/>
    <w:tmpl w:val="D0A26C3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AC757B2"/>
    <w:multiLevelType w:val="hybridMultilevel"/>
    <w:tmpl w:val="33B65F0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43E7347"/>
    <w:multiLevelType w:val="hybridMultilevel"/>
    <w:tmpl w:val="769C99B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47BB09CF"/>
    <w:multiLevelType w:val="hybridMultilevel"/>
    <w:tmpl w:val="E990C8E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512C47C3"/>
    <w:multiLevelType w:val="hybridMultilevel"/>
    <w:tmpl w:val="9B94099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7">
    <w:nsid w:val="53651327"/>
    <w:multiLevelType w:val="hybridMultilevel"/>
    <w:tmpl w:val="E920F83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64FC5295"/>
    <w:multiLevelType w:val="hybridMultilevel"/>
    <w:tmpl w:val="DFE4EFD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65374B62"/>
    <w:multiLevelType w:val="hybridMultilevel"/>
    <w:tmpl w:val="71D0BF2E"/>
    <w:lvl w:ilvl="0" w:tplc="04080003">
      <w:start w:val="1"/>
      <w:numFmt w:val="bullet"/>
      <w:lvlText w:val="o"/>
      <w:lvlJc w:val="left"/>
      <w:pPr>
        <w:ind w:left="786"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0">
    <w:nsid w:val="6F637C93"/>
    <w:multiLevelType w:val="hybridMultilevel"/>
    <w:tmpl w:val="ECE6B198"/>
    <w:lvl w:ilvl="0" w:tplc="04080003">
      <w:start w:val="1"/>
      <w:numFmt w:val="bullet"/>
      <w:lvlText w:val="o"/>
      <w:lvlJc w:val="left"/>
      <w:pPr>
        <w:ind w:left="717"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1">
    <w:nsid w:val="733E6A2F"/>
    <w:multiLevelType w:val="hybridMultilevel"/>
    <w:tmpl w:val="A34AC4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9"/>
  </w:num>
  <w:num w:numId="5">
    <w:abstractNumId w:val="5"/>
  </w:num>
  <w:num w:numId="6">
    <w:abstractNumId w:val="2"/>
  </w:num>
  <w:num w:numId="7">
    <w:abstractNumId w:val="4"/>
  </w:num>
  <w:num w:numId="8">
    <w:abstractNumId w:val="1"/>
  </w:num>
  <w:num w:numId="9">
    <w:abstractNumId w:val="6"/>
  </w:num>
  <w:num w:numId="10">
    <w:abstractNumId w:val="7"/>
  </w:num>
  <w:num w:numId="11">
    <w:abstractNumId w:val="11"/>
  </w:num>
  <w:num w:numId="12">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drawingGridHorizontalSpacing w:val="110"/>
  <w:displayHorizontalDrawingGridEvery w:val="2"/>
  <w:characterSpacingControl w:val="doNotCompress"/>
  <w:hdrShapeDefaults>
    <o:shapedefaults v:ext="edit" spidmax="5122"/>
  </w:hdrShapeDefaults>
  <w:footnotePr>
    <w:numRestart w:val="eachPage"/>
    <w:footnote w:id="0"/>
    <w:footnote w:id="1"/>
  </w:footnotePr>
  <w:endnotePr>
    <w:endnote w:id="0"/>
    <w:endnote w:id="1"/>
  </w:endnotePr>
  <w:compat/>
  <w:rsids>
    <w:rsidRoot w:val="00FB32F9"/>
    <w:rsid w:val="000007D5"/>
    <w:rsid w:val="0000174E"/>
    <w:rsid w:val="00001A5A"/>
    <w:rsid w:val="00001C39"/>
    <w:rsid w:val="000021FC"/>
    <w:rsid w:val="0000245F"/>
    <w:rsid w:val="00005427"/>
    <w:rsid w:val="00005C8D"/>
    <w:rsid w:val="00006FCF"/>
    <w:rsid w:val="000071B7"/>
    <w:rsid w:val="00007384"/>
    <w:rsid w:val="000074E5"/>
    <w:rsid w:val="00011093"/>
    <w:rsid w:val="00011437"/>
    <w:rsid w:val="00012193"/>
    <w:rsid w:val="00012D86"/>
    <w:rsid w:val="00012E56"/>
    <w:rsid w:val="000130E6"/>
    <w:rsid w:val="00013421"/>
    <w:rsid w:val="00013668"/>
    <w:rsid w:val="00013AC7"/>
    <w:rsid w:val="00013BF4"/>
    <w:rsid w:val="0001455A"/>
    <w:rsid w:val="00015168"/>
    <w:rsid w:val="00015205"/>
    <w:rsid w:val="00015243"/>
    <w:rsid w:val="0001730E"/>
    <w:rsid w:val="000175F5"/>
    <w:rsid w:val="00017698"/>
    <w:rsid w:val="0002079B"/>
    <w:rsid w:val="00021D73"/>
    <w:rsid w:val="00023361"/>
    <w:rsid w:val="00023661"/>
    <w:rsid w:val="00023AFC"/>
    <w:rsid w:val="00023B7A"/>
    <w:rsid w:val="00023E07"/>
    <w:rsid w:val="00023E4F"/>
    <w:rsid w:val="00024232"/>
    <w:rsid w:val="00024398"/>
    <w:rsid w:val="00024CF5"/>
    <w:rsid w:val="000257F3"/>
    <w:rsid w:val="0002597A"/>
    <w:rsid w:val="00025D2D"/>
    <w:rsid w:val="0002686A"/>
    <w:rsid w:val="00027BCC"/>
    <w:rsid w:val="00027F17"/>
    <w:rsid w:val="00030FF6"/>
    <w:rsid w:val="000310BB"/>
    <w:rsid w:val="0003113C"/>
    <w:rsid w:val="0003153D"/>
    <w:rsid w:val="00032465"/>
    <w:rsid w:val="00032DCB"/>
    <w:rsid w:val="00033439"/>
    <w:rsid w:val="000346AE"/>
    <w:rsid w:val="00034C7B"/>
    <w:rsid w:val="00034CD6"/>
    <w:rsid w:val="0003528C"/>
    <w:rsid w:val="00036AE3"/>
    <w:rsid w:val="00036BBA"/>
    <w:rsid w:val="00036EF8"/>
    <w:rsid w:val="00037030"/>
    <w:rsid w:val="00037EAC"/>
    <w:rsid w:val="00037FE4"/>
    <w:rsid w:val="00040075"/>
    <w:rsid w:val="00040267"/>
    <w:rsid w:val="00040E21"/>
    <w:rsid w:val="00040FE3"/>
    <w:rsid w:val="000426FB"/>
    <w:rsid w:val="00042B4C"/>
    <w:rsid w:val="00043237"/>
    <w:rsid w:val="00043262"/>
    <w:rsid w:val="0004336F"/>
    <w:rsid w:val="00043436"/>
    <w:rsid w:val="00043C0B"/>
    <w:rsid w:val="0004448D"/>
    <w:rsid w:val="0004524C"/>
    <w:rsid w:val="00045682"/>
    <w:rsid w:val="000456A7"/>
    <w:rsid w:val="00045AA8"/>
    <w:rsid w:val="00047765"/>
    <w:rsid w:val="0004777B"/>
    <w:rsid w:val="00047967"/>
    <w:rsid w:val="00047B7C"/>
    <w:rsid w:val="000507E1"/>
    <w:rsid w:val="00051856"/>
    <w:rsid w:val="0005194D"/>
    <w:rsid w:val="00051F3A"/>
    <w:rsid w:val="000539DC"/>
    <w:rsid w:val="00054695"/>
    <w:rsid w:val="00054ED7"/>
    <w:rsid w:val="00055207"/>
    <w:rsid w:val="00055DB6"/>
    <w:rsid w:val="00057564"/>
    <w:rsid w:val="00057B80"/>
    <w:rsid w:val="00060531"/>
    <w:rsid w:val="00060B4B"/>
    <w:rsid w:val="00061524"/>
    <w:rsid w:val="00061F44"/>
    <w:rsid w:val="00062B7A"/>
    <w:rsid w:val="00062E4C"/>
    <w:rsid w:val="00063085"/>
    <w:rsid w:val="000632AD"/>
    <w:rsid w:val="00063949"/>
    <w:rsid w:val="00063F5C"/>
    <w:rsid w:val="0006453A"/>
    <w:rsid w:val="00064C4F"/>
    <w:rsid w:val="00064CC0"/>
    <w:rsid w:val="00065227"/>
    <w:rsid w:val="00066403"/>
    <w:rsid w:val="000675B2"/>
    <w:rsid w:val="0006760B"/>
    <w:rsid w:val="0006780F"/>
    <w:rsid w:val="00067EE7"/>
    <w:rsid w:val="00070E9C"/>
    <w:rsid w:val="0007166F"/>
    <w:rsid w:val="0007283F"/>
    <w:rsid w:val="000731E6"/>
    <w:rsid w:val="00073402"/>
    <w:rsid w:val="00073680"/>
    <w:rsid w:val="000737E0"/>
    <w:rsid w:val="000740D1"/>
    <w:rsid w:val="000744EA"/>
    <w:rsid w:val="00074780"/>
    <w:rsid w:val="0007484E"/>
    <w:rsid w:val="00074F67"/>
    <w:rsid w:val="0007589C"/>
    <w:rsid w:val="00075A55"/>
    <w:rsid w:val="00075AD0"/>
    <w:rsid w:val="00075B08"/>
    <w:rsid w:val="0007762E"/>
    <w:rsid w:val="00077D8F"/>
    <w:rsid w:val="00080EAA"/>
    <w:rsid w:val="000810DB"/>
    <w:rsid w:val="00081CEA"/>
    <w:rsid w:val="00083A02"/>
    <w:rsid w:val="00083D31"/>
    <w:rsid w:val="0008514E"/>
    <w:rsid w:val="0008684E"/>
    <w:rsid w:val="00086AD7"/>
    <w:rsid w:val="00087526"/>
    <w:rsid w:val="00090068"/>
    <w:rsid w:val="00090A15"/>
    <w:rsid w:val="000914ED"/>
    <w:rsid w:val="00091AD3"/>
    <w:rsid w:val="000929D6"/>
    <w:rsid w:val="00092F1C"/>
    <w:rsid w:val="00092F74"/>
    <w:rsid w:val="0009300A"/>
    <w:rsid w:val="0009326E"/>
    <w:rsid w:val="00093803"/>
    <w:rsid w:val="00093D3C"/>
    <w:rsid w:val="00094783"/>
    <w:rsid w:val="00094D4D"/>
    <w:rsid w:val="00095338"/>
    <w:rsid w:val="000955DD"/>
    <w:rsid w:val="0009637D"/>
    <w:rsid w:val="0009680C"/>
    <w:rsid w:val="00096A88"/>
    <w:rsid w:val="00096CCB"/>
    <w:rsid w:val="0009771F"/>
    <w:rsid w:val="000978DA"/>
    <w:rsid w:val="00097920"/>
    <w:rsid w:val="000A0120"/>
    <w:rsid w:val="000A0206"/>
    <w:rsid w:val="000A03BC"/>
    <w:rsid w:val="000A06DD"/>
    <w:rsid w:val="000A3501"/>
    <w:rsid w:val="000A3B87"/>
    <w:rsid w:val="000A4E0C"/>
    <w:rsid w:val="000A72E0"/>
    <w:rsid w:val="000A7378"/>
    <w:rsid w:val="000A7707"/>
    <w:rsid w:val="000A7B5A"/>
    <w:rsid w:val="000A7CB5"/>
    <w:rsid w:val="000A7F24"/>
    <w:rsid w:val="000B1094"/>
    <w:rsid w:val="000B18D0"/>
    <w:rsid w:val="000B22A4"/>
    <w:rsid w:val="000B3191"/>
    <w:rsid w:val="000B350E"/>
    <w:rsid w:val="000B3805"/>
    <w:rsid w:val="000B3D68"/>
    <w:rsid w:val="000B4174"/>
    <w:rsid w:val="000B42F3"/>
    <w:rsid w:val="000B46B3"/>
    <w:rsid w:val="000B5F45"/>
    <w:rsid w:val="000B6234"/>
    <w:rsid w:val="000B655C"/>
    <w:rsid w:val="000C06B8"/>
    <w:rsid w:val="000C0813"/>
    <w:rsid w:val="000C0FC3"/>
    <w:rsid w:val="000C1CCF"/>
    <w:rsid w:val="000C2CF8"/>
    <w:rsid w:val="000C2F58"/>
    <w:rsid w:val="000C30BD"/>
    <w:rsid w:val="000C35CB"/>
    <w:rsid w:val="000C3F12"/>
    <w:rsid w:val="000C3F1C"/>
    <w:rsid w:val="000C4A10"/>
    <w:rsid w:val="000C4D24"/>
    <w:rsid w:val="000C4DD9"/>
    <w:rsid w:val="000C5517"/>
    <w:rsid w:val="000C5B30"/>
    <w:rsid w:val="000C60A9"/>
    <w:rsid w:val="000C6D86"/>
    <w:rsid w:val="000C7A34"/>
    <w:rsid w:val="000C7C30"/>
    <w:rsid w:val="000D0304"/>
    <w:rsid w:val="000D078D"/>
    <w:rsid w:val="000D14A8"/>
    <w:rsid w:val="000D15DD"/>
    <w:rsid w:val="000D478F"/>
    <w:rsid w:val="000D5AD1"/>
    <w:rsid w:val="000D64E8"/>
    <w:rsid w:val="000E0F36"/>
    <w:rsid w:val="000E0F7F"/>
    <w:rsid w:val="000E19BB"/>
    <w:rsid w:val="000E2160"/>
    <w:rsid w:val="000E2F7C"/>
    <w:rsid w:val="000E3543"/>
    <w:rsid w:val="000E4378"/>
    <w:rsid w:val="000E442B"/>
    <w:rsid w:val="000E4C13"/>
    <w:rsid w:val="000E5A4C"/>
    <w:rsid w:val="000E6C1C"/>
    <w:rsid w:val="000E6CB8"/>
    <w:rsid w:val="000E7154"/>
    <w:rsid w:val="000E75CD"/>
    <w:rsid w:val="000E76DA"/>
    <w:rsid w:val="000E7F32"/>
    <w:rsid w:val="000F093D"/>
    <w:rsid w:val="000F0CE3"/>
    <w:rsid w:val="000F0DC3"/>
    <w:rsid w:val="000F15A3"/>
    <w:rsid w:val="000F1817"/>
    <w:rsid w:val="000F1C24"/>
    <w:rsid w:val="000F1E30"/>
    <w:rsid w:val="000F281D"/>
    <w:rsid w:val="000F290C"/>
    <w:rsid w:val="000F2C52"/>
    <w:rsid w:val="000F3AC0"/>
    <w:rsid w:val="000F459A"/>
    <w:rsid w:val="000F4900"/>
    <w:rsid w:val="000F4AF0"/>
    <w:rsid w:val="000F4D74"/>
    <w:rsid w:val="000F5137"/>
    <w:rsid w:val="000F5BE4"/>
    <w:rsid w:val="000F5FA1"/>
    <w:rsid w:val="000F63A5"/>
    <w:rsid w:val="000F70B4"/>
    <w:rsid w:val="000F7A39"/>
    <w:rsid w:val="000F7F31"/>
    <w:rsid w:val="00100830"/>
    <w:rsid w:val="001010B0"/>
    <w:rsid w:val="001011E5"/>
    <w:rsid w:val="0010193F"/>
    <w:rsid w:val="00101CF5"/>
    <w:rsid w:val="00102009"/>
    <w:rsid w:val="00102E97"/>
    <w:rsid w:val="00102F3F"/>
    <w:rsid w:val="00102F8E"/>
    <w:rsid w:val="0010338F"/>
    <w:rsid w:val="001036FD"/>
    <w:rsid w:val="001037D3"/>
    <w:rsid w:val="00103A4D"/>
    <w:rsid w:val="00104592"/>
    <w:rsid w:val="001045E5"/>
    <w:rsid w:val="001052E6"/>
    <w:rsid w:val="001059FB"/>
    <w:rsid w:val="00105C72"/>
    <w:rsid w:val="00105E56"/>
    <w:rsid w:val="00106072"/>
    <w:rsid w:val="001065D1"/>
    <w:rsid w:val="00106F44"/>
    <w:rsid w:val="001079D0"/>
    <w:rsid w:val="00107F15"/>
    <w:rsid w:val="00110695"/>
    <w:rsid w:val="00110A09"/>
    <w:rsid w:val="00110A92"/>
    <w:rsid w:val="00110C97"/>
    <w:rsid w:val="00111370"/>
    <w:rsid w:val="00113769"/>
    <w:rsid w:val="00113B1B"/>
    <w:rsid w:val="001147D0"/>
    <w:rsid w:val="00114EBD"/>
    <w:rsid w:val="00114F29"/>
    <w:rsid w:val="0011514A"/>
    <w:rsid w:val="001157F9"/>
    <w:rsid w:val="00115CC2"/>
    <w:rsid w:val="00115F3C"/>
    <w:rsid w:val="001162E9"/>
    <w:rsid w:val="00116448"/>
    <w:rsid w:val="00116755"/>
    <w:rsid w:val="00116A39"/>
    <w:rsid w:val="00117366"/>
    <w:rsid w:val="00117AE9"/>
    <w:rsid w:val="001211C9"/>
    <w:rsid w:val="001216CE"/>
    <w:rsid w:val="0012175D"/>
    <w:rsid w:val="00122525"/>
    <w:rsid w:val="00122991"/>
    <w:rsid w:val="00122ACF"/>
    <w:rsid w:val="001234BC"/>
    <w:rsid w:val="001243E8"/>
    <w:rsid w:val="001249B7"/>
    <w:rsid w:val="001250FE"/>
    <w:rsid w:val="00125C83"/>
    <w:rsid w:val="001260A1"/>
    <w:rsid w:val="00126EBE"/>
    <w:rsid w:val="00127EB1"/>
    <w:rsid w:val="00131043"/>
    <w:rsid w:val="001311B1"/>
    <w:rsid w:val="00132241"/>
    <w:rsid w:val="00132D8B"/>
    <w:rsid w:val="001330EB"/>
    <w:rsid w:val="001339E5"/>
    <w:rsid w:val="0013400B"/>
    <w:rsid w:val="00134E09"/>
    <w:rsid w:val="00135168"/>
    <w:rsid w:val="001359E8"/>
    <w:rsid w:val="001364CD"/>
    <w:rsid w:val="00136639"/>
    <w:rsid w:val="001368FD"/>
    <w:rsid w:val="00136D24"/>
    <w:rsid w:val="00137D8C"/>
    <w:rsid w:val="00140A09"/>
    <w:rsid w:val="001410A6"/>
    <w:rsid w:val="00141323"/>
    <w:rsid w:val="00141853"/>
    <w:rsid w:val="00142C37"/>
    <w:rsid w:val="00143FB6"/>
    <w:rsid w:val="001442D2"/>
    <w:rsid w:val="00144610"/>
    <w:rsid w:val="00145064"/>
    <w:rsid w:val="0014570E"/>
    <w:rsid w:val="001462B9"/>
    <w:rsid w:val="00147137"/>
    <w:rsid w:val="00147209"/>
    <w:rsid w:val="00147F33"/>
    <w:rsid w:val="00150011"/>
    <w:rsid w:val="0015083B"/>
    <w:rsid w:val="001510AA"/>
    <w:rsid w:val="001516CA"/>
    <w:rsid w:val="0015187C"/>
    <w:rsid w:val="00151D5C"/>
    <w:rsid w:val="00151E63"/>
    <w:rsid w:val="001520D8"/>
    <w:rsid w:val="001523EE"/>
    <w:rsid w:val="0015288C"/>
    <w:rsid w:val="00153BE9"/>
    <w:rsid w:val="00154801"/>
    <w:rsid w:val="00154F32"/>
    <w:rsid w:val="00156C6D"/>
    <w:rsid w:val="00156F04"/>
    <w:rsid w:val="00157F7D"/>
    <w:rsid w:val="00160A32"/>
    <w:rsid w:val="00160D99"/>
    <w:rsid w:val="001615F8"/>
    <w:rsid w:val="00161968"/>
    <w:rsid w:val="00161FE8"/>
    <w:rsid w:val="001626A1"/>
    <w:rsid w:val="00162890"/>
    <w:rsid w:val="00162A28"/>
    <w:rsid w:val="00162FEF"/>
    <w:rsid w:val="001637A4"/>
    <w:rsid w:val="001649AD"/>
    <w:rsid w:val="001657A7"/>
    <w:rsid w:val="00165897"/>
    <w:rsid w:val="00165B49"/>
    <w:rsid w:val="00165B5D"/>
    <w:rsid w:val="00165DCD"/>
    <w:rsid w:val="00167679"/>
    <w:rsid w:val="001678D5"/>
    <w:rsid w:val="001706D9"/>
    <w:rsid w:val="00170AD8"/>
    <w:rsid w:val="00171EA8"/>
    <w:rsid w:val="0017294D"/>
    <w:rsid w:val="00172B3C"/>
    <w:rsid w:val="00173467"/>
    <w:rsid w:val="001738A3"/>
    <w:rsid w:val="00173946"/>
    <w:rsid w:val="0017540B"/>
    <w:rsid w:val="001758B3"/>
    <w:rsid w:val="00176A13"/>
    <w:rsid w:val="00177390"/>
    <w:rsid w:val="0017781F"/>
    <w:rsid w:val="00177D4F"/>
    <w:rsid w:val="00177E47"/>
    <w:rsid w:val="00180255"/>
    <w:rsid w:val="0018050D"/>
    <w:rsid w:val="00180CC7"/>
    <w:rsid w:val="00180E1D"/>
    <w:rsid w:val="0018131A"/>
    <w:rsid w:val="0018176A"/>
    <w:rsid w:val="0018179F"/>
    <w:rsid w:val="00181801"/>
    <w:rsid w:val="00181F1A"/>
    <w:rsid w:val="001823D4"/>
    <w:rsid w:val="00183490"/>
    <w:rsid w:val="0018385B"/>
    <w:rsid w:val="00183C14"/>
    <w:rsid w:val="001843DC"/>
    <w:rsid w:val="001865C7"/>
    <w:rsid w:val="001870BB"/>
    <w:rsid w:val="001870D7"/>
    <w:rsid w:val="00187503"/>
    <w:rsid w:val="00187791"/>
    <w:rsid w:val="00191210"/>
    <w:rsid w:val="0019196C"/>
    <w:rsid w:val="0019232F"/>
    <w:rsid w:val="001930DE"/>
    <w:rsid w:val="0019323F"/>
    <w:rsid w:val="0019390C"/>
    <w:rsid w:val="0019457C"/>
    <w:rsid w:val="00195460"/>
    <w:rsid w:val="001955E8"/>
    <w:rsid w:val="0019603A"/>
    <w:rsid w:val="00196056"/>
    <w:rsid w:val="00196971"/>
    <w:rsid w:val="00196C99"/>
    <w:rsid w:val="00197191"/>
    <w:rsid w:val="001975AA"/>
    <w:rsid w:val="00197751"/>
    <w:rsid w:val="00197D0E"/>
    <w:rsid w:val="001A02F2"/>
    <w:rsid w:val="001A09BC"/>
    <w:rsid w:val="001A2132"/>
    <w:rsid w:val="001A2602"/>
    <w:rsid w:val="001A2BCB"/>
    <w:rsid w:val="001A2F88"/>
    <w:rsid w:val="001A306B"/>
    <w:rsid w:val="001A36CA"/>
    <w:rsid w:val="001A39FF"/>
    <w:rsid w:val="001A3D08"/>
    <w:rsid w:val="001A3DC2"/>
    <w:rsid w:val="001A4320"/>
    <w:rsid w:val="001A44A6"/>
    <w:rsid w:val="001A458B"/>
    <w:rsid w:val="001A4F78"/>
    <w:rsid w:val="001A4F9C"/>
    <w:rsid w:val="001A4FF9"/>
    <w:rsid w:val="001A5DF3"/>
    <w:rsid w:val="001A685C"/>
    <w:rsid w:val="001A6AF6"/>
    <w:rsid w:val="001A6F4E"/>
    <w:rsid w:val="001A71BD"/>
    <w:rsid w:val="001A7561"/>
    <w:rsid w:val="001A76A8"/>
    <w:rsid w:val="001A78B9"/>
    <w:rsid w:val="001B0038"/>
    <w:rsid w:val="001B0216"/>
    <w:rsid w:val="001B062C"/>
    <w:rsid w:val="001B0641"/>
    <w:rsid w:val="001B088D"/>
    <w:rsid w:val="001B0996"/>
    <w:rsid w:val="001B0CEB"/>
    <w:rsid w:val="001B2A84"/>
    <w:rsid w:val="001B2ECC"/>
    <w:rsid w:val="001B34C0"/>
    <w:rsid w:val="001B3D32"/>
    <w:rsid w:val="001B3D8D"/>
    <w:rsid w:val="001B5468"/>
    <w:rsid w:val="001B5791"/>
    <w:rsid w:val="001B628E"/>
    <w:rsid w:val="001B78B3"/>
    <w:rsid w:val="001B795C"/>
    <w:rsid w:val="001B7A93"/>
    <w:rsid w:val="001B7C04"/>
    <w:rsid w:val="001C0CC3"/>
    <w:rsid w:val="001C27A6"/>
    <w:rsid w:val="001C4FB5"/>
    <w:rsid w:val="001C5855"/>
    <w:rsid w:val="001C682B"/>
    <w:rsid w:val="001C6D80"/>
    <w:rsid w:val="001C7A06"/>
    <w:rsid w:val="001D040E"/>
    <w:rsid w:val="001D2F48"/>
    <w:rsid w:val="001D33D2"/>
    <w:rsid w:val="001D34EB"/>
    <w:rsid w:val="001D4470"/>
    <w:rsid w:val="001D4BF4"/>
    <w:rsid w:val="001D5821"/>
    <w:rsid w:val="001D5B73"/>
    <w:rsid w:val="001D62D6"/>
    <w:rsid w:val="001D63ED"/>
    <w:rsid w:val="001D64CF"/>
    <w:rsid w:val="001E01D7"/>
    <w:rsid w:val="001E0A93"/>
    <w:rsid w:val="001E1220"/>
    <w:rsid w:val="001E18C9"/>
    <w:rsid w:val="001E22CB"/>
    <w:rsid w:val="001E297A"/>
    <w:rsid w:val="001E31B5"/>
    <w:rsid w:val="001E38AD"/>
    <w:rsid w:val="001E4036"/>
    <w:rsid w:val="001E5617"/>
    <w:rsid w:val="001E5789"/>
    <w:rsid w:val="001E6C6E"/>
    <w:rsid w:val="001F02A8"/>
    <w:rsid w:val="001F072F"/>
    <w:rsid w:val="001F1976"/>
    <w:rsid w:val="001F23C2"/>
    <w:rsid w:val="001F2BF8"/>
    <w:rsid w:val="001F5761"/>
    <w:rsid w:val="001F650D"/>
    <w:rsid w:val="001F6BB0"/>
    <w:rsid w:val="001F7A6B"/>
    <w:rsid w:val="001F7E3A"/>
    <w:rsid w:val="0020097C"/>
    <w:rsid w:val="002020C4"/>
    <w:rsid w:val="0020216D"/>
    <w:rsid w:val="002025E0"/>
    <w:rsid w:val="002026AB"/>
    <w:rsid w:val="00202862"/>
    <w:rsid w:val="0020298F"/>
    <w:rsid w:val="00202CD2"/>
    <w:rsid w:val="00204CD1"/>
    <w:rsid w:val="00205356"/>
    <w:rsid w:val="002058D2"/>
    <w:rsid w:val="00205E56"/>
    <w:rsid w:val="002060DE"/>
    <w:rsid w:val="00206923"/>
    <w:rsid w:val="00206ACC"/>
    <w:rsid w:val="002078D2"/>
    <w:rsid w:val="00210848"/>
    <w:rsid w:val="00210D90"/>
    <w:rsid w:val="00211600"/>
    <w:rsid w:val="002117BE"/>
    <w:rsid w:val="00212325"/>
    <w:rsid w:val="00212F93"/>
    <w:rsid w:val="0021446A"/>
    <w:rsid w:val="0021479A"/>
    <w:rsid w:val="00215169"/>
    <w:rsid w:val="0021542B"/>
    <w:rsid w:val="00215449"/>
    <w:rsid w:val="002159D3"/>
    <w:rsid w:val="00215CCD"/>
    <w:rsid w:val="00215FE4"/>
    <w:rsid w:val="00216850"/>
    <w:rsid w:val="00216B02"/>
    <w:rsid w:val="00216B18"/>
    <w:rsid w:val="00217B9E"/>
    <w:rsid w:val="00217E7C"/>
    <w:rsid w:val="00217ED4"/>
    <w:rsid w:val="00220182"/>
    <w:rsid w:val="00220312"/>
    <w:rsid w:val="002203A0"/>
    <w:rsid w:val="002204AF"/>
    <w:rsid w:val="00220A98"/>
    <w:rsid w:val="00220F36"/>
    <w:rsid w:val="0022206C"/>
    <w:rsid w:val="00222B58"/>
    <w:rsid w:val="002251CF"/>
    <w:rsid w:val="00225260"/>
    <w:rsid w:val="002252BA"/>
    <w:rsid w:val="00227824"/>
    <w:rsid w:val="0022794A"/>
    <w:rsid w:val="00227B4D"/>
    <w:rsid w:val="00227D39"/>
    <w:rsid w:val="00230486"/>
    <w:rsid w:val="002304D5"/>
    <w:rsid w:val="0023051F"/>
    <w:rsid w:val="002306A6"/>
    <w:rsid w:val="00231386"/>
    <w:rsid w:val="0023289E"/>
    <w:rsid w:val="0023301C"/>
    <w:rsid w:val="00233761"/>
    <w:rsid w:val="002337A1"/>
    <w:rsid w:val="00233B72"/>
    <w:rsid w:val="00234324"/>
    <w:rsid w:val="00235FDE"/>
    <w:rsid w:val="0023602C"/>
    <w:rsid w:val="00236B1D"/>
    <w:rsid w:val="00236C6B"/>
    <w:rsid w:val="00236DAD"/>
    <w:rsid w:val="00237C20"/>
    <w:rsid w:val="00237C70"/>
    <w:rsid w:val="00237F74"/>
    <w:rsid w:val="00240D95"/>
    <w:rsid w:val="0024150A"/>
    <w:rsid w:val="00241532"/>
    <w:rsid w:val="00241FE7"/>
    <w:rsid w:val="00242CD6"/>
    <w:rsid w:val="00242F4F"/>
    <w:rsid w:val="00243BB7"/>
    <w:rsid w:val="0024437A"/>
    <w:rsid w:val="002449D5"/>
    <w:rsid w:val="00244A28"/>
    <w:rsid w:val="0024616D"/>
    <w:rsid w:val="00246250"/>
    <w:rsid w:val="00246731"/>
    <w:rsid w:val="00246C7B"/>
    <w:rsid w:val="002476AF"/>
    <w:rsid w:val="00247EC2"/>
    <w:rsid w:val="002506DF"/>
    <w:rsid w:val="002510BB"/>
    <w:rsid w:val="0025167A"/>
    <w:rsid w:val="00251DDE"/>
    <w:rsid w:val="0025205A"/>
    <w:rsid w:val="0025236D"/>
    <w:rsid w:val="0025263C"/>
    <w:rsid w:val="00252695"/>
    <w:rsid w:val="00253582"/>
    <w:rsid w:val="00253AE0"/>
    <w:rsid w:val="00253BAC"/>
    <w:rsid w:val="00253C75"/>
    <w:rsid w:val="00253F1A"/>
    <w:rsid w:val="0025453B"/>
    <w:rsid w:val="00254E22"/>
    <w:rsid w:val="002569A3"/>
    <w:rsid w:val="00260F8C"/>
    <w:rsid w:val="00261697"/>
    <w:rsid w:val="00262C9F"/>
    <w:rsid w:val="002630EB"/>
    <w:rsid w:val="00263256"/>
    <w:rsid w:val="00264182"/>
    <w:rsid w:val="002652FA"/>
    <w:rsid w:val="00266098"/>
    <w:rsid w:val="002663FE"/>
    <w:rsid w:val="00266D30"/>
    <w:rsid w:val="00267F0B"/>
    <w:rsid w:val="002700FB"/>
    <w:rsid w:val="00270995"/>
    <w:rsid w:val="0027149C"/>
    <w:rsid w:val="0027172F"/>
    <w:rsid w:val="00272B70"/>
    <w:rsid w:val="00272D62"/>
    <w:rsid w:val="00273010"/>
    <w:rsid w:val="00274641"/>
    <w:rsid w:val="00275701"/>
    <w:rsid w:val="00276951"/>
    <w:rsid w:val="00276DA1"/>
    <w:rsid w:val="00277836"/>
    <w:rsid w:val="00277A17"/>
    <w:rsid w:val="00277FB2"/>
    <w:rsid w:val="0028008F"/>
    <w:rsid w:val="0028191D"/>
    <w:rsid w:val="00281955"/>
    <w:rsid w:val="00281C68"/>
    <w:rsid w:val="00281EDE"/>
    <w:rsid w:val="002821FE"/>
    <w:rsid w:val="00282B86"/>
    <w:rsid w:val="002849AF"/>
    <w:rsid w:val="00285158"/>
    <w:rsid w:val="0028564C"/>
    <w:rsid w:val="00285F4B"/>
    <w:rsid w:val="00286472"/>
    <w:rsid w:val="00286955"/>
    <w:rsid w:val="00287240"/>
    <w:rsid w:val="00290C55"/>
    <w:rsid w:val="0029119C"/>
    <w:rsid w:val="0029132B"/>
    <w:rsid w:val="002919C6"/>
    <w:rsid w:val="00291EF9"/>
    <w:rsid w:val="002929A8"/>
    <w:rsid w:val="002936F8"/>
    <w:rsid w:val="00293D79"/>
    <w:rsid w:val="00294713"/>
    <w:rsid w:val="0029491B"/>
    <w:rsid w:val="00294B9C"/>
    <w:rsid w:val="00294F4E"/>
    <w:rsid w:val="002958E8"/>
    <w:rsid w:val="00296218"/>
    <w:rsid w:val="0029656E"/>
    <w:rsid w:val="00297E2D"/>
    <w:rsid w:val="002A0202"/>
    <w:rsid w:val="002A04DE"/>
    <w:rsid w:val="002A074E"/>
    <w:rsid w:val="002A1102"/>
    <w:rsid w:val="002A124E"/>
    <w:rsid w:val="002A15D5"/>
    <w:rsid w:val="002A16DF"/>
    <w:rsid w:val="002A1C37"/>
    <w:rsid w:val="002A1D24"/>
    <w:rsid w:val="002A220C"/>
    <w:rsid w:val="002A2313"/>
    <w:rsid w:val="002A239F"/>
    <w:rsid w:val="002A242F"/>
    <w:rsid w:val="002A26DF"/>
    <w:rsid w:val="002A27B6"/>
    <w:rsid w:val="002A316F"/>
    <w:rsid w:val="002A31EE"/>
    <w:rsid w:val="002A5C3E"/>
    <w:rsid w:val="002A614B"/>
    <w:rsid w:val="002A6FB6"/>
    <w:rsid w:val="002A76F4"/>
    <w:rsid w:val="002A771E"/>
    <w:rsid w:val="002A79FB"/>
    <w:rsid w:val="002A7C80"/>
    <w:rsid w:val="002A7FBA"/>
    <w:rsid w:val="002B1BAC"/>
    <w:rsid w:val="002B1C81"/>
    <w:rsid w:val="002B2393"/>
    <w:rsid w:val="002B2C2A"/>
    <w:rsid w:val="002B3041"/>
    <w:rsid w:val="002B350A"/>
    <w:rsid w:val="002B362C"/>
    <w:rsid w:val="002B3797"/>
    <w:rsid w:val="002B39C4"/>
    <w:rsid w:val="002B3E50"/>
    <w:rsid w:val="002B4A0C"/>
    <w:rsid w:val="002B4AAB"/>
    <w:rsid w:val="002B537E"/>
    <w:rsid w:val="002B55D4"/>
    <w:rsid w:val="002B5771"/>
    <w:rsid w:val="002B5791"/>
    <w:rsid w:val="002B5FC4"/>
    <w:rsid w:val="002B6200"/>
    <w:rsid w:val="002B64BB"/>
    <w:rsid w:val="002B65DE"/>
    <w:rsid w:val="002B7350"/>
    <w:rsid w:val="002C2704"/>
    <w:rsid w:val="002C2ABB"/>
    <w:rsid w:val="002C36D0"/>
    <w:rsid w:val="002C38CC"/>
    <w:rsid w:val="002C4EBA"/>
    <w:rsid w:val="002C5358"/>
    <w:rsid w:val="002C5845"/>
    <w:rsid w:val="002C5981"/>
    <w:rsid w:val="002C6BBE"/>
    <w:rsid w:val="002C7771"/>
    <w:rsid w:val="002D1556"/>
    <w:rsid w:val="002D193C"/>
    <w:rsid w:val="002D215F"/>
    <w:rsid w:val="002D26A0"/>
    <w:rsid w:val="002D2DF3"/>
    <w:rsid w:val="002D330D"/>
    <w:rsid w:val="002D339D"/>
    <w:rsid w:val="002D3FCF"/>
    <w:rsid w:val="002D42DB"/>
    <w:rsid w:val="002D4AC3"/>
    <w:rsid w:val="002D4F79"/>
    <w:rsid w:val="002D51C6"/>
    <w:rsid w:val="002D586C"/>
    <w:rsid w:val="002D59D3"/>
    <w:rsid w:val="002D5E7B"/>
    <w:rsid w:val="002D74B2"/>
    <w:rsid w:val="002E03A4"/>
    <w:rsid w:val="002E0596"/>
    <w:rsid w:val="002E1F8B"/>
    <w:rsid w:val="002E20FC"/>
    <w:rsid w:val="002E2601"/>
    <w:rsid w:val="002E2A85"/>
    <w:rsid w:val="002E2F93"/>
    <w:rsid w:val="002E358C"/>
    <w:rsid w:val="002E399A"/>
    <w:rsid w:val="002E3EDB"/>
    <w:rsid w:val="002E4AF6"/>
    <w:rsid w:val="002E52B2"/>
    <w:rsid w:val="002E5428"/>
    <w:rsid w:val="002E5443"/>
    <w:rsid w:val="002E6559"/>
    <w:rsid w:val="002E6A65"/>
    <w:rsid w:val="002E76CF"/>
    <w:rsid w:val="002F005E"/>
    <w:rsid w:val="002F0AEE"/>
    <w:rsid w:val="002F1360"/>
    <w:rsid w:val="002F1648"/>
    <w:rsid w:val="002F1975"/>
    <w:rsid w:val="002F2B78"/>
    <w:rsid w:val="002F3E65"/>
    <w:rsid w:val="002F473F"/>
    <w:rsid w:val="002F4C0A"/>
    <w:rsid w:val="002F4CC2"/>
    <w:rsid w:val="002F541D"/>
    <w:rsid w:val="002F6E68"/>
    <w:rsid w:val="002F71E2"/>
    <w:rsid w:val="00300752"/>
    <w:rsid w:val="00300B05"/>
    <w:rsid w:val="003011A3"/>
    <w:rsid w:val="003013BC"/>
    <w:rsid w:val="00301595"/>
    <w:rsid w:val="00301C4D"/>
    <w:rsid w:val="003020A1"/>
    <w:rsid w:val="00302543"/>
    <w:rsid w:val="00302A01"/>
    <w:rsid w:val="00302AAE"/>
    <w:rsid w:val="00302E5F"/>
    <w:rsid w:val="00302FB4"/>
    <w:rsid w:val="00304411"/>
    <w:rsid w:val="00304423"/>
    <w:rsid w:val="003044D0"/>
    <w:rsid w:val="00304BE0"/>
    <w:rsid w:val="0030549B"/>
    <w:rsid w:val="00305B2E"/>
    <w:rsid w:val="00305DCB"/>
    <w:rsid w:val="003061F4"/>
    <w:rsid w:val="00307D82"/>
    <w:rsid w:val="003108CF"/>
    <w:rsid w:val="00310E04"/>
    <w:rsid w:val="00311399"/>
    <w:rsid w:val="003116C5"/>
    <w:rsid w:val="00311F0B"/>
    <w:rsid w:val="00311F6B"/>
    <w:rsid w:val="00311F6E"/>
    <w:rsid w:val="0031227D"/>
    <w:rsid w:val="003127D7"/>
    <w:rsid w:val="00314258"/>
    <w:rsid w:val="00314320"/>
    <w:rsid w:val="00314468"/>
    <w:rsid w:val="003147F1"/>
    <w:rsid w:val="00314D3A"/>
    <w:rsid w:val="00314DA4"/>
    <w:rsid w:val="003150E0"/>
    <w:rsid w:val="00315785"/>
    <w:rsid w:val="00315912"/>
    <w:rsid w:val="003161D6"/>
    <w:rsid w:val="00316623"/>
    <w:rsid w:val="00317A2F"/>
    <w:rsid w:val="00317FB6"/>
    <w:rsid w:val="00321808"/>
    <w:rsid w:val="00321E32"/>
    <w:rsid w:val="00323FDA"/>
    <w:rsid w:val="003243BF"/>
    <w:rsid w:val="003245B3"/>
    <w:rsid w:val="003251C7"/>
    <w:rsid w:val="00325339"/>
    <w:rsid w:val="003260AD"/>
    <w:rsid w:val="00326254"/>
    <w:rsid w:val="00326641"/>
    <w:rsid w:val="00327E4E"/>
    <w:rsid w:val="00330556"/>
    <w:rsid w:val="00331531"/>
    <w:rsid w:val="00331752"/>
    <w:rsid w:val="00331A29"/>
    <w:rsid w:val="003320AE"/>
    <w:rsid w:val="00332324"/>
    <w:rsid w:val="0033258C"/>
    <w:rsid w:val="00333AA2"/>
    <w:rsid w:val="00334933"/>
    <w:rsid w:val="00334C4C"/>
    <w:rsid w:val="00334D8D"/>
    <w:rsid w:val="00334F93"/>
    <w:rsid w:val="00335CFE"/>
    <w:rsid w:val="003362A9"/>
    <w:rsid w:val="003368F5"/>
    <w:rsid w:val="00336BC7"/>
    <w:rsid w:val="00336EF3"/>
    <w:rsid w:val="00337302"/>
    <w:rsid w:val="00337506"/>
    <w:rsid w:val="0034111E"/>
    <w:rsid w:val="00341582"/>
    <w:rsid w:val="003418EA"/>
    <w:rsid w:val="00341BD3"/>
    <w:rsid w:val="003428AE"/>
    <w:rsid w:val="0034351D"/>
    <w:rsid w:val="003435F4"/>
    <w:rsid w:val="00343CBC"/>
    <w:rsid w:val="00343FCE"/>
    <w:rsid w:val="003447A3"/>
    <w:rsid w:val="003449B9"/>
    <w:rsid w:val="00344C47"/>
    <w:rsid w:val="003461D2"/>
    <w:rsid w:val="00346ACC"/>
    <w:rsid w:val="00346EB1"/>
    <w:rsid w:val="003473CB"/>
    <w:rsid w:val="003474B2"/>
    <w:rsid w:val="00347AE1"/>
    <w:rsid w:val="00347B65"/>
    <w:rsid w:val="00347F03"/>
    <w:rsid w:val="00347FDB"/>
    <w:rsid w:val="00350679"/>
    <w:rsid w:val="00350E32"/>
    <w:rsid w:val="00352B63"/>
    <w:rsid w:val="00353211"/>
    <w:rsid w:val="003537F5"/>
    <w:rsid w:val="003546E9"/>
    <w:rsid w:val="00354BD7"/>
    <w:rsid w:val="00354EA3"/>
    <w:rsid w:val="0035559E"/>
    <w:rsid w:val="00355ED7"/>
    <w:rsid w:val="00356819"/>
    <w:rsid w:val="00357ECA"/>
    <w:rsid w:val="00357FAE"/>
    <w:rsid w:val="0036018E"/>
    <w:rsid w:val="00360259"/>
    <w:rsid w:val="00360FAA"/>
    <w:rsid w:val="0036208F"/>
    <w:rsid w:val="0036384F"/>
    <w:rsid w:val="0036396D"/>
    <w:rsid w:val="00363D97"/>
    <w:rsid w:val="00364CA3"/>
    <w:rsid w:val="00364EDC"/>
    <w:rsid w:val="0036549D"/>
    <w:rsid w:val="00365593"/>
    <w:rsid w:val="00365A38"/>
    <w:rsid w:val="00365C0A"/>
    <w:rsid w:val="00366A55"/>
    <w:rsid w:val="00366F93"/>
    <w:rsid w:val="00367079"/>
    <w:rsid w:val="003675FE"/>
    <w:rsid w:val="00371187"/>
    <w:rsid w:val="003716AA"/>
    <w:rsid w:val="00372147"/>
    <w:rsid w:val="00372327"/>
    <w:rsid w:val="00372AE9"/>
    <w:rsid w:val="00373D16"/>
    <w:rsid w:val="0037498A"/>
    <w:rsid w:val="00374DAA"/>
    <w:rsid w:val="00375188"/>
    <w:rsid w:val="003751C9"/>
    <w:rsid w:val="00375536"/>
    <w:rsid w:val="003759CD"/>
    <w:rsid w:val="00375B37"/>
    <w:rsid w:val="00375CE8"/>
    <w:rsid w:val="0037712B"/>
    <w:rsid w:val="00377D04"/>
    <w:rsid w:val="0038121C"/>
    <w:rsid w:val="0038129A"/>
    <w:rsid w:val="003820ED"/>
    <w:rsid w:val="0038339E"/>
    <w:rsid w:val="00384A49"/>
    <w:rsid w:val="00384A8C"/>
    <w:rsid w:val="00385282"/>
    <w:rsid w:val="0038549D"/>
    <w:rsid w:val="0038559B"/>
    <w:rsid w:val="00385643"/>
    <w:rsid w:val="00385A53"/>
    <w:rsid w:val="00385C9F"/>
    <w:rsid w:val="00386091"/>
    <w:rsid w:val="003863C7"/>
    <w:rsid w:val="00386656"/>
    <w:rsid w:val="00386A9B"/>
    <w:rsid w:val="00386E41"/>
    <w:rsid w:val="00387ADE"/>
    <w:rsid w:val="00390647"/>
    <w:rsid w:val="00390B48"/>
    <w:rsid w:val="00390F5D"/>
    <w:rsid w:val="00391917"/>
    <w:rsid w:val="00391DE8"/>
    <w:rsid w:val="003922AC"/>
    <w:rsid w:val="0039286F"/>
    <w:rsid w:val="0039303C"/>
    <w:rsid w:val="003930AE"/>
    <w:rsid w:val="0039368E"/>
    <w:rsid w:val="00393C04"/>
    <w:rsid w:val="0039411A"/>
    <w:rsid w:val="00394D91"/>
    <w:rsid w:val="00396495"/>
    <w:rsid w:val="003968BE"/>
    <w:rsid w:val="00396CA2"/>
    <w:rsid w:val="00397053"/>
    <w:rsid w:val="00397424"/>
    <w:rsid w:val="003974C5"/>
    <w:rsid w:val="003975D8"/>
    <w:rsid w:val="00397E8E"/>
    <w:rsid w:val="003A0218"/>
    <w:rsid w:val="003A0259"/>
    <w:rsid w:val="003A0557"/>
    <w:rsid w:val="003A127E"/>
    <w:rsid w:val="003A1461"/>
    <w:rsid w:val="003A1C5C"/>
    <w:rsid w:val="003A1F22"/>
    <w:rsid w:val="003A21B2"/>
    <w:rsid w:val="003A3F72"/>
    <w:rsid w:val="003A3FCB"/>
    <w:rsid w:val="003A4B21"/>
    <w:rsid w:val="003A5A52"/>
    <w:rsid w:val="003A5D2B"/>
    <w:rsid w:val="003A5D9F"/>
    <w:rsid w:val="003A662E"/>
    <w:rsid w:val="003A6E57"/>
    <w:rsid w:val="003A7A39"/>
    <w:rsid w:val="003B078A"/>
    <w:rsid w:val="003B0A7B"/>
    <w:rsid w:val="003B0C6C"/>
    <w:rsid w:val="003B17B2"/>
    <w:rsid w:val="003B18AA"/>
    <w:rsid w:val="003B2804"/>
    <w:rsid w:val="003B2B4A"/>
    <w:rsid w:val="003B2FB4"/>
    <w:rsid w:val="003B3311"/>
    <w:rsid w:val="003B39FB"/>
    <w:rsid w:val="003B41B7"/>
    <w:rsid w:val="003B469F"/>
    <w:rsid w:val="003B586C"/>
    <w:rsid w:val="003B5B5C"/>
    <w:rsid w:val="003B5F1D"/>
    <w:rsid w:val="003B608F"/>
    <w:rsid w:val="003B663F"/>
    <w:rsid w:val="003B6FAB"/>
    <w:rsid w:val="003B719F"/>
    <w:rsid w:val="003B785D"/>
    <w:rsid w:val="003C03E1"/>
    <w:rsid w:val="003C0814"/>
    <w:rsid w:val="003C0C3C"/>
    <w:rsid w:val="003C0DD8"/>
    <w:rsid w:val="003C1336"/>
    <w:rsid w:val="003C19A9"/>
    <w:rsid w:val="003C1F34"/>
    <w:rsid w:val="003C219F"/>
    <w:rsid w:val="003C42A6"/>
    <w:rsid w:val="003C4785"/>
    <w:rsid w:val="003C4D83"/>
    <w:rsid w:val="003C51C3"/>
    <w:rsid w:val="003C5467"/>
    <w:rsid w:val="003C559E"/>
    <w:rsid w:val="003C6730"/>
    <w:rsid w:val="003C67E8"/>
    <w:rsid w:val="003C6878"/>
    <w:rsid w:val="003C783E"/>
    <w:rsid w:val="003D0768"/>
    <w:rsid w:val="003D0910"/>
    <w:rsid w:val="003D0F81"/>
    <w:rsid w:val="003D1AF8"/>
    <w:rsid w:val="003D236A"/>
    <w:rsid w:val="003D2629"/>
    <w:rsid w:val="003D36E5"/>
    <w:rsid w:val="003D3B80"/>
    <w:rsid w:val="003D3F57"/>
    <w:rsid w:val="003D4843"/>
    <w:rsid w:val="003D4878"/>
    <w:rsid w:val="003D5064"/>
    <w:rsid w:val="003D5712"/>
    <w:rsid w:val="003D5BDB"/>
    <w:rsid w:val="003D6237"/>
    <w:rsid w:val="003D6734"/>
    <w:rsid w:val="003E0045"/>
    <w:rsid w:val="003E0085"/>
    <w:rsid w:val="003E0AE3"/>
    <w:rsid w:val="003E115C"/>
    <w:rsid w:val="003E2362"/>
    <w:rsid w:val="003E2DDD"/>
    <w:rsid w:val="003E3E16"/>
    <w:rsid w:val="003E4C51"/>
    <w:rsid w:val="003E72DB"/>
    <w:rsid w:val="003E7E1E"/>
    <w:rsid w:val="003E7E8E"/>
    <w:rsid w:val="003F00A4"/>
    <w:rsid w:val="003F021A"/>
    <w:rsid w:val="003F1100"/>
    <w:rsid w:val="003F1383"/>
    <w:rsid w:val="003F13D6"/>
    <w:rsid w:val="003F19DC"/>
    <w:rsid w:val="003F24B0"/>
    <w:rsid w:val="003F3BA0"/>
    <w:rsid w:val="003F4809"/>
    <w:rsid w:val="003F6FC6"/>
    <w:rsid w:val="003F71F4"/>
    <w:rsid w:val="003F74FE"/>
    <w:rsid w:val="003F7E3C"/>
    <w:rsid w:val="003F7E94"/>
    <w:rsid w:val="0040068E"/>
    <w:rsid w:val="004007C0"/>
    <w:rsid w:val="00400F2A"/>
    <w:rsid w:val="0040111E"/>
    <w:rsid w:val="004018A4"/>
    <w:rsid w:val="00402A9B"/>
    <w:rsid w:val="00403389"/>
    <w:rsid w:val="00403B5C"/>
    <w:rsid w:val="00403CC5"/>
    <w:rsid w:val="00403F0D"/>
    <w:rsid w:val="004045FB"/>
    <w:rsid w:val="00404BA4"/>
    <w:rsid w:val="00404EC3"/>
    <w:rsid w:val="00404F66"/>
    <w:rsid w:val="004050BE"/>
    <w:rsid w:val="00405320"/>
    <w:rsid w:val="004058C5"/>
    <w:rsid w:val="004060B3"/>
    <w:rsid w:val="00406D20"/>
    <w:rsid w:val="00407B00"/>
    <w:rsid w:val="00407BE6"/>
    <w:rsid w:val="00410247"/>
    <w:rsid w:val="0041064D"/>
    <w:rsid w:val="00410A65"/>
    <w:rsid w:val="00411699"/>
    <w:rsid w:val="004117C9"/>
    <w:rsid w:val="0041183F"/>
    <w:rsid w:val="004119B7"/>
    <w:rsid w:val="00411B8F"/>
    <w:rsid w:val="00412BE8"/>
    <w:rsid w:val="00413159"/>
    <w:rsid w:val="00413345"/>
    <w:rsid w:val="00413809"/>
    <w:rsid w:val="00413C57"/>
    <w:rsid w:val="00414AAB"/>
    <w:rsid w:val="004157BF"/>
    <w:rsid w:val="00416D2C"/>
    <w:rsid w:val="00416FE9"/>
    <w:rsid w:val="00417477"/>
    <w:rsid w:val="004175DC"/>
    <w:rsid w:val="00417BDA"/>
    <w:rsid w:val="0042008E"/>
    <w:rsid w:val="00420DA8"/>
    <w:rsid w:val="00421470"/>
    <w:rsid w:val="004215ED"/>
    <w:rsid w:val="00421C7C"/>
    <w:rsid w:val="00422341"/>
    <w:rsid w:val="004223DC"/>
    <w:rsid w:val="00422732"/>
    <w:rsid w:val="00422FAB"/>
    <w:rsid w:val="00423A99"/>
    <w:rsid w:val="00424093"/>
    <w:rsid w:val="004270E1"/>
    <w:rsid w:val="00427C12"/>
    <w:rsid w:val="00430370"/>
    <w:rsid w:val="00430B27"/>
    <w:rsid w:val="00431A37"/>
    <w:rsid w:val="00431D68"/>
    <w:rsid w:val="00433BC7"/>
    <w:rsid w:val="00433FDA"/>
    <w:rsid w:val="00434740"/>
    <w:rsid w:val="00434B42"/>
    <w:rsid w:val="004354D0"/>
    <w:rsid w:val="00435E4F"/>
    <w:rsid w:val="00437D3E"/>
    <w:rsid w:val="0044032C"/>
    <w:rsid w:val="004403D3"/>
    <w:rsid w:val="0044044D"/>
    <w:rsid w:val="00440FD0"/>
    <w:rsid w:val="0044109C"/>
    <w:rsid w:val="00441185"/>
    <w:rsid w:val="00441555"/>
    <w:rsid w:val="0044266F"/>
    <w:rsid w:val="00442770"/>
    <w:rsid w:val="004427A0"/>
    <w:rsid w:val="00442939"/>
    <w:rsid w:val="00442A55"/>
    <w:rsid w:val="00442B89"/>
    <w:rsid w:val="00442F5A"/>
    <w:rsid w:val="004433CD"/>
    <w:rsid w:val="00444398"/>
    <w:rsid w:val="00444523"/>
    <w:rsid w:val="004449AE"/>
    <w:rsid w:val="00444C5E"/>
    <w:rsid w:val="004456EC"/>
    <w:rsid w:val="00445DB6"/>
    <w:rsid w:val="004462A9"/>
    <w:rsid w:val="00446378"/>
    <w:rsid w:val="00446F77"/>
    <w:rsid w:val="004470D3"/>
    <w:rsid w:val="0044796A"/>
    <w:rsid w:val="00447A26"/>
    <w:rsid w:val="00447D8F"/>
    <w:rsid w:val="00450198"/>
    <w:rsid w:val="004509F8"/>
    <w:rsid w:val="0045112D"/>
    <w:rsid w:val="00452A6F"/>
    <w:rsid w:val="00452C57"/>
    <w:rsid w:val="004538F4"/>
    <w:rsid w:val="00453F1B"/>
    <w:rsid w:val="0045445F"/>
    <w:rsid w:val="004549C0"/>
    <w:rsid w:val="0045587C"/>
    <w:rsid w:val="0045588E"/>
    <w:rsid w:val="00455EBF"/>
    <w:rsid w:val="00455F67"/>
    <w:rsid w:val="004564DB"/>
    <w:rsid w:val="00456AA6"/>
    <w:rsid w:val="00456BEF"/>
    <w:rsid w:val="00456D70"/>
    <w:rsid w:val="004579DB"/>
    <w:rsid w:val="00457A06"/>
    <w:rsid w:val="00460BAE"/>
    <w:rsid w:val="00461031"/>
    <w:rsid w:val="0046109A"/>
    <w:rsid w:val="004617E5"/>
    <w:rsid w:val="004618C2"/>
    <w:rsid w:val="00461D92"/>
    <w:rsid w:val="00462516"/>
    <w:rsid w:val="00462E76"/>
    <w:rsid w:val="00463AB4"/>
    <w:rsid w:val="00463F80"/>
    <w:rsid w:val="0046403C"/>
    <w:rsid w:val="004641C4"/>
    <w:rsid w:val="00464A19"/>
    <w:rsid w:val="00464C05"/>
    <w:rsid w:val="00465FC8"/>
    <w:rsid w:val="00466229"/>
    <w:rsid w:val="0046719F"/>
    <w:rsid w:val="00467213"/>
    <w:rsid w:val="004678C3"/>
    <w:rsid w:val="004705D5"/>
    <w:rsid w:val="004710CE"/>
    <w:rsid w:val="00471B60"/>
    <w:rsid w:val="00472135"/>
    <w:rsid w:val="0047299C"/>
    <w:rsid w:val="00472A0B"/>
    <w:rsid w:val="004730C8"/>
    <w:rsid w:val="004733E3"/>
    <w:rsid w:val="00473473"/>
    <w:rsid w:val="004736B9"/>
    <w:rsid w:val="0047473B"/>
    <w:rsid w:val="00474FB6"/>
    <w:rsid w:val="004751EE"/>
    <w:rsid w:val="0047570A"/>
    <w:rsid w:val="004759F6"/>
    <w:rsid w:val="004761D6"/>
    <w:rsid w:val="004764E1"/>
    <w:rsid w:val="00477035"/>
    <w:rsid w:val="004771C9"/>
    <w:rsid w:val="004775E9"/>
    <w:rsid w:val="00480A19"/>
    <w:rsid w:val="004812F3"/>
    <w:rsid w:val="00481DA3"/>
    <w:rsid w:val="00483777"/>
    <w:rsid w:val="0048536F"/>
    <w:rsid w:val="00485AAD"/>
    <w:rsid w:val="0048653A"/>
    <w:rsid w:val="00486B04"/>
    <w:rsid w:val="00486C54"/>
    <w:rsid w:val="004872B6"/>
    <w:rsid w:val="00487A52"/>
    <w:rsid w:val="00487AD7"/>
    <w:rsid w:val="00487F34"/>
    <w:rsid w:val="00491876"/>
    <w:rsid w:val="00491900"/>
    <w:rsid w:val="004920DA"/>
    <w:rsid w:val="0049214E"/>
    <w:rsid w:val="004929D8"/>
    <w:rsid w:val="004940A6"/>
    <w:rsid w:val="004957B9"/>
    <w:rsid w:val="00495A83"/>
    <w:rsid w:val="004960F5"/>
    <w:rsid w:val="004962ED"/>
    <w:rsid w:val="004974BC"/>
    <w:rsid w:val="004A00C4"/>
    <w:rsid w:val="004A14BE"/>
    <w:rsid w:val="004A2B01"/>
    <w:rsid w:val="004A3C3C"/>
    <w:rsid w:val="004A3F1D"/>
    <w:rsid w:val="004A56B0"/>
    <w:rsid w:val="004A591E"/>
    <w:rsid w:val="004A6225"/>
    <w:rsid w:val="004A646A"/>
    <w:rsid w:val="004A66D8"/>
    <w:rsid w:val="004A6972"/>
    <w:rsid w:val="004A741C"/>
    <w:rsid w:val="004A7657"/>
    <w:rsid w:val="004B00C7"/>
    <w:rsid w:val="004B0D94"/>
    <w:rsid w:val="004B0F61"/>
    <w:rsid w:val="004B15AA"/>
    <w:rsid w:val="004B17C0"/>
    <w:rsid w:val="004B215E"/>
    <w:rsid w:val="004B3230"/>
    <w:rsid w:val="004B390B"/>
    <w:rsid w:val="004B3B44"/>
    <w:rsid w:val="004B3FCA"/>
    <w:rsid w:val="004B4C55"/>
    <w:rsid w:val="004B6573"/>
    <w:rsid w:val="004B6BE1"/>
    <w:rsid w:val="004C06A7"/>
    <w:rsid w:val="004C0760"/>
    <w:rsid w:val="004C29E9"/>
    <w:rsid w:val="004C4634"/>
    <w:rsid w:val="004C4919"/>
    <w:rsid w:val="004C525A"/>
    <w:rsid w:val="004C5C05"/>
    <w:rsid w:val="004C5F4C"/>
    <w:rsid w:val="004C6124"/>
    <w:rsid w:val="004C678F"/>
    <w:rsid w:val="004C684E"/>
    <w:rsid w:val="004C7336"/>
    <w:rsid w:val="004C7802"/>
    <w:rsid w:val="004C7887"/>
    <w:rsid w:val="004D01D0"/>
    <w:rsid w:val="004D090D"/>
    <w:rsid w:val="004D272B"/>
    <w:rsid w:val="004D2A59"/>
    <w:rsid w:val="004D2DD3"/>
    <w:rsid w:val="004D31D4"/>
    <w:rsid w:val="004D344B"/>
    <w:rsid w:val="004D5ACB"/>
    <w:rsid w:val="004D5FC7"/>
    <w:rsid w:val="004D62D6"/>
    <w:rsid w:val="004D67D4"/>
    <w:rsid w:val="004D6A8E"/>
    <w:rsid w:val="004D7B22"/>
    <w:rsid w:val="004D7CD6"/>
    <w:rsid w:val="004D7F38"/>
    <w:rsid w:val="004E043F"/>
    <w:rsid w:val="004E126B"/>
    <w:rsid w:val="004E168B"/>
    <w:rsid w:val="004E1D31"/>
    <w:rsid w:val="004E41CF"/>
    <w:rsid w:val="004E47B2"/>
    <w:rsid w:val="004E52F7"/>
    <w:rsid w:val="004E5B00"/>
    <w:rsid w:val="004E5DAB"/>
    <w:rsid w:val="004E5F3A"/>
    <w:rsid w:val="004E6B42"/>
    <w:rsid w:val="004E6F7C"/>
    <w:rsid w:val="004E72B5"/>
    <w:rsid w:val="004F0074"/>
    <w:rsid w:val="004F1A4B"/>
    <w:rsid w:val="004F1AAF"/>
    <w:rsid w:val="004F1BFB"/>
    <w:rsid w:val="004F1CEB"/>
    <w:rsid w:val="004F2346"/>
    <w:rsid w:val="004F2A3B"/>
    <w:rsid w:val="004F2DA9"/>
    <w:rsid w:val="004F43DC"/>
    <w:rsid w:val="004F4A26"/>
    <w:rsid w:val="004F5524"/>
    <w:rsid w:val="004F6055"/>
    <w:rsid w:val="004F6348"/>
    <w:rsid w:val="004F63CE"/>
    <w:rsid w:val="004F7164"/>
    <w:rsid w:val="004F760C"/>
    <w:rsid w:val="004F77DC"/>
    <w:rsid w:val="004F7E92"/>
    <w:rsid w:val="0050124B"/>
    <w:rsid w:val="00502205"/>
    <w:rsid w:val="00502B3E"/>
    <w:rsid w:val="00503703"/>
    <w:rsid w:val="00503C4B"/>
    <w:rsid w:val="0050418B"/>
    <w:rsid w:val="005041EF"/>
    <w:rsid w:val="00504BEB"/>
    <w:rsid w:val="0050549D"/>
    <w:rsid w:val="00505B4A"/>
    <w:rsid w:val="00506043"/>
    <w:rsid w:val="005061B2"/>
    <w:rsid w:val="005063AF"/>
    <w:rsid w:val="00506BF6"/>
    <w:rsid w:val="00506D67"/>
    <w:rsid w:val="00507241"/>
    <w:rsid w:val="00507898"/>
    <w:rsid w:val="005078A0"/>
    <w:rsid w:val="00507C07"/>
    <w:rsid w:val="00510421"/>
    <w:rsid w:val="00511682"/>
    <w:rsid w:val="005123F0"/>
    <w:rsid w:val="00512E21"/>
    <w:rsid w:val="00513D3D"/>
    <w:rsid w:val="0051453F"/>
    <w:rsid w:val="005158EA"/>
    <w:rsid w:val="005159A3"/>
    <w:rsid w:val="00515C53"/>
    <w:rsid w:val="00516607"/>
    <w:rsid w:val="00517057"/>
    <w:rsid w:val="0051717F"/>
    <w:rsid w:val="00517D3E"/>
    <w:rsid w:val="005216F2"/>
    <w:rsid w:val="00521E0D"/>
    <w:rsid w:val="005221C9"/>
    <w:rsid w:val="005222DC"/>
    <w:rsid w:val="00524400"/>
    <w:rsid w:val="00524777"/>
    <w:rsid w:val="00524A2F"/>
    <w:rsid w:val="00524D60"/>
    <w:rsid w:val="0052575B"/>
    <w:rsid w:val="005302B2"/>
    <w:rsid w:val="00530B64"/>
    <w:rsid w:val="00530DC6"/>
    <w:rsid w:val="00530E77"/>
    <w:rsid w:val="00531412"/>
    <w:rsid w:val="00531567"/>
    <w:rsid w:val="00532665"/>
    <w:rsid w:val="005341DB"/>
    <w:rsid w:val="00534D28"/>
    <w:rsid w:val="00534D6E"/>
    <w:rsid w:val="005352BD"/>
    <w:rsid w:val="00535868"/>
    <w:rsid w:val="005362EE"/>
    <w:rsid w:val="00536302"/>
    <w:rsid w:val="00536C6E"/>
    <w:rsid w:val="00536CC0"/>
    <w:rsid w:val="005371AE"/>
    <w:rsid w:val="005376C5"/>
    <w:rsid w:val="005377C9"/>
    <w:rsid w:val="005378C6"/>
    <w:rsid w:val="00537A9C"/>
    <w:rsid w:val="00537DEB"/>
    <w:rsid w:val="00537F0E"/>
    <w:rsid w:val="00540297"/>
    <w:rsid w:val="00540A40"/>
    <w:rsid w:val="00540D59"/>
    <w:rsid w:val="00540E21"/>
    <w:rsid w:val="00541430"/>
    <w:rsid w:val="00541636"/>
    <w:rsid w:val="005416B0"/>
    <w:rsid w:val="00541C7F"/>
    <w:rsid w:val="005426D8"/>
    <w:rsid w:val="00543ABA"/>
    <w:rsid w:val="00543F96"/>
    <w:rsid w:val="00544B9D"/>
    <w:rsid w:val="0054520B"/>
    <w:rsid w:val="005467F8"/>
    <w:rsid w:val="00546A6C"/>
    <w:rsid w:val="0054747D"/>
    <w:rsid w:val="005500AB"/>
    <w:rsid w:val="00550A91"/>
    <w:rsid w:val="00550D04"/>
    <w:rsid w:val="00551A77"/>
    <w:rsid w:val="00551E7F"/>
    <w:rsid w:val="0055245D"/>
    <w:rsid w:val="00552E2E"/>
    <w:rsid w:val="0055363C"/>
    <w:rsid w:val="00553702"/>
    <w:rsid w:val="00553DE8"/>
    <w:rsid w:val="00553E7F"/>
    <w:rsid w:val="005543B8"/>
    <w:rsid w:val="0055494C"/>
    <w:rsid w:val="00554B28"/>
    <w:rsid w:val="0055546A"/>
    <w:rsid w:val="00555523"/>
    <w:rsid w:val="005559C1"/>
    <w:rsid w:val="00556FAA"/>
    <w:rsid w:val="00556FD8"/>
    <w:rsid w:val="0055734E"/>
    <w:rsid w:val="00557492"/>
    <w:rsid w:val="005575E4"/>
    <w:rsid w:val="005578E2"/>
    <w:rsid w:val="00557A37"/>
    <w:rsid w:val="0056027F"/>
    <w:rsid w:val="005609AD"/>
    <w:rsid w:val="00560C34"/>
    <w:rsid w:val="00561246"/>
    <w:rsid w:val="00561848"/>
    <w:rsid w:val="00561FD2"/>
    <w:rsid w:val="0056270C"/>
    <w:rsid w:val="0056275E"/>
    <w:rsid w:val="00562E33"/>
    <w:rsid w:val="00563828"/>
    <w:rsid w:val="0056574D"/>
    <w:rsid w:val="0056593E"/>
    <w:rsid w:val="00566376"/>
    <w:rsid w:val="00566699"/>
    <w:rsid w:val="005670CD"/>
    <w:rsid w:val="005672B0"/>
    <w:rsid w:val="0056735C"/>
    <w:rsid w:val="005673DF"/>
    <w:rsid w:val="0057054B"/>
    <w:rsid w:val="005705D9"/>
    <w:rsid w:val="0057102E"/>
    <w:rsid w:val="00573920"/>
    <w:rsid w:val="00574246"/>
    <w:rsid w:val="0057430C"/>
    <w:rsid w:val="00574744"/>
    <w:rsid w:val="005747DD"/>
    <w:rsid w:val="0057480F"/>
    <w:rsid w:val="005749C2"/>
    <w:rsid w:val="00574C26"/>
    <w:rsid w:val="005750B2"/>
    <w:rsid w:val="005758C6"/>
    <w:rsid w:val="005766AA"/>
    <w:rsid w:val="005767FA"/>
    <w:rsid w:val="00576C6A"/>
    <w:rsid w:val="005778B4"/>
    <w:rsid w:val="00580BB9"/>
    <w:rsid w:val="00581763"/>
    <w:rsid w:val="00582E29"/>
    <w:rsid w:val="00583E8D"/>
    <w:rsid w:val="00584631"/>
    <w:rsid w:val="00584F19"/>
    <w:rsid w:val="005854F8"/>
    <w:rsid w:val="00586538"/>
    <w:rsid w:val="005900E8"/>
    <w:rsid w:val="00590AC4"/>
    <w:rsid w:val="00590DFC"/>
    <w:rsid w:val="00590F31"/>
    <w:rsid w:val="00591684"/>
    <w:rsid w:val="0059182A"/>
    <w:rsid w:val="00591D4A"/>
    <w:rsid w:val="00591FB6"/>
    <w:rsid w:val="005929B9"/>
    <w:rsid w:val="00593775"/>
    <w:rsid w:val="005939F7"/>
    <w:rsid w:val="00594A34"/>
    <w:rsid w:val="00594AFF"/>
    <w:rsid w:val="00595B37"/>
    <w:rsid w:val="00595DDD"/>
    <w:rsid w:val="005978D4"/>
    <w:rsid w:val="005A05C6"/>
    <w:rsid w:val="005A0724"/>
    <w:rsid w:val="005A0DA7"/>
    <w:rsid w:val="005A1112"/>
    <w:rsid w:val="005A13BD"/>
    <w:rsid w:val="005A24A4"/>
    <w:rsid w:val="005A2DA6"/>
    <w:rsid w:val="005A3123"/>
    <w:rsid w:val="005A3A8B"/>
    <w:rsid w:val="005A3CAC"/>
    <w:rsid w:val="005A3CFF"/>
    <w:rsid w:val="005A3D49"/>
    <w:rsid w:val="005A4931"/>
    <w:rsid w:val="005A5411"/>
    <w:rsid w:val="005A5728"/>
    <w:rsid w:val="005A5F58"/>
    <w:rsid w:val="005A6B79"/>
    <w:rsid w:val="005A70B4"/>
    <w:rsid w:val="005A7233"/>
    <w:rsid w:val="005A745B"/>
    <w:rsid w:val="005A7603"/>
    <w:rsid w:val="005B05B9"/>
    <w:rsid w:val="005B07F8"/>
    <w:rsid w:val="005B127B"/>
    <w:rsid w:val="005B1285"/>
    <w:rsid w:val="005B1EFB"/>
    <w:rsid w:val="005B2425"/>
    <w:rsid w:val="005B2480"/>
    <w:rsid w:val="005B26F4"/>
    <w:rsid w:val="005B3106"/>
    <w:rsid w:val="005B329D"/>
    <w:rsid w:val="005B350A"/>
    <w:rsid w:val="005B3981"/>
    <w:rsid w:val="005B5218"/>
    <w:rsid w:val="005B5265"/>
    <w:rsid w:val="005B55D2"/>
    <w:rsid w:val="005B606A"/>
    <w:rsid w:val="005B699C"/>
    <w:rsid w:val="005C00F4"/>
    <w:rsid w:val="005C0405"/>
    <w:rsid w:val="005C0964"/>
    <w:rsid w:val="005C0D73"/>
    <w:rsid w:val="005C0E1F"/>
    <w:rsid w:val="005C0E91"/>
    <w:rsid w:val="005C101E"/>
    <w:rsid w:val="005C1319"/>
    <w:rsid w:val="005C2081"/>
    <w:rsid w:val="005C3169"/>
    <w:rsid w:val="005C355C"/>
    <w:rsid w:val="005C3661"/>
    <w:rsid w:val="005C3898"/>
    <w:rsid w:val="005C3CCD"/>
    <w:rsid w:val="005C63DC"/>
    <w:rsid w:val="005C68B1"/>
    <w:rsid w:val="005C6CF1"/>
    <w:rsid w:val="005C71A4"/>
    <w:rsid w:val="005C7C8F"/>
    <w:rsid w:val="005C7E8F"/>
    <w:rsid w:val="005D1EA9"/>
    <w:rsid w:val="005D215A"/>
    <w:rsid w:val="005D2337"/>
    <w:rsid w:val="005D2EA5"/>
    <w:rsid w:val="005D31BE"/>
    <w:rsid w:val="005D3218"/>
    <w:rsid w:val="005D33D9"/>
    <w:rsid w:val="005D39B1"/>
    <w:rsid w:val="005D47BD"/>
    <w:rsid w:val="005D4A54"/>
    <w:rsid w:val="005D4F2D"/>
    <w:rsid w:val="005D613D"/>
    <w:rsid w:val="005D691D"/>
    <w:rsid w:val="005D75E0"/>
    <w:rsid w:val="005D7A4A"/>
    <w:rsid w:val="005E0071"/>
    <w:rsid w:val="005E0C29"/>
    <w:rsid w:val="005E1739"/>
    <w:rsid w:val="005E1F12"/>
    <w:rsid w:val="005E24C3"/>
    <w:rsid w:val="005E2A8A"/>
    <w:rsid w:val="005E2E64"/>
    <w:rsid w:val="005E39A7"/>
    <w:rsid w:val="005E558F"/>
    <w:rsid w:val="005E5C27"/>
    <w:rsid w:val="005E7672"/>
    <w:rsid w:val="005E7F60"/>
    <w:rsid w:val="005F1500"/>
    <w:rsid w:val="005F1BF5"/>
    <w:rsid w:val="005F1D73"/>
    <w:rsid w:val="005F23E1"/>
    <w:rsid w:val="005F2AB1"/>
    <w:rsid w:val="005F344E"/>
    <w:rsid w:val="005F3881"/>
    <w:rsid w:val="005F38E2"/>
    <w:rsid w:val="005F3AAD"/>
    <w:rsid w:val="005F3B4F"/>
    <w:rsid w:val="005F48ED"/>
    <w:rsid w:val="005F4E11"/>
    <w:rsid w:val="005F55FC"/>
    <w:rsid w:val="005F5BC0"/>
    <w:rsid w:val="005F6629"/>
    <w:rsid w:val="005F6827"/>
    <w:rsid w:val="005F7068"/>
    <w:rsid w:val="005F76F4"/>
    <w:rsid w:val="005F7F3E"/>
    <w:rsid w:val="0060018B"/>
    <w:rsid w:val="00600630"/>
    <w:rsid w:val="00600FFC"/>
    <w:rsid w:val="00601E57"/>
    <w:rsid w:val="006022B7"/>
    <w:rsid w:val="00603078"/>
    <w:rsid w:val="00603466"/>
    <w:rsid w:val="00603648"/>
    <w:rsid w:val="00611454"/>
    <w:rsid w:val="006114AF"/>
    <w:rsid w:val="0061182C"/>
    <w:rsid w:val="006121B5"/>
    <w:rsid w:val="006128C5"/>
    <w:rsid w:val="00613916"/>
    <w:rsid w:val="006158DF"/>
    <w:rsid w:val="0061640D"/>
    <w:rsid w:val="006177B1"/>
    <w:rsid w:val="00617E07"/>
    <w:rsid w:val="00617EE6"/>
    <w:rsid w:val="006214F4"/>
    <w:rsid w:val="0062157F"/>
    <w:rsid w:val="00621BF8"/>
    <w:rsid w:val="00621EF9"/>
    <w:rsid w:val="006228AE"/>
    <w:rsid w:val="00622E18"/>
    <w:rsid w:val="006238D0"/>
    <w:rsid w:val="00624B30"/>
    <w:rsid w:val="00625451"/>
    <w:rsid w:val="00625682"/>
    <w:rsid w:val="00625DAD"/>
    <w:rsid w:val="00625EE3"/>
    <w:rsid w:val="00626236"/>
    <w:rsid w:val="00627003"/>
    <w:rsid w:val="00630033"/>
    <w:rsid w:val="00630CFE"/>
    <w:rsid w:val="00630F4D"/>
    <w:rsid w:val="00631BA8"/>
    <w:rsid w:val="00631E39"/>
    <w:rsid w:val="0063213B"/>
    <w:rsid w:val="00632779"/>
    <w:rsid w:val="00633CC1"/>
    <w:rsid w:val="00634F86"/>
    <w:rsid w:val="0063584E"/>
    <w:rsid w:val="00635910"/>
    <w:rsid w:val="00636723"/>
    <w:rsid w:val="00636F02"/>
    <w:rsid w:val="0063791A"/>
    <w:rsid w:val="0064078A"/>
    <w:rsid w:val="00641CF7"/>
    <w:rsid w:val="00642287"/>
    <w:rsid w:val="0064237B"/>
    <w:rsid w:val="00642F8B"/>
    <w:rsid w:val="00643703"/>
    <w:rsid w:val="00643C34"/>
    <w:rsid w:val="00644198"/>
    <w:rsid w:val="006466A7"/>
    <w:rsid w:val="006469B1"/>
    <w:rsid w:val="00650809"/>
    <w:rsid w:val="00650B75"/>
    <w:rsid w:val="0065132B"/>
    <w:rsid w:val="00652EFB"/>
    <w:rsid w:val="00653C95"/>
    <w:rsid w:val="00653CBF"/>
    <w:rsid w:val="00654823"/>
    <w:rsid w:val="00654E96"/>
    <w:rsid w:val="006554F6"/>
    <w:rsid w:val="00655D0A"/>
    <w:rsid w:val="00656A7C"/>
    <w:rsid w:val="00656CCB"/>
    <w:rsid w:val="006577AA"/>
    <w:rsid w:val="00657AFC"/>
    <w:rsid w:val="006601A7"/>
    <w:rsid w:val="00661093"/>
    <w:rsid w:val="00662E1F"/>
    <w:rsid w:val="006636F4"/>
    <w:rsid w:val="00664E37"/>
    <w:rsid w:val="00665B45"/>
    <w:rsid w:val="00666A27"/>
    <w:rsid w:val="00666C1A"/>
    <w:rsid w:val="006704E2"/>
    <w:rsid w:val="00670A9C"/>
    <w:rsid w:val="00670F21"/>
    <w:rsid w:val="00672C82"/>
    <w:rsid w:val="00673215"/>
    <w:rsid w:val="006739CE"/>
    <w:rsid w:val="0067438E"/>
    <w:rsid w:val="006743D2"/>
    <w:rsid w:val="00674AA3"/>
    <w:rsid w:val="00674E3A"/>
    <w:rsid w:val="00675ED1"/>
    <w:rsid w:val="00676280"/>
    <w:rsid w:val="006765E5"/>
    <w:rsid w:val="00676D1B"/>
    <w:rsid w:val="00677158"/>
    <w:rsid w:val="006804ED"/>
    <w:rsid w:val="00680DFC"/>
    <w:rsid w:val="00680E60"/>
    <w:rsid w:val="00680EE4"/>
    <w:rsid w:val="00680EF0"/>
    <w:rsid w:val="006810C4"/>
    <w:rsid w:val="00682525"/>
    <w:rsid w:val="0068384F"/>
    <w:rsid w:val="00684B4D"/>
    <w:rsid w:val="00684E30"/>
    <w:rsid w:val="00685A28"/>
    <w:rsid w:val="006863FC"/>
    <w:rsid w:val="00686B94"/>
    <w:rsid w:val="00686D5F"/>
    <w:rsid w:val="00686EB6"/>
    <w:rsid w:val="00687223"/>
    <w:rsid w:val="0069150B"/>
    <w:rsid w:val="0069173C"/>
    <w:rsid w:val="006917F6"/>
    <w:rsid w:val="006921A2"/>
    <w:rsid w:val="00692C27"/>
    <w:rsid w:val="0069325D"/>
    <w:rsid w:val="00693602"/>
    <w:rsid w:val="0069391D"/>
    <w:rsid w:val="00693A7A"/>
    <w:rsid w:val="00693D57"/>
    <w:rsid w:val="00693DED"/>
    <w:rsid w:val="00694048"/>
    <w:rsid w:val="006949FB"/>
    <w:rsid w:val="00694A36"/>
    <w:rsid w:val="006954AC"/>
    <w:rsid w:val="00695C93"/>
    <w:rsid w:val="00695DFF"/>
    <w:rsid w:val="006960AD"/>
    <w:rsid w:val="006964B8"/>
    <w:rsid w:val="006969B5"/>
    <w:rsid w:val="00696F6E"/>
    <w:rsid w:val="00697377"/>
    <w:rsid w:val="00697B64"/>
    <w:rsid w:val="00697CF6"/>
    <w:rsid w:val="006A1623"/>
    <w:rsid w:val="006A1E22"/>
    <w:rsid w:val="006A2778"/>
    <w:rsid w:val="006A2873"/>
    <w:rsid w:val="006A3385"/>
    <w:rsid w:val="006A341A"/>
    <w:rsid w:val="006A38DD"/>
    <w:rsid w:val="006A3B9A"/>
    <w:rsid w:val="006A4A27"/>
    <w:rsid w:val="006A5490"/>
    <w:rsid w:val="006A61A7"/>
    <w:rsid w:val="006A639F"/>
    <w:rsid w:val="006A69C3"/>
    <w:rsid w:val="006A6F73"/>
    <w:rsid w:val="006A75D1"/>
    <w:rsid w:val="006A7F8D"/>
    <w:rsid w:val="006B06E0"/>
    <w:rsid w:val="006B2A67"/>
    <w:rsid w:val="006B30EF"/>
    <w:rsid w:val="006B3FDC"/>
    <w:rsid w:val="006B4244"/>
    <w:rsid w:val="006B4840"/>
    <w:rsid w:val="006B4EC7"/>
    <w:rsid w:val="006B58CA"/>
    <w:rsid w:val="006B5B6F"/>
    <w:rsid w:val="006B5F55"/>
    <w:rsid w:val="006B60C8"/>
    <w:rsid w:val="006B63E3"/>
    <w:rsid w:val="006B6830"/>
    <w:rsid w:val="006B770A"/>
    <w:rsid w:val="006B79BA"/>
    <w:rsid w:val="006C0652"/>
    <w:rsid w:val="006C06EC"/>
    <w:rsid w:val="006C176C"/>
    <w:rsid w:val="006C1A8F"/>
    <w:rsid w:val="006C1EBB"/>
    <w:rsid w:val="006C226A"/>
    <w:rsid w:val="006C2277"/>
    <w:rsid w:val="006C25BF"/>
    <w:rsid w:val="006C324C"/>
    <w:rsid w:val="006C3F27"/>
    <w:rsid w:val="006C4087"/>
    <w:rsid w:val="006C4BFE"/>
    <w:rsid w:val="006C4D19"/>
    <w:rsid w:val="006C5709"/>
    <w:rsid w:val="006C5B5E"/>
    <w:rsid w:val="006C5E08"/>
    <w:rsid w:val="006C5E6C"/>
    <w:rsid w:val="006C62E0"/>
    <w:rsid w:val="006C720D"/>
    <w:rsid w:val="006C7E8A"/>
    <w:rsid w:val="006D010D"/>
    <w:rsid w:val="006D0119"/>
    <w:rsid w:val="006D084F"/>
    <w:rsid w:val="006D13C4"/>
    <w:rsid w:val="006D170A"/>
    <w:rsid w:val="006D18C5"/>
    <w:rsid w:val="006D1C8E"/>
    <w:rsid w:val="006D24F2"/>
    <w:rsid w:val="006D2605"/>
    <w:rsid w:val="006D2615"/>
    <w:rsid w:val="006D276B"/>
    <w:rsid w:val="006D2B56"/>
    <w:rsid w:val="006D2E5C"/>
    <w:rsid w:val="006D2F47"/>
    <w:rsid w:val="006D32F5"/>
    <w:rsid w:val="006D3593"/>
    <w:rsid w:val="006D39E0"/>
    <w:rsid w:val="006D3FED"/>
    <w:rsid w:val="006D4D3E"/>
    <w:rsid w:val="006D6AD3"/>
    <w:rsid w:val="006D729F"/>
    <w:rsid w:val="006D79FD"/>
    <w:rsid w:val="006E0397"/>
    <w:rsid w:val="006E0468"/>
    <w:rsid w:val="006E11B9"/>
    <w:rsid w:val="006E13E5"/>
    <w:rsid w:val="006E1657"/>
    <w:rsid w:val="006E1BB2"/>
    <w:rsid w:val="006E21A4"/>
    <w:rsid w:val="006E373C"/>
    <w:rsid w:val="006E3830"/>
    <w:rsid w:val="006E4CB7"/>
    <w:rsid w:val="006E4D1C"/>
    <w:rsid w:val="006E61BE"/>
    <w:rsid w:val="006E6F76"/>
    <w:rsid w:val="006E7668"/>
    <w:rsid w:val="006E7803"/>
    <w:rsid w:val="006E7905"/>
    <w:rsid w:val="006F01EC"/>
    <w:rsid w:val="006F0385"/>
    <w:rsid w:val="006F182C"/>
    <w:rsid w:val="006F1B58"/>
    <w:rsid w:val="006F376E"/>
    <w:rsid w:val="006F3D75"/>
    <w:rsid w:val="006F4643"/>
    <w:rsid w:val="006F4BA8"/>
    <w:rsid w:val="006F4CF5"/>
    <w:rsid w:val="006F6080"/>
    <w:rsid w:val="006F7325"/>
    <w:rsid w:val="006F7624"/>
    <w:rsid w:val="006F7BE5"/>
    <w:rsid w:val="00700531"/>
    <w:rsid w:val="00700826"/>
    <w:rsid w:val="00700A35"/>
    <w:rsid w:val="00700FE3"/>
    <w:rsid w:val="0070161A"/>
    <w:rsid w:val="00703709"/>
    <w:rsid w:val="00703A68"/>
    <w:rsid w:val="0070406C"/>
    <w:rsid w:val="007043E4"/>
    <w:rsid w:val="00706216"/>
    <w:rsid w:val="00706A17"/>
    <w:rsid w:val="00706BE4"/>
    <w:rsid w:val="00706E4A"/>
    <w:rsid w:val="00710135"/>
    <w:rsid w:val="0071084A"/>
    <w:rsid w:val="00710A8B"/>
    <w:rsid w:val="0071156B"/>
    <w:rsid w:val="007115C7"/>
    <w:rsid w:val="00711AE5"/>
    <w:rsid w:val="00711CFF"/>
    <w:rsid w:val="007120EE"/>
    <w:rsid w:val="00712AE0"/>
    <w:rsid w:val="007131DD"/>
    <w:rsid w:val="00713903"/>
    <w:rsid w:val="007146AE"/>
    <w:rsid w:val="007156A4"/>
    <w:rsid w:val="00715D45"/>
    <w:rsid w:val="0071604C"/>
    <w:rsid w:val="0071628A"/>
    <w:rsid w:val="007165DE"/>
    <w:rsid w:val="0071675A"/>
    <w:rsid w:val="00716E60"/>
    <w:rsid w:val="00717016"/>
    <w:rsid w:val="007175A0"/>
    <w:rsid w:val="00717616"/>
    <w:rsid w:val="00720261"/>
    <w:rsid w:val="00720B21"/>
    <w:rsid w:val="0072127C"/>
    <w:rsid w:val="00721358"/>
    <w:rsid w:val="0072136C"/>
    <w:rsid w:val="007218B0"/>
    <w:rsid w:val="007236D0"/>
    <w:rsid w:val="00723D94"/>
    <w:rsid w:val="007240D1"/>
    <w:rsid w:val="007259C2"/>
    <w:rsid w:val="00725E1E"/>
    <w:rsid w:val="007261D2"/>
    <w:rsid w:val="00727E77"/>
    <w:rsid w:val="0073053B"/>
    <w:rsid w:val="00730B3C"/>
    <w:rsid w:val="00731345"/>
    <w:rsid w:val="00731EAE"/>
    <w:rsid w:val="007332AA"/>
    <w:rsid w:val="00734139"/>
    <w:rsid w:val="007344D2"/>
    <w:rsid w:val="00734652"/>
    <w:rsid w:val="00734C06"/>
    <w:rsid w:val="00734F9E"/>
    <w:rsid w:val="00735F0C"/>
    <w:rsid w:val="007364FE"/>
    <w:rsid w:val="00736AC8"/>
    <w:rsid w:val="00737B62"/>
    <w:rsid w:val="00737F34"/>
    <w:rsid w:val="00740328"/>
    <w:rsid w:val="00740747"/>
    <w:rsid w:val="00740801"/>
    <w:rsid w:val="00740934"/>
    <w:rsid w:val="00741A44"/>
    <w:rsid w:val="00742AC7"/>
    <w:rsid w:val="00743DCE"/>
    <w:rsid w:val="00744342"/>
    <w:rsid w:val="00744BE3"/>
    <w:rsid w:val="00744CD1"/>
    <w:rsid w:val="00744CE0"/>
    <w:rsid w:val="00745D70"/>
    <w:rsid w:val="0074665A"/>
    <w:rsid w:val="00747880"/>
    <w:rsid w:val="00747FC2"/>
    <w:rsid w:val="0075066F"/>
    <w:rsid w:val="00750722"/>
    <w:rsid w:val="00750FCC"/>
    <w:rsid w:val="00751108"/>
    <w:rsid w:val="00751AEB"/>
    <w:rsid w:val="007520BD"/>
    <w:rsid w:val="00752333"/>
    <w:rsid w:val="00752B57"/>
    <w:rsid w:val="00752E70"/>
    <w:rsid w:val="007533D7"/>
    <w:rsid w:val="00753A86"/>
    <w:rsid w:val="00753CB4"/>
    <w:rsid w:val="007547C3"/>
    <w:rsid w:val="00754C53"/>
    <w:rsid w:val="00755284"/>
    <w:rsid w:val="00755A41"/>
    <w:rsid w:val="00755B3B"/>
    <w:rsid w:val="00755C88"/>
    <w:rsid w:val="007562F8"/>
    <w:rsid w:val="00756D69"/>
    <w:rsid w:val="0075713C"/>
    <w:rsid w:val="00757361"/>
    <w:rsid w:val="007574AF"/>
    <w:rsid w:val="00757B66"/>
    <w:rsid w:val="00760312"/>
    <w:rsid w:val="007605C4"/>
    <w:rsid w:val="007617DE"/>
    <w:rsid w:val="007619C7"/>
    <w:rsid w:val="00761A15"/>
    <w:rsid w:val="00762649"/>
    <w:rsid w:val="007638B2"/>
    <w:rsid w:val="007647B9"/>
    <w:rsid w:val="007649C4"/>
    <w:rsid w:val="007654F1"/>
    <w:rsid w:val="007660C1"/>
    <w:rsid w:val="0076614A"/>
    <w:rsid w:val="00767E87"/>
    <w:rsid w:val="00770BBB"/>
    <w:rsid w:val="00770FDA"/>
    <w:rsid w:val="00771BC7"/>
    <w:rsid w:val="00772C75"/>
    <w:rsid w:val="007734B3"/>
    <w:rsid w:val="00773517"/>
    <w:rsid w:val="0077366C"/>
    <w:rsid w:val="00774C8E"/>
    <w:rsid w:val="007756B8"/>
    <w:rsid w:val="007761E2"/>
    <w:rsid w:val="007767DB"/>
    <w:rsid w:val="00776824"/>
    <w:rsid w:val="00776DE2"/>
    <w:rsid w:val="00777209"/>
    <w:rsid w:val="00777C69"/>
    <w:rsid w:val="007807B5"/>
    <w:rsid w:val="007813F5"/>
    <w:rsid w:val="00781454"/>
    <w:rsid w:val="007825CC"/>
    <w:rsid w:val="00782A1F"/>
    <w:rsid w:val="00782E13"/>
    <w:rsid w:val="00783528"/>
    <w:rsid w:val="007838D4"/>
    <w:rsid w:val="00783A14"/>
    <w:rsid w:val="0078418D"/>
    <w:rsid w:val="00784D33"/>
    <w:rsid w:val="00785097"/>
    <w:rsid w:val="00785649"/>
    <w:rsid w:val="0078589C"/>
    <w:rsid w:val="00785B72"/>
    <w:rsid w:val="00785E39"/>
    <w:rsid w:val="00785E46"/>
    <w:rsid w:val="0078692E"/>
    <w:rsid w:val="00786B9F"/>
    <w:rsid w:val="00786D66"/>
    <w:rsid w:val="00786EBD"/>
    <w:rsid w:val="007876DC"/>
    <w:rsid w:val="00787C6E"/>
    <w:rsid w:val="007900F4"/>
    <w:rsid w:val="007907B3"/>
    <w:rsid w:val="00790826"/>
    <w:rsid w:val="00791605"/>
    <w:rsid w:val="00791791"/>
    <w:rsid w:val="0079212E"/>
    <w:rsid w:val="0079240A"/>
    <w:rsid w:val="00792CE8"/>
    <w:rsid w:val="00793A4B"/>
    <w:rsid w:val="00794334"/>
    <w:rsid w:val="00794C5A"/>
    <w:rsid w:val="00794CAF"/>
    <w:rsid w:val="0079511F"/>
    <w:rsid w:val="00795286"/>
    <w:rsid w:val="00796306"/>
    <w:rsid w:val="007964EF"/>
    <w:rsid w:val="007974A0"/>
    <w:rsid w:val="00797B0F"/>
    <w:rsid w:val="007A0CDF"/>
    <w:rsid w:val="007A0E69"/>
    <w:rsid w:val="007A1526"/>
    <w:rsid w:val="007A1618"/>
    <w:rsid w:val="007A1E0F"/>
    <w:rsid w:val="007A2E14"/>
    <w:rsid w:val="007A3299"/>
    <w:rsid w:val="007A3FB5"/>
    <w:rsid w:val="007A4431"/>
    <w:rsid w:val="007A47FF"/>
    <w:rsid w:val="007A51A6"/>
    <w:rsid w:val="007A5487"/>
    <w:rsid w:val="007A57CF"/>
    <w:rsid w:val="007A5FD5"/>
    <w:rsid w:val="007A6370"/>
    <w:rsid w:val="007A6666"/>
    <w:rsid w:val="007A69D1"/>
    <w:rsid w:val="007A6BBC"/>
    <w:rsid w:val="007A7BB5"/>
    <w:rsid w:val="007B098D"/>
    <w:rsid w:val="007B2B74"/>
    <w:rsid w:val="007B44A1"/>
    <w:rsid w:val="007B48F8"/>
    <w:rsid w:val="007B61F5"/>
    <w:rsid w:val="007B64FC"/>
    <w:rsid w:val="007C0D1F"/>
    <w:rsid w:val="007C127C"/>
    <w:rsid w:val="007C2040"/>
    <w:rsid w:val="007C2CE3"/>
    <w:rsid w:val="007C313C"/>
    <w:rsid w:val="007C3E74"/>
    <w:rsid w:val="007C3FF6"/>
    <w:rsid w:val="007C4919"/>
    <w:rsid w:val="007C565C"/>
    <w:rsid w:val="007C5684"/>
    <w:rsid w:val="007C5802"/>
    <w:rsid w:val="007C5D8F"/>
    <w:rsid w:val="007C5F22"/>
    <w:rsid w:val="007C6A17"/>
    <w:rsid w:val="007C6AFC"/>
    <w:rsid w:val="007C77A1"/>
    <w:rsid w:val="007D1E30"/>
    <w:rsid w:val="007D1EA2"/>
    <w:rsid w:val="007D26F0"/>
    <w:rsid w:val="007D347A"/>
    <w:rsid w:val="007D3925"/>
    <w:rsid w:val="007D3E5F"/>
    <w:rsid w:val="007D51FD"/>
    <w:rsid w:val="007D5F95"/>
    <w:rsid w:val="007D66E8"/>
    <w:rsid w:val="007D6D3A"/>
    <w:rsid w:val="007D7500"/>
    <w:rsid w:val="007D7505"/>
    <w:rsid w:val="007D7BEE"/>
    <w:rsid w:val="007E03E9"/>
    <w:rsid w:val="007E0D2F"/>
    <w:rsid w:val="007E1268"/>
    <w:rsid w:val="007E1497"/>
    <w:rsid w:val="007E2209"/>
    <w:rsid w:val="007E24ED"/>
    <w:rsid w:val="007E270A"/>
    <w:rsid w:val="007E292E"/>
    <w:rsid w:val="007E2A87"/>
    <w:rsid w:val="007E337D"/>
    <w:rsid w:val="007E40F5"/>
    <w:rsid w:val="007E47CD"/>
    <w:rsid w:val="007E541E"/>
    <w:rsid w:val="007E57DB"/>
    <w:rsid w:val="007E5BC9"/>
    <w:rsid w:val="007E5E5C"/>
    <w:rsid w:val="007E5ED0"/>
    <w:rsid w:val="007E6442"/>
    <w:rsid w:val="007E65A6"/>
    <w:rsid w:val="007E682C"/>
    <w:rsid w:val="007E6856"/>
    <w:rsid w:val="007E6C7E"/>
    <w:rsid w:val="007E6D11"/>
    <w:rsid w:val="007E7090"/>
    <w:rsid w:val="007E769A"/>
    <w:rsid w:val="007E7718"/>
    <w:rsid w:val="007E7A6F"/>
    <w:rsid w:val="007E7BA5"/>
    <w:rsid w:val="007E7BE8"/>
    <w:rsid w:val="007E7E4C"/>
    <w:rsid w:val="007F00B1"/>
    <w:rsid w:val="007F058D"/>
    <w:rsid w:val="007F185E"/>
    <w:rsid w:val="007F2104"/>
    <w:rsid w:val="007F241C"/>
    <w:rsid w:val="007F2835"/>
    <w:rsid w:val="007F3DA7"/>
    <w:rsid w:val="007F45B6"/>
    <w:rsid w:val="007F4D7B"/>
    <w:rsid w:val="007F51B4"/>
    <w:rsid w:val="007F5E14"/>
    <w:rsid w:val="007F62E5"/>
    <w:rsid w:val="007F7B70"/>
    <w:rsid w:val="007F7C4E"/>
    <w:rsid w:val="007F7EE2"/>
    <w:rsid w:val="00800567"/>
    <w:rsid w:val="00800BB6"/>
    <w:rsid w:val="0080131E"/>
    <w:rsid w:val="00801667"/>
    <w:rsid w:val="0080329C"/>
    <w:rsid w:val="0080463F"/>
    <w:rsid w:val="00804D92"/>
    <w:rsid w:val="00805ADC"/>
    <w:rsid w:val="00805E08"/>
    <w:rsid w:val="00806701"/>
    <w:rsid w:val="0080672B"/>
    <w:rsid w:val="00806BDD"/>
    <w:rsid w:val="008076DB"/>
    <w:rsid w:val="00807DDB"/>
    <w:rsid w:val="00810444"/>
    <w:rsid w:val="008106E7"/>
    <w:rsid w:val="008107A5"/>
    <w:rsid w:val="008110B3"/>
    <w:rsid w:val="00811466"/>
    <w:rsid w:val="008115B2"/>
    <w:rsid w:val="008116CB"/>
    <w:rsid w:val="008116DC"/>
    <w:rsid w:val="00811C4A"/>
    <w:rsid w:val="00811CB0"/>
    <w:rsid w:val="008128C6"/>
    <w:rsid w:val="0081342E"/>
    <w:rsid w:val="00813893"/>
    <w:rsid w:val="00813A8E"/>
    <w:rsid w:val="00814264"/>
    <w:rsid w:val="0081447A"/>
    <w:rsid w:val="00815452"/>
    <w:rsid w:val="00815E1E"/>
    <w:rsid w:val="0081670C"/>
    <w:rsid w:val="00816B4B"/>
    <w:rsid w:val="008211A5"/>
    <w:rsid w:val="00821799"/>
    <w:rsid w:val="00821897"/>
    <w:rsid w:val="008218E7"/>
    <w:rsid w:val="00821988"/>
    <w:rsid w:val="00821A03"/>
    <w:rsid w:val="00822B10"/>
    <w:rsid w:val="008230EF"/>
    <w:rsid w:val="00824723"/>
    <w:rsid w:val="00824AE4"/>
    <w:rsid w:val="0082576B"/>
    <w:rsid w:val="00825877"/>
    <w:rsid w:val="00825CAB"/>
    <w:rsid w:val="0082657D"/>
    <w:rsid w:val="00826A72"/>
    <w:rsid w:val="00827766"/>
    <w:rsid w:val="008323B5"/>
    <w:rsid w:val="008330FC"/>
    <w:rsid w:val="0083344A"/>
    <w:rsid w:val="00833974"/>
    <w:rsid w:val="00833B5F"/>
    <w:rsid w:val="00834A43"/>
    <w:rsid w:val="0083506C"/>
    <w:rsid w:val="0083521C"/>
    <w:rsid w:val="008352E0"/>
    <w:rsid w:val="00835451"/>
    <w:rsid w:val="0083565C"/>
    <w:rsid w:val="0083617B"/>
    <w:rsid w:val="008361FB"/>
    <w:rsid w:val="00836CF5"/>
    <w:rsid w:val="00836E6B"/>
    <w:rsid w:val="00836FBB"/>
    <w:rsid w:val="00837108"/>
    <w:rsid w:val="008405E5"/>
    <w:rsid w:val="00840C52"/>
    <w:rsid w:val="00841164"/>
    <w:rsid w:val="0084178E"/>
    <w:rsid w:val="00841B91"/>
    <w:rsid w:val="00842587"/>
    <w:rsid w:val="00842965"/>
    <w:rsid w:val="00842C02"/>
    <w:rsid w:val="00842FE6"/>
    <w:rsid w:val="00843056"/>
    <w:rsid w:val="008430A6"/>
    <w:rsid w:val="00844365"/>
    <w:rsid w:val="00844AB9"/>
    <w:rsid w:val="00844DE8"/>
    <w:rsid w:val="008454AD"/>
    <w:rsid w:val="008458B3"/>
    <w:rsid w:val="008470A1"/>
    <w:rsid w:val="008471E4"/>
    <w:rsid w:val="00847252"/>
    <w:rsid w:val="0084792F"/>
    <w:rsid w:val="00847FAD"/>
    <w:rsid w:val="00850575"/>
    <w:rsid w:val="00850669"/>
    <w:rsid w:val="00851B18"/>
    <w:rsid w:val="00852102"/>
    <w:rsid w:val="008523BB"/>
    <w:rsid w:val="00852D6E"/>
    <w:rsid w:val="00853317"/>
    <w:rsid w:val="008547DC"/>
    <w:rsid w:val="00854BC0"/>
    <w:rsid w:val="00854E6C"/>
    <w:rsid w:val="008553CA"/>
    <w:rsid w:val="008560FC"/>
    <w:rsid w:val="00856ACA"/>
    <w:rsid w:val="00856B5E"/>
    <w:rsid w:val="00856F91"/>
    <w:rsid w:val="0085703E"/>
    <w:rsid w:val="00857A40"/>
    <w:rsid w:val="00860552"/>
    <w:rsid w:val="00860C4A"/>
    <w:rsid w:val="008624FE"/>
    <w:rsid w:val="00862536"/>
    <w:rsid w:val="0086286B"/>
    <w:rsid w:val="00862B14"/>
    <w:rsid w:val="00862DA8"/>
    <w:rsid w:val="00862E43"/>
    <w:rsid w:val="00863E57"/>
    <w:rsid w:val="008646C6"/>
    <w:rsid w:val="0086475A"/>
    <w:rsid w:val="008649C7"/>
    <w:rsid w:val="00864E0B"/>
    <w:rsid w:val="00865181"/>
    <w:rsid w:val="00865FBF"/>
    <w:rsid w:val="00866165"/>
    <w:rsid w:val="00866AF1"/>
    <w:rsid w:val="00866D78"/>
    <w:rsid w:val="0086776A"/>
    <w:rsid w:val="0087013D"/>
    <w:rsid w:val="00870839"/>
    <w:rsid w:val="00870874"/>
    <w:rsid w:val="0087219F"/>
    <w:rsid w:val="0087257F"/>
    <w:rsid w:val="00872CA9"/>
    <w:rsid w:val="00872EF7"/>
    <w:rsid w:val="00874C30"/>
    <w:rsid w:val="00876CB7"/>
    <w:rsid w:val="00877F61"/>
    <w:rsid w:val="00880025"/>
    <w:rsid w:val="00881667"/>
    <w:rsid w:val="00881B2A"/>
    <w:rsid w:val="00882635"/>
    <w:rsid w:val="00883A41"/>
    <w:rsid w:val="00884004"/>
    <w:rsid w:val="008842F1"/>
    <w:rsid w:val="00885494"/>
    <w:rsid w:val="0088563A"/>
    <w:rsid w:val="00885BC0"/>
    <w:rsid w:val="00885F17"/>
    <w:rsid w:val="00885F8A"/>
    <w:rsid w:val="00887401"/>
    <w:rsid w:val="00887520"/>
    <w:rsid w:val="008901F0"/>
    <w:rsid w:val="008903DC"/>
    <w:rsid w:val="00890934"/>
    <w:rsid w:val="00890A10"/>
    <w:rsid w:val="00890AD5"/>
    <w:rsid w:val="00893259"/>
    <w:rsid w:val="00893B3A"/>
    <w:rsid w:val="00894984"/>
    <w:rsid w:val="008958D2"/>
    <w:rsid w:val="00895E5F"/>
    <w:rsid w:val="00896A14"/>
    <w:rsid w:val="008A0675"/>
    <w:rsid w:val="008A0AF8"/>
    <w:rsid w:val="008A0DBD"/>
    <w:rsid w:val="008A1225"/>
    <w:rsid w:val="008A1274"/>
    <w:rsid w:val="008A29B2"/>
    <w:rsid w:val="008A29D7"/>
    <w:rsid w:val="008A3093"/>
    <w:rsid w:val="008A34FE"/>
    <w:rsid w:val="008A3A88"/>
    <w:rsid w:val="008A3BC6"/>
    <w:rsid w:val="008A4AEF"/>
    <w:rsid w:val="008A695A"/>
    <w:rsid w:val="008B1187"/>
    <w:rsid w:val="008B120E"/>
    <w:rsid w:val="008B1ABD"/>
    <w:rsid w:val="008B2280"/>
    <w:rsid w:val="008B350A"/>
    <w:rsid w:val="008B372C"/>
    <w:rsid w:val="008B3AB5"/>
    <w:rsid w:val="008B4DDA"/>
    <w:rsid w:val="008B4F30"/>
    <w:rsid w:val="008B5868"/>
    <w:rsid w:val="008B596E"/>
    <w:rsid w:val="008B5D75"/>
    <w:rsid w:val="008B61B4"/>
    <w:rsid w:val="008B6275"/>
    <w:rsid w:val="008B6397"/>
    <w:rsid w:val="008B656F"/>
    <w:rsid w:val="008B7140"/>
    <w:rsid w:val="008B7177"/>
    <w:rsid w:val="008C000F"/>
    <w:rsid w:val="008C0C83"/>
    <w:rsid w:val="008C19B5"/>
    <w:rsid w:val="008C19DE"/>
    <w:rsid w:val="008C21AE"/>
    <w:rsid w:val="008C245F"/>
    <w:rsid w:val="008C2680"/>
    <w:rsid w:val="008C2A16"/>
    <w:rsid w:val="008C3EDE"/>
    <w:rsid w:val="008C465C"/>
    <w:rsid w:val="008C57F9"/>
    <w:rsid w:val="008C5CEF"/>
    <w:rsid w:val="008C5F6C"/>
    <w:rsid w:val="008C648A"/>
    <w:rsid w:val="008C6E36"/>
    <w:rsid w:val="008C6F99"/>
    <w:rsid w:val="008C73EB"/>
    <w:rsid w:val="008C7975"/>
    <w:rsid w:val="008C79E5"/>
    <w:rsid w:val="008D0250"/>
    <w:rsid w:val="008D0F1A"/>
    <w:rsid w:val="008D2D6B"/>
    <w:rsid w:val="008D3180"/>
    <w:rsid w:val="008D4217"/>
    <w:rsid w:val="008D49CE"/>
    <w:rsid w:val="008D4CD3"/>
    <w:rsid w:val="008D552F"/>
    <w:rsid w:val="008D5681"/>
    <w:rsid w:val="008D5C03"/>
    <w:rsid w:val="008D6551"/>
    <w:rsid w:val="008D666B"/>
    <w:rsid w:val="008D6B16"/>
    <w:rsid w:val="008D71D5"/>
    <w:rsid w:val="008E0E04"/>
    <w:rsid w:val="008E1006"/>
    <w:rsid w:val="008E13FB"/>
    <w:rsid w:val="008E141F"/>
    <w:rsid w:val="008E1D50"/>
    <w:rsid w:val="008E1EF5"/>
    <w:rsid w:val="008E206D"/>
    <w:rsid w:val="008E2658"/>
    <w:rsid w:val="008E2E2B"/>
    <w:rsid w:val="008E2FF6"/>
    <w:rsid w:val="008E31CE"/>
    <w:rsid w:val="008E3809"/>
    <w:rsid w:val="008E4889"/>
    <w:rsid w:val="008E48D3"/>
    <w:rsid w:val="008E48EF"/>
    <w:rsid w:val="008E4909"/>
    <w:rsid w:val="008E4E76"/>
    <w:rsid w:val="008E55CA"/>
    <w:rsid w:val="008F00B1"/>
    <w:rsid w:val="008F0414"/>
    <w:rsid w:val="008F06DA"/>
    <w:rsid w:val="008F14C8"/>
    <w:rsid w:val="008F38E5"/>
    <w:rsid w:val="008F48D8"/>
    <w:rsid w:val="008F5ED3"/>
    <w:rsid w:val="00900D4D"/>
    <w:rsid w:val="00901454"/>
    <w:rsid w:val="00901CDD"/>
    <w:rsid w:val="009021C1"/>
    <w:rsid w:val="00902852"/>
    <w:rsid w:val="0090389D"/>
    <w:rsid w:val="00903932"/>
    <w:rsid w:val="009053BD"/>
    <w:rsid w:val="009063E0"/>
    <w:rsid w:val="0090664C"/>
    <w:rsid w:val="009066FE"/>
    <w:rsid w:val="009067EC"/>
    <w:rsid w:val="00906970"/>
    <w:rsid w:val="009072F2"/>
    <w:rsid w:val="00907562"/>
    <w:rsid w:val="00907637"/>
    <w:rsid w:val="009078C5"/>
    <w:rsid w:val="009079CF"/>
    <w:rsid w:val="009079D2"/>
    <w:rsid w:val="00907B67"/>
    <w:rsid w:val="009104B8"/>
    <w:rsid w:val="0091074B"/>
    <w:rsid w:val="00910D5E"/>
    <w:rsid w:val="00911587"/>
    <w:rsid w:val="009115AC"/>
    <w:rsid w:val="00911AD5"/>
    <w:rsid w:val="00912670"/>
    <w:rsid w:val="0091270D"/>
    <w:rsid w:val="00912870"/>
    <w:rsid w:val="00912B7F"/>
    <w:rsid w:val="00912F8E"/>
    <w:rsid w:val="009137A0"/>
    <w:rsid w:val="0091454E"/>
    <w:rsid w:val="0091470A"/>
    <w:rsid w:val="00914979"/>
    <w:rsid w:val="00915D70"/>
    <w:rsid w:val="009171B9"/>
    <w:rsid w:val="0091725F"/>
    <w:rsid w:val="00917E30"/>
    <w:rsid w:val="00920700"/>
    <w:rsid w:val="00920783"/>
    <w:rsid w:val="009207B5"/>
    <w:rsid w:val="00921714"/>
    <w:rsid w:val="009218F2"/>
    <w:rsid w:val="00921E6E"/>
    <w:rsid w:val="00922498"/>
    <w:rsid w:val="00922CE3"/>
    <w:rsid w:val="009240EF"/>
    <w:rsid w:val="00924A9C"/>
    <w:rsid w:val="00926509"/>
    <w:rsid w:val="00926A43"/>
    <w:rsid w:val="00926BD5"/>
    <w:rsid w:val="00927172"/>
    <w:rsid w:val="00927CB4"/>
    <w:rsid w:val="00930395"/>
    <w:rsid w:val="00930D8D"/>
    <w:rsid w:val="00931536"/>
    <w:rsid w:val="0093178C"/>
    <w:rsid w:val="00932103"/>
    <w:rsid w:val="009328F2"/>
    <w:rsid w:val="00932A07"/>
    <w:rsid w:val="00932B7B"/>
    <w:rsid w:val="00932BD6"/>
    <w:rsid w:val="00932C32"/>
    <w:rsid w:val="009333C9"/>
    <w:rsid w:val="009337B9"/>
    <w:rsid w:val="00934328"/>
    <w:rsid w:val="009345D0"/>
    <w:rsid w:val="009354B9"/>
    <w:rsid w:val="00935A85"/>
    <w:rsid w:val="009360CA"/>
    <w:rsid w:val="00936A3D"/>
    <w:rsid w:val="00936FAD"/>
    <w:rsid w:val="00937052"/>
    <w:rsid w:val="009375ED"/>
    <w:rsid w:val="009401B1"/>
    <w:rsid w:val="00940897"/>
    <w:rsid w:val="00940C1E"/>
    <w:rsid w:val="009419EA"/>
    <w:rsid w:val="009425A7"/>
    <w:rsid w:val="0094344D"/>
    <w:rsid w:val="009439D9"/>
    <w:rsid w:val="009440A2"/>
    <w:rsid w:val="00944B34"/>
    <w:rsid w:val="00944D44"/>
    <w:rsid w:val="009458C2"/>
    <w:rsid w:val="00945B5C"/>
    <w:rsid w:val="00945E7C"/>
    <w:rsid w:val="00946153"/>
    <w:rsid w:val="00946390"/>
    <w:rsid w:val="0094743D"/>
    <w:rsid w:val="00947F31"/>
    <w:rsid w:val="009503C1"/>
    <w:rsid w:val="00950AFD"/>
    <w:rsid w:val="00950EBD"/>
    <w:rsid w:val="00951509"/>
    <w:rsid w:val="00951ECE"/>
    <w:rsid w:val="0095269C"/>
    <w:rsid w:val="00952AC3"/>
    <w:rsid w:val="00952FF4"/>
    <w:rsid w:val="00953434"/>
    <w:rsid w:val="0095358A"/>
    <w:rsid w:val="0095497C"/>
    <w:rsid w:val="00955172"/>
    <w:rsid w:val="00955B7C"/>
    <w:rsid w:val="009569B6"/>
    <w:rsid w:val="00956A0C"/>
    <w:rsid w:val="0096012A"/>
    <w:rsid w:val="009602F7"/>
    <w:rsid w:val="00960551"/>
    <w:rsid w:val="00960951"/>
    <w:rsid w:val="00960E24"/>
    <w:rsid w:val="0096101A"/>
    <w:rsid w:val="00961A40"/>
    <w:rsid w:val="00961A6F"/>
    <w:rsid w:val="0096265D"/>
    <w:rsid w:val="009630F2"/>
    <w:rsid w:val="0096416F"/>
    <w:rsid w:val="009651BE"/>
    <w:rsid w:val="009653A2"/>
    <w:rsid w:val="00965579"/>
    <w:rsid w:val="009660DF"/>
    <w:rsid w:val="009664A4"/>
    <w:rsid w:val="00966C2D"/>
    <w:rsid w:val="00967C42"/>
    <w:rsid w:val="0097020A"/>
    <w:rsid w:val="00970454"/>
    <w:rsid w:val="00970843"/>
    <w:rsid w:val="00970B5D"/>
    <w:rsid w:val="00970D8E"/>
    <w:rsid w:val="0097214A"/>
    <w:rsid w:val="009724E7"/>
    <w:rsid w:val="00972506"/>
    <w:rsid w:val="00972CCE"/>
    <w:rsid w:val="00973368"/>
    <w:rsid w:val="009733BA"/>
    <w:rsid w:val="00973A97"/>
    <w:rsid w:val="0097417D"/>
    <w:rsid w:val="00974727"/>
    <w:rsid w:val="0097532D"/>
    <w:rsid w:val="00975A30"/>
    <w:rsid w:val="009763AD"/>
    <w:rsid w:val="00976CE1"/>
    <w:rsid w:val="00977717"/>
    <w:rsid w:val="00980626"/>
    <w:rsid w:val="00980CE3"/>
    <w:rsid w:val="009810F9"/>
    <w:rsid w:val="00981197"/>
    <w:rsid w:val="009818C9"/>
    <w:rsid w:val="0098192B"/>
    <w:rsid w:val="00981F08"/>
    <w:rsid w:val="00981F67"/>
    <w:rsid w:val="00982107"/>
    <w:rsid w:val="00983215"/>
    <w:rsid w:val="0098367F"/>
    <w:rsid w:val="00983799"/>
    <w:rsid w:val="00984066"/>
    <w:rsid w:val="009842F7"/>
    <w:rsid w:val="00984BA0"/>
    <w:rsid w:val="009856FF"/>
    <w:rsid w:val="009858C0"/>
    <w:rsid w:val="00985E23"/>
    <w:rsid w:val="009879F4"/>
    <w:rsid w:val="00987CD1"/>
    <w:rsid w:val="00990575"/>
    <w:rsid w:val="00990826"/>
    <w:rsid w:val="00991629"/>
    <w:rsid w:val="009917B6"/>
    <w:rsid w:val="009923B2"/>
    <w:rsid w:val="00992968"/>
    <w:rsid w:val="00992AE8"/>
    <w:rsid w:val="0099315B"/>
    <w:rsid w:val="009933FC"/>
    <w:rsid w:val="00994E0D"/>
    <w:rsid w:val="00995B40"/>
    <w:rsid w:val="00995C5C"/>
    <w:rsid w:val="00995D90"/>
    <w:rsid w:val="00996FA0"/>
    <w:rsid w:val="009972E3"/>
    <w:rsid w:val="00997EB7"/>
    <w:rsid w:val="009A00D4"/>
    <w:rsid w:val="009A0D5F"/>
    <w:rsid w:val="009A12FB"/>
    <w:rsid w:val="009A1495"/>
    <w:rsid w:val="009A159A"/>
    <w:rsid w:val="009A25D5"/>
    <w:rsid w:val="009A2A9B"/>
    <w:rsid w:val="009A2C89"/>
    <w:rsid w:val="009A2E24"/>
    <w:rsid w:val="009A4103"/>
    <w:rsid w:val="009A49C4"/>
    <w:rsid w:val="009A4BD7"/>
    <w:rsid w:val="009A5166"/>
    <w:rsid w:val="009A5B5F"/>
    <w:rsid w:val="009A5C09"/>
    <w:rsid w:val="009A5EEA"/>
    <w:rsid w:val="009A6122"/>
    <w:rsid w:val="009A6BCB"/>
    <w:rsid w:val="009A6D21"/>
    <w:rsid w:val="009A7613"/>
    <w:rsid w:val="009B0A4B"/>
    <w:rsid w:val="009B0B03"/>
    <w:rsid w:val="009B0B41"/>
    <w:rsid w:val="009B1066"/>
    <w:rsid w:val="009B1DD9"/>
    <w:rsid w:val="009B204C"/>
    <w:rsid w:val="009B21CD"/>
    <w:rsid w:val="009B2499"/>
    <w:rsid w:val="009B367E"/>
    <w:rsid w:val="009B5F7C"/>
    <w:rsid w:val="009B6257"/>
    <w:rsid w:val="009B6919"/>
    <w:rsid w:val="009B6AE6"/>
    <w:rsid w:val="009B6CD9"/>
    <w:rsid w:val="009B6D3A"/>
    <w:rsid w:val="009B6E75"/>
    <w:rsid w:val="009B7423"/>
    <w:rsid w:val="009B75DC"/>
    <w:rsid w:val="009C0D1A"/>
    <w:rsid w:val="009C1D50"/>
    <w:rsid w:val="009C2C38"/>
    <w:rsid w:val="009C3D46"/>
    <w:rsid w:val="009C4598"/>
    <w:rsid w:val="009C4A14"/>
    <w:rsid w:val="009C4CD8"/>
    <w:rsid w:val="009C5381"/>
    <w:rsid w:val="009C54CA"/>
    <w:rsid w:val="009C6591"/>
    <w:rsid w:val="009C69CF"/>
    <w:rsid w:val="009C6E35"/>
    <w:rsid w:val="009C6E82"/>
    <w:rsid w:val="009C7AFC"/>
    <w:rsid w:val="009C7B4C"/>
    <w:rsid w:val="009D00C4"/>
    <w:rsid w:val="009D096D"/>
    <w:rsid w:val="009D0A0C"/>
    <w:rsid w:val="009D0B6A"/>
    <w:rsid w:val="009D0F47"/>
    <w:rsid w:val="009D1931"/>
    <w:rsid w:val="009D2331"/>
    <w:rsid w:val="009D37BD"/>
    <w:rsid w:val="009D4F55"/>
    <w:rsid w:val="009D5DC1"/>
    <w:rsid w:val="009D60DA"/>
    <w:rsid w:val="009D636A"/>
    <w:rsid w:val="009D6B8B"/>
    <w:rsid w:val="009D7295"/>
    <w:rsid w:val="009D7FFD"/>
    <w:rsid w:val="009E04B8"/>
    <w:rsid w:val="009E08BF"/>
    <w:rsid w:val="009E3C3C"/>
    <w:rsid w:val="009E4C52"/>
    <w:rsid w:val="009E5208"/>
    <w:rsid w:val="009E5C27"/>
    <w:rsid w:val="009E5E5F"/>
    <w:rsid w:val="009E694F"/>
    <w:rsid w:val="009E6ADA"/>
    <w:rsid w:val="009E6EB2"/>
    <w:rsid w:val="009E71DA"/>
    <w:rsid w:val="009E73C9"/>
    <w:rsid w:val="009F080A"/>
    <w:rsid w:val="009F13E4"/>
    <w:rsid w:val="009F2FD0"/>
    <w:rsid w:val="009F3274"/>
    <w:rsid w:val="009F4950"/>
    <w:rsid w:val="009F5C41"/>
    <w:rsid w:val="009F5D26"/>
    <w:rsid w:val="009F6BB1"/>
    <w:rsid w:val="009F7036"/>
    <w:rsid w:val="00A0073A"/>
    <w:rsid w:val="00A015B3"/>
    <w:rsid w:val="00A021FF"/>
    <w:rsid w:val="00A02827"/>
    <w:rsid w:val="00A03032"/>
    <w:rsid w:val="00A0396E"/>
    <w:rsid w:val="00A03F51"/>
    <w:rsid w:val="00A04AFA"/>
    <w:rsid w:val="00A0592D"/>
    <w:rsid w:val="00A059AC"/>
    <w:rsid w:val="00A05A61"/>
    <w:rsid w:val="00A05F43"/>
    <w:rsid w:val="00A0676E"/>
    <w:rsid w:val="00A0694B"/>
    <w:rsid w:val="00A06A15"/>
    <w:rsid w:val="00A0701B"/>
    <w:rsid w:val="00A07753"/>
    <w:rsid w:val="00A10A5B"/>
    <w:rsid w:val="00A11DC1"/>
    <w:rsid w:val="00A12030"/>
    <w:rsid w:val="00A1277C"/>
    <w:rsid w:val="00A1298C"/>
    <w:rsid w:val="00A12FA6"/>
    <w:rsid w:val="00A136DD"/>
    <w:rsid w:val="00A137C0"/>
    <w:rsid w:val="00A14F72"/>
    <w:rsid w:val="00A15C69"/>
    <w:rsid w:val="00A15C7F"/>
    <w:rsid w:val="00A15DED"/>
    <w:rsid w:val="00A15F5B"/>
    <w:rsid w:val="00A16C89"/>
    <w:rsid w:val="00A16D52"/>
    <w:rsid w:val="00A16EE6"/>
    <w:rsid w:val="00A17475"/>
    <w:rsid w:val="00A177AE"/>
    <w:rsid w:val="00A179FD"/>
    <w:rsid w:val="00A202A0"/>
    <w:rsid w:val="00A20434"/>
    <w:rsid w:val="00A2181B"/>
    <w:rsid w:val="00A21B57"/>
    <w:rsid w:val="00A21EA3"/>
    <w:rsid w:val="00A22564"/>
    <w:rsid w:val="00A229C0"/>
    <w:rsid w:val="00A232D9"/>
    <w:rsid w:val="00A239D1"/>
    <w:rsid w:val="00A251F1"/>
    <w:rsid w:val="00A25DA1"/>
    <w:rsid w:val="00A25F17"/>
    <w:rsid w:val="00A26410"/>
    <w:rsid w:val="00A27730"/>
    <w:rsid w:val="00A278F5"/>
    <w:rsid w:val="00A27D83"/>
    <w:rsid w:val="00A27F46"/>
    <w:rsid w:val="00A308B5"/>
    <w:rsid w:val="00A30FC0"/>
    <w:rsid w:val="00A31915"/>
    <w:rsid w:val="00A31B15"/>
    <w:rsid w:val="00A3345A"/>
    <w:rsid w:val="00A34B50"/>
    <w:rsid w:val="00A353B0"/>
    <w:rsid w:val="00A3618C"/>
    <w:rsid w:val="00A36E42"/>
    <w:rsid w:val="00A37AE0"/>
    <w:rsid w:val="00A37F0E"/>
    <w:rsid w:val="00A4079F"/>
    <w:rsid w:val="00A40BF6"/>
    <w:rsid w:val="00A41854"/>
    <w:rsid w:val="00A42CFD"/>
    <w:rsid w:val="00A436CA"/>
    <w:rsid w:val="00A439DC"/>
    <w:rsid w:val="00A43CF4"/>
    <w:rsid w:val="00A4407F"/>
    <w:rsid w:val="00A445DF"/>
    <w:rsid w:val="00A4473A"/>
    <w:rsid w:val="00A458E7"/>
    <w:rsid w:val="00A45ADF"/>
    <w:rsid w:val="00A45CC0"/>
    <w:rsid w:val="00A466A4"/>
    <w:rsid w:val="00A467C1"/>
    <w:rsid w:val="00A46998"/>
    <w:rsid w:val="00A46B2D"/>
    <w:rsid w:val="00A4733F"/>
    <w:rsid w:val="00A4786B"/>
    <w:rsid w:val="00A5027B"/>
    <w:rsid w:val="00A5141A"/>
    <w:rsid w:val="00A51833"/>
    <w:rsid w:val="00A519B6"/>
    <w:rsid w:val="00A52470"/>
    <w:rsid w:val="00A52D5B"/>
    <w:rsid w:val="00A53A1B"/>
    <w:rsid w:val="00A553A6"/>
    <w:rsid w:val="00A5574D"/>
    <w:rsid w:val="00A560D2"/>
    <w:rsid w:val="00A5622F"/>
    <w:rsid w:val="00A57DC6"/>
    <w:rsid w:val="00A60286"/>
    <w:rsid w:val="00A616D0"/>
    <w:rsid w:val="00A62502"/>
    <w:rsid w:val="00A64FB9"/>
    <w:rsid w:val="00A6568F"/>
    <w:rsid w:val="00A65920"/>
    <w:rsid w:val="00A6624A"/>
    <w:rsid w:val="00A6792B"/>
    <w:rsid w:val="00A67C1A"/>
    <w:rsid w:val="00A67C4F"/>
    <w:rsid w:val="00A70B0D"/>
    <w:rsid w:val="00A70B9E"/>
    <w:rsid w:val="00A7131D"/>
    <w:rsid w:val="00A71398"/>
    <w:rsid w:val="00A7146C"/>
    <w:rsid w:val="00A71AEF"/>
    <w:rsid w:val="00A721F5"/>
    <w:rsid w:val="00A7238D"/>
    <w:rsid w:val="00A728F4"/>
    <w:rsid w:val="00A72E83"/>
    <w:rsid w:val="00A730BD"/>
    <w:rsid w:val="00A73769"/>
    <w:rsid w:val="00A74DF9"/>
    <w:rsid w:val="00A7515B"/>
    <w:rsid w:val="00A75C02"/>
    <w:rsid w:val="00A75EC3"/>
    <w:rsid w:val="00A7662E"/>
    <w:rsid w:val="00A77E4A"/>
    <w:rsid w:val="00A80748"/>
    <w:rsid w:val="00A80CC7"/>
    <w:rsid w:val="00A80FA9"/>
    <w:rsid w:val="00A81C73"/>
    <w:rsid w:val="00A8234C"/>
    <w:rsid w:val="00A83186"/>
    <w:rsid w:val="00A83509"/>
    <w:rsid w:val="00A83712"/>
    <w:rsid w:val="00A8549C"/>
    <w:rsid w:val="00A86126"/>
    <w:rsid w:val="00A8653B"/>
    <w:rsid w:val="00A87958"/>
    <w:rsid w:val="00A87F00"/>
    <w:rsid w:val="00A91412"/>
    <w:rsid w:val="00A92212"/>
    <w:rsid w:val="00A926B0"/>
    <w:rsid w:val="00A9363C"/>
    <w:rsid w:val="00A93B2B"/>
    <w:rsid w:val="00A94489"/>
    <w:rsid w:val="00A9496C"/>
    <w:rsid w:val="00A95300"/>
    <w:rsid w:val="00A95420"/>
    <w:rsid w:val="00A957D6"/>
    <w:rsid w:val="00A95947"/>
    <w:rsid w:val="00A95BCE"/>
    <w:rsid w:val="00A95ED1"/>
    <w:rsid w:val="00A969F0"/>
    <w:rsid w:val="00A971C5"/>
    <w:rsid w:val="00A976E9"/>
    <w:rsid w:val="00A97C25"/>
    <w:rsid w:val="00A97E8A"/>
    <w:rsid w:val="00AA090C"/>
    <w:rsid w:val="00AA0AC5"/>
    <w:rsid w:val="00AA14F5"/>
    <w:rsid w:val="00AA239A"/>
    <w:rsid w:val="00AA27FF"/>
    <w:rsid w:val="00AA29E0"/>
    <w:rsid w:val="00AA2FA9"/>
    <w:rsid w:val="00AA2FAA"/>
    <w:rsid w:val="00AA32B5"/>
    <w:rsid w:val="00AA363A"/>
    <w:rsid w:val="00AA3FD6"/>
    <w:rsid w:val="00AA4109"/>
    <w:rsid w:val="00AA50BC"/>
    <w:rsid w:val="00AA5D47"/>
    <w:rsid w:val="00AA5DB4"/>
    <w:rsid w:val="00AA7572"/>
    <w:rsid w:val="00AA781B"/>
    <w:rsid w:val="00AA7A28"/>
    <w:rsid w:val="00AA7D45"/>
    <w:rsid w:val="00AB1BF4"/>
    <w:rsid w:val="00AB1C02"/>
    <w:rsid w:val="00AB2674"/>
    <w:rsid w:val="00AB2A06"/>
    <w:rsid w:val="00AB32F6"/>
    <w:rsid w:val="00AB39C0"/>
    <w:rsid w:val="00AB46BB"/>
    <w:rsid w:val="00AB4C86"/>
    <w:rsid w:val="00AB5670"/>
    <w:rsid w:val="00AB5FCE"/>
    <w:rsid w:val="00AB70A2"/>
    <w:rsid w:val="00AB7307"/>
    <w:rsid w:val="00AB791C"/>
    <w:rsid w:val="00AC15FF"/>
    <w:rsid w:val="00AC1917"/>
    <w:rsid w:val="00AC38D0"/>
    <w:rsid w:val="00AC4450"/>
    <w:rsid w:val="00AC4877"/>
    <w:rsid w:val="00AC5693"/>
    <w:rsid w:val="00AC71ED"/>
    <w:rsid w:val="00AD0540"/>
    <w:rsid w:val="00AD0616"/>
    <w:rsid w:val="00AD0C56"/>
    <w:rsid w:val="00AD1075"/>
    <w:rsid w:val="00AD19B2"/>
    <w:rsid w:val="00AD3DA5"/>
    <w:rsid w:val="00AD4223"/>
    <w:rsid w:val="00AD42BA"/>
    <w:rsid w:val="00AD4320"/>
    <w:rsid w:val="00AD4392"/>
    <w:rsid w:val="00AD4907"/>
    <w:rsid w:val="00AD561B"/>
    <w:rsid w:val="00AD5AB3"/>
    <w:rsid w:val="00AD5B6B"/>
    <w:rsid w:val="00AD5C64"/>
    <w:rsid w:val="00AD5E57"/>
    <w:rsid w:val="00AD610C"/>
    <w:rsid w:val="00AD67F2"/>
    <w:rsid w:val="00AD6A56"/>
    <w:rsid w:val="00AE0AE7"/>
    <w:rsid w:val="00AE0F0A"/>
    <w:rsid w:val="00AE113E"/>
    <w:rsid w:val="00AE327C"/>
    <w:rsid w:val="00AE37F9"/>
    <w:rsid w:val="00AE38AE"/>
    <w:rsid w:val="00AE3EB4"/>
    <w:rsid w:val="00AE40DC"/>
    <w:rsid w:val="00AE44AD"/>
    <w:rsid w:val="00AE4517"/>
    <w:rsid w:val="00AE57C4"/>
    <w:rsid w:val="00AE6CA1"/>
    <w:rsid w:val="00AE773B"/>
    <w:rsid w:val="00AF05C1"/>
    <w:rsid w:val="00AF0C3B"/>
    <w:rsid w:val="00AF1681"/>
    <w:rsid w:val="00AF267F"/>
    <w:rsid w:val="00AF29CE"/>
    <w:rsid w:val="00AF2C62"/>
    <w:rsid w:val="00AF35FD"/>
    <w:rsid w:val="00AF37AC"/>
    <w:rsid w:val="00AF3D56"/>
    <w:rsid w:val="00AF55C1"/>
    <w:rsid w:val="00AF642C"/>
    <w:rsid w:val="00AF735B"/>
    <w:rsid w:val="00AF78CA"/>
    <w:rsid w:val="00B005DB"/>
    <w:rsid w:val="00B00DD8"/>
    <w:rsid w:val="00B010CF"/>
    <w:rsid w:val="00B012AD"/>
    <w:rsid w:val="00B021FE"/>
    <w:rsid w:val="00B03594"/>
    <w:rsid w:val="00B04C84"/>
    <w:rsid w:val="00B050D8"/>
    <w:rsid w:val="00B051E3"/>
    <w:rsid w:val="00B05978"/>
    <w:rsid w:val="00B05D3A"/>
    <w:rsid w:val="00B06FAA"/>
    <w:rsid w:val="00B07184"/>
    <w:rsid w:val="00B07291"/>
    <w:rsid w:val="00B0762A"/>
    <w:rsid w:val="00B07E99"/>
    <w:rsid w:val="00B1132F"/>
    <w:rsid w:val="00B117FA"/>
    <w:rsid w:val="00B11CAA"/>
    <w:rsid w:val="00B12C7E"/>
    <w:rsid w:val="00B13FFA"/>
    <w:rsid w:val="00B1444F"/>
    <w:rsid w:val="00B14580"/>
    <w:rsid w:val="00B14D88"/>
    <w:rsid w:val="00B15D77"/>
    <w:rsid w:val="00B16B52"/>
    <w:rsid w:val="00B174D6"/>
    <w:rsid w:val="00B17525"/>
    <w:rsid w:val="00B20175"/>
    <w:rsid w:val="00B20C5C"/>
    <w:rsid w:val="00B20CE3"/>
    <w:rsid w:val="00B21029"/>
    <w:rsid w:val="00B21509"/>
    <w:rsid w:val="00B21819"/>
    <w:rsid w:val="00B21CAA"/>
    <w:rsid w:val="00B21E24"/>
    <w:rsid w:val="00B23C76"/>
    <w:rsid w:val="00B23D38"/>
    <w:rsid w:val="00B24271"/>
    <w:rsid w:val="00B25487"/>
    <w:rsid w:val="00B264C0"/>
    <w:rsid w:val="00B26A8B"/>
    <w:rsid w:val="00B275E9"/>
    <w:rsid w:val="00B2765B"/>
    <w:rsid w:val="00B3071A"/>
    <w:rsid w:val="00B308D6"/>
    <w:rsid w:val="00B30C72"/>
    <w:rsid w:val="00B312EE"/>
    <w:rsid w:val="00B31541"/>
    <w:rsid w:val="00B317C1"/>
    <w:rsid w:val="00B32072"/>
    <w:rsid w:val="00B329B8"/>
    <w:rsid w:val="00B32C01"/>
    <w:rsid w:val="00B32FEA"/>
    <w:rsid w:val="00B33E64"/>
    <w:rsid w:val="00B346D7"/>
    <w:rsid w:val="00B34B54"/>
    <w:rsid w:val="00B350A3"/>
    <w:rsid w:val="00B367EC"/>
    <w:rsid w:val="00B36B8D"/>
    <w:rsid w:val="00B36E60"/>
    <w:rsid w:val="00B372F4"/>
    <w:rsid w:val="00B3734B"/>
    <w:rsid w:val="00B37CE4"/>
    <w:rsid w:val="00B4073A"/>
    <w:rsid w:val="00B41653"/>
    <w:rsid w:val="00B41AE4"/>
    <w:rsid w:val="00B42608"/>
    <w:rsid w:val="00B42C45"/>
    <w:rsid w:val="00B4347B"/>
    <w:rsid w:val="00B438B6"/>
    <w:rsid w:val="00B446DD"/>
    <w:rsid w:val="00B449D2"/>
    <w:rsid w:val="00B453AC"/>
    <w:rsid w:val="00B459E2"/>
    <w:rsid w:val="00B46A35"/>
    <w:rsid w:val="00B470AF"/>
    <w:rsid w:val="00B47215"/>
    <w:rsid w:val="00B47895"/>
    <w:rsid w:val="00B5163A"/>
    <w:rsid w:val="00B5191F"/>
    <w:rsid w:val="00B519CD"/>
    <w:rsid w:val="00B51B53"/>
    <w:rsid w:val="00B522A6"/>
    <w:rsid w:val="00B539D3"/>
    <w:rsid w:val="00B54056"/>
    <w:rsid w:val="00B547F1"/>
    <w:rsid w:val="00B54FCB"/>
    <w:rsid w:val="00B55B02"/>
    <w:rsid w:val="00B561B4"/>
    <w:rsid w:val="00B570C2"/>
    <w:rsid w:val="00B57163"/>
    <w:rsid w:val="00B571B3"/>
    <w:rsid w:val="00B57E95"/>
    <w:rsid w:val="00B57F55"/>
    <w:rsid w:val="00B60B8B"/>
    <w:rsid w:val="00B617E8"/>
    <w:rsid w:val="00B6194D"/>
    <w:rsid w:val="00B61C0A"/>
    <w:rsid w:val="00B63129"/>
    <w:rsid w:val="00B6331B"/>
    <w:rsid w:val="00B643B4"/>
    <w:rsid w:val="00B643DF"/>
    <w:rsid w:val="00B64EA0"/>
    <w:rsid w:val="00B66B84"/>
    <w:rsid w:val="00B66F39"/>
    <w:rsid w:val="00B67561"/>
    <w:rsid w:val="00B67605"/>
    <w:rsid w:val="00B678DD"/>
    <w:rsid w:val="00B701FF"/>
    <w:rsid w:val="00B70777"/>
    <w:rsid w:val="00B70DD7"/>
    <w:rsid w:val="00B7158D"/>
    <w:rsid w:val="00B718F5"/>
    <w:rsid w:val="00B7194C"/>
    <w:rsid w:val="00B71B08"/>
    <w:rsid w:val="00B71CC5"/>
    <w:rsid w:val="00B71D6A"/>
    <w:rsid w:val="00B727CD"/>
    <w:rsid w:val="00B72B68"/>
    <w:rsid w:val="00B72C69"/>
    <w:rsid w:val="00B73679"/>
    <w:rsid w:val="00B74E94"/>
    <w:rsid w:val="00B74F50"/>
    <w:rsid w:val="00B75A77"/>
    <w:rsid w:val="00B7603D"/>
    <w:rsid w:val="00B76FA4"/>
    <w:rsid w:val="00B770DC"/>
    <w:rsid w:val="00B77C05"/>
    <w:rsid w:val="00B77C55"/>
    <w:rsid w:val="00B80D58"/>
    <w:rsid w:val="00B8212E"/>
    <w:rsid w:val="00B82EAE"/>
    <w:rsid w:val="00B8421B"/>
    <w:rsid w:val="00B8504D"/>
    <w:rsid w:val="00B8558B"/>
    <w:rsid w:val="00B8588D"/>
    <w:rsid w:val="00B865E7"/>
    <w:rsid w:val="00B86BE1"/>
    <w:rsid w:val="00B87455"/>
    <w:rsid w:val="00B87DDF"/>
    <w:rsid w:val="00B909A3"/>
    <w:rsid w:val="00B90A41"/>
    <w:rsid w:val="00B91E36"/>
    <w:rsid w:val="00B92572"/>
    <w:rsid w:val="00B926E4"/>
    <w:rsid w:val="00B92DC1"/>
    <w:rsid w:val="00B93D84"/>
    <w:rsid w:val="00B94618"/>
    <w:rsid w:val="00B94B31"/>
    <w:rsid w:val="00B94E45"/>
    <w:rsid w:val="00B953D9"/>
    <w:rsid w:val="00B95E80"/>
    <w:rsid w:val="00B95EEC"/>
    <w:rsid w:val="00B966BF"/>
    <w:rsid w:val="00B96B1D"/>
    <w:rsid w:val="00B96F66"/>
    <w:rsid w:val="00B97817"/>
    <w:rsid w:val="00B97E26"/>
    <w:rsid w:val="00BA03D1"/>
    <w:rsid w:val="00BA0D07"/>
    <w:rsid w:val="00BA1B98"/>
    <w:rsid w:val="00BA1FFE"/>
    <w:rsid w:val="00BA23FD"/>
    <w:rsid w:val="00BA32C9"/>
    <w:rsid w:val="00BA35E0"/>
    <w:rsid w:val="00BA3F08"/>
    <w:rsid w:val="00BA4027"/>
    <w:rsid w:val="00BA44E4"/>
    <w:rsid w:val="00BA4852"/>
    <w:rsid w:val="00BA53E0"/>
    <w:rsid w:val="00BA557F"/>
    <w:rsid w:val="00BA5A76"/>
    <w:rsid w:val="00BA5B1D"/>
    <w:rsid w:val="00BA5E8D"/>
    <w:rsid w:val="00BA6253"/>
    <w:rsid w:val="00BA661C"/>
    <w:rsid w:val="00BA6671"/>
    <w:rsid w:val="00BA6745"/>
    <w:rsid w:val="00BA7A08"/>
    <w:rsid w:val="00BB18F3"/>
    <w:rsid w:val="00BB1A8F"/>
    <w:rsid w:val="00BB1F38"/>
    <w:rsid w:val="00BB22F0"/>
    <w:rsid w:val="00BB27C3"/>
    <w:rsid w:val="00BB335F"/>
    <w:rsid w:val="00BB3642"/>
    <w:rsid w:val="00BB3CC6"/>
    <w:rsid w:val="00BB3E22"/>
    <w:rsid w:val="00BB414B"/>
    <w:rsid w:val="00BB437C"/>
    <w:rsid w:val="00BB58CD"/>
    <w:rsid w:val="00BB6474"/>
    <w:rsid w:val="00BB7689"/>
    <w:rsid w:val="00BC012E"/>
    <w:rsid w:val="00BC088B"/>
    <w:rsid w:val="00BC111F"/>
    <w:rsid w:val="00BC1502"/>
    <w:rsid w:val="00BC2168"/>
    <w:rsid w:val="00BC2C52"/>
    <w:rsid w:val="00BC312E"/>
    <w:rsid w:val="00BC499A"/>
    <w:rsid w:val="00BC4A0A"/>
    <w:rsid w:val="00BC4C50"/>
    <w:rsid w:val="00BC4FF8"/>
    <w:rsid w:val="00BC5525"/>
    <w:rsid w:val="00BC55BA"/>
    <w:rsid w:val="00BC568D"/>
    <w:rsid w:val="00BC5E72"/>
    <w:rsid w:val="00BC6423"/>
    <w:rsid w:val="00BC6A52"/>
    <w:rsid w:val="00BC6D79"/>
    <w:rsid w:val="00BC73C2"/>
    <w:rsid w:val="00BC76A0"/>
    <w:rsid w:val="00BD30B9"/>
    <w:rsid w:val="00BD355A"/>
    <w:rsid w:val="00BD4A97"/>
    <w:rsid w:val="00BD5418"/>
    <w:rsid w:val="00BD6102"/>
    <w:rsid w:val="00BD6157"/>
    <w:rsid w:val="00BD63C8"/>
    <w:rsid w:val="00BD6D02"/>
    <w:rsid w:val="00BD70A9"/>
    <w:rsid w:val="00BD790C"/>
    <w:rsid w:val="00BE069E"/>
    <w:rsid w:val="00BE0818"/>
    <w:rsid w:val="00BE10F6"/>
    <w:rsid w:val="00BE2C07"/>
    <w:rsid w:val="00BE33BC"/>
    <w:rsid w:val="00BE3498"/>
    <w:rsid w:val="00BE3605"/>
    <w:rsid w:val="00BE6BCF"/>
    <w:rsid w:val="00BF0010"/>
    <w:rsid w:val="00BF01E2"/>
    <w:rsid w:val="00BF11D9"/>
    <w:rsid w:val="00BF18B8"/>
    <w:rsid w:val="00BF1A76"/>
    <w:rsid w:val="00BF1BE7"/>
    <w:rsid w:val="00BF1BEE"/>
    <w:rsid w:val="00BF1ECA"/>
    <w:rsid w:val="00BF249B"/>
    <w:rsid w:val="00BF2931"/>
    <w:rsid w:val="00BF33C0"/>
    <w:rsid w:val="00BF35FF"/>
    <w:rsid w:val="00BF39F2"/>
    <w:rsid w:val="00BF3EC6"/>
    <w:rsid w:val="00BF459E"/>
    <w:rsid w:val="00BF5874"/>
    <w:rsid w:val="00BF613F"/>
    <w:rsid w:val="00BF6560"/>
    <w:rsid w:val="00BF6719"/>
    <w:rsid w:val="00BF68F8"/>
    <w:rsid w:val="00BF6A29"/>
    <w:rsid w:val="00BF6E28"/>
    <w:rsid w:val="00BF7AC8"/>
    <w:rsid w:val="00C009A0"/>
    <w:rsid w:val="00C00D20"/>
    <w:rsid w:val="00C0163F"/>
    <w:rsid w:val="00C029BE"/>
    <w:rsid w:val="00C02A84"/>
    <w:rsid w:val="00C02BB4"/>
    <w:rsid w:val="00C02E49"/>
    <w:rsid w:val="00C02F47"/>
    <w:rsid w:val="00C0349D"/>
    <w:rsid w:val="00C03968"/>
    <w:rsid w:val="00C03C97"/>
    <w:rsid w:val="00C04458"/>
    <w:rsid w:val="00C045A5"/>
    <w:rsid w:val="00C04B0E"/>
    <w:rsid w:val="00C04DBE"/>
    <w:rsid w:val="00C053E1"/>
    <w:rsid w:val="00C057F9"/>
    <w:rsid w:val="00C06D15"/>
    <w:rsid w:val="00C06FBF"/>
    <w:rsid w:val="00C073C1"/>
    <w:rsid w:val="00C07839"/>
    <w:rsid w:val="00C07CAA"/>
    <w:rsid w:val="00C114B9"/>
    <w:rsid w:val="00C11A55"/>
    <w:rsid w:val="00C11E92"/>
    <w:rsid w:val="00C12218"/>
    <w:rsid w:val="00C122C7"/>
    <w:rsid w:val="00C1293C"/>
    <w:rsid w:val="00C12A48"/>
    <w:rsid w:val="00C12AEB"/>
    <w:rsid w:val="00C12C9E"/>
    <w:rsid w:val="00C1387A"/>
    <w:rsid w:val="00C138F1"/>
    <w:rsid w:val="00C13A86"/>
    <w:rsid w:val="00C13AC8"/>
    <w:rsid w:val="00C13E83"/>
    <w:rsid w:val="00C143AE"/>
    <w:rsid w:val="00C16502"/>
    <w:rsid w:val="00C17388"/>
    <w:rsid w:val="00C17D24"/>
    <w:rsid w:val="00C20301"/>
    <w:rsid w:val="00C20484"/>
    <w:rsid w:val="00C204E1"/>
    <w:rsid w:val="00C2085F"/>
    <w:rsid w:val="00C20D5F"/>
    <w:rsid w:val="00C212BE"/>
    <w:rsid w:val="00C22159"/>
    <w:rsid w:val="00C22214"/>
    <w:rsid w:val="00C22612"/>
    <w:rsid w:val="00C22993"/>
    <w:rsid w:val="00C22C4D"/>
    <w:rsid w:val="00C2357F"/>
    <w:rsid w:val="00C241AA"/>
    <w:rsid w:val="00C24229"/>
    <w:rsid w:val="00C2503D"/>
    <w:rsid w:val="00C25212"/>
    <w:rsid w:val="00C25A3C"/>
    <w:rsid w:val="00C274A2"/>
    <w:rsid w:val="00C2753C"/>
    <w:rsid w:val="00C30185"/>
    <w:rsid w:val="00C304CF"/>
    <w:rsid w:val="00C30D64"/>
    <w:rsid w:val="00C31288"/>
    <w:rsid w:val="00C31715"/>
    <w:rsid w:val="00C31C95"/>
    <w:rsid w:val="00C32006"/>
    <w:rsid w:val="00C32428"/>
    <w:rsid w:val="00C32584"/>
    <w:rsid w:val="00C33E38"/>
    <w:rsid w:val="00C34582"/>
    <w:rsid w:val="00C34AD0"/>
    <w:rsid w:val="00C35003"/>
    <w:rsid w:val="00C35043"/>
    <w:rsid w:val="00C35BEC"/>
    <w:rsid w:val="00C35D44"/>
    <w:rsid w:val="00C372EB"/>
    <w:rsid w:val="00C3784A"/>
    <w:rsid w:val="00C37C4A"/>
    <w:rsid w:val="00C4072A"/>
    <w:rsid w:val="00C4122F"/>
    <w:rsid w:val="00C419E3"/>
    <w:rsid w:val="00C41C22"/>
    <w:rsid w:val="00C41D6B"/>
    <w:rsid w:val="00C42BF7"/>
    <w:rsid w:val="00C44EE0"/>
    <w:rsid w:val="00C45BCA"/>
    <w:rsid w:val="00C46107"/>
    <w:rsid w:val="00C461F6"/>
    <w:rsid w:val="00C4679A"/>
    <w:rsid w:val="00C47C61"/>
    <w:rsid w:val="00C50024"/>
    <w:rsid w:val="00C50A38"/>
    <w:rsid w:val="00C513A3"/>
    <w:rsid w:val="00C52951"/>
    <w:rsid w:val="00C53AF8"/>
    <w:rsid w:val="00C54FA7"/>
    <w:rsid w:val="00C5542E"/>
    <w:rsid w:val="00C5589D"/>
    <w:rsid w:val="00C55D4A"/>
    <w:rsid w:val="00C55EC2"/>
    <w:rsid w:val="00C568F8"/>
    <w:rsid w:val="00C56D3D"/>
    <w:rsid w:val="00C57201"/>
    <w:rsid w:val="00C5742A"/>
    <w:rsid w:val="00C57FC5"/>
    <w:rsid w:val="00C60095"/>
    <w:rsid w:val="00C600F4"/>
    <w:rsid w:val="00C6105A"/>
    <w:rsid w:val="00C612C8"/>
    <w:rsid w:val="00C61AAC"/>
    <w:rsid w:val="00C624E4"/>
    <w:rsid w:val="00C6255B"/>
    <w:rsid w:val="00C63101"/>
    <w:rsid w:val="00C6331D"/>
    <w:rsid w:val="00C63DD3"/>
    <w:rsid w:val="00C644F7"/>
    <w:rsid w:val="00C6487E"/>
    <w:rsid w:val="00C64A57"/>
    <w:rsid w:val="00C651E4"/>
    <w:rsid w:val="00C656D6"/>
    <w:rsid w:val="00C65983"/>
    <w:rsid w:val="00C65B49"/>
    <w:rsid w:val="00C669FF"/>
    <w:rsid w:val="00C70CE5"/>
    <w:rsid w:val="00C7177F"/>
    <w:rsid w:val="00C71DE2"/>
    <w:rsid w:val="00C729D8"/>
    <w:rsid w:val="00C7353A"/>
    <w:rsid w:val="00C739AC"/>
    <w:rsid w:val="00C73A8F"/>
    <w:rsid w:val="00C7457A"/>
    <w:rsid w:val="00C74809"/>
    <w:rsid w:val="00C75BD5"/>
    <w:rsid w:val="00C75F0D"/>
    <w:rsid w:val="00C7631B"/>
    <w:rsid w:val="00C77F92"/>
    <w:rsid w:val="00C80A20"/>
    <w:rsid w:val="00C80C85"/>
    <w:rsid w:val="00C80E22"/>
    <w:rsid w:val="00C81061"/>
    <w:rsid w:val="00C8114B"/>
    <w:rsid w:val="00C811C0"/>
    <w:rsid w:val="00C81962"/>
    <w:rsid w:val="00C81BE8"/>
    <w:rsid w:val="00C81DE4"/>
    <w:rsid w:val="00C823E3"/>
    <w:rsid w:val="00C83667"/>
    <w:rsid w:val="00C83CD7"/>
    <w:rsid w:val="00C84400"/>
    <w:rsid w:val="00C84452"/>
    <w:rsid w:val="00C844E2"/>
    <w:rsid w:val="00C84B56"/>
    <w:rsid w:val="00C84B67"/>
    <w:rsid w:val="00C85605"/>
    <w:rsid w:val="00C85913"/>
    <w:rsid w:val="00C85DCF"/>
    <w:rsid w:val="00C87305"/>
    <w:rsid w:val="00C9026F"/>
    <w:rsid w:val="00C902A9"/>
    <w:rsid w:val="00C90BBE"/>
    <w:rsid w:val="00C91949"/>
    <w:rsid w:val="00C91AA8"/>
    <w:rsid w:val="00C91AB5"/>
    <w:rsid w:val="00C91C87"/>
    <w:rsid w:val="00C91D73"/>
    <w:rsid w:val="00C91F68"/>
    <w:rsid w:val="00C9244E"/>
    <w:rsid w:val="00C925CA"/>
    <w:rsid w:val="00C9265A"/>
    <w:rsid w:val="00C9322E"/>
    <w:rsid w:val="00C933FC"/>
    <w:rsid w:val="00C93451"/>
    <w:rsid w:val="00C9387E"/>
    <w:rsid w:val="00C94402"/>
    <w:rsid w:val="00C94728"/>
    <w:rsid w:val="00C94769"/>
    <w:rsid w:val="00C94AD7"/>
    <w:rsid w:val="00C94C34"/>
    <w:rsid w:val="00C95096"/>
    <w:rsid w:val="00C95189"/>
    <w:rsid w:val="00C95AE2"/>
    <w:rsid w:val="00C96214"/>
    <w:rsid w:val="00C9641A"/>
    <w:rsid w:val="00C96DB8"/>
    <w:rsid w:val="00C96DF4"/>
    <w:rsid w:val="00C97CFE"/>
    <w:rsid w:val="00C97D5E"/>
    <w:rsid w:val="00CA01F2"/>
    <w:rsid w:val="00CA2906"/>
    <w:rsid w:val="00CA294C"/>
    <w:rsid w:val="00CA2AB5"/>
    <w:rsid w:val="00CA2C3C"/>
    <w:rsid w:val="00CA2DB8"/>
    <w:rsid w:val="00CA3680"/>
    <w:rsid w:val="00CA3806"/>
    <w:rsid w:val="00CA3A03"/>
    <w:rsid w:val="00CA3F12"/>
    <w:rsid w:val="00CA3FA2"/>
    <w:rsid w:val="00CA4168"/>
    <w:rsid w:val="00CA44B8"/>
    <w:rsid w:val="00CA571A"/>
    <w:rsid w:val="00CA6AD7"/>
    <w:rsid w:val="00CA6B86"/>
    <w:rsid w:val="00CA76BD"/>
    <w:rsid w:val="00CB11EB"/>
    <w:rsid w:val="00CB22EE"/>
    <w:rsid w:val="00CB2A90"/>
    <w:rsid w:val="00CB2C8F"/>
    <w:rsid w:val="00CB2D8C"/>
    <w:rsid w:val="00CB30F6"/>
    <w:rsid w:val="00CB3C20"/>
    <w:rsid w:val="00CB3CDD"/>
    <w:rsid w:val="00CB430A"/>
    <w:rsid w:val="00CB465E"/>
    <w:rsid w:val="00CB492A"/>
    <w:rsid w:val="00CB4A83"/>
    <w:rsid w:val="00CB5870"/>
    <w:rsid w:val="00CB5E75"/>
    <w:rsid w:val="00CB60CE"/>
    <w:rsid w:val="00CB60D3"/>
    <w:rsid w:val="00CB768E"/>
    <w:rsid w:val="00CC0772"/>
    <w:rsid w:val="00CC0ADB"/>
    <w:rsid w:val="00CC1564"/>
    <w:rsid w:val="00CC1B2B"/>
    <w:rsid w:val="00CC1F3B"/>
    <w:rsid w:val="00CC26F1"/>
    <w:rsid w:val="00CC33C9"/>
    <w:rsid w:val="00CC405F"/>
    <w:rsid w:val="00CC40C5"/>
    <w:rsid w:val="00CC4286"/>
    <w:rsid w:val="00CC457B"/>
    <w:rsid w:val="00CC458B"/>
    <w:rsid w:val="00CC4EC6"/>
    <w:rsid w:val="00CC543C"/>
    <w:rsid w:val="00CC6328"/>
    <w:rsid w:val="00CC6E0F"/>
    <w:rsid w:val="00CC6E4D"/>
    <w:rsid w:val="00CC7E1E"/>
    <w:rsid w:val="00CC7F62"/>
    <w:rsid w:val="00CD0175"/>
    <w:rsid w:val="00CD0C2E"/>
    <w:rsid w:val="00CD1EB7"/>
    <w:rsid w:val="00CD2C41"/>
    <w:rsid w:val="00CD3522"/>
    <w:rsid w:val="00CD36BD"/>
    <w:rsid w:val="00CD3E97"/>
    <w:rsid w:val="00CD4E99"/>
    <w:rsid w:val="00CD57E9"/>
    <w:rsid w:val="00CD61C0"/>
    <w:rsid w:val="00CD6569"/>
    <w:rsid w:val="00CD67D7"/>
    <w:rsid w:val="00CD6E20"/>
    <w:rsid w:val="00CD6FD7"/>
    <w:rsid w:val="00CD7A1D"/>
    <w:rsid w:val="00CE0358"/>
    <w:rsid w:val="00CE05FC"/>
    <w:rsid w:val="00CE0C23"/>
    <w:rsid w:val="00CE128C"/>
    <w:rsid w:val="00CE17E2"/>
    <w:rsid w:val="00CE3065"/>
    <w:rsid w:val="00CE3F0A"/>
    <w:rsid w:val="00CE3FE7"/>
    <w:rsid w:val="00CE4656"/>
    <w:rsid w:val="00CE47CB"/>
    <w:rsid w:val="00CE4B61"/>
    <w:rsid w:val="00CE5B93"/>
    <w:rsid w:val="00CE5CE5"/>
    <w:rsid w:val="00CE61F3"/>
    <w:rsid w:val="00CE641A"/>
    <w:rsid w:val="00CE6D34"/>
    <w:rsid w:val="00CE705E"/>
    <w:rsid w:val="00CE7411"/>
    <w:rsid w:val="00CF00AE"/>
    <w:rsid w:val="00CF161F"/>
    <w:rsid w:val="00CF1C60"/>
    <w:rsid w:val="00CF2546"/>
    <w:rsid w:val="00CF267D"/>
    <w:rsid w:val="00CF26CB"/>
    <w:rsid w:val="00CF2F79"/>
    <w:rsid w:val="00CF33D5"/>
    <w:rsid w:val="00CF38C6"/>
    <w:rsid w:val="00CF39C7"/>
    <w:rsid w:val="00CF3FD6"/>
    <w:rsid w:val="00CF42D0"/>
    <w:rsid w:val="00CF4B41"/>
    <w:rsid w:val="00CF4C2F"/>
    <w:rsid w:val="00CF5644"/>
    <w:rsid w:val="00CF5EA5"/>
    <w:rsid w:val="00CF6096"/>
    <w:rsid w:val="00CF6263"/>
    <w:rsid w:val="00CF6712"/>
    <w:rsid w:val="00CF701C"/>
    <w:rsid w:val="00CF71C7"/>
    <w:rsid w:val="00D00660"/>
    <w:rsid w:val="00D00FB9"/>
    <w:rsid w:val="00D019D5"/>
    <w:rsid w:val="00D0259C"/>
    <w:rsid w:val="00D0282C"/>
    <w:rsid w:val="00D0373D"/>
    <w:rsid w:val="00D0405A"/>
    <w:rsid w:val="00D040F1"/>
    <w:rsid w:val="00D04F36"/>
    <w:rsid w:val="00D05104"/>
    <w:rsid w:val="00D0567E"/>
    <w:rsid w:val="00D06221"/>
    <w:rsid w:val="00D06C35"/>
    <w:rsid w:val="00D07E11"/>
    <w:rsid w:val="00D107AE"/>
    <w:rsid w:val="00D10A10"/>
    <w:rsid w:val="00D11BE6"/>
    <w:rsid w:val="00D13F6E"/>
    <w:rsid w:val="00D14062"/>
    <w:rsid w:val="00D1484B"/>
    <w:rsid w:val="00D161AC"/>
    <w:rsid w:val="00D16AB8"/>
    <w:rsid w:val="00D17557"/>
    <w:rsid w:val="00D17E37"/>
    <w:rsid w:val="00D2013A"/>
    <w:rsid w:val="00D20FDA"/>
    <w:rsid w:val="00D212C5"/>
    <w:rsid w:val="00D2177C"/>
    <w:rsid w:val="00D2248D"/>
    <w:rsid w:val="00D2257D"/>
    <w:rsid w:val="00D22CCD"/>
    <w:rsid w:val="00D2318F"/>
    <w:rsid w:val="00D23729"/>
    <w:rsid w:val="00D23F46"/>
    <w:rsid w:val="00D24279"/>
    <w:rsid w:val="00D25559"/>
    <w:rsid w:val="00D2609B"/>
    <w:rsid w:val="00D26F35"/>
    <w:rsid w:val="00D27A20"/>
    <w:rsid w:val="00D30D0B"/>
    <w:rsid w:val="00D30F9F"/>
    <w:rsid w:val="00D3291B"/>
    <w:rsid w:val="00D32C0F"/>
    <w:rsid w:val="00D33CB0"/>
    <w:rsid w:val="00D3425F"/>
    <w:rsid w:val="00D3518A"/>
    <w:rsid w:val="00D356AB"/>
    <w:rsid w:val="00D3574D"/>
    <w:rsid w:val="00D35A7E"/>
    <w:rsid w:val="00D368A4"/>
    <w:rsid w:val="00D36B8A"/>
    <w:rsid w:val="00D36D10"/>
    <w:rsid w:val="00D375A6"/>
    <w:rsid w:val="00D37902"/>
    <w:rsid w:val="00D40093"/>
    <w:rsid w:val="00D40455"/>
    <w:rsid w:val="00D41016"/>
    <w:rsid w:val="00D41137"/>
    <w:rsid w:val="00D41A1F"/>
    <w:rsid w:val="00D4289C"/>
    <w:rsid w:val="00D43A5B"/>
    <w:rsid w:val="00D44046"/>
    <w:rsid w:val="00D444CA"/>
    <w:rsid w:val="00D4510B"/>
    <w:rsid w:val="00D45811"/>
    <w:rsid w:val="00D46954"/>
    <w:rsid w:val="00D46C41"/>
    <w:rsid w:val="00D46D3A"/>
    <w:rsid w:val="00D46F33"/>
    <w:rsid w:val="00D471CD"/>
    <w:rsid w:val="00D479F3"/>
    <w:rsid w:val="00D507CD"/>
    <w:rsid w:val="00D50E05"/>
    <w:rsid w:val="00D512DA"/>
    <w:rsid w:val="00D51B88"/>
    <w:rsid w:val="00D526CB"/>
    <w:rsid w:val="00D53142"/>
    <w:rsid w:val="00D538ED"/>
    <w:rsid w:val="00D53975"/>
    <w:rsid w:val="00D53C0D"/>
    <w:rsid w:val="00D53FA7"/>
    <w:rsid w:val="00D5451B"/>
    <w:rsid w:val="00D54806"/>
    <w:rsid w:val="00D54F49"/>
    <w:rsid w:val="00D5513A"/>
    <w:rsid w:val="00D552EF"/>
    <w:rsid w:val="00D55755"/>
    <w:rsid w:val="00D55CF2"/>
    <w:rsid w:val="00D55D70"/>
    <w:rsid w:val="00D55DDC"/>
    <w:rsid w:val="00D5625E"/>
    <w:rsid w:val="00D563A6"/>
    <w:rsid w:val="00D564D3"/>
    <w:rsid w:val="00D56697"/>
    <w:rsid w:val="00D566D8"/>
    <w:rsid w:val="00D5675D"/>
    <w:rsid w:val="00D5695B"/>
    <w:rsid w:val="00D56CDD"/>
    <w:rsid w:val="00D573A1"/>
    <w:rsid w:val="00D5791F"/>
    <w:rsid w:val="00D6008D"/>
    <w:rsid w:val="00D60549"/>
    <w:rsid w:val="00D60AC0"/>
    <w:rsid w:val="00D60B98"/>
    <w:rsid w:val="00D63980"/>
    <w:rsid w:val="00D641A1"/>
    <w:rsid w:val="00D6477A"/>
    <w:rsid w:val="00D64CD7"/>
    <w:rsid w:val="00D64D04"/>
    <w:rsid w:val="00D6670F"/>
    <w:rsid w:val="00D66B01"/>
    <w:rsid w:val="00D670CD"/>
    <w:rsid w:val="00D672D4"/>
    <w:rsid w:val="00D673A9"/>
    <w:rsid w:val="00D70B8F"/>
    <w:rsid w:val="00D730C8"/>
    <w:rsid w:val="00D7322B"/>
    <w:rsid w:val="00D73BA3"/>
    <w:rsid w:val="00D75AAF"/>
    <w:rsid w:val="00D75D15"/>
    <w:rsid w:val="00D75E1F"/>
    <w:rsid w:val="00D75EA2"/>
    <w:rsid w:val="00D76474"/>
    <w:rsid w:val="00D7670F"/>
    <w:rsid w:val="00D767A2"/>
    <w:rsid w:val="00D76896"/>
    <w:rsid w:val="00D778E3"/>
    <w:rsid w:val="00D779C8"/>
    <w:rsid w:val="00D77A49"/>
    <w:rsid w:val="00D77C88"/>
    <w:rsid w:val="00D80D2A"/>
    <w:rsid w:val="00D81258"/>
    <w:rsid w:val="00D81F50"/>
    <w:rsid w:val="00D81FBC"/>
    <w:rsid w:val="00D820E0"/>
    <w:rsid w:val="00D82888"/>
    <w:rsid w:val="00D82C1E"/>
    <w:rsid w:val="00D83CAD"/>
    <w:rsid w:val="00D846AA"/>
    <w:rsid w:val="00D84821"/>
    <w:rsid w:val="00D8525D"/>
    <w:rsid w:val="00D86156"/>
    <w:rsid w:val="00D8646D"/>
    <w:rsid w:val="00D86B17"/>
    <w:rsid w:val="00D90517"/>
    <w:rsid w:val="00D910EF"/>
    <w:rsid w:val="00D912B0"/>
    <w:rsid w:val="00D92360"/>
    <w:rsid w:val="00D92753"/>
    <w:rsid w:val="00D92B82"/>
    <w:rsid w:val="00D9320A"/>
    <w:rsid w:val="00D9364E"/>
    <w:rsid w:val="00D938DE"/>
    <w:rsid w:val="00D939BA"/>
    <w:rsid w:val="00D93CF0"/>
    <w:rsid w:val="00D93EB3"/>
    <w:rsid w:val="00D94190"/>
    <w:rsid w:val="00D94261"/>
    <w:rsid w:val="00D9573B"/>
    <w:rsid w:val="00D95B92"/>
    <w:rsid w:val="00D95C52"/>
    <w:rsid w:val="00D95D75"/>
    <w:rsid w:val="00D96EFF"/>
    <w:rsid w:val="00DA09A5"/>
    <w:rsid w:val="00DA0FB2"/>
    <w:rsid w:val="00DA1C4F"/>
    <w:rsid w:val="00DA1E98"/>
    <w:rsid w:val="00DA2747"/>
    <w:rsid w:val="00DA275F"/>
    <w:rsid w:val="00DA4C0E"/>
    <w:rsid w:val="00DA4ECE"/>
    <w:rsid w:val="00DA508F"/>
    <w:rsid w:val="00DA5ACB"/>
    <w:rsid w:val="00DA6C55"/>
    <w:rsid w:val="00DA6D2E"/>
    <w:rsid w:val="00DA7273"/>
    <w:rsid w:val="00DA751A"/>
    <w:rsid w:val="00DA786A"/>
    <w:rsid w:val="00DB0C0F"/>
    <w:rsid w:val="00DB10F6"/>
    <w:rsid w:val="00DB1334"/>
    <w:rsid w:val="00DB18B2"/>
    <w:rsid w:val="00DB2966"/>
    <w:rsid w:val="00DB2AAF"/>
    <w:rsid w:val="00DB2CD6"/>
    <w:rsid w:val="00DB2F95"/>
    <w:rsid w:val="00DB52F8"/>
    <w:rsid w:val="00DB54DA"/>
    <w:rsid w:val="00DB5D50"/>
    <w:rsid w:val="00DB5F83"/>
    <w:rsid w:val="00DB6376"/>
    <w:rsid w:val="00DB714A"/>
    <w:rsid w:val="00DC012C"/>
    <w:rsid w:val="00DC0130"/>
    <w:rsid w:val="00DC16F0"/>
    <w:rsid w:val="00DC192E"/>
    <w:rsid w:val="00DC1B0A"/>
    <w:rsid w:val="00DC243F"/>
    <w:rsid w:val="00DC2465"/>
    <w:rsid w:val="00DC2691"/>
    <w:rsid w:val="00DC3347"/>
    <w:rsid w:val="00DC3F4C"/>
    <w:rsid w:val="00DC4443"/>
    <w:rsid w:val="00DC4A03"/>
    <w:rsid w:val="00DC4B7F"/>
    <w:rsid w:val="00DC503F"/>
    <w:rsid w:val="00DC60AF"/>
    <w:rsid w:val="00DC62A0"/>
    <w:rsid w:val="00DC67E4"/>
    <w:rsid w:val="00DC6AA4"/>
    <w:rsid w:val="00DC6D07"/>
    <w:rsid w:val="00DD0AC4"/>
    <w:rsid w:val="00DD0F13"/>
    <w:rsid w:val="00DD1E28"/>
    <w:rsid w:val="00DD2D4E"/>
    <w:rsid w:val="00DD2E48"/>
    <w:rsid w:val="00DD3929"/>
    <w:rsid w:val="00DD4444"/>
    <w:rsid w:val="00DD4F89"/>
    <w:rsid w:val="00DD5412"/>
    <w:rsid w:val="00DD54C2"/>
    <w:rsid w:val="00DD551B"/>
    <w:rsid w:val="00DD58B1"/>
    <w:rsid w:val="00DD5A68"/>
    <w:rsid w:val="00DD5C59"/>
    <w:rsid w:val="00DD618E"/>
    <w:rsid w:val="00DD6592"/>
    <w:rsid w:val="00DD65EF"/>
    <w:rsid w:val="00DD7003"/>
    <w:rsid w:val="00DD7974"/>
    <w:rsid w:val="00DD7A7E"/>
    <w:rsid w:val="00DD7C5A"/>
    <w:rsid w:val="00DD7CCF"/>
    <w:rsid w:val="00DE05C0"/>
    <w:rsid w:val="00DE05D5"/>
    <w:rsid w:val="00DE1A20"/>
    <w:rsid w:val="00DE3181"/>
    <w:rsid w:val="00DE3D3F"/>
    <w:rsid w:val="00DE3E35"/>
    <w:rsid w:val="00DE43FC"/>
    <w:rsid w:val="00DE4667"/>
    <w:rsid w:val="00DE4CB7"/>
    <w:rsid w:val="00DE5A8C"/>
    <w:rsid w:val="00DE5E3B"/>
    <w:rsid w:val="00DE6702"/>
    <w:rsid w:val="00DE671A"/>
    <w:rsid w:val="00DE73AC"/>
    <w:rsid w:val="00DE79A4"/>
    <w:rsid w:val="00DF0DEC"/>
    <w:rsid w:val="00DF0F96"/>
    <w:rsid w:val="00DF1808"/>
    <w:rsid w:val="00DF1BF7"/>
    <w:rsid w:val="00DF1E10"/>
    <w:rsid w:val="00DF1EE4"/>
    <w:rsid w:val="00DF27C9"/>
    <w:rsid w:val="00DF2B51"/>
    <w:rsid w:val="00DF2F86"/>
    <w:rsid w:val="00DF3B89"/>
    <w:rsid w:val="00DF4229"/>
    <w:rsid w:val="00DF49E9"/>
    <w:rsid w:val="00DF4FB7"/>
    <w:rsid w:val="00DF5069"/>
    <w:rsid w:val="00DF51E9"/>
    <w:rsid w:val="00DF5BA7"/>
    <w:rsid w:val="00DF5FF5"/>
    <w:rsid w:val="00DF67B0"/>
    <w:rsid w:val="00DF7B0B"/>
    <w:rsid w:val="00E00279"/>
    <w:rsid w:val="00E00C2D"/>
    <w:rsid w:val="00E02079"/>
    <w:rsid w:val="00E02419"/>
    <w:rsid w:val="00E0369F"/>
    <w:rsid w:val="00E03C60"/>
    <w:rsid w:val="00E04266"/>
    <w:rsid w:val="00E046DC"/>
    <w:rsid w:val="00E048BA"/>
    <w:rsid w:val="00E0498D"/>
    <w:rsid w:val="00E04B4C"/>
    <w:rsid w:val="00E04BD7"/>
    <w:rsid w:val="00E05482"/>
    <w:rsid w:val="00E06CC2"/>
    <w:rsid w:val="00E06FCC"/>
    <w:rsid w:val="00E07D49"/>
    <w:rsid w:val="00E10062"/>
    <w:rsid w:val="00E1084B"/>
    <w:rsid w:val="00E10B83"/>
    <w:rsid w:val="00E10EA7"/>
    <w:rsid w:val="00E11923"/>
    <w:rsid w:val="00E11DEA"/>
    <w:rsid w:val="00E12631"/>
    <w:rsid w:val="00E12A4F"/>
    <w:rsid w:val="00E12B0D"/>
    <w:rsid w:val="00E14732"/>
    <w:rsid w:val="00E1491D"/>
    <w:rsid w:val="00E14B16"/>
    <w:rsid w:val="00E14BE4"/>
    <w:rsid w:val="00E14CF5"/>
    <w:rsid w:val="00E1568A"/>
    <w:rsid w:val="00E15CB7"/>
    <w:rsid w:val="00E16045"/>
    <w:rsid w:val="00E169B7"/>
    <w:rsid w:val="00E16BA7"/>
    <w:rsid w:val="00E16FB1"/>
    <w:rsid w:val="00E1712A"/>
    <w:rsid w:val="00E1769B"/>
    <w:rsid w:val="00E17A54"/>
    <w:rsid w:val="00E208AE"/>
    <w:rsid w:val="00E20D40"/>
    <w:rsid w:val="00E20E03"/>
    <w:rsid w:val="00E21157"/>
    <w:rsid w:val="00E21D99"/>
    <w:rsid w:val="00E222C6"/>
    <w:rsid w:val="00E23A04"/>
    <w:rsid w:val="00E23B56"/>
    <w:rsid w:val="00E26B04"/>
    <w:rsid w:val="00E2778B"/>
    <w:rsid w:val="00E27C01"/>
    <w:rsid w:val="00E27F20"/>
    <w:rsid w:val="00E27F5C"/>
    <w:rsid w:val="00E3036B"/>
    <w:rsid w:val="00E30422"/>
    <w:rsid w:val="00E30E76"/>
    <w:rsid w:val="00E313A3"/>
    <w:rsid w:val="00E316E8"/>
    <w:rsid w:val="00E31817"/>
    <w:rsid w:val="00E336CE"/>
    <w:rsid w:val="00E33CBD"/>
    <w:rsid w:val="00E33DCE"/>
    <w:rsid w:val="00E34189"/>
    <w:rsid w:val="00E35249"/>
    <w:rsid w:val="00E35563"/>
    <w:rsid w:val="00E3671F"/>
    <w:rsid w:val="00E36F96"/>
    <w:rsid w:val="00E37415"/>
    <w:rsid w:val="00E37435"/>
    <w:rsid w:val="00E378DF"/>
    <w:rsid w:val="00E37B72"/>
    <w:rsid w:val="00E37FF8"/>
    <w:rsid w:val="00E4084F"/>
    <w:rsid w:val="00E40DA8"/>
    <w:rsid w:val="00E4117A"/>
    <w:rsid w:val="00E41711"/>
    <w:rsid w:val="00E42441"/>
    <w:rsid w:val="00E433B9"/>
    <w:rsid w:val="00E43F6C"/>
    <w:rsid w:val="00E440EA"/>
    <w:rsid w:val="00E44476"/>
    <w:rsid w:val="00E445A2"/>
    <w:rsid w:val="00E453FF"/>
    <w:rsid w:val="00E45ECE"/>
    <w:rsid w:val="00E45EF1"/>
    <w:rsid w:val="00E46B8E"/>
    <w:rsid w:val="00E46E0F"/>
    <w:rsid w:val="00E50500"/>
    <w:rsid w:val="00E51266"/>
    <w:rsid w:val="00E51479"/>
    <w:rsid w:val="00E522CD"/>
    <w:rsid w:val="00E525FE"/>
    <w:rsid w:val="00E52698"/>
    <w:rsid w:val="00E53791"/>
    <w:rsid w:val="00E544A8"/>
    <w:rsid w:val="00E5479C"/>
    <w:rsid w:val="00E54A11"/>
    <w:rsid w:val="00E54BD2"/>
    <w:rsid w:val="00E56339"/>
    <w:rsid w:val="00E5638F"/>
    <w:rsid w:val="00E564BC"/>
    <w:rsid w:val="00E56B54"/>
    <w:rsid w:val="00E56F2D"/>
    <w:rsid w:val="00E571A9"/>
    <w:rsid w:val="00E602F7"/>
    <w:rsid w:val="00E603EE"/>
    <w:rsid w:val="00E60984"/>
    <w:rsid w:val="00E60BFC"/>
    <w:rsid w:val="00E60EE1"/>
    <w:rsid w:val="00E620D4"/>
    <w:rsid w:val="00E634E2"/>
    <w:rsid w:val="00E635FF"/>
    <w:rsid w:val="00E63CC5"/>
    <w:rsid w:val="00E64F07"/>
    <w:rsid w:val="00E64FD7"/>
    <w:rsid w:val="00E65AF8"/>
    <w:rsid w:val="00E65C61"/>
    <w:rsid w:val="00E668AD"/>
    <w:rsid w:val="00E66A59"/>
    <w:rsid w:val="00E67050"/>
    <w:rsid w:val="00E70925"/>
    <w:rsid w:val="00E71B67"/>
    <w:rsid w:val="00E71E84"/>
    <w:rsid w:val="00E721CD"/>
    <w:rsid w:val="00E72527"/>
    <w:rsid w:val="00E72D2D"/>
    <w:rsid w:val="00E72DEB"/>
    <w:rsid w:val="00E732B6"/>
    <w:rsid w:val="00E73508"/>
    <w:rsid w:val="00E73E79"/>
    <w:rsid w:val="00E73F2B"/>
    <w:rsid w:val="00E741D9"/>
    <w:rsid w:val="00E74CD6"/>
    <w:rsid w:val="00E75061"/>
    <w:rsid w:val="00E75B8B"/>
    <w:rsid w:val="00E76502"/>
    <w:rsid w:val="00E76655"/>
    <w:rsid w:val="00E7698A"/>
    <w:rsid w:val="00E76A5C"/>
    <w:rsid w:val="00E76EBE"/>
    <w:rsid w:val="00E77436"/>
    <w:rsid w:val="00E77F9F"/>
    <w:rsid w:val="00E80010"/>
    <w:rsid w:val="00E8033D"/>
    <w:rsid w:val="00E80665"/>
    <w:rsid w:val="00E8187E"/>
    <w:rsid w:val="00E81895"/>
    <w:rsid w:val="00E81BAA"/>
    <w:rsid w:val="00E81E4F"/>
    <w:rsid w:val="00E81FAB"/>
    <w:rsid w:val="00E83F04"/>
    <w:rsid w:val="00E84154"/>
    <w:rsid w:val="00E84828"/>
    <w:rsid w:val="00E84F14"/>
    <w:rsid w:val="00E85DEC"/>
    <w:rsid w:val="00E863AD"/>
    <w:rsid w:val="00E864C7"/>
    <w:rsid w:val="00E8717E"/>
    <w:rsid w:val="00E874A8"/>
    <w:rsid w:val="00E87E62"/>
    <w:rsid w:val="00E906CC"/>
    <w:rsid w:val="00E913A9"/>
    <w:rsid w:val="00E916D9"/>
    <w:rsid w:val="00E919D6"/>
    <w:rsid w:val="00E91DE2"/>
    <w:rsid w:val="00E93100"/>
    <w:rsid w:val="00E93419"/>
    <w:rsid w:val="00E93486"/>
    <w:rsid w:val="00E95587"/>
    <w:rsid w:val="00E96262"/>
    <w:rsid w:val="00E96DAF"/>
    <w:rsid w:val="00E972C5"/>
    <w:rsid w:val="00E975C8"/>
    <w:rsid w:val="00E97620"/>
    <w:rsid w:val="00EA0126"/>
    <w:rsid w:val="00EA073A"/>
    <w:rsid w:val="00EA0ADE"/>
    <w:rsid w:val="00EA1C15"/>
    <w:rsid w:val="00EA20CB"/>
    <w:rsid w:val="00EA3BE4"/>
    <w:rsid w:val="00EA4574"/>
    <w:rsid w:val="00EA4CAB"/>
    <w:rsid w:val="00EA501A"/>
    <w:rsid w:val="00EA51BD"/>
    <w:rsid w:val="00EA55D6"/>
    <w:rsid w:val="00EA5AA0"/>
    <w:rsid w:val="00EA6361"/>
    <w:rsid w:val="00EA6937"/>
    <w:rsid w:val="00EA7026"/>
    <w:rsid w:val="00EA776B"/>
    <w:rsid w:val="00EA7A38"/>
    <w:rsid w:val="00EA7E90"/>
    <w:rsid w:val="00EA7EAE"/>
    <w:rsid w:val="00EB0786"/>
    <w:rsid w:val="00EB0FB1"/>
    <w:rsid w:val="00EB1B08"/>
    <w:rsid w:val="00EB267A"/>
    <w:rsid w:val="00EB2998"/>
    <w:rsid w:val="00EB2A13"/>
    <w:rsid w:val="00EB3477"/>
    <w:rsid w:val="00EB4AAB"/>
    <w:rsid w:val="00EB4B44"/>
    <w:rsid w:val="00EB5641"/>
    <w:rsid w:val="00EB6626"/>
    <w:rsid w:val="00EB686C"/>
    <w:rsid w:val="00EB6D5C"/>
    <w:rsid w:val="00EB7678"/>
    <w:rsid w:val="00EB7A2C"/>
    <w:rsid w:val="00EC0BC2"/>
    <w:rsid w:val="00EC0C51"/>
    <w:rsid w:val="00EC159A"/>
    <w:rsid w:val="00EC17A5"/>
    <w:rsid w:val="00EC1E5F"/>
    <w:rsid w:val="00EC2038"/>
    <w:rsid w:val="00EC2128"/>
    <w:rsid w:val="00EC21C8"/>
    <w:rsid w:val="00EC24DF"/>
    <w:rsid w:val="00EC292A"/>
    <w:rsid w:val="00EC52EE"/>
    <w:rsid w:val="00EC54CD"/>
    <w:rsid w:val="00EC5C69"/>
    <w:rsid w:val="00EC61AC"/>
    <w:rsid w:val="00EC62FC"/>
    <w:rsid w:val="00EC655C"/>
    <w:rsid w:val="00EC6835"/>
    <w:rsid w:val="00EC6AF1"/>
    <w:rsid w:val="00EC6DA7"/>
    <w:rsid w:val="00EC7C5F"/>
    <w:rsid w:val="00EC7F0F"/>
    <w:rsid w:val="00ED222A"/>
    <w:rsid w:val="00ED2366"/>
    <w:rsid w:val="00ED2EDD"/>
    <w:rsid w:val="00ED43FF"/>
    <w:rsid w:val="00ED4D65"/>
    <w:rsid w:val="00ED60D1"/>
    <w:rsid w:val="00ED6937"/>
    <w:rsid w:val="00ED696B"/>
    <w:rsid w:val="00ED6BCB"/>
    <w:rsid w:val="00ED7D45"/>
    <w:rsid w:val="00EE0928"/>
    <w:rsid w:val="00EE0F6D"/>
    <w:rsid w:val="00EE159C"/>
    <w:rsid w:val="00EE1E78"/>
    <w:rsid w:val="00EE2246"/>
    <w:rsid w:val="00EE27E5"/>
    <w:rsid w:val="00EE28DB"/>
    <w:rsid w:val="00EE338D"/>
    <w:rsid w:val="00EE3C74"/>
    <w:rsid w:val="00EE426B"/>
    <w:rsid w:val="00EE5056"/>
    <w:rsid w:val="00EE6274"/>
    <w:rsid w:val="00EE6C90"/>
    <w:rsid w:val="00EF0F8E"/>
    <w:rsid w:val="00EF1C9D"/>
    <w:rsid w:val="00EF1D52"/>
    <w:rsid w:val="00EF2377"/>
    <w:rsid w:val="00EF28E1"/>
    <w:rsid w:val="00EF38A3"/>
    <w:rsid w:val="00EF3A74"/>
    <w:rsid w:val="00EF52D1"/>
    <w:rsid w:val="00EF58FD"/>
    <w:rsid w:val="00EF61B3"/>
    <w:rsid w:val="00EF6371"/>
    <w:rsid w:val="00EF64C5"/>
    <w:rsid w:val="00EF70B5"/>
    <w:rsid w:val="00EF74C1"/>
    <w:rsid w:val="00EF7615"/>
    <w:rsid w:val="00EF7692"/>
    <w:rsid w:val="00EF7B75"/>
    <w:rsid w:val="00F00E8E"/>
    <w:rsid w:val="00F02105"/>
    <w:rsid w:val="00F02FBA"/>
    <w:rsid w:val="00F03382"/>
    <w:rsid w:val="00F037C5"/>
    <w:rsid w:val="00F03843"/>
    <w:rsid w:val="00F04D15"/>
    <w:rsid w:val="00F0544A"/>
    <w:rsid w:val="00F0608E"/>
    <w:rsid w:val="00F06214"/>
    <w:rsid w:val="00F06D29"/>
    <w:rsid w:val="00F0724E"/>
    <w:rsid w:val="00F07629"/>
    <w:rsid w:val="00F10172"/>
    <w:rsid w:val="00F10294"/>
    <w:rsid w:val="00F10545"/>
    <w:rsid w:val="00F108DF"/>
    <w:rsid w:val="00F109A2"/>
    <w:rsid w:val="00F10F2C"/>
    <w:rsid w:val="00F113DC"/>
    <w:rsid w:val="00F11858"/>
    <w:rsid w:val="00F11C5E"/>
    <w:rsid w:val="00F12FBD"/>
    <w:rsid w:val="00F13162"/>
    <w:rsid w:val="00F132A8"/>
    <w:rsid w:val="00F1363F"/>
    <w:rsid w:val="00F141BA"/>
    <w:rsid w:val="00F144B8"/>
    <w:rsid w:val="00F1484B"/>
    <w:rsid w:val="00F14883"/>
    <w:rsid w:val="00F153C1"/>
    <w:rsid w:val="00F154C9"/>
    <w:rsid w:val="00F154CE"/>
    <w:rsid w:val="00F16430"/>
    <w:rsid w:val="00F20C41"/>
    <w:rsid w:val="00F21123"/>
    <w:rsid w:val="00F21AB9"/>
    <w:rsid w:val="00F21C9E"/>
    <w:rsid w:val="00F227D2"/>
    <w:rsid w:val="00F22FED"/>
    <w:rsid w:val="00F236E4"/>
    <w:rsid w:val="00F23B5D"/>
    <w:rsid w:val="00F23BE9"/>
    <w:rsid w:val="00F243CB"/>
    <w:rsid w:val="00F24600"/>
    <w:rsid w:val="00F25941"/>
    <w:rsid w:val="00F25AB0"/>
    <w:rsid w:val="00F25B07"/>
    <w:rsid w:val="00F273DB"/>
    <w:rsid w:val="00F273DE"/>
    <w:rsid w:val="00F27DBC"/>
    <w:rsid w:val="00F30785"/>
    <w:rsid w:val="00F314D8"/>
    <w:rsid w:val="00F315E0"/>
    <w:rsid w:val="00F31800"/>
    <w:rsid w:val="00F3260A"/>
    <w:rsid w:val="00F32720"/>
    <w:rsid w:val="00F335D9"/>
    <w:rsid w:val="00F33C15"/>
    <w:rsid w:val="00F33D4E"/>
    <w:rsid w:val="00F33DA9"/>
    <w:rsid w:val="00F33E76"/>
    <w:rsid w:val="00F34410"/>
    <w:rsid w:val="00F3476B"/>
    <w:rsid w:val="00F34961"/>
    <w:rsid w:val="00F3558C"/>
    <w:rsid w:val="00F35C0F"/>
    <w:rsid w:val="00F35E06"/>
    <w:rsid w:val="00F36CCD"/>
    <w:rsid w:val="00F37677"/>
    <w:rsid w:val="00F37B07"/>
    <w:rsid w:val="00F41551"/>
    <w:rsid w:val="00F42243"/>
    <w:rsid w:val="00F424F8"/>
    <w:rsid w:val="00F4252E"/>
    <w:rsid w:val="00F42B19"/>
    <w:rsid w:val="00F4347F"/>
    <w:rsid w:val="00F43529"/>
    <w:rsid w:val="00F4380A"/>
    <w:rsid w:val="00F43873"/>
    <w:rsid w:val="00F4397F"/>
    <w:rsid w:val="00F43A93"/>
    <w:rsid w:val="00F43ACA"/>
    <w:rsid w:val="00F4415E"/>
    <w:rsid w:val="00F447FF"/>
    <w:rsid w:val="00F44B7B"/>
    <w:rsid w:val="00F46D25"/>
    <w:rsid w:val="00F47C1E"/>
    <w:rsid w:val="00F47EEB"/>
    <w:rsid w:val="00F501E6"/>
    <w:rsid w:val="00F50813"/>
    <w:rsid w:val="00F508F9"/>
    <w:rsid w:val="00F50B3E"/>
    <w:rsid w:val="00F51026"/>
    <w:rsid w:val="00F511BB"/>
    <w:rsid w:val="00F514D1"/>
    <w:rsid w:val="00F5168C"/>
    <w:rsid w:val="00F516B9"/>
    <w:rsid w:val="00F519D9"/>
    <w:rsid w:val="00F523FA"/>
    <w:rsid w:val="00F53773"/>
    <w:rsid w:val="00F54ED2"/>
    <w:rsid w:val="00F5507D"/>
    <w:rsid w:val="00F5514A"/>
    <w:rsid w:val="00F56391"/>
    <w:rsid w:val="00F56B91"/>
    <w:rsid w:val="00F57075"/>
    <w:rsid w:val="00F57394"/>
    <w:rsid w:val="00F576FA"/>
    <w:rsid w:val="00F57BE1"/>
    <w:rsid w:val="00F60594"/>
    <w:rsid w:val="00F606DB"/>
    <w:rsid w:val="00F60C3B"/>
    <w:rsid w:val="00F60D75"/>
    <w:rsid w:val="00F617AD"/>
    <w:rsid w:val="00F61E83"/>
    <w:rsid w:val="00F620AB"/>
    <w:rsid w:val="00F64D8E"/>
    <w:rsid w:val="00F65C5F"/>
    <w:rsid w:val="00F67016"/>
    <w:rsid w:val="00F670CE"/>
    <w:rsid w:val="00F673BE"/>
    <w:rsid w:val="00F70A42"/>
    <w:rsid w:val="00F7126B"/>
    <w:rsid w:val="00F714C6"/>
    <w:rsid w:val="00F717F4"/>
    <w:rsid w:val="00F71864"/>
    <w:rsid w:val="00F71A3D"/>
    <w:rsid w:val="00F7377D"/>
    <w:rsid w:val="00F73BDF"/>
    <w:rsid w:val="00F744F6"/>
    <w:rsid w:val="00F74953"/>
    <w:rsid w:val="00F7561A"/>
    <w:rsid w:val="00F7590A"/>
    <w:rsid w:val="00F75A86"/>
    <w:rsid w:val="00F760A8"/>
    <w:rsid w:val="00F7733E"/>
    <w:rsid w:val="00F81488"/>
    <w:rsid w:val="00F81B39"/>
    <w:rsid w:val="00F81C13"/>
    <w:rsid w:val="00F82A92"/>
    <w:rsid w:val="00F830AB"/>
    <w:rsid w:val="00F8315D"/>
    <w:rsid w:val="00F834B5"/>
    <w:rsid w:val="00F83C7B"/>
    <w:rsid w:val="00F842B1"/>
    <w:rsid w:val="00F8487E"/>
    <w:rsid w:val="00F851A9"/>
    <w:rsid w:val="00F851CA"/>
    <w:rsid w:val="00F85C55"/>
    <w:rsid w:val="00F86049"/>
    <w:rsid w:val="00F875B8"/>
    <w:rsid w:val="00F87B7D"/>
    <w:rsid w:val="00F90109"/>
    <w:rsid w:val="00F905E1"/>
    <w:rsid w:val="00F914FD"/>
    <w:rsid w:val="00F9196D"/>
    <w:rsid w:val="00F91A10"/>
    <w:rsid w:val="00F91E78"/>
    <w:rsid w:val="00F92002"/>
    <w:rsid w:val="00F925E5"/>
    <w:rsid w:val="00F93642"/>
    <w:rsid w:val="00F9460B"/>
    <w:rsid w:val="00F94979"/>
    <w:rsid w:val="00F94E1A"/>
    <w:rsid w:val="00F9568B"/>
    <w:rsid w:val="00F957DF"/>
    <w:rsid w:val="00F95E4C"/>
    <w:rsid w:val="00F95F43"/>
    <w:rsid w:val="00F97140"/>
    <w:rsid w:val="00F977FD"/>
    <w:rsid w:val="00FA0265"/>
    <w:rsid w:val="00FA03C9"/>
    <w:rsid w:val="00FA0450"/>
    <w:rsid w:val="00FA0C6E"/>
    <w:rsid w:val="00FA13CF"/>
    <w:rsid w:val="00FA1963"/>
    <w:rsid w:val="00FA1B05"/>
    <w:rsid w:val="00FA2B73"/>
    <w:rsid w:val="00FA2C56"/>
    <w:rsid w:val="00FA36D1"/>
    <w:rsid w:val="00FA383E"/>
    <w:rsid w:val="00FA3A4B"/>
    <w:rsid w:val="00FA3EC9"/>
    <w:rsid w:val="00FA5A44"/>
    <w:rsid w:val="00FA7E3A"/>
    <w:rsid w:val="00FB0794"/>
    <w:rsid w:val="00FB0E30"/>
    <w:rsid w:val="00FB1F2A"/>
    <w:rsid w:val="00FB20DB"/>
    <w:rsid w:val="00FB32F9"/>
    <w:rsid w:val="00FB34A4"/>
    <w:rsid w:val="00FB3B91"/>
    <w:rsid w:val="00FB450C"/>
    <w:rsid w:val="00FB45D9"/>
    <w:rsid w:val="00FB4E5D"/>
    <w:rsid w:val="00FB502D"/>
    <w:rsid w:val="00FB5086"/>
    <w:rsid w:val="00FB55C9"/>
    <w:rsid w:val="00FB57A5"/>
    <w:rsid w:val="00FB5868"/>
    <w:rsid w:val="00FB5CBF"/>
    <w:rsid w:val="00FB6604"/>
    <w:rsid w:val="00FB6D3D"/>
    <w:rsid w:val="00FB6FB5"/>
    <w:rsid w:val="00FC001C"/>
    <w:rsid w:val="00FC0720"/>
    <w:rsid w:val="00FC1E9E"/>
    <w:rsid w:val="00FC2266"/>
    <w:rsid w:val="00FC344D"/>
    <w:rsid w:val="00FC4D5B"/>
    <w:rsid w:val="00FC5C29"/>
    <w:rsid w:val="00FC5E03"/>
    <w:rsid w:val="00FC6B7E"/>
    <w:rsid w:val="00FC6C0A"/>
    <w:rsid w:val="00FC6CB1"/>
    <w:rsid w:val="00FC7398"/>
    <w:rsid w:val="00FC7434"/>
    <w:rsid w:val="00FC7E06"/>
    <w:rsid w:val="00FC7E7C"/>
    <w:rsid w:val="00FC7FD4"/>
    <w:rsid w:val="00FD087C"/>
    <w:rsid w:val="00FD09CC"/>
    <w:rsid w:val="00FD0DBD"/>
    <w:rsid w:val="00FD0FC5"/>
    <w:rsid w:val="00FD184F"/>
    <w:rsid w:val="00FD2F4A"/>
    <w:rsid w:val="00FD2F63"/>
    <w:rsid w:val="00FD333B"/>
    <w:rsid w:val="00FD3DEA"/>
    <w:rsid w:val="00FD3FD2"/>
    <w:rsid w:val="00FD4789"/>
    <w:rsid w:val="00FD4CE9"/>
    <w:rsid w:val="00FD4D54"/>
    <w:rsid w:val="00FD59A7"/>
    <w:rsid w:val="00FD5ED4"/>
    <w:rsid w:val="00FD6218"/>
    <w:rsid w:val="00FD6780"/>
    <w:rsid w:val="00FD6856"/>
    <w:rsid w:val="00FD7316"/>
    <w:rsid w:val="00FD741A"/>
    <w:rsid w:val="00FE0439"/>
    <w:rsid w:val="00FE0F3A"/>
    <w:rsid w:val="00FE140C"/>
    <w:rsid w:val="00FE14E3"/>
    <w:rsid w:val="00FE1BC8"/>
    <w:rsid w:val="00FE1F36"/>
    <w:rsid w:val="00FE229F"/>
    <w:rsid w:val="00FE29AC"/>
    <w:rsid w:val="00FE35F8"/>
    <w:rsid w:val="00FE3936"/>
    <w:rsid w:val="00FE3DBE"/>
    <w:rsid w:val="00FE3EE8"/>
    <w:rsid w:val="00FE413B"/>
    <w:rsid w:val="00FE47B3"/>
    <w:rsid w:val="00FE566B"/>
    <w:rsid w:val="00FE5917"/>
    <w:rsid w:val="00FE656B"/>
    <w:rsid w:val="00FE6BD9"/>
    <w:rsid w:val="00FE6FC1"/>
    <w:rsid w:val="00FF0B78"/>
    <w:rsid w:val="00FF10AF"/>
    <w:rsid w:val="00FF35A5"/>
    <w:rsid w:val="00FF3BEA"/>
    <w:rsid w:val="00FF3F37"/>
    <w:rsid w:val="00FF4146"/>
    <w:rsid w:val="00FF4BE1"/>
    <w:rsid w:val="00FF56D2"/>
    <w:rsid w:val="00FF5ADF"/>
    <w:rsid w:val="00FF5C17"/>
    <w:rsid w:val="00FF5C1B"/>
    <w:rsid w:val="00FF62C0"/>
    <w:rsid w:val="00FF6307"/>
    <w:rsid w:val="00FF6869"/>
    <w:rsid w:val="00FF68B5"/>
    <w:rsid w:val="00FF690F"/>
    <w:rsid w:val="00FF787E"/>
    <w:rsid w:val="00FF79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6B3"/>
    <w:pPr>
      <w:spacing w:after="200" w:line="276" w:lineRule="auto"/>
    </w:pPr>
    <w:rPr>
      <w:sz w:val="22"/>
      <w:szCs w:val="22"/>
      <w:lang w:val="en-GB" w:eastAsia="en-US"/>
    </w:rPr>
  </w:style>
  <w:style w:type="paragraph" w:styleId="3">
    <w:name w:val="heading 3"/>
    <w:basedOn w:val="a"/>
    <w:next w:val="a"/>
    <w:link w:val="3Char"/>
    <w:uiPriority w:val="9"/>
    <w:unhideWhenUsed/>
    <w:qFormat/>
    <w:rsid w:val="006B4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1E5"/>
    <w:pPr>
      <w:ind w:left="720"/>
    </w:pPr>
  </w:style>
  <w:style w:type="paragraph" w:customStyle="1" w:styleId="Default">
    <w:name w:val="Default"/>
    <w:rsid w:val="001011E5"/>
    <w:pPr>
      <w:autoSpaceDE w:val="0"/>
      <w:autoSpaceDN w:val="0"/>
      <w:adjustRightInd w:val="0"/>
    </w:pPr>
    <w:rPr>
      <w:rFonts w:ascii="Arial" w:hAnsi="Arial" w:cs="Arial"/>
      <w:color w:val="000000"/>
      <w:sz w:val="24"/>
      <w:szCs w:val="24"/>
      <w:lang w:eastAsia="en-US"/>
    </w:rPr>
  </w:style>
  <w:style w:type="paragraph" w:customStyle="1" w:styleId="normaltext">
    <w:name w:val="normaltext"/>
    <w:basedOn w:val="a"/>
    <w:rsid w:val="001011E5"/>
    <w:pPr>
      <w:spacing w:before="100" w:beforeAutospacing="1" w:after="100" w:afterAutospacing="1" w:line="240" w:lineRule="auto"/>
    </w:pPr>
    <w:rPr>
      <w:rFonts w:ascii="Verdana" w:eastAsia="Arial Unicode MS" w:hAnsi="Verdana" w:cs="Arial Unicode MS"/>
      <w:color w:val="000000"/>
      <w:sz w:val="17"/>
      <w:szCs w:val="17"/>
      <w:lang w:val="el-GR" w:eastAsia="el-GR"/>
    </w:rPr>
  </w:style>
  <w:style w:type="paragraph" w:styleId="a4">
    <w:name w:val="Block Text"/>
    <w:basedOn w:val="a"/>
    <w:rsid w:val="001011E5"/>
    <w:pPr>
      <w:spacing w:before="120" w:after="120" w:line="280" w:lineRule="atLeast"/>
      <w:ind w:left="540" w:right="612"/>
      <w:jc w:val="center"/>
    </w:pPr>
    <w:rPr>
      <w:rFonts w:ascii="Arial" w:eastAsia="Times New Roman" w:hAnsi="Arial" w:cs="Arial"/>
      <w:b/>
      <w:bCs/>
      <w:sz w:val="24"/>
      <w:lang w:val="el-GR"/>
    </w:rPr>
  </w:style>
  <w:style w:type="paragraph" w:styleId="a5">
    <w:name w:val="header"/>
    <w:basedOn w:val="a"/>
    <w:link w:val="Char"/>
    <w:uiPriority w:val="99"/>
    <w:unhideWhenUsed/>
    <w:rsid w:val="001011E5"/>
    <w:pPr>
      <w:tabs>
        <w:tab w:val="center" w:pos="4153"/>
        <w:tab w:val="right" w:pos="8306"/>
      </w:tabs>
    </w:pPr>
  </w:style>
  <w:style w:type="character" w:customStyle="1" w:styleId="Char">
    <w:name w:val="Κεφαλίδα Char"/>
    <w:basedOn w:val="a0"/>
    <w:link w:val="a5"/>
    <w:uiPriority w:val="99"/>
    <w:rsid w:val="001011E5"/>
    <w:rPr>
      <w:rFonts w:ascii="Calibri" w:eastAsia="Calibri" w:hAnsi="Calibri" w:cs="Times New Roman"/>
      <w:lang w:val="en-GB"/>
    </w:rPr>
  </w:style>
  <w:style w:type="paragraph" w:styleId="a6">
    <w:name w:val="footer"/>
    <w:basedOn w:val="a"/>
    <w:link w:val="Char0"/>
    <w:uiPriority w:val="99"/>
    <w:unhideWhenUsed/>
    <w:rsid w:val="001011E5"/>
    <w:pPr>
      <w:tabs>
        <w:tab w:val="center" w:pos="4153"/>
        <w:tab w:val="right" w:pos="8306"/>
      </w:tabs>
    </w:pPr>
  </w:style>
  <w:style w:type="character" w:customStyle="1" w:styleId="Char0">
    <w:name w:val="Υποσέλιδο Char"/>
    <w:basedOn w:val="a0"/>
    <w:link w:val="a6"/>
    <w:uiPriority w:val="99"/>
    <w:rsid w:val="001011E5"/>
    <w:rPr>
      <w:rFonts w:ascii="Calibri" w:eastAsia="Calibri" w:hAnsi="Calibri" w:cs="Times New Roman"/>
      <w:lang w:val="en-GB"/>
    </w:rPr>
  </w:style>
  <w:style w:type="paragraph" w:styleId="a7">
    <w:name w:val="Balloon Text"/>
    <w:basedOn w:val="a"/>
    <w:link w:val="Char1"/>
    <w:uiPriority w:val="99"/>
    <w:semiHidden/>
    <w:unhideWhenUsed/>
    <w:rsid w:val="001011E5"/>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011E5"/>
    <w:rPr>
      <w:rFonts w:ascii="Tahoma" w:eastAsia="Calibri" w:hAnsi="Tahoma" w:cs="Tahoma"/>
      <w:sz w:val="16"/>
      <w:szCs w:val="16"/>
      <w:lang w:val="en-GB"/>
    </w:rPr>
  </w:style>
  <w:style w:type="paragraph" w:customStyle="1" w:styleId="CM10">
    <w:name w:val="CM10"/>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3">
    <w:name w:val="CM3"/>
    <w:basedOn w:val="Default"/>
    <w:next w:val="Default"/>
    <w:uiPriority w:val="99"/>
    <w:rsid w:val="001011E5"/>
    <w:pPr>
      <w:widowControl w:val="0"/>
      <w:spacing w:line="280" w:lineRule="atLeast"/>
    </w:pPr>
    <w:rPr>
      <w:rFonts w:ascii="Calibri" w:eastAsia="Times New Roman" w:hAnsi="Calibri" w:cs="Times New Roman"/>
      <w:color w:val="auto"/>
      <w:lang w:eastAsia="el-GR"/>
    </w:rPr>
  </w:style>
  <w:style w:type="paragraph" w:customStyle="1" w:styleId="CM1">
    <w:name w:val="CM1"/>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9">
    <w:name w:val="CM9"/>
    <w:basedOn w:val="Default"/>
    <w:next w:val="Default"/>
    <w:uiPriority w:val="99"/>
    <w:rsid w:val="001011E5"/>
    <w:pPr>
      <w:widowControl w:val="0"/>
    </w:pPr>
    <w:rPr>
      <w:rFonts w:ascii="Calibri" w:eastAsia="Times New Roman" w:hAnsi="Calibri" w:cs="Times New Roman"/>
      <w:color w:val="auto"/>
      <w:lang w:eastAsia="el-GR"/>
    </w:rPr>
  </w:style>
  <w:style w:type="paragraph" w:styleId="a8">
    <w:name w:val="footnote text"/>
    <w:basedOn w:val="a"/>
    <w:link w:val="Char2"/>
    <w:uiPriority w:val="99"/>
    <w:semiHidden/>
    <w:unhideWhenUsed/>
    <w:rsid w:val="00F108DF"/>
    <w:pPr>
      <w:spacing w:after="0" w:line="240" w:lineRule="auto"/>
    </w:pPr>
    <w:rPr>
      <w:sz w:val="20"/>
      <w:szCs w:val="20"/>
    </w:rPr>
  </w:style>
  <w:style w:type="character" w:customStyle="1" w:styleId="Char2">
    <w:name w:val="Κείμενο υποσημείωσης Char"/>
    <w:basedOn w:val="a0"/>
    <w:link w:val="a8"/>
    <w:uiPriority w:val="99"/>
    <w:semiHidden/>
    <w:rsid w:val="00F108DF"/>
    <w:rPr>
      <w:lang w:val="en-GB" w:eastAsia="en-US"/>
    </w:rPr>
  </w:style>
  <w:style w:type="character" w:styleId="a9">
    <w:name w:val="footnote reference"/>
    <w:basedOn w:val="a0"/>
    <w:uiPriority w:val="99"/>
    <w:semiHidden/>
    <w:unhideWhenUsed/>
    <w:rsid w:val="00F108DF"/>
    <w:rPr>
      <w:vertAlign w:val="superscript"/>
    </w:rPr>
  </w:style>
  <w:style w:type="table" w:styleId="aa">
    <w:name w:val="Table Grid"/>
    <w:basedOn w:val="a1"/>
    <w:uiPriority w:val="59"/>
    <w:rsid w:val="001B06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semiHidden/>
    <w:unhideWhenUsed/>
    <w:rsid w:val="00E67050"/>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ab">
    <w:name w:val="Plain Text"/>
    <w:basedOn w:val="a"/>
    <w:link w:val="Char3"/>
    <w:uiPriority w:val="99"/>
    <w:unhideWhenUsed/>
    <w:rsid w:val="00E208AE"/>
    <w:pPr>
      <w:spacing w:after="0" w:line="240" w:lineRule="auto"/>
    </w:pPr>
    <w:rPr>
      <w:rFonts w:ascii="Consolas" w:hAnsi="Consolas"/>
      <w:sz w:val="21"/>
      <w:szCs w:val="21"/>
    </w:rPr>
  </w:style>
  <w:style w:type="character" w:customStyle="1" w:styleId="Char3">
    <w:name w:val="Απλό κείμενο Char"/>
    <w:basedOn w:val="a0"/>
    <w:link w:val="ab"/>
    <w:uiPriority w:val="99"/>
    <w:rsid w:val="00E208AE"/>
    <w:rPr>
      <w:rFonts w:ascii="Consolas" w:hAnsi="Consolas"/>
      <w:sz w:val="21"/>
      <w:szCs w:val="21"/>
      <w:lang w:val="en-GB"/>
    </w:rPr>
  </w:style>
  <w:style w:type="character" w:customStyle="1" w:styleId="3Char">
    <w:name w:val="Επικεφαλίδα 3 Char"/>
    <w:basedOn w:val="a0"/>
    <w:link w:val="3"/>
    <w:uiPriority w:val="9"/>
    <w:rsid w:val="006B4244"/>
    <w:rPr>
      <w:rFonts w:asciiTheme="majorHAnsi" w:eastAsiaTheme="majorEastAsia" w:hAnsiTheme="majorHAnsi" w:cstheme="majorBidi"/>
      <w:b/>
      <w:bCs/>
      <w:color w:val="4F81BD" w:themeColor="accent1"/>
      <w:sz w:val="22"/>
      <w:szCs w:val="22"/>
      <w:lang w:val="en-GB" w:eastAsia="en-US"/>
    </w:rPr>
  </w:style>
  <w:style w:type="paragraph" w:styleId="ac">
    <w:name w:val="Revision"/>
    <w:hidden/>
    <w:uiPriority w:val="99"/>
    <w:semiHidden/>
    <w:rsid w:val="000346AE"/>
    <w:rPr>
      <w:sz w:val="22"/>
      <w:szCs w:val="22"/>
      <w:lang w:val="en-GB" w:eastAsia="en-US"/>
    </w:rPr>
  </w:style>
  <w:style w:type="paragraph" w:styleId="ad">
    <w:name w:val="endnote text"/>
    <w:basedOn w:val="a"/>
    <w:link w:val="Char4"/>
    <w:uiPriority w:val="99"/>
    <w:semiHidden/>
    <w:unhideWhenUsed/>
    <w:rsid w:val="00E77436"/>
    <w:pPr>
      <w:spacing w:after="0" w:line="240" w:lineRule="auto"/>
    </w:pPr>
    <w:rPr>
      <w:sz w:val="20"/>
      <w:szCs w:val="20"/>
    </w:rPr>
  </w:style>
  <w:style w:type="character" w:customStyle="1" w:styleId="Char4">
    <w:name w:val="Κείμενο σημείωσης τέλους Char"/>
    <w:basedOn w:val="a0"/>
    <w:link w:val="ad"/>
    <w:uiPriority w:val="99"/>
    <w:semiHidden/>
    <w:rsid w:val="00E77436"/>
    <w:rPr>
      <w:lang w:val="en-GB" w:eastAsia="en-US"/>
    </w:rPr>
  </w:style>
  <w:style w:type="character" w:styleId="ae">
    <w:name w:val="endnote reference"/>
    <w:basedOn w:val="a0"/>
    <w:uiPriority w:val="99"/>
    <w:semiHidden/>
    <w:unhideWhenUsed/>
    <w:rsid w:val="00E77436"/>
    <w:rPr>
      <w:vertAlign w:val="superscript"/>
    </w:rPr>
  </w:style>
</w:styles>
</file>

<file path=word/webSettings.xml><?xml version="1.0" encoding="utf-8"?>
<w:webSettings xmlns:r="http://schemas.openxmlformats.org/officeDocument/2006/relationships" xmlns:w="http://schemas.openxmlformats.org/wordprocessingml/2006/main">
  <w:divs>
    <w:div w:id="419644991">
      <w:bodyDiv w:val="1"/>
      <w:marLeft w:val="0"/>
      <w:marRight w:val="0"/>
      <w:marTop w:val="0"/>
      <w:marBottom w:val="0"/>
      <w:divBdr>
        <w:top w:val="none" w:sz="0" w:space="0" w:color="auto"/>
        <w:left w:val="none" w:sz="0" w:space="0" w:color="auto"/>
        <w:bottom w:val="none" w:sz="0" w:space="0" w:color="auto"/>
        <w:right w:val="none" w:sz="0" w:space="0" w:color="auto"/>
      </w:divBdr>
    </w:div>
    <w:div w:id="693581953">
      <w:bodyDiv w:val="1"/>
      <w:marLeft w:val="0"/>
      <w:marRight w:val="0"/>
      <w:marTop w:val="0"/>
      <w:marBottom w:val="0"/>
      <w:divBdr>
        <w:top w:val="none" w:sz="0" w:space="0" w:color="auto"/>
        <w:left w:val="none" w:sz="0" w:space="0" w:color="auto"/>
        <w:bottom w:val="none" w:sz="0" w:space="0" w:color="auto"/>
        <w:right w:val="none" w:sz="0" w:space="0" w:color="auto"/>
      </w:divBdr>
    </w:div>
    <w:div w:id="872812455">
      <w:bodyDiv w:val="1"/>
      <w:marLeft w:val="0"/>
      <w:marRight w:val="0"/>
      <w:marTop w:val="0"/>
      <w:marBottom w:val="0"/>
      <w:divBdr>
        <w:top w:val="none" w:sz="0" w:space="0" w:color="auto"/>
        <w:left w:val="none" w:sz="0" w:space="0" w:color="auto"/>
        <w:bottom w:val="none" w:sz="0" w:space="0" w:color="auto"/>
        <w:right w:val="none" w:sz="0" w:space="0" w:color="auto"/>
      </w:divBdr>
    </w:div>
    <w:div w:id="962350205">
      <w:bodyDiv w:val="1"/>
      <w:marLeft w:val="0"/>
      <w:marRight w:val="0"/>
      <w:marTop w:val="0"/>
      <w:marBottom w:val="0"/>
      <w:divBdr>
        <w:top w:val="none" w:sz="0" w:space="0" w:color="auto"/>
        <w:left w:val="none" w:sz="0" w:space="0" w:color="auto"/>
        <w:bottom w:val="none" w:sz="0" w:space="0" w:color="auto"/>
        <w:right w:val="none" w:sz="0" w:space="0" w:color="auto"/>
      </w:divBdr>
    </w:div>
    <w:div w:id="1146630683">
      <w:bodyDiv w:val="1"/>
      <w:marLeft w:val="0"/>
      <w:marRight w:val="0"/>
      <w:marTop w:val="0"/>
      <w:marBottom w:val="0"/>
      <w:divBdr>
        <w:top w:val="none" w:sz="0" w:space="0" w:color="auto"/>
        <w:left w:val="none" w:sz="0" w:space="0" w:color="auto"/>
        <w:bottom w:val="none" w:sz="0" w:space="0" w:color="auto"/>
        <w:right w:val="none" w:sz="0" w:space="0" w:color="auto"/>
      </w:divBdr>
    </w:div>
    <w:div w:id="1260674491">
      <w:bodyDiv w:val="1"/>
      <w:marLeft w:val="0"/>
      <w:marRight w:val="0"/>
      <w:marTop w:val="0"/>
      <w:marBottom w:val="0"/>
      <w:divBdr>
        <w:top w:val="none" w:sz="0" w:space="0" w:color="auto"/>
        <w:left w:val="none" w:sz="0" w:space="0" w:color="auto"/>
        <w:bottom w:val="none" w:sz="0" w:space="0" w:color="auto"/>
        <w:right w:val="none" w:sz="0" w:space="0" w:color="auto"/>
      </w:divBdr>
    </w:div>
    <w:div w:id="1314287457">
      <w:bodyDiv w:val="1"/>
      <w:marLeft w:val="0"/>
      <w:marRight w:val="0"/>
      <w:marTop w:val="0"/>
      <w:marBottom w:val="0"/>
      <w:divBdr>
        <w:top w:val="none" w:sz="0" w:space="0" w:color="auto"/>
        <w:left w:val="none" w:sz="0" w:space="0" w:color="auto"/>
        <w:bottom w:val="none" w:sz="0" w:space="0" w:color="auto"/>
        <w:right w:val="none" w:sz="0" w:space="0" w:color="auto"/>
      </w:divBdr>
    </w:div>
    <w:div w:id="1554805055">
      <w:bodyDiv w:val="1"/>
      <w:marLeft w:val="0"/>
      <w:marRight w:val="0"/>
      <w:marTop w:val="0"/>
      <w:marBottom w:val="0"/>
      <w:divBdr>
        <w:top w:val="none" w:sz="0" w:space="0" w:color="auto"/>
        <w:left w:val="none" w:sz="0" w:space="0" w:color="auto"/>
        <w:bottom w:val="none" w:sz="0" w:space="0" w:color="auto"/>
        <w:right w:val="none" w:sz="0" w:space="0" w:color="auto"/>
      </w:divBdr>
    </w:div>
    <w:div w:id="16971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ECB97-AAA2-468F-8789-7B7FED9F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1889</Words>
  <Characters>10771</Characters>
  <Application>Microsoft Office Word</Application>
  <DocSecurity>0</DocSecurity>
  <Lines>89</Lines>
  <Paragraphs>25</Paragraphs>
  <ScaleCrop>false</ScaleCrop>
  <LinksUpToDate>false</LinksUpToDate>
  <CharactersWithSpaces>12635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2016-11-23T15:43:00Z</dcterms:created>
  <dcterms:modified xsi:type="dcterms:W3CDTF">2016-11-23T15:43:00Z</dcterms:modified>
</cp:coreProperties>
</file>