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emf" ContentType="image/x-emf"/>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2E1" w:rsidRPr="00CD2E41" w:rsidRDefault="00FE02A1" w:rsidP="00142CE3">
      <w:pPr>
        <w:tabs>
          <w:tab w:val="left" w:pos="5040"/>
        </w:tabs>
        <w:ind w:right="-143"/>
        <w:rPr>
          <w:rFonts w:cs="Calibri"/>
          <w:color w:val="FF0000"/>
          <w:lang w:val="en-US"/>
        </w:rPr>
      </w:pPr>
      <w:r w:rsidRPr="00FE02A1">
        <w:rPr>
          <w:rFonts w:eastAsia="Times New Roman" w:cs="Calibri"/>
          <w:noProof/>
          <w:color w:val="FF0000"/>
          <w:sz w:val="24"/>
          <w:szCs w:val="24"/>
          <w:lang w:eastAsia="el-GR"/>
        </w:rPr>
        <w:pict>
          <v:rect id="Rectangle 30" o:spid="_x0000_s1026" style="position:absolute;margin-left:10.5pt;margin-top:-32pt;width:550.15pt;height:57.75pt;z-index:25173094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" filled="f" stroked="f">
            <v:path arrowok="t"/>
            <o:lock v:ext="edit" aspectratio="t"/>
            <v:textbox>
              <w:txbxContent>
                <w:p w:rsidR="004C55D3" w:rsidRDefault="004C55D3" w:rsidP="00F63A60">
                  <w:pPr>
                    <w:shd w:val="clear" w:color="auto" w:fill="FFFFFF" w:themeFill="background1"/>
                    <w:tabs>
                      <w:tab w:val="left" w:pos="9214"/>
                    </w:tabs>
                    <w:spacing w:after="40" w:line="300" w:lineRule="exact"/>
                    <w:ind w:left="-142" w:right="284"/>
                    <w:jc w:val="right"/>
                    <w:rPr>
                      <w:rFonts w:eastAsia="Times New Roman" w:cs="Calibri"/>
                      <w:b/>
                      <w:i/>
                      <w:color w:val="6691AB"/>
                      <w:sz w:val="27"/>
                      <w:szCs w:val="27"/>
                    </w:rPr>
                  </w:pPr>
                </w:p>
                <w:p w:rsidR="004C55D3" w:rsidRDefault="004C55D3" w:rsidP="00F63A60">
                  <w:pPr>
                    <w:shd w:val="clear" w:color="auto" w:fill="FFFFFF" w:themeFill="background1"/>
                    <w:tabs>
                      <w:tab w:val="left" w:pos="9214"/>
                    </w:tabs>
                    <w:spacing w:after="40" w:line="300" w:lineRule="exact"/>
                    <w:ind w:left="-142" w:right="284"/>
                    <w:jc w:val="right"/>
                    <w:rPr>
                      <w:rFonts w:eastAsia="Times New Roman" w:cs="Calibri"/>
                      <w:b/>
                      <w:i/>
                      <w:color w:val="6691AB"/>
                      <w:sz w:val="27"/>
                      <w:szCs w:val="27"/>
                    </w:rPr>
                  </w:pPr>
                  <w:r w:rsidRPr="00611690">
                    <w:rPr>
                      <w:rFonts w:eastAsia="Times New Roman" w:cs="Calibri"/>
                      <w:b/>
                      <w:i/>
                      <w:color w:val="6691AB"/>
                      <w:sz w:val="27"/>
                      <w:szCs w:val="27"/>
                    </w:rPr>
                    <w:t>Συνεχ</w:t>
                  </w:r>
                  <w:r>
                    <w:rPr>
                      <w:rFonts w:eastAsia="Times New Roman" w:cs="Calibri"/>
                      <w:b/>
                      <w:i/>
                      <w:color w:val="6691AB"/>
                      <w:sz w:val="27"/>
                      <w:szCs w:val="27"/>
                    </w:rPr>
                    <w:t>ήςΣ</w:t>
                  </w:r>
                  <w:r w:rsidRPr="00611690">
                    <w:rPr>
                      <w:rFonts w:eastAsia="Times New Roman" w:cs="Calibri"/>
                      <w:b/>
                      <w:i/>
                      <w:color w:val="6691AB"/>
                      <w:sz w:val="27"/>
                      <w:szCs w:val="27"/>
                    </w:rPr>
                    <w:t xml:space="preserve">τήριξη </w:t>
                  </w:r>
                  <w:r>
                    <w:rPr>
                      <w:rFonts w:eastAsia="Times New Roman" w:cs="Calibri"/>
                      <w:b/>
                      <w:i/>
                      <w:color w:val="6691AB"/>
                      <w:sz w:val="27"/>
                      <w:szCs w:val="27"/>
                    </w:rPr>
                    <w:t xml:space="preserve">των Πελατών και των Εργαζομένων μας- </w:t>
                  </w:r>
                </w:p>
                <w:p w:rsidR="004C55D3" w:rsidRPr="00611690" w:rsidRDefault="004C55D3" w:rsidP="00F63A60">
                  <w:pPr>
                    <w:shd w:val="clear" w:color="auto" w:fill="FFFFFF" w:themeFill="background1"/>
                    <w:tabs>
                      <w:tab w:val="left" w:pos="9214"/>
                    </w:tabs>
                    <w:spacing w:after="40" w:line="300" w:lineRule="exact"/>
                    <w:ind w:left="-142" w:right="284"/>
                    <w:jc w:val="right"/>
                    <w:rPr>
                      <w:rFonts w:eastAsia="Times New Roman" w:cs="Calibri"/>
                      <w:b/>
                      <w:i/>
                      <w:color w:val="003C96" w:themeColor="text2"/>
                      <w:sz w:val="27"/>
                      <w:szCs w:val="27"/>
                    </w:rPr>
                  </w:pPr>
                  <w:r w:rsidRPr="00611690">
                    <w:rPr>
                      <w:rFonts w:eastAsia="Times New Roman" w:cs="Calibri"/>
                      <w:b/>
                      <w:i/>
                      <w:color w:val="6691AB"/>
                      <w:sz w:val="27"/>
                      <w:szCs w:val="27"/>
                    </w:rPr>
                    <w:t xml:space="preserve">Ανθεκτικοί </w:t>
                  </w:r>
                  <w:r>
                    <w:rPr>
                      <w:rFonts w:eastAsia="Times New Roman" w:cs="Calibri"/>
                      <w:b/>
                      <w:i/>
                      <w:color w:val="6691AB"/>
                      <w:sz w:val="27"/>
                      <w:szCs w:val="27"/>
                    </w:rPr>
                    <w:t xml:space="preserve">Χρηματοοικονομικοί </w:t>
                  </w:r>
                  <w:r w:rsidRPr="00611690">
                    <w:rPr>
                      <w:rFonts w:eastAsia="Times New Roman" w:cs="Calibri"/>
                      <w:b/>
                      <w:i/>
                      <w:color w:val="6691AB"/>
                      <w:sz w:val="27"/>
                      <w:szCs w:val="27"/>
                    </w:rPr>
                    <w:t>Δείκτες Απόδοσης</w:t>
                  </w:r>
                </w:p>
                <w:p w:rsidR="004C55D3" w:rsidRPr="00611690" w:rsidRDefault="004C55D3" w:rsidP="00315F9D">
                  <w:pPr>
                    <w:shd w:val="clear" w:color="auto" w:fill="FFFFFF" w:themeFill="background1"/>
                    <w:tabs>
                      <w:tab w:val="left" w:pos="9214"/>
                    </w:tabs>
                    <w:spacing w:after="40" w:line="300" w:lineRule="exact"/>
                    <w:ind w:left="-142" w:right="284"/>
                    <w:jc w:val="right"/>
                    <w:rPr>
                      <w:rFonts w:eastAsia="Times New Roman" w:cs="Calibri"/>
                      <w:b/>
                      <w:i/>
                      <w:color w:val="003C96" w:themeColor="text2"/>
                      <w:sz w:val="27"/>
                      <w:szCs w:val="27"/>
                    </w:rPr>
                  </w:pPr>
                </w:p>
              </w:txbxContent>
            </v:textbox>
            <w10:wrap anchorx="page"/>
          </v:rect>
        </w:pict>
      </w:r>
      <w:r w:rsidRPr="00FE02A1">
        <w:rPr>
          <w:rFonts w:eastAsia="Times New Roman" w:cs="Calibri"/>
          <w:b/>
          <w:noProof/>
          <w:color w:val="FF0000"/>
          <w:sz w:val="28"/>
          <w:szCs w:val="28"/>
          <w:lang w:eastAsia="el-GR"/>
        </w:rPr>
        <w:pict>
          <v:rect id="Rectangle 37" o:spid="_x0000_s1027" style="position:absolute;margin-left:.75pt;margin-top:37.75pt;width:560.35pt;height:617.25pt;z-index:-2515394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" fillcolor="#e6e6e1" stroked="f">
            <o:lock v:ext="edit" aspectratio="t"/>
            <v:textbox>
              <w:txbxContent>
                <w:p w:rsidR="004C55D3" w:rsidRDefault="004C55D3" w:rsidP="00CF7901">
                  <w:pPr>
                    <w:jc w:val="center"/>
                    <w:rPr>
                      <w:lang w:val="en-US"/>
                    </w:rPr>
                  </w:pPr>
                </w:p>
                <w:p w:rsidR="004C55D3" w:rsidRDefault="004C55D3" w:rsidP="002C56DA">
                  <w:pPr>
                    <w:spacing w:before="120"/>
                    <w:jc w:val="center"/>
                    <w:rPr>
                      <w:lang w:val="en-US"/>
                    </w:rPr>
                  </w:pPr>
                </w:p>
                <w:p w:rsidR="004C55D3" w:rsidRPr="00DC3F41" w:rsidRDefault="004C55D3" w:rsidP="00D2553C">
                  <w:pPr>
                    <w:pStyle w:val="a6"/>
                    <w:spacing w:line="288" w:lineRule="auto"/>
                    <w:ind w:left="572"/>
                    <w:contextualSpacing w:val="0"/>
                  </w:pPr>
                </w:p>
              </w:txbxContent>
            </v:textbox>
            <w10:wrap anchorx="page"/>
          </v:rect>
        </w:pict>
      </w:r>
    </w:p>
    <w:p w:rsidR="002F30A0" w:rsidRPr="00C12C6C" w:rsidRDefault="002F30A0" w:rsidP="002F30A0">
      <w:pPr>
        <w:spacing w:line="300" w:lineRule="exact"/>
        <w:rPr>
          <w:rFonts w:cs="Calibri"/>
          <w:b/>
          <w:color w:val="FF0000"/>
          <w:sz w:val="16"/>
          <w:szCs w:val="21"/>
          <w:lang w:val="en-US"/>
        </w:rPr>
      </w:pPr>
    </w:p>
    <w:p w:rsidR="00B71428" w:rsidRPr="00611690" w:rsidRDefault="00AE77FA" w:rsidP="00BB0857">
      <w:pPr>
        <w:spacing w:before="120" w:after="120" w:line="264" w:lineRule="auto"/>
        <w:rPr>
          <w:rFonts w:eastAsia="Times New Roman" w:cs="Calibri"/>
          <w:b/>
          <w:color w:val="6691AB"/>
        </w:rPr>
      </w:pPr>
      <w:r>
        <w:rPr>
          <w:rFonts w:eastAsia="Times New Roman" w:cs="Calibri"/>
          <w:b/>
          <w:color w:val="6691AB"/>
        </w:rPr>
        <w:t xml:space="preserve">Στοχευμένες λύσεις σε πελάτες </w:t>
      </w:r>
      <w:r w:rsidR="00611690" w:rsidRPr="00611690">
        <w:rPr>
          <w:rFonts w:eastAsia="Times New Roman" w:cs="Calibri"/>
          <w:b/>
          <w:color w:val="6691AB"/>
        </w:rPr>
        <w:t>που έχουν επηρεασ</w:t>
      </w:r>
      <w:r w:rsidR="00864FE8">
        <w:rPr>
          <w:rFonts w:eastAsia="Times New Roman" w:cs="Calibri"/>
          <w:b/>
          <w:color w:val="6691AB"/>
        </w:rPr>
        <w:t>θ</w:t>
      </w:r>
      <w:r w:rsidR="00611690" w:rsidRPr="00611690">
        <w:rPr>
          <w:rFonts w:eastAsia="Times New Roman" w:cs="Calibri"/>
          <w:b/>
          <w:color w:val="6691AB"/>
        </w:rPr>
        <w:t xml:space="preserve">εί από τον </w:t>
      </w:r>
      <w:r w:rsidR="00611690" w:rsidRPr="00611690">
        <w:rPr>
          <w:rFonts w:eastAsia="Times New Roman" w:cs="Calibri"/>
          <w:b/>
          <w:color w:val="6691AB"/>
          <w:lang w:val="en-US"/>
        </w:rPr>
        <w:t>Covid</w:t>
      </w:r>
      <w:r w:rsidR="00611690" w:rsidRPr="00611690">
        <w:rPr>
          <w:rFonts w:eastAsia="Times New Roman" w:cs="Calibri"/>
          <w:b/>
          <w:color w:val="6691AB"/>
        </w:rPr>
        <w:t>-19</w:t>
      </w:r>
    </w:p>
    <w:p w:rsidR="00D2553C" w:rsidRPr="00BB0857" w:rsidRDefault="00864FE8" w:rsidP="00BB0857">
      <w:pPr>
        <w:pStyle w:val="10"/>
        <w:numPr>
          <w:ilvl w:val="0"/>
          <w:numId w:val="15"/>
        </w:numPr>
        <w:suppressAutoHyphens w:val="0"/>
        <w:spacing w:after="0" w:line="264" w:lineRule="auto"/>
        <w:ind w:left="576"/>
        <w:textAlignment w:val="auto"/>
        <w:rPr>
          <w:rFonts w:eastAsia="Times New Roman" w:cs="Calibri"/>
          <w:sz w:val="17"/>
          <w:szCs w:val="17"/>
        </w:rPr>
      </w:pPr>
      <w:r>
        <w:rPr>
          <w:rFonts w:eastAsia="Times New Roman" w:cs="Calibri"/>
          <w:sz w:val="17"/>
          <w:szCs w:val="17"/>
        </w:rPr>
        <w:t>Σημαντικότερηπ</w:t>
      </w:r>
      <w:r w:rsidR="00AE77FA" w:rsidRPr="00BB0857">
        <w:rPr>
          <w:rFonts w:eastAsia="Times New Roman" w:cs="Calibri"/>
          <w:sz w:val="17"/>
          <w:szCs w:val="17"/>
        </w:rPr>
        <w:t>ροτεραιότητα είναι η</w:t>
      </w:r>
      <w:r w:rsidR="00A73A29" w:rsidRPr="00BB0857">
        <w:rPr>
          <w:rFonts w:eastAsia="Times New Roman" w:cs="Calibri"/>
          <w:sz w:val="17"/>
          <w:szCs w:val="17"/>
        </w:rPr>
        <w:t xml:space="preserve"> υγεία και η ασφάλεια των εργαζομένων μας και παράλληλα </w:t>
      </w:r>
      <w:r w:rsidR="00AE77FA" w:rsidRPr="00BB0857">
        <w:rPr>
          <w:rFonts w:eastAsia="Times New Roman" w:cs="Calibri"/>
          <w:sz w:val="17"/>
          <w:szCs w:val="17"/>
        </w:rPr>
        <w:t xml:space="preserve">η εξυπηρέτηση </w:t>
      </w:r>
      <w:r w:rsidR="00A73A29" w:rsidRPr="00BB0857">
        <w:rPr>
          <w:rFonts w:eastAsia="Times New Roman" w:cs="Calibri"/>
          <w:sz w:val="17"/>
          <w:szCs w:val="17"/>
        </w:rPr>
        <w:t>των πελατών μας κατά τη διάρκεια αυτής της πρωτοφανούς κρίσης</w:t>
      </w:r>
    </w:p>
    <w:p w:rsidR="00AC113B" w:rsidRPr="00BB0857" w:rsidRDefault="00AC113B" w:rsidP="00BB0857">
      <w:pPr>
        <w:pStyle w:val="10"/>
        <w:numPr>
          <w:ilvl w:val="0"/>
          <w:numId w:val="15"/>
        </w:numPr>
        <w:suppressAutoHyphens w:val="0"/>
        <w:spacing w:after="0" w:line="264" w:lineRule="auto"/>
        <w:ind w:left="576"/>
        <w:textAlignment w:val="auto"/>
        <w:rPr>
          <w:rFonts w:eastAsia="Times New Roman" w:cs="Calibri"/>
          <w:sz w:val="17"/>
          <w:szCs w:val="17"/>
        </w:rPr>
      </w:pPr>
      <w:r w:rsidRPr="00BB0857">
        <w:rPr>
          <w:rFonts w:eastAsia="Times New Roman" w:cs="Calibri"/>
          <w:sz w:val="17"/>
          <w:szCs w:val="17"/>
        </w:rPr>
        <w:t xml:space="preserve">Εκταμιεύσεις νέων δανείων ύψους €5,4δισ. μέχρι σήμερα, </w:t>
      </w:r>
      <w:r w:rsidR="00AE77FA" w:rsidRPr="00BB0857">
        <w:rPr>
          <w:rFonts w:eastAsia="Times New Roman" w:cs="Calibri"/>
          <w:sz w:val="17"/>
          <w:szCs w:val="17"/>
        </w:rPr>
        <w:t>καλύποντας</w:t>
      </w:r>
      <w:r w:rsidRPr="00BB0857">
        <w:rPr>
          <w:rFonts w:eastAsia="Times New Roman" w:cs="Calibri"/>
          <w:sz w:val="17"/>
          <w:szCs w:val="17"/>
        </w:rPr>
        <w:t xml:space="preserve">τις ανάγκες των πελατών </w:t>
      </w:r>
      <w:r w:rsidR="00AE77FA" w:rsidRPr="00BB0857">
        <w:rPr>
          <w:rFonts w:eastAsia="Times New Roman" w:cs="Calibri"/>
          <w:sz w:val="17"/>
          <w:szCs w:val="17"/>
        </w:rPr>
        <w:t>μας</w:t>
      </w:r>
    </w:p>
    <w:p w:rsidR="00AC113B" w:rsidRPr="00BB0857" w:rsidRDefault="00AC113B" w:rsidP="00BB0857">
      <w:pPr>
        <w:pStyle w:val="10"/>
        <w:numPr>
          <w:ilvl w:val="0"/>
          <w:numId w:val="15"/>
        </w:numPr>
        <w:suppressAutoHyphens w:val="0"/>
        <w:spacing w:after="0" w:line="264" w:lineRule="auto"/>
        <w:ind w:left="576"/>
        <w:textAlignment w:val="auto"/>
        <w:rPr>
          <w:rFonts w:eastAsia="Times New Roman" w:cs="Calibri"/>
          <w:sz w:val="17"/>
          <w:szCs w:val="17"/>
        </w:rPr>
      </w:pPr>
      <w:r w:rsidRPr="00BB0857">
        <w:rPr>
          <w:rFonts w:eastAsia="Times New Roman" w:cs="Calibri"/>
          <w:sz w:val="17"/>
          <w:szCs w:val="17"/>
        </w:rPr>
        <w:t xml:space="preserve">Δάνεια σε αναστολή καταβολής δόσεων ύψους €5,3δισ. </w:t>
      </w:r>
      <w:r w:rsidR="00AE77FA" w:rsidRPr="00BB0857">
        <w:rPr>
          <w:rFonts w:eastAsia="Times New Roman" w:cs="Calibri"/>
          <w:sz w:val="17"/>
          <w:szCs w:val="17"/>
        </w:rPr>
        <w:t xml:space="preserve">στο τέλος </w:t>
      </w:r>
      <w:r w:rsidRPr="00BB0857">
        <w:rPr>
          <w:rFonts w:eastAsia="Times New Roman" w:cs="Calibri"/>
          <w:sz w:val="17"/>
          <w:szCs w:val="17"/>
        </w:rPr>
        <w:t>Σεπτεμβρίου 2020</w:t>
      </w:r>
    </w:p>
    <w:p w:rsidR="00AC113B" w:rsidRPr="00BB0857" w:rsidRDefault="00AC113B" w:rsidP="00BB0857">
      <w:pPr>
        <w:pStyle w:val="10"/>
        <w:numPr>
          <w:ilvl w:val="0"/>
          <w:numId w:val="15"/>
        </w:numPr>
        <w:suppressAutoHyphens w:val="0"/>
        <w:spacing w:after="0" w:line="264" w:lineRule="auto"/>
        <w:ind w:left="576"/>
        <w:textAlignment w:val="auto"/>
        <w:rPr>
          <w:rFonts w:eastAsia="Times New Roman" w:cs="Calibri"/>
          <w:sz w:val="17"/>
          <w:szCs w:val="17"/>
        </w:rPr>
      </w:pPr>
      <w:r w:rsidRPr="00BB0857">
        <w:rPr>
          <w:rFonts w:eastAsia="Times New Roman" w:cs="Calibri"/>
          <w:sz w:val="17"/>
          <w:szCs w:val="17"/>
        </w:rPr>
        <w:t xml:space="preserve">Συνολική χρηματοδότηση σε </w:t>
      </w:r>
      <w:r w:rsidR="00AE77FA" w:rsidRPr="00BB0857">
        <w:rPr>
          <w:rFonts w:eastAsia="Times New Roman" w:cs="Calibri"/>
          <w:sz w:val="17"/>
          <w:szCs w:val="17"/>
        </w:rPr>
        <w:t>πληγ</w:t>
      </w:r>
      <w:r w:rsidR="008222D2">
        <w:rPr>
          <w:rFonts w:eastAsia="Times New Roman" w:cs="Calibri"/>
          <w:sz w:val="17"/>
          <w:szCs w:val="17"/>
        </w:rPr>
        <w:t>είσες</w:t>
      </w:r>
      <w:r w:rsidRPr="00BB0857">
        <w:rPr>
          <w:rFonts w:eastAsia="Times New Roman" w:cs="Calibri"/>
          <w:sz w:val="17"/>
          <w:szCs w:val="17"/>
        </w:rPr>
        <w:t xml:space="preserve"> επιχειρήσεις μέσω των προγραμμάτων «Ταμείο </w:t>
      </w:r>
      <w:r w:rsidR="00AE77FA" w:rsidRPr="00BB0857">
        <w:rPr>
          <w:rFonts w:eastAsia="Times New Roman" w:cs="Calibri"/>
          <w:sz w:val="17"/>
          <w:szCs w:val="17"/>
        </w:rPr>
        <w:t>Εγγυοδοσίας</w:t>
      </w:r>
      <w:r w:rsidRPr="00BB0857">
        <w:rPr>
          <w:rFonts w:eastAsia="Times New Roman" w:cs="Calibri"/>
          <w:sz w:val="17"/>
          <w:szCs w:val="17"/>
        </w:rPr>
        <w:t xml:space="preserve"> για τον Covid-19» και «</w:t>
      </w:r>
      <w:r w:rsidR="008B544C" w:rsidRPr="00BB0857">
        <w:rPr>
          <w:rFonts w:eastAsia="Times New Roman" w:cs="Calibri"/>
          <w:sz w:val="17"/>
          <w:szCs w:val="17"/>
        </w:rPr>
        <w:t>ΤΕΠΙΧ</w:t>
      </w:r>
      <w:r w:rsidRPr="00BB0857">
        <w:rPr>
          <w:rFonts w:eastAsia="Times New Roman" w:cs="Calibri"/>
          <w:sz w:val="17"/>
          <w:szCs w:val="17"/>
        </w:rPr>
        <w:t xml:space="preserve"> II» στα €2,2δισ., </w:t>
      </w:r>
      <w:r w:rsidR="00AE77FA" w:rsidRPr="00BB0857">
        <w:rPr>
          <w:rFonts w:eastAsia="Times New Roman" w:cs="Calibri"/>
          <w:sz w:val="17"/>
          <w:szCs w:val="17"/>
        </w:rPr>
        <w:t>ενώδ</w:t>
      </w:r>
      <w:r w:rsidRPr="00BB0857">
        <w:rPr>
          <w:rFonts w:eastAsia="Times New Roman" w:cs="Calibri"/>
          <w:sz w:val="17"/>
          <w:szCs w:val="17"/>
        </w:rPr>
        <w:t xml:space="preserve">άνεια </w:t>
      </w:r>
      <w:r w:rsidR="00AE77FA" w:rsidRPr="00BB0857">
        <w:rPr>
          <w:rFonts w:eastAsia="Times New Roman" w:cs="Calibri"/>
          <w:sz w:val="17"/>
          <w:szCs w:val="17"/>
        </w:rPr>
        <w:t xml:space="preserve">ύψους €1,8δισ. </w:t>
      </w:r>
      <w:r w:rsidRPr="00BB0857">
        <w:rPr>
          <w:rFonts w:eastAsia="Times New Roman" w:cs="Calibri"/>
          <w:sz w:val="17"/>
          <w:szCs w:val="17"/>
        </w:rPr>
        <w:t xml:space="preserve">σε </w:t>
      </w:r>
      <w:r w:rsidR="00AE77FA" w:rsidRPr="00BB0857">
        <w:rPr>
          <w:rFonts w:eastAsia="Times New Roman" w:cs="Calibri"/>
          <w:sz w:val="17"/>
          <w:szCs w:val="17"/>
        </w:rPr>
        <w:t xml:space="preserve">μεσαίες και μικρές επιχειρήσειςεντάχθηκαν στο πρόγραμμα </w:t>
      </w:r>
      <w:r w:rsidRPr="00BB0857">
        <w:rPr>
          <w:rFonts w:eastAsia="Times New Roman" w:cs="Calibri"/>
          <w:sz w:val="17"/>
          <w:szCs w:val="17"/>
        </w:rPr>
        <w:t>επιδότηση</w:t>
      </w:r>
      <w:r w:rsidR="00AE77FA" w:rsidRPr="00BB0857">
        <w:rPr>
          <w:rFonts w:eastAsia="Times New Roman" w:cs="Calibri"/>
          <w:sz w:val="17"/>
          <w:szCs w:val="17"/>
        </w:rPr>
        <w:t>ς</w:t>
      </w:r>
      <w:r w:rsidRPr="00BB0857">
        <w:rPr>
          <w:rFonts w:eastAsia="Times New Roman" w:cs="Calibri"/>
          <w:sz w:val="17"/>
          <w:szCs w:val="17"/>
        </w:rPr>
        <w:t xml:space="preserve"> επιτοκίου</w:t>
      </w:r>
    </w:p>
    <w:p w:rsidR="00AC113B" w:rsidRPr="00BB0857" w:rsidRDefault="00AC113B" w:rsidP="00BB0857">
      <w:pPr>
        <w:pStyle w:val="10"/>
        <w:numPr>
          <w:ilvl w:val="0"/>
          <w:numId w:val="15"/>
        </w:numPr>
        <w:suppressAutoHyphens w:val="0"/>
        <w:spacing w:after="0" w:line="264" w:lineRule="auto"/>
        <w:ind w:left="576"/>
        <w:textAlignment w:val="auto"/>
        <w:rPr>
          <w:rFonts w:eastAsia="Times New Roman" w:cs="Calibri"/>
          <w:sz w:val="17"/>
          <w:szCs w:val="17"/>
        </w:rPr>
      </w:pPr>
      <w:r w:rsidRPr="00BB0857">
        <w:rPr>
          <w:rFonts w:eastAsia="Times New Roman" w:cs="Calibri"/>
          <w:sz w:val="17"/>
          <w:szCs w:val="17"/>
        </w:rPr>
        <w:t>32χιλ. αιτήσ</w:t>
      </w:r>
      <w:r w:rsidR="00AE77FA" w:rsidRPr="00BB0857">
        <w:rPr>
          <w:rFonts w:eastAsia="Times New Roman" w:cs="Calibri"/>
          <w:sz w:val="17"/>
          <w:szCs w:val="17"/>
        </w:rPr>
        <w:t>ε</w:t>
      </w:r>
      <w:r w:rsidR="00070E50" w:rsidRPr="00BB0857">
        <w:rPr>
          <w:rFonts w:eastAsia="Times New Roman" w:cs="Calibri"/>
          <w:sz w:val="17"/>
          <w:szCs w:val="17"/>
        </w:rPr>
        <w:t>ις</w:t>
      </w:r>
      <w:r w:rsidR="00AE77FA" w:rsidRPr="00BB0857">
        <w:rPr>
          <w:rFonts w:eastAsia="Times New Roman" w:cs="Calibri"/>
          <w:sz w:val="17"/>
          <w:szCs w:val="17"/>
        </w:rPr>
        <w:t xml:space="preserve">, που αντιστοιχούν σε υπόλοιπα δανείων ύψους €1,7δισ. </w:t>
      </w:r>
      <w:r w:rsidRPr="00BB0857">
        <w:rPr>
          <w:rFonts w:eastAsia="Times New Roman" w:cs="Calibri"/>
          <w:sz w:val="17"/>
          <w:szCs w:val="17"/>
        </w:rPr>
        <w:t>για κρατική επιδότηση δόσεων στεγαστικών δανείων στο πλα</w:t>
      </w:r>
      <w:r w:rsidR="00AE77FA" w:rsidRPr="00BB0857">
        <w:rPr>
          <w:rFonts w:eastAsia="Times New Roman" w:cs="Calibri"/>
          <w:sz w:val="17"/>
          <w:szCs w:val="17"/>
        </w:rPr>
        <w:t>ίσιο του προγράμματος «Γέφυρα»</w:t>
      </w:r>
    </w:p>
    <w:p w:rsidR="00C12C6C" w:rsidRPr="00BB0857" w:rsidRDefault="00AC113B" w:rsidP="00BB0857">
      <w:pPr>
        <w:pStyle w:val="10"/>
        <w:numPr>
          <w:ilvl w:val="0"/>
          <w:numId w:val="15"/>
        </w:numPr>
        <w:suppressAutoHyphens w:val="0"/>
        <w:spacing w:after="0" w:line="264" w:lineRule="auto"/>
        <w:ind w:left="576"/>
        <w:textAlignment w:val="auto"/>
        <w:rPr>
          <w:rFonts w:eastAsia="Times New Roman" w:cs="Calibri"/>
          <w:sz w:val="17"/>
          <w:szCs w:val="17"/>
        </w:rPr>
      </w:pPr>
      <w:r w:rsidRPr="00BB0857">
        <w:rPr>
          <w:rFonts w:eastAsia="Times New Roman" w:cs="Calibri"/>
          <w:sz w:val="17"/>
          <w:szCs w:val="17"/>
        </w:rPr>
        <w:t xml:space="preserve">Αύξηση </w:t>
      </w:r>
      <w:r w:rsidRPr="00BB0857">
        <w:rPr>
          <w:rStyle w:val="11"/>
          <w:rFonts w:eastAsia="Times New Roman" w:cs="Calibri"/>
          <w:sz w:val="17"/>
          <w:szCs w:val="17"/>
        </w:rPr>
        <w:t xml:space="preserve">ψηφιακών συναλλαγών στο 94% των συνολικών τραπεζικών συναλλαγών από 90% πριν το </w:t>
      </w:r>
      <w:r w:rsidRPr="00BB0857">
        <w:rPr>
          <w:rStyle w:val="11"/>
          <w:rFonts w:eastAsia="Times New Roman" w:cs="Calibri"/>
          <w:sz w:val="17"/>
          <w:szCs w:val="17"/>
          <w:lang w:val="en-US"/>
        </w:rPr>
        <w:t>lockdown</w:t>
      </w:r>
    </w:p>
    <w:p w:rsidR="00B71428" w:rsidRPr="004422BC" w:rsidRDefault="00514690" w:rsidP="007307C5">
      <w:pPr>
        <w:pStyle w:val="10"/>
        <w:spacing w:before="120" w:after="120" w:line="264" w:lineRule="auto"/>
        <w:rPr>
          <w:rFonts w:eastAsia="Times New Roman" w:cs="Calibri"/>
          <w:b/>
          <w:color w:val="6691AB"/>
        </w:rPr>
      </w:pPr>
      <w:r>
        <w:rPr>
          <w:rStyle w:val="11"/>
          <w:rFonts w:eastAsia="Times New Roman" w:cs="Calibri"/>
          <w:b/>
          <w:color w:val="6691AB"/>
        </w:rPr>
        <w:t>Ανθεκτική χρηματοοικονομική επίδοση στο</w:t>
      </w:r>
      <w:r w:rsidR="00C12C6C">
        <w:rPr>
          <w:rStyle w:val="11"/>
          <w:rFonts w:eastAsia="Times New Roman" w:cs="Calibri"/>
          <w:b/>
          <w:color w:val="6691AB"/>
        </w:rPr>
        <w:t xml:space="preserve"> 9μήνο 2020 </w:t>
      </w:r>
    </w:p>
    <w:p w:rsidR="00C12C6C" w:rsidRPr="00BB0857" w:rsidRDefault="00C12C6C" w:rsidP="007307C5">
      <w:pPr>
        <w:pStyle w:val="12"/>
        <w:numPr>
          <w:ilvl w:val="0"/>
          <w:numId w:val="15"/>
        </w:numPr>
        <w:suppressAutoHyphens w:val="0"/>
        <w:spacing w:line="264" w:lineRule="auto"/>
        <w:textAlignment w:val="auto"/>
        <w:rPr>
          <w:rFonts w:cs="Calibri"/>
          <w:sz w:val="17"/>
          <w:szCs w:val="17"/>
          <w:lang w:val="el-GR"/>
        </w:rPr>
      </w:pPr>
      <w:r w:rsidRPr="00BB0857">
        <w:rPr>
          <w:rFonts w:cs="Calibri"/>
          <w:sz w:val="17"/>
          <w:szCs w:val="17"/>
          <w:lang w:val="el-GR"/>
        </w:rPr>
        <w:t>Καθαρά έσοδα τόκων στα €1.107 εκατ., +3% ετησίως</w:t>
      </w:r>
    </w:p>
    <w:p w:rsidR="00C12C6C" w:rsidRPr="00BB0857" w:rsidRDefault="00C12C6C" w:rsidP="007307C5">
      <w:pPr>
        <w:pStyle w:val="12"/>
        <w:numPr>
          <w:ilvl w:val="0"/>
          <w:numId w:val="15"/>
        </w:numPr>
        <w:suppressAutoHyphens w:val="0"/>
        <w:spacing w:line="264" w:lineRule="auto"/>
        <w:textAlignment w:val="auto"/>
        <w:rPr>
          <w:rFonts w:cs="Calibri"/>
          <w:sz w:val="17"/>
          <w:szCs w:val="17"/>
          <w:lang w:val="el-GR"/>
        </w:rPr>
      </w:pPr>
      <w:r w:rsidRPr="00BB0857">
        <w:rPr>
          <w:rFonts w:cs="Calibri"/>
          <w:sz w:val="17"/>
          <w:szCs w:val="17"/>
          <w:lang w:val="el-GR"/>
        </w:rPr>
        <w:t>Καθαρά έσοδα προμηθειών στα €231εκατ., +2% ετησίως</w:t>
      </w:r>
    </w:p>
    <w:p w:rsidR="00C12C6C" w:rsidRPr="00BB0857" w:rsidRDefault="00C12C6C" w:rsidP="007307C5">
      <w:pPr>
        <w:pStyle w:val="12"/>
        <w:numPr>
          <w:ilvl w:val="0"/>
          <w:numId w:val="15"/>
        </w:numPr>
        <w:suppressAutoHyphens w:val="0"/>
        <w:spacing w:line="264" w:lineRule="auto"/>
        <w:textAlignment w:val="auto"/>
        <w:rPr>
          <w:rFonts w:cs="Calibri"/>
          <w:sz w:val="17"/>
          <w:szCs w:val="17"/>
          <w:lang w:val="el-GR"/>
        </w:rPr>
      </w:pPr>
      <w:r w:rsidRPr="00BB0857">
        <w:rPr>
          <w:rFonts w:cs="Calibri"/>
          <w:sz w:val="17"/>
          <w:szCs w:val="17"/>
          <w:lang w:val="el-GR"/>
        </w:rPr>
        <w:t>Καταθέσεις ιδιωτικού τομέα αυξημένες κατά €2,3δι</w:t>
      </w:r>
      <w:r w:rsidR="004422BC" w:rsidRPr="00BB0857">
        <w:rPr>
          <w:rFonts w:cs="Calibri"/>
          <w:sz w:val="17"/>
          <w:szCs w:val="17"/>
          <w:lang w:val="el-GR"/>
        </w:rPr>
        <w:t>σ.</w:t>
      </w:r>
      <w:r w:rsidRPr="00BB0857">
        <w:rPr>
          <w:rFonts w:cs="Calibri"/>
          <w:sz w:val="17"/>
          <w:szCs w:val="17"/>
          <w:lang w:val="el-GR"/>
        </w:rPr>
        <w:t xml:space="preserve"> από την αρχή του έτους</w:t>
      </w:r>
    </w:p>
    <w:p w:rsidR="00C12C6C" w:rsidRPr="00BB0857" w:rsidRDefault="004422BC" w:rsidP="007307C5">
      <w:pPr>
        <w:pStyle w:val="12"/>
        <w:numPr>
          <w:ilvl w:val="0"/>
          <w:numId w:val="15"/>
        </w:numPr>
        <w:suppressAutoHyphens w:val="0"/>
        <w:spacing w:line="264" w:lineRule="auto"/>
        <w:textAlignment w:val="auto"/>
        <w:rPr>
          <w:rFonts w:cs="Calibri"/>
          <w:sz w:val="17"/>
          <w:szCs w:val="17"/>
          <w:lang w:val="el-GR"/>
        </w:rPr>
      </w:pPr>
      <w:r w:rsidRPr="00BB0857">
        <w:rPr>
          <w:rFonts w:cs="Calibri"/>
          <w:sz w:val="17"/>
          <w:szCs w:val="17"/>
          <w:lang w:val="el-GR"/>
        </w:rPr>
        <w:t xml:space="preserve">Μείωση </w:t>
      </w:r>
      <w:r w:rsidR="00C12C6C" w:rsidRPr="00BB0857">
        <w:rPr>
          <w:rFonts w:cs="Calibri"/>
          <w:sz w:val="17"/>
          <w:szCs w:val="17"/>
          <w:lang w:val="el-GR"/>
        </w:rPr>
        <w:t>λειτουργικ</w:t>
      </w:r>
      <w:r w:rsidRPr="00BB0857">
        <w:rPr>
          <w:rFonts w:cs="Calibri"/>
          <w:sz w:val="17"/>
          <w:szCs w:val="17"/>
          <w:lang w:val="el-GR"/>
        </w:rPr>
        <w:t xml:space="preserve">ών εξόδων </w:t>
      </w:r>
      <w:r w:rsidR="00C12C6C" w:rsidRPr="00BB0857">
        <w:rPr>
          <w:rFonts w:cs="Calibri"/>
          <w:sz w:val="17"/>
          <w:szCs w:val="17"/>
          <w:lang w:val="el-GR"/>
        </w:rPr>
        <w:t>κατά 8% ετησίως, στα €686εκατ.</w:t>
      </w:r>
    </w:p>
    <w:p w:rsidR="00C12C6C" w:rsidRPr="00BB0857" w:rsidRDefault="00C12C6C" w:rsidP="007307C5">
      <w:pPr>
        <w:pStyle w:val="12"/>
        <w:numPr>
          <w:ilvl w:val="0"/>
          <w:numId w:val="15"/>
        </w:numPr>
        <w:suppressAutoHyphens w:val="0"/>
        <w:spacing w:line="264" w:lineRule="auto"/>
        <w:textAlignment w:val="auto"/>
        <w:rPr>
          <w:rFonts w:cs="Calibri"/>
          <w:spacing w:val="-4"/>
          <w:sz w:val="17"/>
          <w:szCs w:val="17"/>
          <w:lang w:val="el-GR"/>
        </w:rPr>
      </w:pPr>
      <w:r w:rsidRPr="00BB0857">
        <w:rPr>
          <w:rFonts w:cs="Calibri"/>
          <w:spacing w:val="-4"/>
          <w:sz w:val="17"/>
          <w:szCs w:val="17"/>
          <w:lang w:val="el-GR"/>
        </w:rPr>
        <w:t>Επιτυχ</w:t>
      </w:r>
      <w:r w:rsidR="004422BC" w:rsidRPr="00BB0857">
        <w:rPr>
          <w:rFonts w:cs="Calibri"/>
          <w:spacing w:val="-4"/>
          <w:sz w:val="17"/>
          <w:szCs w:val="17"/>
          <w:lang w:val="el-GR"/>
        </w:rPr>
        <w:t xml:space="preserve">ής υλοποίηση </w:t>
      </w:r>
      <w:r w:rsidRPr="00BB0857">
        <w:rPr>
          <w:rFonts w:cs="Calibri"/>
          <w:spacing w:val="-4"/>
          <w:sz w:val="17"/>
          <w:szCs w:val="17"/>
          <w:lang w:val="el-GR"/>
        </w:rPr>
        <w:t>του</w:t>
      </w:r>
      <w:r w:rsidR="00535899" w:rsidRPr="00BB0857">
        <w:rPr>
          <w:rFonts w:cs="Calibri"/>
          <w:spacing w:val="-4"/>
          <w:sz w:val="17"/>
          <w:szCs w:val="17"/>
          <w:lang w:val="el-GR"/>
        </w:rPr>
        <w:t xml:space="preserve"> νέου</w:t>
      </w:r>
      <w:r w:rsidRPr="00BB0857">
        <w:rPr>
          <w:rFonts w:cs="Calibri"/>
          <w:spacing w:val="-4"/>
          <w:sz w:val="17"/>
          <w:szCs w:val="17"/>
          <w:lang w:val="el-GR"/>
        </w:rPr>
        <w:t xml:space="preserve"> προγράμματος εθελουσίας εξόδου</w:t>
      </w:r>
      <w:r w:rsidR="004422BC" w:rsidRPr="00BB0857">
        <w:rPr>
          <w:rFonts w:cs="Calibri"/>
          <w:spacing w:val="-4"/>
          <w:sz w:val="17"/>
          <w:szCs w:val="17"/>
          <w:lang w:val="el-GR"/>
        </w:rPr>
        <w:t>,</w:t>
      </w:r>
      <w:r w:rsidRPr="00BB0857">
        <w:rPr>
          <w:rFonts w:cs="Calibri"/>
          <w:spacing w:val="-4"/>
          <w:sz w:val="17"/>
          <w:szCs w:val="17"/>
          <w:lang w:val="el-GR"/>
        </w:rPr>
        <w:t xml:space="preserve"> με </w:t>
      </w:r>
      <w:r w:rsidR="00514690" w:rsidRPr="00BB0857">
        <w:rPr>
          <w:rFonts w:cs="Calibri"/>
          <w:spacing w:val="-4"/>
          <w:sz w:val="17"/>
          <w:szCs w:val="17"/>
          <w:lang w:val="el-GR"/>
        </w:rPr>
        <w:t xml:space="preserve">υποβολή περίπου </w:t>
      </w:r>
      <w:r w:rsidRPr="00BB0857">
        <w:rPr>
          <w:rFonts w:cs="Calibri"/>
          <w:spacing w:val="-4"/>
          <w:sz w:val="17"/>
          <w:szCs w:val="17"/>
          <w:lang w:val="el-GR"/>
        </w:rPr>
        <w:t xml:space="preserve">1.000 </w:t>
      </w:r>
      <w:r w:rsidR="00514690" w:rsidRPr="00BB0857">
        <w:rPr>
          <w:rFonts w:cs="Calibri"/>
          <w:spacing w:val="-4"/>
          <w:sz w:val="17"/>
          <w:szCs w:val="17"/>
          <w:lang w:val="el-GR"/>
        </w:rPr>
        <w:t xml:space="preserve">αιτήσεων </w:t>
      </w:r>
      <w:r w:rsidRPr="00BB0857">
        <w:rPr>
          <w:rFonts w:cs="Calibri"/>
          <w:spacing w:val="-4"/>
          <w:sz w:val="17"/>
          <w:szCs w:val="17"/>
          <w:lang w:val="el-GR"/>
        </w:rPr>
        <w:t>μέχρι σήμερα</w:t>
      </w:r>
    </w:p>
    <w:p w:rsidR="00C12C6C" w:rsidRPr="00BB0857" w:rsidRDefault="00C12C6C" w:rsidP="007307C5">
      <w:pPr>
        <w:pStyle w:val="12"/>
        <w:numPr>
          <w:ilvl w:val="0"/>
          <w:numId w:val="15"/>
        </w:numPr>
        <w:suppressAutoHyphens w:val="0"/>
        <w:spacing w:line="264" w:lineRule="auto"/>
        <w:textAlignment w:val="auto"/>
        <w:rPr>
          <w:rFonts w:cs="Calibri"/>
          <w:sz w:val="17"/>
          <w:szCs w:val="17"/>
          <w:lang w:val="el-GR"/>
        </w:rPr>
      </w:pPr>
      <w:r w:rsidRPr="00BB0857">
        <w:rPr>
          <w:rFonts w:cs="Calibri"/>
          <w:sz w:val="17"/>
          <w:szCs w:val="17"/>
          <w:lang w:val="el-GR"/>
        </w:rPr>
        <w:t>Επαναλαμβανόμενα κέρδη προ προβλέψεων στα €732εκατ, +13% ετησίως</w:t>
      </w:r>
    </w:p>
    <w:p w:rsidR="00C12C6C" w:rsidRPr="00BB0857" w:rsidRDefault="00514690" w:rsidP="007307C5">
      <w:pPr>
        <w:pStyle w:val="12"/>
        <w:numPr>
          <w:ilvl w:val="0"/>
          <w:numId w:val="15"/>
        </w:numPr>
        <w:suppressAutoHyphens w:val="0"/>
        <w:spacing w:line="264" w:lineRule="auto"/>
        <w:textAlignment w:val="auto"/>
        <w:rPr>
          <w:sz w:val="17"/>
          <w:szCs w:val="17"/>
          <w:lang w:val="el-GR"/>
        </w:rPr>
      </w:pPr>
      <w:r w:rsidRPr="00BB0857">
        <w:rPr>
          <w:rStyle w:val="11"/>
          <w:rFonts w:cs="Calibri"/>
          <w:sz w:val="17"/>
          <w:szCs w:val="17"/>
          <w:lang w:val="el-GR"/>
        </w:rPr>
        <w:t xml:space="preserve">Σύνολο προβλέψεων </w:t>
      </w:r>
      <w:r w:rsidR="00C12C6C" w:rsidRPr="00BB0857">
        <w:rPr>
          <w:rStyle w:val="11"/>
          <w:rFonts w:cs="Calibri"/>
          <w:sz w:val="17"/>
          <w:szCs w:val="17"/>
          <w:lang w:val="el-GR"/>
        </w:rPr>
        <w:t xml:space="preserve">€845εκατ., </w:t>
      </w:r>
      <w:r w:rsidRPr="00BB0857">
        <w:rPr>
          <w:rStyle w:val="11"/>
          <w:rFonts w:cs="Calibri"/>
          <w:sz w:val="17"/>
          <w:szCs w:val="17"/>
          <w:lang w:val="el-GR"/>
        </w:rPr>
        <w:t>εκ των οποίων</w:t>
      </w:r>
      <w:r w:rsidR="00C12C6C" w:rsidRPr="00BB0857">
        <w:rPr>
          <w:rStyle w:val="11"/>
          <w:rFonts w:cs="Calibri"/>
          <w:sz w:val="17"/>
          <w:szCs w:val="17"/>
          <w:lang w:val="el-GR"/>
        </w:rPr>
        <w:t xml:space="preserve"> €362εκατ. </w:t>
      </w:r>
      <w:r w:rsidRPr="00BB0857">
        <w:rPr>
          <w:rStyle w:val="11"/>
          <w:rFonts w:cs="Calibri"/>
          <w:sz w:val="17"/>
          <w:szCs w:val="17"/>
          <w:lang w:val="el-GR"/>
        </w:rPr>
        <w:t xml:space="preserve">σχετίζονται </w:t>
      </w:r>
      <w:r w:rsidR="00C12C6C" w:rsidRPr="00BB0857">
        <w:rPr>
          <w:rStyle w:val="11"/>
          <w:rFonts w:cs="Calibri"/>
          <w:sz w:val="17"/>
          <w:szCs w:val="17"/>
          <w:lang w:val="el-GR"/>
        </w:rPr>
        <w:t xml:space="preserve">με τον </w:t>
      </w:r>
      <w:bookmarkStart w:id="0" w:name="_Hlk56939344"/>
      <w:r w:rsidR="00C12C6C" w:rsidRPr="00BB0857">
        <w:rPr>
          <w:rStyle w:val="11"/>
          <w:rFonts w:cs="Calibri"/>
          <w:sz w:val="17"/>
          <w:szCs w:val="17"/>
        </w:rPr>
        <w:t>Covid</w:t>
      </w:r>
      <w:r w:rsidR="00C12C6C" w:rsidRPr="00BB0857">
        <w:rPr>
          <w:rStyle w:val="11"/>
          <w:rFonts w:cs="Calibri"/>
          <w:sz w:val="17"/>
          <w:szCs w:val="17"/>
          <w:lang w:val="el-GR"/>
        </w:rPr>
        <w:t xml:space="preserve">-19 </w:t>
      </w:r>
      <w:bookmarkEnd w:id="0"/>
      <w:r w:rsidRPr="00BB0857">
        <w:rPr>
          <w:rStyle w:val="11"/>
          <w:rFonts w:cs="Calibri"/>
          <w:sz w:val="17"/>
          <w:szCs w:val="17"/>
          <w:lang w:val="el-GR"/>
        </w:rPr>
        <w:t>(</w:t>
      </w:r>
      <w:r w:rsidR="00C12C6C" w:rsidRPr="00BB0857">
        <w:rPr>
          <w:rStyle w:val="11"/>
          <w:rFonts w:cs="Calibri"/>
          <w:sz w:val="17"/>
          <w:szCs w:val="17"/>
          <w:lang w:val="el-GR"/>
        </w:rPr>
        <w:t xml:space="preserve">που </w:t>
      </w:r>
      <w:r w:rsidR="004422BC" w:rsidRPr="00BB0857">
        <w:rPr>
          <w:rStyle w:val="11"/>
          <w:rFonts w:cs="Calibri"/>
          <w:sz w:val="17"/>
          <w:szCs w:val="17"/>
          <w:lang w:val="el-GR"/>
        </w:rPr>
        <w:t xml:space="preserve">λογίστηκαν </w:t>
      </w:r>
      <w:r w:rsidR="00C12C6C" w:rsidRPr="00BB0857">
        <w:rPr>
          <w:rStyle w:val="11"/>
          <w:rFonts w:cs="Calibri"/>
          <w:sz w:val="17"/>
          <w:szCs w:val="17"/>
          <w:lang w:val="el-GR"/>
        </w:rPr>
        <w:t>κυρίως το 1</w:t>
      </w:r>
      <w:r w:rsidR="004422BC" w:rsidRPr="00BB0857">
        <w:rPr>
          <w:rStyle w:val="11"/>
          <w:rFonts w:cs="Calibri"/>
          <w:sz w:val="17"/>
          <w:szCs w:val="17"/>
          <w:lang w:val="el-GR"/>
        </w:rPr>
        <w:t>ο</w:t>
      </w:r>
      <w:r w:rsidR="00C12C6C" w:rsidRPr="00BB0857">
        <w:rPr>
          <w:rStyle w:val="11"/>
          <w:rFonts w:cs="Calibri"/>
          <w:sz w:val="17"/>
          <w:szCs w:val="17"/>
          <w:lang w:val="el-GR"/>
        </w:rPr>
        <w:t xml:space="preserve"> 3μηνο</w:t>
      </w:r>
      <w:r w:rsidRPr="00BB0857">
        <w:rPr>
          <w:rStyle w:val="11"/>
          <w:rFonts w:cs="Calibri"/>
          <w:sz w:val="17"/>
          <w:szCs w:val="17"/>
          <w:lang w:val="el-GR"/>
        </w:rPr>
        <w:t>)</w:t>
      </w:r>
    </w:p>
    <w:p w:rsidR="00C12C6C" w:rsidRPr="00043EB5" w:rsidRDefault="00514690" w:rsidP="007307C5">
      <w:pPr>
        <w:pStyle w:val="12"/>
        <w:numPr>
          <w:ilvl w:val="0"/>
          <w:numId w:val="15"/>
        </w:numPr>
        <w:suppressAutoHyphens w:val="0"/>
        <w:spacing w:line="264" w:lineRule="auto"/>
        <w:textAlignment w:val="auto"/>
        <w:rPr>
          <w:lang w:val="el-GR"/>
        </w:rPr>
      </w:pPr>
      <w:r w:rsidRPr="00BB0857">
        <w:rPr>
          <w:rStyle w:val="11"/>
          <w:rFonts w:cs="Calibri"/>
          <w:sz w:val="17"/>
          <w:szCs w:val="17"/>
          <w:lang w:val="el-GR"/>
        </w:rPr>
        <w:t>Κ</w:t>
      </w:r>
      <w:r w:rsidR="00C12C6C" w:rsidRPr="00BB0857">
        <w:rPr>
          <w:rStyle w:val="11"/>
          <w:rFonts w:cs="Calibri"/>
          <w:sz w:val="17"/>
          <w:szCs w:val="17"/>
          <w:lang w:val="el-GR"/>
        </w:rPr>
        <w:t>έρδη προ φόρων €229εκατ.</w:t>
      </w:r>
      <w:r w:rsidR="001C25E8" w:rsidRPr="00BB0857">
        <w:rPr>
          <w:rStyle w:val="11"/>
          <w:rFonts w:cs="Calibri"/>
          <w:sz w:val="17"/>
          <w:szCs w:val="17"/>
          <w:lang w:val="el-GR"/>
        </w:rPr>
        <w:t xml:space="preserve">, εξαιρουμένων των προβλέψεων για τονCovid-19 </w:t>
      </w:r>
      <w:r w:rsidR="00535899" w:rsidRPr="00BB0857">
        <w:rPr>
          <w:rStyle w:val="11"/>
          <w:rFonts w:cs="Calibri"/>
          <w:sz w:val="17"/>
          <w:szCs w:val="17"/>
          <w:lang w:val="el-GR"/>
        </w:rPr>
        <w:t>ζημίες</w:t>
      </w:r>
      <w:r w:rsidRPr="00BB0857">
        <w:rPr>
          <w:rStyle w:val="11"/>
          <w:rFonts w:cs="Calibri"/>
          <w:sz w:val="17"/>
          <w:szCs w:val="17"/>
          <w:lang w:val="el-GR"/>
        </w:rPr>
        <w:t>, ενώ εάν συμπεριληφθούν οι εν λόγω προβλέψεις, το αποτέλεσμα είναι ζημιογόνο κατά</w:t>
      </w:r>
      <w:r w:rsidR="00535899" w:rsidRPr="00BB0857">
        <w:rPr>
          <w:rStyle w:val="11"/>
          <w:rFonts w:cs="Calibri"/>
          <w:sz w:val="17"/>
          <w:szCs w:val="17"/>
          <w:lang w:val="el-GR"/>
        </w:rPr>
        <w:t xml:space="preserve"> €133εκατ.</w:t>
      </w:r>
    </w:p>
    <w:p w:rsidR="00B71428" w:rsidRPr="00CE17AF" w:rsidRDefault="00514690" w:rsidP="007307C5">
      <w:pPr>
        <w:spacing w:before="120" w:after="120" w:line="264" w:lineRule="auto"/>
        <w:rPr>
          <w:rFonts w:eastAsia="Times New Roman" w:cs="Calibri"/>
          <w:b/>
          <w:color w:val="6691AB"/>
        </w:rPr>
      </w:pPr>
      <w:r>
        <w:rPr>
          <w:rFonts w:eastAsia="Times New Roman" w:cs="Calibri"/>
          <w:b/>
          <w:color w:val="6691AB"/>
        </w:rPr>
        <w:t>Ισχυρό προφίλ</w:t>
      </w:r>
      <w:r w:rsidR="00CE17AF">
        <w:rPr>
          <w:rFonts w:eastAsia="Times New Roman" w:cs="Calibri"/>
          <w:b/>
          <w:color w:val="6691AB"/>
        </w:rPr>
        <w:t xml:space="preserve"> ρευστότητα</w:t>
      </w:r>
      <w:r w:rsidR="00236275">
        <w:rPr>
          <w:rFonts w:eastAsia="Times New Roman" w:cs="Calibri"/>
          <w:b/>
          <w:color w:val="6691AB"/>
        </w:rPr>
        <w:t xml:space="preserve">ς. </w:t>
      </w:r>
      <w:r w:rsidR="003C3F99">
        <w:rPr>
          <w:rFonts w:eastAsia="Times New Roman" w:cs="Calibri"/>
          <w:b/>
          <w:color w:val="6691AB"/>
        </w:rPr>
        <w:t>Πωλήσεις χ</w:t>
      </w:r>
      <w:r w:rsidR="00CE17AF" w:rsidRPr="00CE17AF">
        <w:rPr>
          <w:rFonts w:eastAsia="Times New Roman" w:cs="Calibri"/>
          <w:b/>
          <w:color w:val="6691AB"/>
        </w:rPr>
        <w:t>αρτοφυλακί</w:t>
      </w:r>
      <w:r>
        <w:rPr>
          <w:rFonts w:eastAsia="Times New Roman" w:cs="Calibri"/>
          <w:b/>
          <w:color w:val="6691AB"/>
        </w:rPr>
        <w:t>ων</w:t>
      </w:r>
      <w:r w:rsidR="00CE17AF" w:rsidRPr="00CE17AF">
        <w:rPr>
          <w:rFonts w:eastAsia="Times New Roman" w:cs="Calibri"/>
          <w:b/>
          <w:color w:val="6691AB"/>
        </w:rPr>
        <w:t xml:space="preserve"> ΜΕΑ</w:t>
      </w:r>
      <w:r w:rsidR="003C3F99">
        <w:rPr>
          <w:rFonts w:eastAsia="Times New Roman" w:cs="Calibri"/>
          <w:b/>
          <w:color w:val="6691AB"/>
        </w:rPr>
        <w:t xml:space="preserve"> σε πλήρη εξέλιξη</w:t>
      </w:r>
    </w:p>
    <w:p w:rsidR="000B7954" w:rsidRPr="00BB0857" w:rsidRDefault="000B7954" w:rsidP="00BB0857">
      <w:pPr>
        <w:pStyle w:val="10"/>
        <w:numPr>
          <w:ilvl w:val="0"/>
          <w:numId w:val="15"/>
        </w:numPr>
        <w:suppressAutoHyphens w:val="0"/>
        <w:spacing w:after="0" w:line="264" w:lineRule="auto"/>
        <w:ind w:left="576"/>
        <w:textAlignment w:val="auto"/>
        <w:rPr>
          <w:sz w:val="17"/>
          <w:szCs w:val="17"/>
        </w:rPr>
      </w:pPr>
      <w:r w:rsidRPr="00BB0857">
        <w:rPr>
          <w:rStyle w:val="11"/>
          <w:rFonts w:eastAsia="Times New Roman" w:cs="Calibri"/>
          <w:sz w:val="17"/>
          <w:szCs w:val="17"/>
        </w:rPr>
        <w:t xml:space="preserve">Περαιτέρω </w:t>
      </w:r>
      <w:r w:rsidR="00E73C10" w:rsidRPr="00BB0857">
        <w:rPr>
          <w:rStyle w:val="11"/>
          <w:rFonts w:eastAsia="Times New Roman" w:cs="Calibri"/>
          <w:sz w:val="17"/>
          <w:szCs w:val="17"/>
        </w:rPr>
        <w:t xml:space="preserve">αξιοποίηση </w:t>
      </w:r>
      <w:r w:rsidRPr="00BB0857">
        <w:rPr>
          <w:rStyle w:val="11"/>
          <w:rFonts w:eastAsia="Times New Roman" w:cs="Calibri"/>
          <w:sz w:val="17"/>
          <w:szCs w:val="17"/>
        </w:rPr>
        <w:t>των πηγών χρηματοδότησης της ΕΚΤ κατά €2δισ.</w:t>
      </w:r>
      <w:r w:rsidR="00E73C10" w:rsidRPr="00BB0857">
        <w:rPr>
          <w:rStyle w:val="11"/>
          <w:rFonts w:eastAsia="Times New Roman" w:cs="Calibri"/>
          <w:sz w:val="17"/>
          <w:szCs w:val="17"/>
        </w:rPr>
        <w:t>,</w:t>
      </w:r>
      <w:r w:rsidRPr="00BB0857">
        <w:rPr>
          <w:rStyle w:val="11"/>
          <w:rFonts w:eastAsia="Times New Roman" w:cs="Calibri"/>
          <w:sz w:val="17"/>
          <w:szCs w:val="17"/>
        </w:rPr>
        <w:t xml:space="preserve"> με </w:t>
      </w:r>
      <w:r w:rsidR="00E73C10" w:rsidRPr="00BB0857">
        <w:rPr>
          <w:rStyle w:val="11"/>
          <w:rFonts w:eastAsia="Times New Roman" w:cs="Calibri"/>
          <w:sz w:val="17"/>
          <w:szCs w:val="17"/>
        </w:rPr>
        <w:t>το υπόλοιπο της αναχρηματοδότησης</w:t>
      </w:r>
      <w:r w:rsidR="00E73C10" w:rsidRPr="00BB0857">
        <w:rPr>
          <w:rStyle w:val="11"/>
          <w:rFonts w:eastAsia="Times New Roman" w:cs="Calibri"/>
          <w:sz w:val="17"/>
          <w:szCs w:val="17"/>
          <w:lang w:val="en-US"/>
        </w:rPr>
        <w:t>TLTROIII</w:t>
      </w:r>
      <w:r w:rsidR="00E73C10" w:rsidRPr="00BB0857">
        <w:rPr>
          <w:rStyle w:val="11"/>
          <w:rFonts w:eastAsia="Times New Roman" w:cs="Calibri"/>
          <w:sz w:val="17"/>
          <w:szCs w:val="17"/>
        </w:rPr>
        <w:t xml:space="preserve"> ναανέρχεται σε </w:t>
      </w:r>
      <w:r w:rsidRPr="00BB0857">
        <w:rPr>
          <w:rStyle w:val="11"/>
          <w:rFonts w:eastAsia="Times New Roman" w:cs="Calibri"/>
          <w:sz w:val="17"/>
          <w:szCs w:val="17"/>
        </w:rPr>
        <w:t>€9δισ.</w:t>
      </w:r>
    </w:p>
    <w:p w:rsidR="000B7954" w:rsidRPr="00BB0857" w:rsidRDefault="000B7954" w:rsidP="00BB0857">
      <w:pPr>
        <w:pStyle w:val="10"/>
        <w:numPr>
          <w:ilvl w:val="0"/>
          <w:numId w:val="15"/>
        </w:numPr>
        <w:suppressAutoHyphens w:val="0"/>
        <w:spacing w:after="0" w:line="264" w:lineRule="auto"/>
        <w:ind w:left="576"/>
        <w:textAlignment w:val="auto"/>
        <w:rPr>
          <w:spacing w:val="-2"/>
          <w:sz w:val="17"/>
          <w:szCs w:val="17"/>
        </w:rPr>
      </w:pPr>
      <w:r w:rsidRPr="00BB0857">
        <w:rPr>
          <w:rStyle w:val="11"/>
          <w:rFonts w:eastAsia="Times New Roman" w:cs="Calibri"/>
          <w:spacing w:val="-2"/>
          <w:sz w:val="17"/>
          <w:szCs w:val="17"/>
        </w:rPr>
        <w:t>Δείκτης κάλυψης ρευστότητας (</w:t>
      </w:r>
      <w:r w:rsidRPr="00BB0857">
        <w:rPr>
          <w:rStyle w:val="11"/>
          <w:rFonts w:eastAsia="Times New Roman" w:cs="Calibri"/>
          <w:spacing w:val="-2"/>
          <w:sz w:val="17"/>
          <w:szCs w:val="17"/>
          <w:lang w:val="en-US"/>
        </w:rPr>
        <w:t>LCR</w:t>
      </w:r>
      <w:r w:rsidRPr="00BB0857">
        <w:rPr>
          <w:rStyle w:val="11"/>
          <w:rFonts w:eastAsia="Times New Roman" w:cs="Calibri"/>
          <w:spacing w:val="-2"/>
          <w:sz w:val="17"/>
          <w:szCs w:val="17"/>
        </w:rPr>
        <w:t>) 157%, δείκτης δανείων μετά από προβλέψεις προς καταθέσεις 81%</w:t>
      </w:r>
    </w:p>
    <w:p w:rsidR="000B7954" w:rsidRPr="00BB0857" w:rsidRDefault="000B7954" w:rsidP="00BB0857">
      <w:pPr>
        <w:pStyle w:val="10"/>
        <w:numPr>
          <w:ilvl w:val="0"/>
          <w:numId w:val="15"/>
        </w:numPr>
        <w:suppressAutoHyphens w:val="0"/>
        <w:spacing w:after="0" w:line="264" w:lineRule="auto"/>
        <w:ind w:left="576"/>
        <w:textAlignment w:val="auto"/>
        <w:rPr>
          <w:sz w:val="17"/>
          <w:szCs w:val="17"/>
        </w:rPr>
      </w:pPr>
      <w:r w:rsidRPr="00BB0857">
        <w:rPr>
          <w:rStyle w:val="11"/>
          <w:rFonts w:eastAsia="Times New Roman" w:cs="Calibri"/>
          <w:sz w:val="17"/>
          <w:szCs w:val="17"/>
        </w:rPr>
        <w:t>Περιορισμένες εισροές ΜΕΑ κατά το 3</w:t>
      </w:r>
      <w:r w:rsidR="005D50A1" w:rsidRPr="00BB0857">
        <w:rPr>
          <w:rStyle w:val="11"/>
          <w:rFonts w:eastAsia="Times New Roman" w:cs="Calibri"/>
          <w:sz w:val="17"/>
          <w:szCs w:val="17"/>
        </w:rPr>
        <w:t>ο</w:t>
      </w:r>
      <w:r w:rsidRPr="00BB0857">
        <w:rPr>
          <w:rStyle w:val="11"/>
          <w:rFonts w:eastAsia="Times New Roman" w:cs="Calibri"/>
          <w:sz w:val="17"/>
          <w:szCs w:val="17"/>
        </w:rPr>
        <w:t xml:space="preserve"> 3μηνο 2020</w:t>
      </w:r>
      <w:r w:rsidR="005D50A1" w:rsidRPr="00BB0857">
        <w:rPr>
          <w:rStyle w:val="11"/>
          <w:rFonts w:eastAsia="Times New Roman" w:cs="Calibri"/>
          <w:sz w:val="17"/>
          <w:szCs w:val="17"/>
        </w:rPr>
        <w:t xml:space="preserve"> ύψους €130εκατ.</w:t>
      </w:r>
    </w:p>
    <w:p w:rsidR="000B7954" w:rsidRPr="00BB0857" w:rsidRDefault="00E73C10" w:rsidP="00BB0857">
      <w:pPr>
        <w:pStyle w:val="10"/>
        <w:numPr>
          <w:ilvl w:val="0"/>
          <w:numId w:val="15"/>
        </w:numPr>
        <w:suppressAutoHyphens w:val="0"/>
        <w:spacing w:after="0" w:line="264" w:lineRule="auto"/>
        <w:ind w:left="576"/>
        <w:textAlignment w:val="auto"/>
        <w:rPr>
          <w:sz w:val="17"/>
          <w:szCs w:val="17"/>
        </w:rPr>
      </w:pPr>
      <w:r w:rsidRPr="00BB0857">
        <w:rPr>
          <w:rStyle w:val="11"/>
          <w:rFonts w:eastAsia="Times New Roman" w:cs="Calibri"/>
          <w:sz w:val="17"/>
          <w:szCs w:val="17"/>
        </w:rPr>
        <w:t>Σε προχωρημένο στάδιο υλοποίησης ο</w:t>
      </w:r>
      <w:r w:rsidR="000B7954" w:rsidRPr="00BB0857">
        <w:rPr>
          <w:rStyle w:val="11"/>
          <w:rFonts w:eastAsia="Times New Roman" w:cs="Calibri"/>
          <w:sz w:val="17"/>
          <w:szCs w:val="17"/>
        </w:rPr>
        <w:t>ι τιτλοποιήσεις</w:t>
      </w:r>
      <w:r w:rsidR="000B7954" w:rsidRPr="00BB0857">
        <w:rPr>
          <w:rStyle w:val="11"/>
          <w:rFonts w:eastAsia="Times New Roman" w:cs="Calibri"/>
          <w:sz w:val="17"/>
          <w:szCs w:val="17"/>
          <w:lang w:val="en-US"/>
        </w:rPr>
        <w:t>Phoenix</w:t>
      </w:r>
      <w:r w:rsidR="000B7954" w:rsidRPr="00BB0857">
        <w:rPr>
          <w:rStyle w:val="11"/>
          <w:rFonts w:eastAsia="Times New Roman" w:cs="Calibri"/>
          <w:sz w:val="17"/>
          <w:szCs w:val="17"/>
        </w:rPr>
        <w:t xml:space="preserve"> και </w:t>
      </w:r>
      <w:r w:rsidR="000B7954" w:rsidRPr="00BB0857">
        <w:rPr>
          <w:rStyle w:val="11"/>
          <w:rFonts w:eastAsia="Times New Roman" w:cs="Calibri"/>
          <w:sz w:val="17"/>
          <w:szCs w:val="17"/>
          <w:lang w:val="en-US"/>
        </w:rPr>
        <w:t>Vega</w:t>
      </w:r>
      <w:r w:rsidR="000B7954" w:rsidRPr="00BB0857">
        <w:rPr>
          <w:rStyle w:val="11"/>
          <w:rFonts w:eastAsia="Times New Roman" w:cs="Calibri"/>
          <w:sz w:val="17"/>
          <w:szCs w:val="17"/>
        </w:rPr>
        <w:t xml:space="preserve"> μέσω του</w:t>
      </w:r>
      <w:r w:rsidR="00EA0B15" w:rsidRPr="00BB0857">
        <w:rPr>
          <w:rStyle w:val="11"/>
          <w:rFonts w:eastAsia="Times New Roman" w:cs="Calibri"/>
          <w:sz w:val="17"/>
          <w:szCs w:val="17"/>
        </w:rPr>
        <w:t xml:space="preserve"> προγράμματος</w:t>
      </w:r>
      <w:r w:rsidR="000B7954" w:rsidRPr="00BB0857">
        <w:rPr>
          <w:rStyle w:val="11"/>
          <w:rFonts w:eastAsia="Times New Roman" w:cs="Calibri"/>
          <w:sz w:val="17"/>
          <w:szCs w:val="17"/>
        </w:rPr>
        <w:t xml:space="preserve"> «Ηρακλή» </w:t>
      </w:r>
      <w:r w:rsidR="00F44CF2" w:rsidRPr="00BB0857">
        <w:rPr>
          <w:rStyle w:val="11"/>
          <w:rFonts w:eastAsia="Times New Roman" w:cs="Calibri"/>
          <w:sz w:val="17"/>
          <w:szCs w:val="17"/>
        </w:rPr>
        <w:t xml:space="preserve">συνολικής αξίας </w:t>
      </w:r>
      <w:r w:rsidR="000B7954" w:rsidRPr="00BB0857">
        <w:rPr>
          <w:rStyle w:val="11"/>
          <w:rFonts w:eastAsia="Times New Roman" w:cs="Calibri"/>
          <w:sz w:val="17"/>
          <w:szCs w:val="17"/>
        </w:rPr>
        <w:t>€7δι</w:t>
      </w:r>
      <w:r w:rsidR="00F44CF2" w:rsidRPr="00BB0857">
        <w:rPr>
          <w:rStyle w:val="11"/>
          <w:rFonts w:eastAsia="Times New Roman" w:cs="Calibri"/>
          <w:sz w:val="17"/>
          <w:szCs w:val="17"/>
        </w:rPr>
        <w:t xml:space="preserve">σ.Η </w:t>
      </w:r>
      <w:r w:rsidR="000B7954" w:rsidRPr="00BB0857">
        <w:rPr>
          <w:rStyle w:val="11"/>
          <w:rFonts w:eastAsia="Times New Roman" w:cs="Calibri"/>
          <w:sz w:val="17"/>
          <w:szCs w:val="17"/>
        </w:rPr>
        <w:t>ολοκλήρωσ</w:t>
      </w:r>
      <w:r w:rsidR="00F44CF2" w:rsidRPr="00BB0857">
        <w:rPr>
          <w:rStyle w:val="11"/>
          <w:rFonts w:eastAsia="Times New Roman" w:cs="Calibri"/>
          <w:sz w:val="17"/>
          <w:szCs w:val="17"/>
        </w:rPr>
        <w:t xml:space="preserve">η των εν λόγω συναλλαγών αναμένεταιτο </w:t>
      </w:r>
      <w:r w:rsidR="000B7954" w:rsidRPr="00BB0857">
        <w:rPr>
          <w:rStyle w:val="11"/>
          <w:rFonts w:eastAsia="Times New Roman" w:cs="Calibri"/>
          <w:sz w:val="17"/>
          <w:szCs w:val="17"/>
        </w:rPr>
        <w:t>1</w:t>
      </w:r>
      <w:r w:rsidR="00F44CF2" w:rsidRPr="00BB0857">
        <w:rPr>
          <w:rStyle w:val="11"/>
          <w:rFonts w:eastAsia="Times New Roman" w:cs="Calibri"/>
          <w:sz w:val="17"/>
          <w:szCs w:val="17"/>
        </w:rPr>
        <w:t>ο</w:t>
      </w:r>
      <w:r w:rsidR="000B7954" w:rsidRPr="00BB0857">
        <w:rPr>
          <w:rStyle w:val="11"/>
          <w:rFonts w:eastAsia="Times New Roman" w:cs="Calibri"/>
          <w:sz w:val="17"/>
          <w:szCs w:val="17"/>
        </w:rPr>
        <w:t xml:space="preserve"> 3μηνο 2021</w:t>
      </w:r>
    </w:p>
    <w:p w:rsidR="00C96CCD" w:rsidRDefault="00236275" w:rsidP="007307C5">
      <w:pPr>
        <w:spacing w:before="120" w:after="120" w:line="264" w:lineRule="auto"/>
        <w:rPr>
          <w:rFonts w:eastAsia="Times New Roman" w:cs="Calibri"/>
          <w:b/>
          <w:color w:val="6691AB"/>
        </w:rPr>
      </w:pPr>
      <w:r>
        <w:rPr>
          <w:rFonts w:eastAsia="Times New Roman" w:cs="Calibri"/>
          <w:b/>
          <w:color w:val="6691AB"/>
        </w:rPr>
        <w:t>Ε</w:t>
      </w:r>
      <w:r w:rsidR="00E73C10">
        <w:rPr>
          <w:rFonts w:eastAsia="Times New Roman" w:cs="Calibri"/>
          <w:b/>
          <w:color w:val="6691AB"/>
        </w:rPr>
        <w:t xml:space="preserve">νισχυμένηεξέλιξη </w:t>
      </w:r>
      <w:r w:rsidR="00C96CCD">
        <w:rPr>
          <w:rFonts w:eastAsia="Times New Roman" w:cs="Calibri"/>
          <w:b/>
          <w:color w:val="6691AB"/>
        </w:rPr>
        <w:t>κεφαλαιακή</w:t>
      </w:r>
      <w:r w:rsidR="00E73C10">
        <w:rPr>
          <w:rFonts w:eastAsia="Times New Roman" w:cs="Calibri"/>
          <w:b/>
          <w:color w:val="6691AB"/>
        </w:rPr>
        <w:t>ς</w:t>
      </w:r>
      <w:r>
        <w:rPr>
          <w:rFonts w:eastAsia="Times New Roman" w:cs="Calibri"/>
          <w:b/>
          <w:color w:val="6691AB"/>
        </w:rPr>
        <w:t xml:space="preserve">θέσης που </w:t>
      </w:r>
      <w:r w:rsidR="00E27B80">
        <w:rPr>
          <w:rFonts w:eastAsia="Times New Roman" w:cs="Calibri"/>
          <w:b/>
          <w:color w:val="6691AB"/>
        </w:rPr>
        <w:t>επιταχύνει</w:t>
      </w:r>
      <w:r w:rsidR="00C96CCD">
        <w:rPr>
          <w:rFonts w:eastAsia="Times New Roman" w:cs="Calibri"/>
          <w:b/>
          <w:color w:val="6691AB"/>
        </w:rPr>
        <w:t xml:space="preserve"> τη στρατηγική μείωσης ΜΕΑ</w:t>
      </w:r>
    </w:p>
    <w:p w:rsidR="00C96CCD" w:rsidRPr="00BB0857" w:rsidRDefault="00C96CCD" w:rsidP="00BB0857">
      <w:pPr>
        <w:pStyle w:val="a6"/>
        <w:numPr>
          <w:ilvl w:val="0"/>
          <w:numId w:val="15"/>
        </w:numPr>
        <w:spacing w:line="264" w:lineRule="auto"/>
        <w:ind w:left="576"/>
        <w:contextualSpacing w:val="0"/>
        <w:rPr>
          <w:rFonts w:cs="Calibri"/>
          <w:sz w:val="17"/>
          <w:szCs w:val="17"/>
          <w:lang w:val="el-GR"/>
        </w:rPr>
      </w:pPr>
      <w:r w:rsidRPr="00BB0857">
        <w:rPr>
          <w:rFonts w:cs="Calibri"/>
          <w:sz w:val="17"/>
          <w:szCs w:val="17"/>
          <w:lang w:val="el-GR"/>
        </w:rPr>
        <w:t>Δείκτης συνολικής κεφαλαιακής επάρκειας 16,1% και δείκτης CET1 14,1% στο τέλος Σεπ.20</w:t>
      </w:r>
    </w:p>
    <w:p w:rsidR="000D341E" w:rsidRPr="00BB0857" w:rsidRDefault="000D341E" w:rsidP="00BB0857">
      <w:pPr>
        <w:pStyle w:val="a6"/>
        <w:numPr>
          <w:ilvl w:val="0"/>
          <w:numId w:val="15"/>
        </w:numPr>
        <w:spacing w:line="264" w:lineRule="auto"/>
        <w:ind w:left="576"/>
        <w:contextualSpacing w:val="0"/>
        <w:rPr>
          <w:rFonts w:cs="Calibri"/>
          <w:sz w:val="17"/>
          <w:szCs w:val="17"/>
          <w:lang w:val="el-GR"/>
        </w:rPr>
      </w:pPr>
      <w:r w:rsidRPr="00BB0857">
        <w:rPr>
          <w:rFonts w:cs="Calibri"/>
          <w:sz w:val="17"/>
          <w:szCs w:val="17"/>
          <w:lang w:val="el-GR"/>
        </w:rPr>
        <w:t xml:space="preserve">Η </w:t>
      </w:r>
      <w:r w:rsidR="00DC2EC9" w:rsidRPr="00BB0857">
        <w:rPr>
          <w:rFonts w:cs="Calibri"/>
          <w:sz w:val="17"/>
          <w:szCs w:val="17"/>
          <w:lang w:val="el-GR"/>
        </w:rPr>
        <w:t xml:space="preserve">μη παροχή έγκρισης πληρωμής </w:t>
      </w:r>
      <w:r w:rsidRPr="00BB0857">
        <w:rPr>
          <w:rFonts w:cs="Calibri"/>
          <w:sz w:val="17"/>
          <w:szCs w:val="17"/>
          <w:lang w:val="el-GR"/>
        </w:rPr>
        <w:t xml:space="preserve">του </w:t>
      </w:r>
      <w:r w:rsidR="00DC2EC9" w:rsidRPr="00BB0857">
        <w:rPr>
          <w:rFonts w:cs="Calibri"/>
          <w:sz w:val="17"/>
          <w:szCs w:val="17"/>
          <w:lang w:val="el-GR"/>
        </w:rPr>
        <w:t xml:space="preserve">ετήσιου </w:t>
      </w:r>
      <w:r w:rsidRPr="00BB0857">
        <w:rPr>
          <w:rFonts w:cs="Calibri"/>
          <w:sz w:val="17"/>
          <w:szCs w:val="17"/>
          <w:lang w:val="el-GR"/>
        </w:rPr>
        <w:t>τοκομεριδίου τ</w:t>
      </w:r>
      <w:r w:rsidR="00AE421F" w:rsidRPr="00BB0857">
        <w:rPr>
          <w:rFonts w:cs="Calibri"/>
          <w:sz w:val="17"/>
          <w:szCs w:val="17"/>
          <w:lang w:val="el-GR"/>
        </w:rPr>
        <w:t>ου</w:t>
      </w:r>
      <w:r w:rsidRPr="00BB0857">
        <w:rPr>
          <w:rFonts w:cs="Calibri"/>
          <w:sz w:val="17"/>
          <w:szCs w:val="17"/>
        </w:rPr>
        <w:t>CoCo</w:t>
      </w:r>
      <w:r w:rsidRPr="00BB0857">
        <w:rPr>
          <w:rFonts w:cs="Calibri"/>
          <w:sz w:val="17"/>
          <w:szCs w:val="17"/>
          <w:lang w:val="el-GR"/>
        </w:rPr>
        <w:t xml:space="preserve"> σε μετρητά </w:t>
      </w:r>
      <w:r w:rsidR="00DC2EC9" w:rsidRPr="00BB0857">
        <w:rPr>
          <w:rFonts w:cs="Calibri"/>
          <w:sz w:val="17"/>
          <w:szCs w:val="17"/>
          <w:lang w:val="el-GR"/>
        </w:rPr>
        <w:t xml:space="preserve">από </w:t>
      </w:r>
      <w:r w:rsidR="00B97428" w:rsidRPr="00BB0857">
        <w:rPr>
          <w:rFonts w:cs="Calibri"/>
          <w:sz w:val="17"/>
          <w:szCs w:val="17"/>
          <w:lang w:val="el-GR"/>
        </w:rPr>
        <w:t>την ΕΚΤ</w:t>
      </w:r>
      <w:r w:rsidRPr="00BB0857">
        <w:rPr>
          <w:rFonts w:cs="Calibri"/>
          <w:sz w:val="17"/>
          <w:szCs w:val="17"/>
          <w:lang w:val="el-GR"/>
        </w:rPr>
        <w:t xml:space="preserve">και στη συνέχεια η </w:t>
      </w:r>
      <w:r w:rsidR="00B97428" w:rsidRPr="00BB0857">
        <w:rPr>
          <w:rFonts w:cs="Calibri"/>
          <w:sz w:val="17"/>
          <w:szCs w:val="17"/>
          <w:lang w:val="el-GR"/>
        </w:rPr>
        <w:t xml:space="preserve">απόφαση του </w:t>
      </w:r>
      <w:r w:rsidRPr="00BB0857">
        <w:rPr>
          <w:rFonts w:cs="Calibri"/>
          <w:sz w:val="17"/>
          <w:szCs w:val="17"/>
          <w:lang w:val="el-GR"/>
        </w:rPr>
        <w:t>ΔΣ</w:t>
      </w:r>
      <w:r w:rsidR="00B97428" w:rsidRPr="00BB0857">
        <w:rPr>
          <w:rFonts w:cs="Calibri"/>
          <w:sz w:val="17"/>
          <w:szCs w:val="17"/>
          <w:lang w:val="el-GR"/>
        </w:rPr>
        <w:t xml:space="preserve"> να ακυρώσει την πληρωμή του τοκομεριδίου</w:t>
      </w:r>
      <w:r w:rsidRPr="00BB0857">
        <w:rPr>
          <w:rFonts w:cs="Calibri"/>
          <w:sz w:val="17"/>
          <w:szCs w:val="17"/>
          <w:lang w:val="el-GR"/>
        </w:rPr>
        <w:t xml:space="preserve">, </w:t>
      </w:r>
      <w:r w:rsidR="00B97428" w:rsidRPr="00BB0857">
        <w:rPr>
          <w:rFonts w:cs="Calibri"/>
          <w:sz w:val="17"/>
          <w:szCs w:val="17"/>
          <w:lang w:val="el-GR"/>
        </w:rPr>
        <w:t>οδηγεί</w:t>
      </w:r>
      <w:r w:rsidRPr="00BB0857">
        <w:rPr>
          <w:rFonts w:cs="Calibri"/>
          <w:sz w:val="17"/>
          <w:szCs w:val="17"/>
          <w:lang w:val="el-GR"/>
        </w:rPr>
        <w:t xml:space="preserve">στη μετατροπή </w:t>
      </w:r>
      <w:r w:rsidR="006D2B35" w:rsidRPr="00BB0857">
        <w:rPr>
          <w:rFonts w:cs="Calibri"/>
          <w:sz w:val="17"/>
          <w:szCs w:val="17"/>
          <w:lang w:val="el-GR"/>
        </w:rPr>
        <w:t>του</w:t>
      </w:r>
      <w:r w:rsidRPr="00BB0857">
        <w:rPr>
          <w:rFonts w:cs="Calibri"/>
          <w:sz w:val="17"/>
          <w:szCs w:val="17"/>
        </w:rPr>
        <w:t>CoCo</w:t>
      </w:r>
      <w:r w:rsidRPr="00BB0857">
        <w:rPr>
          <w:rFonts w:cs="Calibri"/>
          <w:sz w:val="17"/>
          <w:szCs w:val="17"/>
          <w:lang w:val="el-GR"/>
        </w:rPr>
        <w:t xml:space="preserve"> σε κοινές μετοχές</w:t>
      </w:r>
      <w:r w:rsidR="00B97428" w:rsidRPr="00BB0857">
        <w:rPr>
          <w:rFonts w:cs="Calibri"/>
          <w:sz w:val="17"/>
          <w:szCs w:val="17"/>
          <w:lang w:val="el-GR"/>
        </w:rPr>
        <w:t xml:space="preserve"> της Τράπεζας</w:t>
      </w:r>
    </w:p>
    <w:p w:rsidR="000D341E" w:rsidRPr="00BB0857" w:rsidRDefault="000D341E" w:rsidP="00BB0857">
      <w:pPr>
        <w:pStyle w:val="a6"/>
        <w:numPr>
          <w:ilvl w:val="0"/>
          <w:numId w:val="15"/>
        </w:numPr>
        <w:spacing w:line="264" w:lineRule="auto"/>
        <w:ind w:left="576"/>
        <w:contextualSpacing w:val="0"/>
        <w:rPr>
          <w:rFonts w:cs="Calibri"/>
          <w:sz w:val="17"/>
          <w:szCs w:val="17"/>
          <w:lang w:val="el-GR"/>
        </w:rPr>
      </w:pPr>
      <w:r w:rsidRPr="00BB0857">
        <w:rPr>
          <w:rFonts w:cs="Calibri"/>
          <w:sz w:val="17"/>
          <w:szCs w:val="17"/>
          <w:lang w:val="el-GR"/>
        </w:rPr>
        <w:t>Η εξοικονόμηση ποσού €495εκατ. ή 120μβ σ</w:t>
      </w:r>
      <w:r w:rsidR="002D6E28">
        <w:rPr>
          <w:rFonts w:cs="Calibri"/>
          <w:sz w:val="17"/>
          <w:szCs w:val="17"/>
          <w:lang w:val="el-GR"/>
        </w:rPr>
        <w:t xml:space="preserve">ωρευτικά </w:t>
      </w:r>
      <w:r w:rsidRPr="00BB0857">
        <w:rPr>
          <w:rFonts w:cs="Calibri"/>
          <w:sz w:val="17"/>
          <w:szCs w:val="17"/>
          <w:lang w:val="el-GR"/>
        </w:rPr>
        <w:t>μέχρι το 2022</w:t>
      </w:r>
      <w:r w:rsidR="00D50F3A" w:rsidRPr="00BB0857">
        <w:rPr>
          <w:rFonts w:cs="Calibri"/>
          <w:sz w:val="17"/>
          <w:szCs w:val="17"/>
          <w:lang w:val="el-GR"/>
        </w:rPr>
        <w:t>,</w:t>
      </w:r>
      <w:r w:rsidRPr="00BB0857">
        <w:rPr>
          <w:rFonts w:cs="Calibri"/>
          <w:sz w:val="17"/>
          <w:szCs w:val="17"/>
          <w:lang w:val="el-GR"/>
        </w:rPr>
        <w:t xml:space="preserve"> λόγω της μη πληρωμής των τοκομεριδίων, </w:t>
      </w:r>
      <w:r w:rsidR="006935B3">
        <w:rPr>
          <w:rFonts w:cs="Calibri"/>
          <w:sz w:val="17"/>
          <w:szCs w:val="17"/>
          <w:lang w:val="el-GR"/>
        </w:rPr>
        <w:t xml:space="preserve">ενισχύει </w:t>
      </w:r>
      <w:r w:rsidRPr="00BB0857">
        <w:rPr>
          <w:rFonts w:cs="Calibri"/>
          <w:sz w:val="17"/>
          <w:szCs w:val="17"/>
          <w:lang w:val="el-GR"/>
        </w:rPr>
        <w:t xml:space="preserve">περαιτέρω τα εποπτικά κεφάλαια της </w:t>
      </w:r>
      <w:r w:rsidR="00D50F3A" w:rsidRPr="00BB0857">
        <w:rPr>
          <w:rFonts w:cs="Calibri"/>
          <w:sz w:val="17"/>
          <w:szCs w:val="17"/>
          <w:lang w:val="el-GR"/>
        </w:rPr>
        <w:t xml:space="preserve">Τράπεζας </w:t>
      </w:r>
      <w:r w:rsidRPr="00BB0857">
        <w:rPr>
          <w:rFonts w:cs="Calibri"/>
          <w:sz w:val="17"/>
          <w:szCs w:val="17"/>
          <w:lang w:val="el-GR"/>
        </w:rPr>
        <w:t>Πειραιώς και θα τροφοδοτήσει την επιτάχυνση του σχεδίου μείωσης των ΜΕΑ</w:t>
      </w:r>
    </w:p>
    <w:p w:rsidR="000D341E" w:rsidRPr="00BB0857" w:rsidRDefault="00B97428" w:rsidP="00BB0857">
      <w:pPr>
        <w:pStyle w:val="a6"/>
        <w:numPr>
          <w:ilvl w:val="0"/>
          <w:numId w:val="15"/>
        </w:numPr>
        <w:spacing w:line="264" w:lineRule="auto"/>
        <w:ind w:left="576"/>
        <w:contextualSpacing w:val="0"/>
        <w:rPr>
          <w:rFonts w:cs="Calibri"/>
          <w:sz w:val="17"/>
          <w:szCs w:val="17"/>
          <w:lang w:val="el-GR"/>
        </w:rPr>
      </w:pPr>
      <w:r w:rsidRPr="00BB0857">
        <w:rPr>
          <w:rFonts w:cs="Calibri"/>
          <w:sz w:val="17"/>
          <w:szCs w:val="17"/>
          <w:lang w:val="el-GR"/>
        </w:rPr>
        <w:t>Σε εξέλιξη ε</w:t>
      </w:r>
      <w:r w:rsidR="000D341E" w:rsidRPr="00BB0857">
        <w:rPr>
          <w:rFonts w:cs="Calibri"/>
          <w:sz w:val="17"/>
          <w:szCs w:val="17"/>
          <w:lang w:val="el-GR"/>
        </w:rPr>
        <w:t xml:space="preserve">νέργειες </w:t>
      </w:r>
      <w:r w:rsidRPr="00BB0857">
        <w:rPr>
          <w:rFonts w:cs="Calibri"/>
          <w:sz w:val="17"/>
          <w:szCs w:val="17"/>
          <w:lang w:val="el-GR"/>
        </w:rPr>
        <w:t xml:space="preserve">κεφαλαιακής ενίσχυσης </w:t>
      </w:r>
      <w:r w:rsidR="000D341E" w:rsidRPr="00BB0857">
        <w:rPr>
          <w:rFonts w:cs="Calibri"/>
          <w:sz w:val="17"/>
          <w:szCs w:val="17"/>
          <w:lang w:val="el-GR"/>
        </w:rPr>
        <w:t>περίπου €1δισ. μέχρι το τέλ</w:t>
      </w:r>
      <w:r w:rsidRPr="00BB0857">
        <w:rPr>
          <w:rFonts w:cs="Calibri"/>
          <w:sz w:val="17"/>
          <w:szCs w:val="17"/>
          <w:lang w:val="el-GR"/>
        </w:rPr>
        <w:t xml:space="preserve">ος του 2021, συμπεριλαμβανομένωνκαι </w:t>
      </w:r>
      <w:r w:rsidR="000D341E" w:rsidRPr="00BB0857">
        <w:rPr>
          <w:rFonts w:cs="Calibri"/>
          <w:sz w:val="17"/>
          <w:szCs w:val="17"/>
          <w:lang w:val="el-GR"/>
        </w:rPr>
        <w:t xml:space="preserve">€165εκατ. ετησίως </w:t>
      </w:r>
      <w:r w:rsidRPr="00BB0857">
        <w:rPr>
          <w:rFonts w:cs="Calibri"/>
          <w:sz w:val="17"/>
          <w:szCs w:val="17"/>
          <w:lang w:val="el-GR"/>
        </w:rPr>
        <w:t xml:space="preserve">από τα </w:t>
      </w:r>
      <w:r w:rsidR="000D341E" w:rsidRPr="00BB0857">
        <w:rPr>
          <w:rFonts w:cs="Calibri"/>
          <w:sz w:val="17"/>
          <w:szCs w:val="17"/>
          <w:lang w:val="el-GR"/>
        </w:rPr>
        <w:t>τοκομερ</w:t>
      </w:r>
      <w:r w:rsidRPr="00BB0857">
        <w:rPr>
          <w:rFonts w:cs="Calibri"/>
          <w:sz w:val="17"/>
          <w:szCs w:val="17"/>
          <w:lang w:val="el-GR"/>
        </w:rPr>
        <w:t>ί</w:t>
      </w:r>
      <w:r w:rsidR="000D341E" w:rsidRPr="00BB0857">
        <w:rPr>
          <w:rFonts w:cs="Calibri"/>
          <w:sz w:val="17"/>
          <w:szCs w:val="17"/>
          <w:lang w:val="el-GR"/>
        </w:rPr>
        <w:t>δ</w:t>
      </w:r>
      <w:r w:rsidRPr="00BB0857">
        <w:rPr>
          <w:rFonts w:cs="Calibri"/>
          <w:sz w:val="17"/>
          <w:szCs w:val="17"/>
          <w:lang w:val="el-GR"/>
        </w:rPr>
        <w:t>ια</w:t>
      </w:r>
      <w:r w:rsidR="00AE421F" w:rsidRPr="00BB0857">
        <w:rPr>
          <w:rFonts w:cs="Calibri"/>
          <w:sz w:val="17"/>
          <w:szCs w:val="17"/>
          <w:lang w:val="el-GR"/>
        </w:rPr>
        <w:t xml:space="preserve">του </w:t>
      </w:r>
      <w:r w:rsidR="000D341E" w:rsidRPr="00BB0857">
        <w:rPr>
          <w:rFonts w:cs="Calibri"/>
          <w:sz w:val="17"/>
          <w:szCs w:val="17"/>
        </w:rPr>
        <w:t>CoCo</w:t>
      </w:r>
    </w:p>
    <w:p w:rsidR="003C3F99" w:rsidRDefault="003C3F99" w:rsidP="00434CCC">
      <w:pPr>
        <w:ind w:left="-284"/>
        <w:rPr>
          <w:rFonts w:eastAsia="Times New Roman" w:cs="Calibri"/>
          <w:b/>
          <w:color w:val="3A73AE" w:themeColor="accent1"/>
          <w:sz w:val="28"/>
          <w:szCs w:val="28"/>
        </w:rPr>
      </w:pPr>
    </w:p>
    <w:p w:rsidR="00236275" w:rsidRDefault="00236275">
      <w:pPr>
        <w:rPr>
          <w:rFonts w:eastAsia="Times New Roman" w:cs="Calibri"/>
          <w:b/>
          <w:color w:val="3A73AE" w:themeColor="accent1"/>
          <w:sz w:val="28"/>
          <w:szCs w:val="28"/>
        </w:rPr>
      </w:pPr>
      <w:r>
        <w:rPr>
          <w:rFonts w:eastAsia="Times New Roman" w:cs="Calibri"/>
          <w:b/>
          <w:color w:val="3A73AE" w:themeColor="accent1"/>
          <w:sz w:val="28"/>
          <w:szCs w:val="28"/>
        </w:rPr>
        <w:br w:type="page"/>
      </w:r>
    </w:p>
    <w:p w:rsidR="00CF7901" w:rsidRPr="00BE70B8" w:rsidRDefault="00BC7F73" w:rsidP="00434CCC">
      <w:pPr>
        <w:ind w:left="-284"/>
        <w:rPr>
          <w:rFonts w:eastAsia="Times New Roman" w:cs="Calibri"/>
          <w:b/>
          <w:color w:val="FF0000"/>
          <w:sz w:val="28"/>
          <w:szCs w:val="28"/>
        </w:rPr>
      </w:pPr>
      <w:r w:rsidRPr="00BE70B8">
        <w:rPr>
          <w:rFonts w:eastAsia="Times New Roman" w:cs="Calibri"/>
          <w:b/>
          <w:color w:val="3A73AE" w:themeColor="accent1"/>
          <w:sz w:val="28"/>
          <w:szCs w:val="28"/>
        </w:rPr>
        <w:lastRenderedPageBreak/>
        <w:t>Δήλωση Διοίκησης</w:t>
      </w:r>
    </w:p>
    <w:p w:rsidR="00B413BA" w:rsidRPr="00BE70B8" w:rsidRDefault="00FE02A1" w:rsidP="008609A9">
      <w:pPr>
        <w:spacing w:after="120" w:line="260" w:lineRule="exact"/>
        <w:jc w:val="both"/>
        <w:rPr>
          <w:rFonts w:ascii="Calibri" w:hAnsi="Calibri" w:cs="Calibri"/>
          <w:i/>
          <w:color w:val="FF0000"/>
          <w:sz w:val="18"/>
          <w:szCs w:val="18"/>
        </w:rPr>
      </w:pPr>
      <w:r w:rsidRPr="00FE02A1">
        <w:rPr>
          <w:rFonts w:eastAsia="Times New Roman" w:cs="Calibri"/>
          <w:b/>
          <w:noProof/>
          <w:color w:val="FF0000"/>
          <w:sz w:val="28"/>
          <w:szCs w:val="28"/>
          <w:lang w:eastAsia="el-GR"/>
        </w:rPr>
        <w:pict>
          <v:rect id="_x0000_s1028" style="position:absolute;left:0;text-align:left;margin-left:0;margin-top:13.35pt;width:567.45pt;height:626pt;z-index:-2515865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" fillcolor="#e6e6e1" stroked="f">
            <o:lock v:ext="edit" aspectratio="t"/>
            <v:textbox>
              <w:txbxContent>
                <w:p w:rsidR="004C55D3" w:rsidRDefault="004C55D3" w:rsidP="00C462AC"/>
              </w:txbxContent>
            </v:textbox>
            <w10:wrap anchorx="page"/>
          </v:rect>
        </w:pict>
      </w:r>
    </w:p>
    <w:p w:rsidR="00322697" w:rsidRPr="006D2208" w:rsidRDefault="00322697" w:rsidP="00322697">
      <w:pPr>
        <w:spacing w:after="160" w:line="240" w:lineRule="exact"/>
        <w:ind w:left="-284"/>
        <w:jc w:val="both"/>
        <w:rPr>
          <w:i/>
          <w:iCs/>
          <w:sz w:val="18"/>
          <w:szCs w:val="18"/>
        </w:rPr>
      </w:pPr>
      <w:r w:rsidRPr="006D2208">
        <w:rPr>
          <w:i/>
          <w:iCs/>
          <w:sz w:val="18"/>
          <w:szCs w:val="18"/>
        </w:rPr>
        <w:t xml:space="preserve">«Στο τρίτο τρίμηνο του </w:t>
      </w:r>
      <w:r w:rsidRPr="00B35F58">
        <w:rPr>
          <w:i/>
          <w:iCs/>
          <w:sz w:val="18"/>
          <w:szCs w:val="18"/>
        </w:rPr>
        <w:t>2020</w:t>
      </w:r>
      <w:r w:rsidRPr="006D2208">
        <w:rPr>
          <w:i/>
          <w:iCs/>
          <w:sz w:val="18"/>
          <w:szCs w:val="18"/>
        </w:rPr>
        <w:t xml:space="preserve">, η ελληνική οικονομία </w:t>
      </w:r>
      <w:r>
        <w:rPr>
          <w:i/>
          <w:iCs/>
          <w:sz w:val="18"/>
          <w:szCs w:val="18"/>
        </w:rPr>
        <w:t xml:space="preserve">ξεκίνησε </w:t>
      </w:r>
      <w:r w:rsidRPr="006D2208">
        <w:rPr>
          <w:i/>
          <w:iCs/>
          <w:sz w:val="18"/>
          <w:szCs w:val="18"/>
        </w:rPr>
        <w:t xml:space="preserve">να </w:t>
      </w:r>
      <w:r>
        <w:rPr>
          <w:i/>
          <w:iCs/>
          <w:sz w:val="18"/>
          <w:szCs w:val="18"/>
        </w:rPr>
        <w:t>βρίσκει τους ρυθμούς της</w:t>
      </w:r>
      <w:r w:rsidRPr="00BF77B6">
        <w:rPr>
          <w:i/>
          <w:iCs/>
          <w:sz w:val="18"/>
          <w:szCs w:val="18"/>
        </w:rPr>
        <w:t>,</w:t>
      </w:r>
      <w:r w:rsidRPr="006D2208">
        <w:rPr>
          <w:i/>
          <w:iCs/>
          <w:sz w:val="18"/>
          <w:szCs w:val="18"/>
        </w:rPr>
        <w:t xml:space="preserve"> με επανεκκίνηση των περισσότερων τομέων </w:t>
      </w:r>
      <w:r>
        <w:rPr>
          <w:i/>
          <w:iCs/>
          <w:sz w:val="18"/>
          <w:szCs w:val="18"/>
        </w:rPr>
        <w:t xml:space="preserve">δραστηριότητας μετά το </w:t>
      </w:r>
      <w:r>
        <w:rPr>
          <w:i/>
          <w:iCs/>
          <w:sz w:val="18"/>
          <w:szCs w:val="18"/>
          <w:lang w:val="en-US"/>
        </w:rPr>
        <w:t>lockdown</w:t>
      </w:r>
      <w:r>
        <w:rPr>
          <w:i/>
          <w:iCs/>
          <w:sz w:val="18"/>
          <w:szCs w:val="18"/>
        </w:rPr>
        <w:t>,ενώ ταυτόχρονα</w:t>
      </w:r>
      <w:r w:rsidRPr="006D2208">
        <w:rPr>
          <w:i/>
          <w:iCs/>
          <w:sz w:val="18"/>
          <w:szCs w:val="18"/>
        </w:rPr>
        <w:t xml:space="preserve"> η πίεση</w:t>
      </w:r>
      <w:r>
        <w:rPr>
          <w:i/>
          <w:iCs/>
          <w:sz w:val="18"/>
          <w:szCs w:val="18"/>
        </w:rPr>
        <w:t>της πανδημίας</w:t>
      </w:r>
      <w:r w:rsidRPr="006D2208">
        <w:rPr>
          <w:i/>
          <w:iCs/>
          <w:sz w:val="18"/>
          <w:szCs w:val="18"/>
        </w:rPr>
        <w:t xml:space="preserve"> στο </w:t>
      </w:r>
      <w:r>
        <w:rPr>
          <w:i/>
          <w:iCs/>
          <w:sz w:val="18"/>
          <w:szCs w:val="18"/>
        </w:rPr>
        <w:t xml:space="preserve">εθνικό </w:t>
      </w:r>
      <w:r w:rsidRPr="006D2208">
        <w:rPr>
          <w:i/>
          <w:iCs/>
          <w:sz w:val="18"/>
          <w:szCs w:val="18"/>
        </w:rPr>
        <w:t>σύστημα υγείας υποχωρ</w:t>
      </w:r>
      <w:r>
        <w:rPr>
          <w:i/>
          <w:iCs/>
          <w:sz w:val="18"/>
          <w:szCs w:val="18"/>
        </w:rPr>
        <w:t>ούσε</w:t>
      </w:r>
      <w:r w:rsidRPr="006D2208">
        <w:rPr>
          <w:i/>
          <w:iCs/>
          <w:sz w:val="18"/>
          <w:szCs w:val="18"/>
        </w:rPr>
        <w:t xml:space="preserve"> σταδιακά. </w:t>
      </w:r>
      <w:r>
        <w:rPr>
          <w:i/>
          <w:iCs/>
          <w:sz w:val="18"/>
          <w:szCs w:val="18"/>
        </w:rPr>
        <w:t xml:space="preserve">Ο </w:t>
      </w:r>
      <w:r w:rsidRPr="006D2208">
        <w:rPr>
          <w:i/>
          <w:iCs/>
          <w:sz w:val="18"/>
          <w:szCs w:val="18"/>
        </w:rPr>
        <w:t>Α</w:t>
      </w:r>
      <w:r>
        <w:rPr>
          <w:i/>
          <w:iCs/>
          <w:sz w:val="18"/>
          <w:szCs w:val="18"/>
        </w:rPr>
        <w:t>ύ</w:t>
      </w:r>
      <w:r w:rsidRPr="006D2208">
        <w:rPr>
          <w:i/>
          <w:iCs/>
          <w:sz w:val="18"/>
          <w:szCs w:val="18"/>
        </w:rPr>
        <w:t>γο</w:t>
      </w:r>
      <w:r>
        <w:rPr>
          <w:i/>
          <w:iCs/>
          <w:sz w:val="18"/>
          <w:szCs w:val="18"/>
        </w:rPr>
        <w:t>υ</w:t>
      </w:r>
      <w:r w:rsidRPr="006D2208">
        <w:rPr>
          <w:i/>
          <w:iCs/>
          <w:sz w:val="18"/>
          <w:szCs w:val="18"/>
        </w:rPr>
        <w:t>στο</w:t>
      </w:r>
      <w:r>
        <w:rPr>
          <w:i/>
          <w:iCs/>
          <w:sz w:val="18"/>
          <w:szCs w:val="18"/>
        </w:rPr>
        <w:t>ς</w:t>
      </w:r>
      <w:r w:rsidRPr="006D2208">
        <w:rPr>
          <w:i/>
          <w:iCs/>
          <w:sz w:val="18"/>
          <w:szCs w:val="18"/>
        </w:rPr>
        <w:t xml:space="preserve"> και </w:t>
      </w:r>
      <w:r>
        <w:rPr>
          <w:i/>
          <w:iCs/>
          <w:sz w:val="18"/>
          <w:szCs w:val="18"/>
        </w:rPr>
        <w:t xml:space="preserve">ο </w:t>
      </w:r>
      <w:r w:rsidRPr="006D2208">
        <w:rPr>
          <w:i/>
          <w:iCs/>
          <w:sz w:val="18"/>
          <w:szCs w:val="18"/>
        </w:rPr>
        <w:t>Σεπτ</w:t>
      </w:r>
      <w:r>
        <w:rPr>
          <w:i/>
          <w:iCs/>
          <w:sz w:val="18"/>
          <w:szCs w:val="18"/>
        </w:rPr>
        <w:t>έ</w:t>
      </w:r>
      <w:r w:rsidRPr="006D2208">
        <w:rPr>
          <w:i/>
          <w:iCs/>
          <w:sz w:val="18"/>
          <w:szCs w:val="18"/>
        </w:rPr>
        <w:t>μβρ</w:t>
      </w:r>
      <w:r>
        <w:rPr>
          <w:i/>
          <w:iCs/>
          <w:sz w:val="18"/>
          <w:szCs w:val="18"/>
        </w:rPr>
        <w:t xml:space="preserve">ιοςκινήθηκαν κοντά στην </w:t>
      </w:r>
      <w:r w:rsidRPr="006D2208">
        <w:rPr>
          <w:i/>
          <w:iCs/>
          <w:sz w:val="18"/>
          <w:szCs w:val="18"/>
        </w:rPr>
        <w:t>προ</w:t>
      </w:r>
      <w:r w:rsidRPr="006D2208">
        <w:rPr>
          <w:i/>
          <w:iCs/>
          <w:sz w:val="18"/>
          <w:szCs w:val="18"/>
          <w:lang w:val="en-GB"/>
        </w:rPr>
        <w:t>Covid</w:t>
      </w:r>
      <w:r>
        <w:rPr>
          <w:i/>
          <w:iCs/>
          <w:sz w:val="18"/>
          <w:szCs w:val="18"/>
        </w:rPr>
        <w:t>-19</w:t>
      </w:r>
      <w:r w:rsidRPr="006D2208">
        <w:rPr>
          <w:i/>
          <w:iCs/>
          <w:sz w:val="18"/>
          <w:szCs w:val="18"/>
        </w:rPr>
        <w:t xml:space="preserve"> εποχή</w:t>
      </w:r>
      <w:r>
        <w:rPr>
          <w:i/>
          <w:iCs/>
          <w:sz w:val="18"/>
          <w:szCs w:val="18"/>
        </w:rPr>
        <w:t>,</w:t>
      </w:r>
      <w:r w:rsidRPr="006D2208">
        <w:rPr>
          <w:i/>
          <w:iCs/>
          <w:sz w:val="18"/>
          <w:szCs w:val="18"/>
        </w:rPr>
        <w:t xml:space="preserve"> η </w:t>
      </w:r>
      <w:r>
        <w:rPr>
          <w:i/>
          <w:iCs/>
          <w:sz w:val="18"/>
          <w:szCs w:val="18"/>
        </w:rPr>
        <w:t xml:space="preserve">πορεία αυτήωστόσο διακόπηκε </w:t>
      </w:r>
      <w:r w:rsidRPr="006D2208">
        <w:rPr>
          <w:i/>
          <w:iCs/>
          <w:sz w:val="18"/>
          <w:szCs w:val="18"/>
        </w:rPr>
        <w:t>το τέταρτο τρίμηνο</w:t>
      </w:r>
      <w:r>
        <w:rPr>
          <w:i/>
          <w:iCs/>
          <w:sz w:val="18"/>
          <w:szCs w:val="18"/>
        </w:rPr>
        <w:t xml:space="preserve"> λόγω του δεύτερου κύματος της νόσου</w:t>
      </w:r>
      <w:r w:rsidRPr="006D2208">
        <w:rPr>
          <w:i/>
          <w:iCs/>
          <w:sz w:val="18"/>
          <w:szCs w:val="18"/>
        </w:rPr>
        <w:t>.</w:t>
      </w:r>
    </w:p>
    <w:p w:rsidR="00322697" w:rsidRPr="006D2208" w:rsidRDefault="00322697" w:rsidP="00322697">
      <w:pPr>
        <w:spacing w:after="160" w:line="240" w:lineRule="exact"/>
        <w:ind w:left="-284"/>
        <w:jc w:val="both"/>
        <w:rPr>
          <w:i/>
          <w:iCs/>
          <w:sz w:val="18"/>
          <w:szCs w:val="18"/>
        </w:rPr>
      </w:pPr>
      <w:r w:rsidRPr="006D2208">
        <w:rPr>
          <w:i/>
          <w:iCs/>
          <w:sz w:val="18"/>
          <w:szCs w:val="18"/>
        </w:rPr>
        <w:t>Καθ’ όλη τη διάρκεια αυτής της περιόδου</w:t>
      </w:r>
      <w:r>
        <w:rPr>
          <w:i/>
          <w:iCs/>
          <w:sz w:val="18"/>
          <w:szCs w:val="18"/>
        </w:rPr>
        <w:t>,</w:t>
      </w:r>
      <w:r w:rsidRPr="006D2208">
        <w:rPr>
          <w:i/>
          <w:iCs/>
          <w:sz w:val="18"/>
          <w:szCs w:val="18"/>
        </w:rPr>
        <w:t xml:space="preserve"> επικεντρωθήκαμε στην ασφάλεια των ανθρώπων μας, </w:t>
      </w:r>
      <w:r>
        <w:rPr>
          <w:i/>
          <w:iCs/>
          <w:sz w:val="18"/>
          <w:szCs w:val="18"/>
        </w:rPr>
        <w:t>υποστηρίζοντας</w:t>
      </w:r>
      <w:r w:rsidRPr="006D2208">
        <w:rPr>
          <w:i/>
          <w:iCs/>
          <w:sz w:val="18"/>
          <w:szCs w:val="18"/>
        </w:rPr>
        <w:t xml:space="preserve"> παράλληλα του</w:t>
      </w:r>
      <w:r>
        <w:rPr>
          <w:i/>
          <w:iCs/>
          <w:sz w:val="18"/>
          <w:szCs w:val="18"/>
        </w:rPr>
        <w:t>ς</w:t>
      </w:r>
      <w:r w:rsidRPr="006D2208">
        <w:rPr>
          <w:i/>
          <w:iCs/>
          <w:sz w:val="18"/>
          <w:szCs w:val="18"/>
        </w:rPr>
        <w:t xml:space="preserve"> πελάτες μας </w:t>
      </w:r>
      <w:r>
        <w:rPr>
          <w:i/>
          <w:iCs/>
          <w:sz w:val="18"/>
          <w:szCs w:val="18"/>
        </w:rPr>
        <w:t xml:space="preserve">ώστε </w:t>
      </w:r>
      <w:r w:rsidRPr="006D2208">
        <w:rPr>
          <w:i/>
          <w:iCs/>
          <w:sz w:val="18"/>
          <w:szCs w:val="18"/>
        </w:rPr>
        <w:t xml:space="preserve">να διαχειριστούν τις επιπτώσεις της πανδημίας. Η Τράπεζα Πειραιώς </w:t>
      </w:r>
      <w:r>
        <w:rPr>
          <w:i/>
          <w:iCs/>
          <w:sz w:val="18"/>
          <w:szCs w:val="18"/>
        </w:rPr>
        <w:t xml:space="preserve">αποτέλεσε βασικό πόλο </w:t>
      </w:r>
      <w:r w:rsidRPr="006D2208">
        <w:rPr>
          <w:i/>
          <w:iCs/>
          <w:sz w:val="18"/>
          <w:szCs w:val="18"/>
        </w:rPr>
        <w:t xml:space="preserve">στήριξης </w:t>
      </w:r>
      <w:r>
        <w:rPr>
          <w:i/>
          <w:iCs/>
          <w:sz w:val="18"/>
          <w:szCs w:val="18"/>
        </w:rPr>
        <w:t xml:space="preserve">των πελατών της </w:t>
      </w:r>
      <w:r w:rsidRPr="006D2208">
        <w:rPr>
          <w:i/>
          <w:iCs/>
          <w:sz w:val="18"/>
          <w:szCs w:val="18"/>
        </w:rPr>
        <w:t>και τη</w:t>
      </w:r>
      <w:r>
        <w:rPr>
          <w:i/>
          <w:iCs/>
          <w:sz w:val="18"/>
          <w:szCs w:val="18"/>
        </w:rPr>
        <w:t>ς</w:t>
      </w:r>
      <w:r w:rsidRPr="006D2208">
        <w:rPr>
          <w:i/>
          <w:iCs/>
          <w:sz w:val="18"/>
          <w:szCs w:val="18"/>
        </w:rPr>
        <w:t xml:space="preserve"> ελληνική</w:t>
      </w:r>
      <w:r>
        <w:rPr>
          <w:i/>
          <w:iCs/>
          <w:sz w:val="18"/>
          <w:szCs w:val="18"/>
        </w:rPr>
        <w:t>ς</w:t>
      </w:r>
      <w:r w:rsidRPr="006D2208">
        <w:rPr>
          <w:i/>
          <w:iCs/>
          <w:sz w:val="18"/>
          <w:szCs w:val="18"/>
        </w:rPr>
        <w:t xml:space="preserve"> οικονομία</w:t>
      </w:r>
      <w:r>
        <w:rPr>
          <w:i/>
          <w:iCs/>
          <w:sz w:val="18"/>
          <w:szCs w:val="18"/>
        </w:rPr>
        <w:t>ς,</w:t>
      </w:r>
      <w:r w:rsidRPr="006D2208">
        <w:rPr>
          <w:i/>
          <w:iCs/>
          <w:sz w:val="18"/>
          <w:szCs w:val="18"/>
        </w:rPr>
        <w:t xml:space="preserve"> τόσο </w:t>
      </w:r>
      <w:r>
        <w:rPr>
          <w:i/>
          <w:iCs/>
          <w:sz w:val="18"/>
          <w:szCs w:val="18"/>
        </w:rPr>
        <w:t xml:space="preserve">κατά </w:t>
      </w:r>
      <w:r w:rsidRPr="006D2208">
        <w:rPr>
          <w:i/>
          <w:iCs/>
          <w:sz w:val="18"/>
          <w:szCs w:val="18"/>
        </w:rPr>
        <w:t>την πρώτη φάση της πανδημίας</w:t>
      </w:r>
      <w:r>
        <w:rPr>
          <w:i/>
          <w:iCs/>
          <w:sz w:val="18"/>
          <w:szCs w:val="18"/>
        </w:rPr>
        <w:t xml:space="preserve">,όσο </w:t>
      </w:r>
      <w:r w:rsidRPr="006D2208">
        <w:rPr>
          <w:i/>
          <w:iCs/>
          <w:sz w:val="18"/>
          <w:szCs w:val="18"/>
        </w:rPr>
        <w:t xml:space="preserve">και τώρα στη δεύτερη. </w:t>
      </w:r>
    </w:p>
    <w:p w:rsidR="00322697" w:rsidRDefault="00322697" w:rsidP="00322697">
      <w:pPr>
        <w:spacing w:after="160" w:line="240" w:lineRule="exact"/>
        <w:ind w:left="-284"/>
        <w:jc w:val="both"/>
        <w:rPr>
          <w:i/>
          <w:iCs/>
          <w:sz w:val="18"/>
          <w:szCs w:val="18"/>
        </w:rPr>
      </w:pPr>
      <w:r>
        <w:rPr>
          <w:i/>
          <w:iCs/>
          <w:sz w:val="18"/>
          <w:szCs w:val="18"/>
        </w:rPr>
        <w:t>Για τον σκοπό αυτό,</w:t>
      </w:r>
      <w:r w:rsidRPr="006D2208">
        <w:rPr>
          <w:i/>
          <w:iCs/>
          <w:sz w:val="18"/>
          <w:szCs w:val="18"/>
        </w:rPr>
        <w:t xml:space="preserve"> η Τράπεζα </w:t>
      </w:r>
      <w:r>
        <w:rPr>
          <w:i/>
          <w:iCs/>
          <w:sz w:val="18"/>
          <w:szCs w:val="18"/>
        </w:rPr>
        <w:t xml:space="preserve">παρείχε </w:t>
      </w:r>
      <w:r w:rsidRPr="006D2208">
        <w:rPr>
          <w:i/>
          <w:iCs/>
          <w:sz w:val="18"/>
          <w:szCs w:val="18"/>
        </w:rPr>
        <w:t xml:space="preserve">στους ενήμερους πελάτες που έχουν πληγεί από την πανδημία αναστολή καταβολής </w:t>
      </w:r>
      <w:r>
        <w:rPr>
          <w:i/>
          <w:iCs/>
          <w:sz w:val="18"/>
          <w:szCs w:val="18"/>
        </w:rPr>
        <w:t xml:space="preserve">των δανειακών </w:t>
      </w:r>
      <w:r w:rsidRPr="006D2208">
        <w:rPr>
          <w:i/>
          <w:iCs/>
          <w:sz w:val="18"/>
          <w:szCs w:val="18"/>
        </w:rPr>
        <w:t>οφειλών</w:t>
      </w:r>
      <w:r>
        <w:rPr>
          <w:i/>
          <w:iCs/>
          <w:sz w:val="18"/>
          <w:szCs w:val="18"/>
        </w:rPr>
        <w:t xml:space="preserve"> τους,</w:t>
      </w:r>
      <w:r w:rsidRPr="006D2208">
        <w:rPr>
          <w:i/>
          <w:iCs/>
          <w:sz w:val="18"/>
          <w:szCs w:val="18"/>
        </w:rPr>
        <w:t xml:space="preserve"> ύψους</w:t>
      </w:r>
      <w:r>
        <w:rPr>
          <w:i/>
          <w:iCs/>
          <w:sz w:val="18"/>
          <w:szCs w:val="18"/>
        </w:rPr>
        <w:t xml:space="preserve"> συνολικά άνω των€</w:t>
      </w:r>
      <w:r w:rsidRPr="006D2208">
        <w:rPr>
          <w:i/>
          <w:iCs/>
          <w:sz w:val="18"/>
          <w:szCs w:val="18"/>
        </w:rPr>
        <w:t>4δι</w:t>
      </w:r>
      <w:r>
        <w:rPr>
          <w:i/>
          <w:iCs/>
          <w:sz w:val="18"/>
          <w:szCs w:val="18"/>
        </w:rPr>
        <w:t>σ.</w:t>
      </w:r>
      <w:r w:rsidRPr="006D2208">
        <w:rPr>
          <w:i/>
          <w:iCs/>
          <w:sz w:val="18"/>
          <w:szCs w:val="18"/>
        </w:rPr>
        <w:t xml:space="preserve"> Σε συνεργασία με </w:t>
      </w:r>
      <w:r>
        <w:rPr>
          <w:i/>
          <w:iCs/>
          <w:sz w:val="18"/>
          <w:szCs w:val="18"/>
        </w:rPr>
        <w:t>τις ελληνικές αρχές</w:t>
      </w:r>
      <w:r w:rsidRPr="006D2208">
        <w:rPr>
          <w:i/>
          <w:iCs/>
          <w:sz w:val="18"/>
          <w:szCs w:val="18"/>
        </w:rPr>
        <w:t xml:space="preserve">, η Τράπεζα </w:t>
      </w:r>
      <w:r>
        <w:rPr>
          <w:i/>
          <w:iCs/>
          <w:sz w:val="18"/>
          <w:szCs w:val="18"/>
        </w:rPr>
        <w:t>Πειραιώς συμμετέχει επίσης</w:t>
      </w:r>
      <w:r w:rsidRPr="006D2208">
        <w:rPr>
          <w:i/>
          <w:iCs/>
          <w:sz w:val="18"/>
          <w:szCs w:val="18"/>
        </w:rPr>
        <w:t xml:space="preserve"> στα χρηματοδοτικά προγράμματα στήριξης</w:t>
      </w:r>
      <w:r>
        <w:rPr>
          <w:i/>
          <w:iCs/>
          <w:sz w:val="18"/>
          <w:szCs w:val="18"/>
        </w:rPr>
        <w:t xml:space="preserve"> λόγω </w:t>
      </w:r>
      <w:r>
        <w:rPr>
          <w:i/>
          <w:iCs/>
          <w:sz w:val="18"/>
          <w:szCs w:val="18"/>
          <w:lang w:val="en-US"/>
        </w:rPr>
        <w:t>Covid</w:t>
      </w:r>
      <w:r>
        <w:rPr>
          <w:i/>
          <w:iCs/>
          <w:sz w:val="18"/>
          <w:szCs w:val="18"/>
        </w:rPr>
        <w:t xml:space="preserve">-19, </w:t>
      </w:r>
      <w:r w:rsidRPr="006D2208">
        <w:rPr>
          <w:i/>
          <w:iCs/>
          <w:sz w:val="18"/>
          <w:szCs w:val="18"/>
        </w:rPr>
        <w:t xml:space="preserve"> με δάνεια ύψους </w:t>
      </w:r>
      <w:r>
        <w:rPr>
          <w:i/>
          <w:iCs/>
          <w:sz w:val="18"/>
          <w:szCs w:val="18"/>
        </w:rPr>
        <w:t>€</w:t>
      </w:r>
      <w:r w:rsidRPr="006D2208">
        <w:rPr>
          <w:i/>
          <w:iCs/>
          <w:sz w:val="18"/>
          <w:szCs w:val="18"/>
        </w:rPr>
        <w:t>2,2δι</w:t>
      </w:r>
      <w:r>
        <w:rPr>
          <w:i/>
          <w:iCs/>
          <w:sz w:val="18"/>
          <w:szCs w:val="18"/>
        </w:rPr>
        <w:t>σ.</w:t>
      </w:r>
      <w:r w:rsidRPr="006D2208">
        <w:rPr>
          <w:i/>
          <w:iCs/>
          <w:sz w:val="18"/>
          <w:szCs w:val="18"/>
        </w:rPr>
        <w:t xml:space="preserve"> Επιπλέον</w:t>
      </w:r>
      <w:r>
        <w:rPr>
          <w:i/>
          <w:iCs/>
          <w:sz w:val="18"/>
          <w:szCs w:val="18"/>
        </w:rPr>
        <w:t>,</w:t>
      </w:r>
      <w:r w:rsidRPr="006D2208">
        <w:rPr>
          <w:i/>
          <w:iCs/>
          <w:sz w:val="18"/>
          <w:szCs w:val="18"/>
        </w:rPr>
        <w:t xml:space="preserve"> η </w:t>
      </w:r>
      <w:r>
        <w:rPr>
          <w:i/>
          <w:iCs/>
          <w:sz w:val="18"/>
          <w:szCs w:val="18"/>
        </w:rPr>
        <w:t xml:space="preserve">Τράπεζααυτή τη στιγμή </w:t>
      </w:r>
      <w:r w:rsidRPr="006D2208">
        <w:rPr>
          <w:i/>
          <w:iCs/>
          <w:sz w:val="18"/>
          <w:szCs w:val="18"/>
        </w:rPr>
        <w:t>επεξεργάζεται 32</w:t>
      </w:r>
      <w:r w:rsidRPr="002A2F1D">
        <w:rPr>
          <w:i/>
          <w:iCs/>
          <w:sz w:val="18"/>
          <w:szCs w:val="18"/>
        </w:rPr>
        <w:t>.000</w:t>
      </w:r>
      <w:r w:rsidRPr="006D2208">
        <w:rPr>
          <w:i/>
          <w:iCs/>
          <w:sz w:val="18"/>
          <w:szCs w:val="18"/>
        </w:rPr>
        <w:t xml:space="preserve"> αιτήσεις που αντιστοιχούν σε </w:t>
      </w:r>
      <w:r>
        <w:rPr>
          <w:i/>
          <w:iCs/>
          <w:sz w:val="18"/>
          <w:szCs w:val="18"/>
        </w:rPr>
        <w:t>δανειακά</w:t>
      </w:r>
      <w:r w:rsidRPr="006D2208">
        <w:rPr>
          <w:i/>
          <w:iCs/>
          <w:sz w:val="18"/>
          <w:szCs w:val="18"/>
        </w:rPr>
        <w:t xml:space="preserve">υπόλοιπα </w:t>
      </w:r>
      <w:r>
        <w:rPr>
          <w:i/>
          <w:iCs/>
          <w:sz w:val="18"/>
          <w:szCs w:val="18"/>
        </w:rPr>
        <w:t>€</w:t>
      </w:r>
      <w:r w:rsidRPr="006D2208">
        <w:rPr>
          <w:i/>
          <w:iCs/>
          <w:sz w:val="18"/>
          <w:szCs w:val="18"/>
        </w:rPr>
        <w:t>1,7δι</w:t>
      </w:r>
      <w:r>
        <w:rPr>
          <w:i/>
          <w:iCs/>
          <w:sz w:val="18"/>
          <w:szCs w:val="18"/>
        </w:rPr>
        <w:t xml:space="preserve">σ. </w:t>
      </w:r>
      <w:r w:rsidRPr="006D2208">
        <w:rPr>
          <w:i/>
          <w:iCs/>
          <w:sz w:val="18"/>
          <w:szCs w:val="18"/>
        </w:rPr>
        <w:t xml:space="preserve">και αφορούν στην κρατική επιδότηση δόσεων στεγαστικών δανείων πρώτης κατοικίας στο πλαίσιο του προγράμματος </w:t>
      </w:r>
      <w:r>
        <w:rPr>
          <w:rFonts w:cstheme="minorHAnsi"/>
          <w:i/>
          <w:iCs/>
          <w:sz w:val="18"/>
          <w:szCs w:val="18"/>
        </w:rPr>
        <w:t>«</w:t>
      </w:r>
      <w:r w:rsidRPr="006D2208">
        <w:rPr>
          <w:i/>
          <w:iCs/>
          <w:sz w:val="18"/>
          <w:szCs w:val="18"/>
        </w:rPr>
        <w:t>Γέφυρα</w:t>
      </w:r>
      <w:r>
        <w:rPr>
          <w:rFonts w:cstheme="minorHAnsi"/>
          <w:i/>
          <w:iCs/>
          <w:sz w:val="18"/>
          <w:szCs w:val="18"/>
        </w:rPr>
        <w:t>»</w:t>
      </w:r>
      <w:r w:rsidRPr="006D2208">
        <w:rPr>
          <w:i/>
          <w:iCs/>
          <w:sz w:val="18"/>
          <w:szCs w:val="18"/>
        </w:rPr>
        <w:t xml:space="preserve">. </w:t>
      </w:r>
      <w:r>
        <w:rPr>
          <w:i/>
          <w:iCs/>
          <w:sz w:val="18"/>
          <w:szCs w:val="18"/>
        </w:rPr>
        <w:t>Ταυτόχρονα,</w:t>
      </w:r>
      <w:r w:rsidRPr="006D2208">
        <w:rPr>
          <w:i/>
          <w:iCs/>
          <w:sz w:val="18"/>
          <w:szCs w:val="18"/>
        </w:rPr>
        <w:t xml:space="preserve"> δάνεια μεσαίων </w:t>
      </w:r>
      <w:r>
        <w:rPr>
          <w:i/>
          <w:iCs/>
          <w:sz w:val="18"/>
          <w:szCs w:val="18"/>
        </w:rPr>
        <w:t xml:space="preserve">και </w:t>
      </w:r>
      <w:r w:rsidRPr="006D2208">
        <w:rPr>
          <w:i/>
          <w:iCs/>
          <w:sz w:val="18"/>
          <w:szCs w:val="18"/>
        </w:rPr>
        <w:t xml:space="preserve">μικρών επιχειρήσεων </w:t>
      </w:r>
      <w:r>
        <w:rPr>
          <w:i/>
          <w:iCs/>
          <w:sz w:val="18"/>
          <w:szCs w:val="18"/>
        </w:rPr>
        <w:t>συνολικού ύψους άνω του €</w:t>
      </w:r>
      <w:r w:rsidRPr="006D2208">
        <w:rPr>
          <w:i/>
          <w:iCs/>
          <w:sz w:val="18"/>
          <w:szCs w:val="18"/>
        </w:rPr>
        <w:t>1,5δι</w:t>
      </w:r>
      <w:r>
        <w:rPr>
          <w:i/>
          <w:iCs/>
          <w:sz w:val="18"/>
          <w:szCs w:val="18"/>
        </w:rPr>
        <w:t xml:space="preserve">σ.έχουν ενταχθεί και επωφελούνται από τα προγράμματα </w:t>
      </w:r>
      <w:r w:rsidRPr="006D2208">
        <w:rPr>
          <w:i/>
          <w:iCs/>
          <w:sz w:val="18"/>
          <w:szCs w:val="18"/>
        </w:rPr>
        <w:t>επιδότηση</w:t>
      </w:r>
      <w:r>
        <w:rPr>
          <w:i/>
          <w:iCs/>
          <w:sz w:val="18"/>
          <w:szCs w:val="18"/>
        </w:rPr>
        <w:t>ς</w:t>
      </w:r>
      <w:r w:rsidRPr="006D2208">
        <w:rPr>
          <w:i/>
          <w:iCs/>
          <w:sz w:val="18"/>
          <w:szCs w:val="18"/>
        </w:rPr>
        <w:t xml:space="preserve"> επιτοκίου.</w:t>
      </w:r>
    </w:p>
    <w:p w:rsidR="00322697" w:rsidRDefault="00322697" w:rsidP="00322697">
      <w:pPr>
        <w:spacing w:after="160" w:line="240" w:lineRule="exact"/>
        <w:ind w:left="-284"/>
        <w:jc w:val="both"/>
        <w:rPr>
          <w:i/>
          <w:iCs/>
          <w:sz w:val="18"/>
          <w:szCs w:val="18"/>
        </w:rPr>
      </w:pPr>
      <w:r>
        <w:rPr>
          <w:i/>
          <w:iCs/>
          <w:sz w:val="18"/>
          <w:szCs w:val="18"/>
        </w:rPr>
        <w:t>Παρά τις αντίξοες συνθήκες</w:t>
      </w:r>
      <w:r w:rsidRPr="006D2208">
        <w:rPr>
          <w:i/>
          <w:iCs/>
          <w:sz w:val="18"/>
          <w:szCs w:val="18"/>
        </w:rPr>
        <w:t xml:space="preserve">, η Τράπεζα </w:t>
      </w:r>
      <w:r>
        <w:rPr>
          <w:i/>
          <w:iCs/>
          <w:sz w:val="18"/>
          <w:szCs w:val="18"/>
        </w:rPr>
        <w:t>πέτυχεθετικά χρηματο</w:t>
      </w:r>
      <w:r w:rsidRPr="006D2208">
        <w:rPr>
          <w:i/>
          <w:iCs/>
          <w:sz w:val="18"/>
          <w:szCs w:val="18"/>
        </w:rPr>
        <w:t>οικονομι</w:t>
      </w:r>
      <w:r>
        <w:rPr>
          <w:i/>
          <w:iCs/>
          <w:sz w:val="18"/>
          <w:szCs w:val="18"/>
        </w:rPr>
        <w:t>κά αποτελέσματα και το 3ο τρίμηνο 2020</w:t>
      </w:r>
      <w:r w:rsidRPr="006D2208">
        <w:rPr>
          <w:i/>
          <w:iCs/>
          <w:sz w:val="18"/>
          <w:szCs w:val="18"/>
        </w:rPr>
        <w:t xml:space="preserve">. Οι </w:t>
      </w:r>
      <w:r>
        <w:rPr>
          <w:i/>
          <w:iCs/>
          <w:sz w:val="18"/>
          <w:szCs w:val="18"/>
        </w:rPr>
        <w:t xml:space="preserve">νέες </w:t>
      </w:r>
      <w:r w:rsidRPr="006D2208">
        <w:rPr>
          <w:i/>
          <w:iCs/>
          <w:sz w:val="18"/>
          <w:szCs w:val="18"/>
        </w:rPr>
        <w:t xml:space="preserve">εκταμιεύσεις δανείων </w:t>
      </w:r>
      <w:r>
        <w:rPr>
          <w:i/>
          <w:iCs/>
          <w:sz w:val="18"/>
          <w:szCs w:val="18"/>
        </w:rPr>
        <w:t xml:space="preserve">από την αρχή του έτους ως τα </w:t>
      </w:r>
      <w:r w:rsidRPr="006D2208">
        <w:rPr>
          <w:i/>
          <w:iCs/>
          <w:sz w:val="18"/>
          <w:szCs w:val="18"/>
        </w:rPr>
        <w:t>τέλη Νοεμβρίου 2020ανήλθαν σε €5,4δι</w:t>
      </w:r>
      <w:r>
        <w:rPr>
          <w:i/>
          <w:iCs/>
          <w:sz w:val="18"/>
          <w:szCs w:val="18"/>
        </w:rPr>
        <w:t>σ</w:t>
      </w:r>
      <w:r w:rsidRPr="006D2208">
        <w:rPr>
          <w:i/>
          <w:iCs/>
          <w:sz w:val="18"/>
          <w:szCs w:val="18"/>
        </w:rPr>
        <w:t>., ξεπερνώντας ήδη τον</w:t>
      </w:r>
      <w:r>
        <w:rPr>
          <w:i/>
          <w:iCs/>
          <w:sz w:val="18"/>
          <w:szCs w:val="18"/>
        </w:rPr>
        <w:t xml:space="preserve"> ετήσιο</w:t>
      </w:r>
      <w:r w:rsidRPr="006D2208">
        <w:rPr>
          <w:i/>
          <w:iCs/>
          <w:sz w:val="18"/>
          <w:szCs w:val="18"/>
        </w:rPr>
        <w:t xml:space="preserve"> στόχο των €5δι</w:t>
      </w:r>
      <w:r>
        <w:rPr>
          <w:i/>
          <w:iCs/>
          <w:sz w:val="18"/>
          <w:szCs w:val="18"/>
        </w:rPr>
        <w:t>σ. που είχε τεθεί για το 2020</w:t>
      </w:r>
      <w:r w:rsidRPr="006D2208">
        <w:rPr>
          <w:i/>
          <w:iCs/>
          <w:sz w:val="18"/>
          <w:szCs w:val="18"/>
        </w:rPr>
        <w:t xml:space="preserve">. Η </w:t>
      </w:r>
      <w:r>
        <w:rPr>
          <w:i/>
          <w:iCs/>
          <w:sz w:val="18"/>
          <w:szCs w:val="18"/>
        </w:rPr>
        <w:t>πορεία</w:t>
      </w:r>
      <w:r w:rsidRPr="006D2208">
        <w:rPr>
          <w:i/>
          <w:iCs/>
          <w:sz w:val="18"/>
          <w:szCs w:val="18"/>
        </w:rPr>
        <w:t xml:space="preserve"> των καθαρών εσόδων </w:t>
      </w:r>
      <w:r>
        <w:rPr>
          <w:i/>
          <w:iCs/>
          <w:sz w:val="18"/>
          <w:szCs w:val="18"/>
        </w:rPr>
        <w:t>παρέμεινεθετική</w:t>
      </w:r>
      <w:r w:rsidRPr="006D2208">
        <w:rPr>
          <w:i/>
          <w:iCs/>
          <w:sz w:val="18"/>
          <w:szCs w:val="18"/>
        </w:rPr>
        <w:t xml:space="preserve"> με ετήσια αύξηση 4%, </w:t>
      </w:r>
      <w:r>
        <w:rPr>
          <w:i/>
          <w:iCs/>
          <w:sz w:val="18"/>
          <w:szCs w:val="18"/>
        </w:rPr>
        <w:t xml:space="preserve">σε συνδυασμό </w:t>
      </w:r>
      <w:r w:rsidRPr="006D2208">
        <w:rPr>
          <w:i/>
          <w:iCs/>
          <w:sz w:val="18"/>
          <w:szCs w:val="18"/>
        </w:rPr>
        <w:t xml:space="preserve">με </w:t>
      </w:r>
      <w:r>
        <w:rPr>
          <w:i/>
          <w:iCs/>
          <w:sz w:val="18"/>
          <w:szCs w:val="18"/>
        </w:rPr>
        <w:t xml:space="preserve">τη συνεχή προσοχή </w:t>
      </w:r>
      <w:r w:rsidRPr="006D2208">
        <w:rPr>
          <w:i/>
          <w:iCs/>
          <w:sz w:val="18"/>
          <w:szCs w:val="18"/>
        </w:rPr>
        <w:t>στον έλεγχο του λειτουργικού κόστους (-8% ετησίως)</w:t>
      </w:r>
      <w:r>
        <w:rPr>
          <w:i/>
          <w:iCs/>
          <w:sz w:val="18"/>
          <w:szCs w:val="18"/>
        </w:rPr>
        <w:t xml:space="preserve"> και την </w:t>
      </w:r>
      <w:r w:rsidRPr="006D2208">
        <w:rPr>
          <w:i/>
          <w:iCs/>
          <w:sz w:val="18"/>
          <w:szCs w:val="18"/>
        </w:rPr>
        <w:t xml:space="preserve">καλύτερη εξέλιξη </w:t>
      </w:r>
      <w:r>
        <w:rPr>
          <w:i/>
          <w:iCs/>
          <w:sz w:val="18"/>
          <w:szCs w:val="18"/>
        </w:rPr>
        <w:t>του εξόδου προβλέψεων</w:t>
      </w:r>
      <w:r w:rsidRPr="006D2208">
        <w:rPr>
          <w:i/>
          <w:iCs/>
          <w:sz w:val="18"/>
          <w:szCs w:val="18"/>
        </w:rPr>
        <w:t xml:space="preserve"> το</w:t>
      </w:r>
      <w:r>
        <w:rPr>
          <w:i/>
          <w:iCs/>
          <w:sz w:val="18"/>
          <w:szCs w:val="18"/>
        </w:rPr>
        <w:t>υ</w:t>
      </w:r>
      <w:r w:rsidRPr="006D2208">
        <w:rPr>
          <w:i/>
          <w:iCs/>
          <w:sz w:val="18"/>
          <w:szCs w:val="18"/>
        </w:rPr>
        <w:t xml:space="preserve"> 3</w:t>
      </w:r>
      <w:r w:rsidRPr="009B1218">
        <w:rPr>
          <w:i/>
          <w:iCs/>
          <w:sz w:val="18"/>
          <w:szCs w:val="18"/>
          <w:vertAlign w:val="superscript"/>
        </w:rPr>
        <w:t>ου</w:t>
      </w:r>
      <w:r>
        <w:rPr>
          <w:i/>
          <w:iCs/>
          <w:sz w:val="18"/>
          <w:szCs w:val="18"/>
        </w:rPr>
        <w:t xml:space="preserve"> τριμήνου</w:t>
      </w:r>
      <w:r w:rsidRPr="006D2208">
        <w:rPr>
          <w:i/>
          <w:iCs/>
          <w:sz w:val="18"/>
          <w:szCs w:val="18"/>
        </w:rPr>
        <w:t xml:space="preserve"> 2020, απόρροια  τ</w:t>
      </w:r>
      <w:r>
        <w:rPr>
          <w:i/>
          <w:iCs/>
          <w:sz w:val="18"/>
          <w:szCs w:val="18"/>
        </w:rPr>
        <w:t>ων</w:t>
      </w:r>
      <w:r w:rsidRPr="006D2208">
        <w:rPr>
          <w:i/>
          <w:iCs/>
          <w:sz w:val="18"/>
          <w:szCs w:val="18"/>
        </w:rPr>
        <w:t xml:space="preserve"> σημαντικ</w:t>
      </w:r>
      <w:r>
        <w:rPr>
          <w:i/>
          <w:iCs/>
          <w:sz w:val="18"/>
          <w:szCs w:val="18"/>
        </w:rPr>
        <w:t>ών</w:t>
      </w:r>
      <w:r w:rsidRPr="006D2208">
        <w:rPr>
          <w:i/>
          <w:iCs/>
          <w:sz w:val="18"/>
          <w:szCs w:val="18"/>
        </w:rPr>
        <w:t xml:space="preserve"> π</w:t>
      </w:r>
      <w:r>
        <w:rPr>
          <w:i/>
          <w:iCs/>
          <w:sz w:val="18"/>
          <w:szCs w:val="18"/>
        </w:rPr>
        <w:t>ροβλέψεων</w:t>
      </w:r>
      <w:r w:rsidRPr="006D2208">
        <w:rPr>
          <w:i/>
          <w:iCs/>
          <w:sz w:val="18"/>
          <w:szCs w:val="18"/>
        </w:rPr>
        <w:t xml:space="preserve"> που</w:t>
      </w:r>
      <w:r>
        <w:rPr>
          <w:i/>
          <w:iCs/>
          <w:sz w:val="18"/>
          <w:szCs w:val="18"/>
        </w:rPr>
        <w:t xml:space="preserve"> είχανλογιστικοποιηθεί ήδη από</w:t>
      </w:r>
      <w:r w:rsidRPr="006D2208">
        <w:rPr>
          <w:i/>
          <w:iCs/>
          <w:sz w:val="18"/>
          <w:szCs w:val="18"/>
        </w:rPr>
        <w:t xml:space="preserve"> το </w:t>
      </w:r>
      <w:r>
        <w:rPr>
          <w:i/>
          <w:iCs/>
          <w:sz w:val="18"/>
          <w:szCs w:val="18"/>
        </w:rPr>
        <w:t xml:space="preserve">1ο </w:t>
      </w:r>
      <w:r w:rsidRPr="006D2208">
        <w:rPr>
          <w:i/>
          <w:iCs/>
          <w:sz w:val="18"/>
          <w:szCs w:val="18"/>
        </w:rPr>
        <w:t>τρίμηνο του έτους. Συνολικά</w:t>
      </w:r>
      <w:r>
        <w:rPr>
          <w:i/>
          <w:iCs/>
          <w:sz w:val="18"/>
          <w:szCs w:val="18"/>
        </w:rPr>
        <w:t>,το αποτέλεσμα</w:t>
      </w:r>
      <w:r w:rsidRPr="006D2208">
        <w:rPr>
          <w:i/>
          <w:iCs/>
          <w:sz w:val="18"/>
          <w:szCs w:val="18"/>
        </w:rPr>
        <w:t xml:space="preserve"> προ φόρων </w:t>
      </w:r>
      <w:r>
        <w:rPr>
          <w:i/>
          <w:iCs/>
          <w:sz w:val="18"/>
          <w:szCs w:val="18"/>
        </w:rPr>
        <w:t xml:space="preserve">ήταν ζημιογόνο κατά </w:t>
      </w:r>
      <w:r w:rsidRPr="006D2208">
        <w:rPr>
          <w:i/>
          <w:iCs/>
          <w:sz w:val="18"/>
          <w:szCs w:val="18"/>
        </w:rPr>
        <w:t xml:space="preserve">€133εκατ. το </w:t>
      </w:r>
      <w:r>
        <w:rPr>
          <w:i/>
          <w:iCs/>
          <w:sz w:val="18"/>
          <w:szCs w:val="18"/>
        </w:rPr>
        <w:t xml:space="preserve">9μηνο </w:t>
      </w:r>
      <w:r w:rsidRPr="006D2208">
        <w:rPr>
          <w:i/>
          <w:iCs/>
          <w:sz w:val="18"/>
          <w:szCs w:val="18"/>
        </w:rPr>
        <w:t>2020</w:t>
      </w:r>
      <w:r>
        <w:rPr>
          <w:i/>
          <w:iCs/>
          <w:sz w:val="18"/>
          <w:szCs w:val="18"/>
        </w:rPr>
        <w:t xml:space="preserve"> λόγω προβλέψεων </w:t>
      </w:r>
      <w:r>
        <w:rPr>
          <w:i/>
          <w:iCs/>
          <w:sz w:val="18"/>
          <w:szCs w:val="18"/>
          <w:lang w:val="en-US"/>
        </w:rPr>
        <w:t>Covid</w:t>
      </w:r>
      <w:r w:rsidRPr="00BF77B6">
        <w:rPr>
          <w:i/>
          <w:iCs/>
          <w:sz w:val="18"/>
          <w:szCs w:val="18"/>
        </w:rPr>
        <w:t>-19</w:t>
      </w:r>
      <w:r>
        <w:rPr>
          <w:i/>
          <w:iCs/>
          <w:sz w:val="18"/>
          <w:szCs w:val="18"/>
        </w:rPr>
        <w:t xml:space="preserve">,ενώ ανέρχεται σε κέρδη </w:t>
      </w:r>
      <w:r w:rsidRPr="006D2208">
        <w:rPr>
          <w:i/>
          <w:iCs/>
          <w:sz w:val="18"/>
          <w:szCs w:val="18"/>
        </w:rPr>
        <w:t>προ φόρων</w:t>
      </w:r>
      <w:r>
        <w:rPr>
          <w:i/>
          <w:iCs/>
          <w:sz w:val="18"/>
          <w:szCs w:val="18"/>
        </w:rPr>
        <w:t xml:space="preserve"> €229εκατ. εάν αφαιρεθούν οιπροβλέψειςπου σχετίζονται με την πανδημία.</w:t>
      </w:r>
    </w:p>
    <w:p w:rsidR="00322697" w:rsidRPr="00163E8C" w:rsidRDefault="00322697" w:rsidP="00322697">
      <w:pPr>
        <w:spacing w:after="160" w:line="240" w:lineRule="exact"/>
        <w:ind w:left="-284"/>
        <w:jc w:val="both"/>
        <w:rPr>
          <w:i/>
          <w:iCs/>
          <w:sz w:val="18"/>
          <w:szCs w:val="18"/>
        </w:rPr>
      </w:pPr>
      <w:r>
        <w:rPr>
          <w:i/>
          <w:iCs/>
          <w:sz w:val="18"/>
          <w:szCs w:val="18"/>
        </w:rPr>
        <w:t xml:space="preserve">Η </w:t>
      </w:r>
      <w:r w:rsidRPr="00163E8C">
        <w:rPr>
          <w:i/>
          <w:iCs/>
          <w:sz w:val="18"/>
          <w:szCs w:val="18"/>
        </w:rPr>
        <w:t xml:space="preserve">ποιότητα </w:t>
      </w:r>
      <w:r>
        <w:rPr>
          <w:i/>
          <w:iCs/>
          <w:sz w:val="18"/>
          <w:szCs w:val="18"/>
        </w:rPr>
        <w:t xml:space="preserve">του ενεργητικού εξελίχθηκε σύμφωνα </w:t>
      </w:r>
      <w:r w:rsidRPr="00163E8C">
        <w:rPr>
          <w:i/>
          <w:iCs/>
          <w:sz w:val="18"/>
          <w:szCs w:val="18"/>
        </w:rPr>
        <w:t xml:space="preserve">με τις προσδοκίες μας. </w:t>
      </w:r>
      <w:r>
        <w:rPr>
          <w:i/>
          <w:iCs/>
          <w:sz w:val="18"/>
          <w:szCs w:val="18"/>
        </w:rPr>
        <w:t xml:space="preserve">Χρειάζεται βέβαια </w:t>
      </w:r>
      <w:r w:rsidRPr="00163E8C">
        <w:rPr>
          <w:i/>
          <w:iCs/>
          <w:sz w:val="18"/>
          <w:szCs w:val="18"/>
        </w:rPr>
        <w:t xml:space="preserve">να δούμε τη διάρκεια του δεύτερου </w:t>
      </w:r>
      <w:r>
        <w:rPr>
          <w:i/>
          <w:iCs/>
          <w:sz w:val="18"/>
          <w:szCs w:val="18"/>
          <w:lang w:val="en-US"/>
        </w:rPr>
        <w:t>lockdown</w:t>
      </w:r>
      <w:r w:rsidRPr="00163E8C">
        <w:rPr>
          <w:i/>
          <w:iCs/>
          <w:sz w:val="18"/>
          <w:szCs w:val="18"/>
        </w:rPr>
        <w:t xml:space="preserve">, καθώς και τη σταδιακή λήξη </w:t>
      </w:r>
      <w:r>
        <w:rPr>
          <w:i/>
          <w:iCs/>
          <w:sz w:val="18"/>
          <w:szCs w:val="18"/>
        </w:rPr>
        <w:t xml:space="preserve">των μορατορίων πληρωμών, προκειμένου </w:t>
      </w:r>
      <w:r w:rsidRPr="00163E8C">
        <w:rPr>
          <w:i/>
          <w:iCs/>
          <w:sz w:val="18"/>
          <w:szCs w:val="18"/>
        </w:rPr>
        <w:t xml:space="preserve">να έχουμε </w:t>
      </w:r>
      <w:r>
        <w:rPr>
          <w:i/>
          <w:iCs/>
          <w:sz w:val="18"/>
          <w:szCs w:val="18"/>
        </w:rPr>
        <w:t xml:space="preserve">μια πιο ξεκάθαρη </w:t>
      </w:r>
      <w:r w:rsidRPr="00163E8C">
        <w:rPr>
          <w:i/>
          <w:iCs/>
          <w:sz w:val="18"/>
          <w:szCs w:val="18"/>
        </w:rPr>
        <w:t xml:space="preserve">εικόνα του αντίκτυπου στην οικονομική δραστηριότητα και την οικονομική </w:t>
      </w:r>
      <w:r>
        <w:rPr>
          <w:i/>
          <w:iCs/>
          <w:sz w:val="18"/>
          <w:szCs w:val="18"/>
        </w:rPr>
        <w:t xml:space="preserve">ευρωστία </w:t>
      </w:r>
      <w:r w:rsidRPr="00163E8C">
        <w:rPr>
          <w:i/>
          <w:iCs/>
          <w:sz w:val="18"/>
          <w:szCs w:val="18"/>
        </w:rPr>
        <w:t xml:space="preserve">των </w:t>
      </w:r>
      <w:r>
        <w:rPr>
          <w:i/>
          <w:iCs/>
          <w:sz w:val="18"/>
          <w:szCs w:val="18"/>
        </w:rPr>
        <w:t>πελατών</w:t>
      </w:r>
      <w:r w:rsidRPr="00163E8C">
        <w:rPr>
          <w:i/>
          <w:iCs/>
          <w:sz w:val="18"/>
          <w:szCs w:val="18"/>
        </w:rPr>
        <w:t xml:space="preserve"> μας. Οι πρόσφατες εξελίξεις </w:t>
      </w:r>
      <w:r>
        <w:rPr>
          <w:i/>
          <w:iCs/>
          <w:sz w:val="18"/>
          <w:szCs w:val="18"/>
        </w:rPr>
        <w:t xml:space="preserve">αναφορικά με </w:t>
      </w:r>
      <w:r w:rsidRPr="00163E8C">
        <w:rPr>
          <w:i/>
          <w:iCs/>
          <w:sz w:val="18"/>
          <w:szCs w:val="18"/>
        </w:rPr>
        <w:t xml:space="preserve">τα εμβόλια </w:t>
      </w:r>
      <w:r>
        <w:rPr>
          <w:i/>
          <w:iCs/>
          <w:sz w:val="18"/>
          <w:szCs w:val="18"/>
        </w:rPr>
        <w:t xml:space="preserve">κατά του </w:t>
      </w:r>
      <w:r w:rsidRPr="00163E8C">
        <w:rPr>
          <w:i/>
          <w:iCs/>
          <w:sz w:val="18"/>
          <w:szCs w:val="18"/>
          <w:lang w:val="en-GB"/>
        </w:rPr>
        <w:t>Covid</w:t>
      </w:r>
      <w:r w:rsidRPr="00163E8C">
        <w:rPr>
          <w:i/>
          <w:iCs/>
          <w:sz w:val="18"/>
          <w:szCs w:val="18"/>
        </w:rPr>
        <w:t xml:space="preserve">-19 είναι ενθαρρυντικές και παρέχουν </w:t>
      </w:r>
      <w:r>
        <w:rPr>
          <w:i/>
          <w:iCs/>
          <w:sz w:val="18"/>
          <w:szCs w:val="18"/>
        </w:rPr>
        <w:t xml:space="preserve">σημαντικούς </w:t>
      </w:r>
      <w:r w:rsidRPr="00163E8C">
        <w:rPr>
          <w:i/>
          <w:iCs/>
          <w:sz w:val="18"/>
          <w:szCs w:val="18"/>
        </w:rPr>
        <w:t xml:space="preserve">λόγους αισιοδοξίας. Όσον αφορά </w:t>
      </w:r>
      <w:r>
        <w:rPr>
          <w:i/>
          <w:iCs/>
          <w:sz w:val="18"/>
          <w:szCs w:val="18"/>
        </w:rPr>
        <w:t>σ</w:t>
      </w:r>
      <w:r w:rsidRPr="00163E8C">
        <w:rPr>
          <w:i/>
          <w:iCs/>
          <w:sz w:val="18"/>
          <w:szCs w:val="18"/>
        </w:rPr>
        <w:t xml:space="preserve">το </w:t>
      </w:r>
      <w:r>
        <w:rPr>
          <w:i/>
          <w:iCs/>
          <w:sz w:val="18"/>
          <w:szCs w:val="18"/>
        </w:rPr>
        <w:t>πλάνο μας για</w:t>
      </w:r>
      <w:r w:rsidRPr="00163E8C">
        <w:rPr>
          <w:i/>
          <w:iCs/>
          <w:sz w:val="18"/>
          <w:szCs w:val="18"/>
        </w:rPr>
        <w:t xml:space="preserve"> τιτλοπο</w:t>
      </w:r>
      <w:r>
        <w:rPr>
          <w:i/>
          <w:iCs/>
          <w:sz w:val="18"/>
          <w:szCs w:val="18"/>
        </w:rPr>
        <w:t>ιήσεις Μη Εξυπηρετούμενων Ανοιγμάτων (ΜΕΑ) μέσω του προγράμματος «Ηρακλής»</w:t>
      </w:r>
      <w:r w:rsidRPr="00163E8C">
        <w:rPr>
          <w:i/>
          <w:iCs/>
          <w:sz w:val="18"/>
          <w:szCs w:val="18"/>
        </w:rPr>
        <w:t xml:space="preserve">, </w:t>
      </w:r>
      <w:r>
        <w:rPr>
          <w:i/>
          <w:iCs/>
          <w:sz w:val="18"/>
          <w:szCs w:val="18"/>
        </w:rPr>
        <w:t xml:space="preserve">εργαζόμαστε για την </w:t>
      </w:r>
      <w:r w:rsidRPr="00163E8C">
        <w:rPr>
          <w:i/>
          <w:iCs/>
          <w:sz w:val="18"/>
          <w:szCs w:val="18"/>
        </w:rPr>
        <w:t xml:space="preserve">ολοκλήρωση δύο συναλλαγών συνολικού ύψους </w:t>
      </w:r>
      <w:r>
        <w:rPr>
          <w:i/>
          <w:iCs/>
          <w:sz w:val="18"/>
          <w:szCs w:val="18"/>
        </w:rPr>
        <w:t>€</w:t>
      </w:r>
      <w:r w:rsidRPr="00163E8C">
        <w:rPr>
          <w:i/>
          <w:iCs/>
          <w:sz w:val="18"/>
          <w:szCs w:val="18"/>
        </w:rPr>
        <w:t>7δι</w:t>
      </w:r>
      <w:r>
        <w:rPr>
          <w:i/>
          <w:iCs/>
          <w:sz w:val="18"/>
          <w:szCs w:val="18"/>
        </w:rPr>
        <w:t xml:space="preserve">σ. </w:t>
      </w:r>
      <w:r w:rsidRPr="00163E8C">
        <w:rPr>
          <w:i/>
          <w:iCs/>
          <w:sz w:val="18"/>
          <w:szCs w:val="18"/>
        </w:rPr>
        <w:t xml:space="preserve">μέχρι το τέλος </w:t>
      </w:r>
      <w:r>
        <w:rPr>
          <w:i/>
          <w:iCs/>
          <w:sz w:val="18"/>
          <w:szCs w:val="18"/>
        </w:rPr>
        <w:t>τ</w:t>
      </w:r>
      <w:r w:rsidRPr="00163E8C">
        <w:rPr>
          <w:i/>
          <w:iCs/>
          <w:sz w:val="18"/>
          <w:szCs w:val="18"/>
        </w:rPr>
        <w:t xml:space="preserve">ου </w:t>
      </w:r>
      <w:r>
        <w:rPr>
          <w:i/>
          <w:iCs/>
          <w:sz w:val="18"/>
          <w:szCs w:val="18"/>
        </w:rPr>
        <w:t xml:space="preserve">1ου </w:t>
      </w:r>
      <w:r w:rsidRPr="00163E8C">
        <w:rPr>
          <w:i/>
          <w:iCs/>
          <w:sz w:val="18"/>
          <w:szCs w:val="18"/>
        </w:rPr>
        <w:t xml:space="preserve">τριμήνου </w:t>
      </w:r>
      <w:r>
        <w:rPr>
          <w:i/>
          <w:iCs/>
          <w:sz w:val="18"/>
          <w:szCs w:val="18"/>
        </w:rPr>
        <w:t xml:space="preserve">2021, ενώπροετοιμαζόμαστε εντατικά για το πλάνο μείωσης ΜΕΑ </w:t>
      </w:r>
      <w:r w:rsidRPr="00163E8C">
        <w:rPr>
          <w:i/>
          <w:iCs/>
          <w:sz w:val="18"/>
          <w:szCs w:val="18"/>
        </w:rPr>
        <w:t>2021-2022</w:t>
      </w:r>
      <w:r w:rsidRPr="00A5571E">
        <w:rPr>
          <w:i/>
          <w:iCs/>
          <w:sz w:val="18"/>
          <w:szCs w:val="18"/>
        </w:rPr>
        <w:t xml:space="preserve">, </w:t>
      </w:r>
      <w:r>
        <w:rPr>
          <w:i/>
          <w:iCs/>
          <w:sz w:val="18"/>
          <w:szCs w:val="18"/>
        </w:rPr>
        <w:t>τόσο με οργανικές δράσεις όσο και μέσω πωλήσεων.</w:t>
      </w:r>
    </w:p>
    <w:p w:rsidR="00322697" w:rsidRPr="00B55B4D" w:rsidRDefault="00322697" w:rsidP="00322697">
      <w:pPr>
        <w:spacing w:after="160" w:line="240" w:lineRule="exact"/>
        <w:ind w:left="-284"/>
        <w:jc w:val="both"/>
        <w:rPr>
          <w:i/>
          <w:iCs/>
          <w:sz w:val="18"/>
          <w:szCs w:val="18"/>
        </w:rPr>
      </w:pPr>
      <w:r w:rsidRPr="00B55B4D">
        <w:rPr>
          <w:i/>
          <w:iCs/>
          <w:sz w:val="18"/>
          <w:szCs w:val="18"/>
        </w:rPr>
        <w:t xml:space="preserve">Η </w:t>
      </w:r>
      <w:r>
        <w:rPr>
          <w:i/>
          <w:iCs/>
          <w:sz w:val="18"/>
          <w:szCs w:val="18"/>
        </w:rPr>
        <w:t xml:space="preserve">ρευστότητα της Τράπεζας Πειραιώς </w:t>
      </w:r>
      <w:r w:rsidRPr="00B55B4D">
        <w:rPr>
          <w:i/>
          <w:iCs/>
          <w:sz w:val="18"/>
          <w:szCs w:val="18"/>
        </w:rPr>
        <w:t xml:space="preserve">παραμένει ισχυρή. </w:t>
      </w:r>
      <w:r>
        <w:rPr>
          <w:i/>
          <w:iCs/>
          <w:sz w:val="18"/>
          <w:szCs w:val="18"/>
        </w:rPr>
        <w:t xml:space="preserve">Αξιοποιήσαμε </w:t>
      </w:r>
      <w:r w:rsidRPr="00B55B4D">
        <w:rPr>
          <w:i/>
          <w:iCs/>
          <w:sz w:val="18"/>
          <w:szCs w:val="18"/>
        </w:rPr>
        <w:t xml:space="preserve"> περαιτέρω τις χρηματοδοτικές διευκολύνσεις της Ε</w:t>
      </w:r>
      <w:r>
        <w:rPr>
          <w:i/>
          <w:iCs/>
          <w:sz w:val="18"/>
          <w:szCs w:val="18"/>
        </w:rPr>
        <w:t xml:space="preserve">υρωπαϊκής </w:t>
      </w:r>
      <w:r w:rsidRPr="00B55B4D">
        <w:rPr>
          <w:i/>
          <w:iCs/>
          <w:sz w:val="18"/>
          <w:szCs w:val="18"/>
        </w:rPr>
        <w:t>Κ</w:t>
      </w:r>
      <w:r>
        <w:rPr>
          <w:i/>
          <w:iCs/>
          <w:sz w:val="18"/>
          <w:szCs w:val="18"/>
        </w:rPr>
        <w:t xml:space="preserve">εντρικής </w:t>
      </w:r>
      <w:r w:rsidRPr="00B55B4D">
        <w:rPr>
          <w:i/>
          <w:iCs/>
          <w:sz w:val="18"/>
          <w:szCs w:val="18"/>
        </w:rPr>
        <w:t>Τ</w:t>
      </w:r>
      <w:r>
        <w:rPr>
          <w:i/>
          <w:iCs/>
          <w:sz w:val="18"/>
          <w:szCs w:val="18"/>
        </w:rPr>
        <w:t xml:space="preserve">ράπεζας(ΕΚΤ) </w:t>
      </w:r>
      <w:r w:rsidRPr="00B55B4D">
        <w:rPr>
          <w:i/>
          <w:iCs/>
          <w:sz w:val="18"/>
          <w:szCs w:val="18"/>
        </w:rPr>
        <w:t xml:space="preserve">το </w:t>
      </w:r>
      <w:r>
        <w:rPr>
          <w:i/>
          <w:iCs/>
          <w:sz w:val="18"/>
          <w:szCs w:val="18"/>
        </w:rPr>
        <w:t>3</w:t>
      </w:r>
      <w:r>
        <w:rPr>
          <w:i/>
          <w:iCs/>
          <w:sz w:val="18"/>
          <w:szCs w:val="18"/>
          <w:lang w:val="en-US"/>
        </w:rPr>
        <w:t>o</w:t>
      </w:r>
      <w:r w:rsidRPr="00B55B4D">
        <w:rPr>
          <w:i/>
          <w:iCs/>
          <w:sz w:val="18"/>
          <w:szCs w:val="18"/>
        </w:rPr>
        <w:t xml:space="preserve">τρίμηνο </w:t>
      </w:r>
      <w:r>
        <w:rPr>
          <w:i/>
          <w:iCs/>
          <w:sz w:val="18"/>
          <w:szCs w:val="18"/>
        </w:rPr>
        <w:t>2020</w:t>
      </w:r>
      <w:r w:rsidRPr="00B55B4D">
        <w:rPr>
          <w:i/>
          <w:iCs/>
          <w:sz w:val="18"/>
          <w:szCs w:val="18"/>
        </w:rPr>
        <w:t xml:space="preserve">, </w:t>
      </w:r>
      <w:r>
        <w:rPr>
          <w:i/>
          <w:iCs/>
          <w:sz w:val="18"/>
          <w:szCs w:val="18"/>
        </w:rPr>
        <w:t xml:space="preserve">με τα </w:t>
      </w:r>
      <w:r w:rsidRPr="00B55B4D">
        <w:rPr>
          <w:i/>
          <w:iCs/>
          <w:sz w:val="18"/>
          <w:szCs w:val="18"/>
        </w:rPr>
        <w:t xml:space="preserve">υπόλοιπα TLTRO </w:t>
      </w:r>
      <w:r>
        <w:rPr>
          <w:i/>
          <w:iCs/>
          <w:sz w:val="18"/>
          <w:szCs w:val="18"/>
        </w:rPr>
        <w:t>να διαμορφώνονται σε €</w:t>
      </w:r>
      <w:r w:rsidRPr="00B55B4D">
        <w:rPr>
          <w:i/>
          <w:iCs/>
          <w:sz w:val="18"/>
          <w:szCs w:val="18"/>
        </w:rPr>
        <w:t xml:space="preserve">9δισ. Οι καταθέσεις του ιδιωτικού τομέα αυξήθηκαν κατά </w:t>
      </w:r>
      <w:r>
        <w:rPr>
          <w:i/>
          <w:iCs/>
          <w:sz w:val="18"/>
          <w:szCs w:val="18"/>
        </w:rPr>
        <w:t>€</w:t>
      </w:r>
      <w:r w:rsidRPr="00B55B4D">
        <w:rPr>
          <w:i/>
          <w:iCs/>
          <w:sz w:val="18"/>
          <w:szCs w:val="18"/>
        </w:rPr>
        <w:t>2,3 δισ.</w:t>
      </w:r>
      <w:r>
        <w:rPr>
          <w:i/>
          <w:iCs/>
          <w:sz w:val="18"/>
          <w:szCs w:val="18"/>
        </w:rPr>
        <w:t xml:space="preserve"> από την αρχή του έτους,</w:t>
      </w:r>
      <w:r w:rsidRPr="00B55B4D">
        <w:rPr>
          <w:i/>
          <w:iCs/>
          <w:sz w:val="18"/>
          <w:szCs w:val="18"/>
        </w:rPr>
        <w:t xml:space="preserve"> με το</w:t>
      </w:r>
      <w:r>
        <w:rPr>
          <w:i/>
          <w:iCs/>
          <w:sz w:val="18"/>
          <w:szCs w:val="18"/>
        </w:rPr>
        <w:t>ν</w:t>
      </w:r>
      <w:r w:rsidRPr="009D4107">
        <w:rPr>
          <w:i/>
          <w:iCs/>
          <w:sz w:val="18"/>
          <w:szCs w:val="18"/>
        </w:rPr>
        <w:t xml:space="preserve">δείκτη δανείων μετά από προβλέψεις </w:t>
      </w:r>
      <w:r>
        <w:rPr>
          <w:i/>
          <w:iCs/>
          <w:sz w:val="18"/>
          <w:szCs w:val="18"/>
        </w:rPr>
        <w:t xml:space="preserve">προς καταθέσεις να </w:t>
      </w:r>
      <w:r w:rsidRPr="00B55B4D">
        <w:rPr>
          <w:i/>
          <w:iCs/>
          <w:sz w:val="18"/>
          <w:szCs w:val="18"/>
        </w:rPr>
        <w:t xml:space="preserve">ανέρχεται στο 81% και </w:t>
      </w:r>
      <w:r>
        <w:rPr>
          <w:i/>
          <w:iCs/>
          <w:sz w:val="18"/>
          <w:szCs w:val="18"/>
        </w:rPr>
        <w:t xml:space="preserve">τον </w:t>
      </w:r>
      <w:r w:rsidRPr="00B55B4D">
        <w:rPr>
          <w:i/>
          <w:iCs/>
          <w:sz w:val="18"/>
          <w:szCs w:val="18"/>
        </w:rPr>
        <w:t>δείκτη κάλυψης ρευστότητας σ</w:t>
      </w:r>
      <w:r>
        <w:rPr>
          <w:i/>
          <w:iCs/>
          <w:sz w:val="18"/>
          <w:szCs w:val="18"/>
        </w:rPr>
        <w:t>το</w:t>
      </w:r>
      <w:r w:rsidRPr="00B55B4D">
        <w:rPr>
          <w:i/>
          <w:iCs/>
          <w:sz w:val="18"/>
          <w:szCs w:val="18"/>
        </w:rPr>
        <w:t xml:space="preserve"> 157% τον Σεπτέμβριο2020. </w:t>
      </w:r>
      <w:r>
        <w:rPr>
          <w:i/>
          <w:iCs/>
          <w:sz w:val="18"/>
          <w:szCs w:val="18"/>
        </w:rPr>
        <w:t xml:space="preserve">Αναφορικά με </w:t>
      </w:r>
      <w:r w:rsidRPr="00B55B4D">
        <w:rPr>
          <w:i/>
          <w:iCs/>
          <w:sz w:val="18"/>
          <w:szCs w:val="18"/>
        </w:rPr>
        <w:t>την κεφαλαιακή επάρκεια, ο συνολικός δείκτης κεφαλ</w:t>
      </w:r>
      <w:r>
        <w:rPr>
          <w:i/>
          <w:iCs/>
          <w:sz w:val="18"/>
          <w:szCs w:val="18"/>
        </w:rPr>
        <w:t>αιακής επάρκειας τ</w:t>
      </w:r>
      <w:r w:rsidRPr="00B55B4D">
        <w:rPr>
          <w:i/>
          <w:iCs/>
          <w:sz w:val="18"/>
          <w:szCs w:val="18"/>
        </w:rPr>
        <w:t xml:space="preserve">ης Τράπεζας </w:t>
      </w:r>
      <w:r>
        <w:rPr>
          <w:i/>
          <w:iCs/>
          <w:sz w:val="18"/>
          <w:szCs w:val="18"/>
        </w:rPr>
        <w:t xml:space="preserve">διαμορφώθηκε στο τέλος Σεπτεμβρίου </w:t>
      </w:r>
      <w:r w:rsidRPr="00B55B4D">
        <w:rPr>
          <w:i/>
          <w:iCs/>
          <w:sz w:val="18"/>
          <w:szCs w:val="18"/>
        </w:rPr>
        <w:t>2020</w:t>
      </w:r>
      <w:r>
        <w:rPr>
          <w:i/>
          <w:iCs/>
          <w:sz w:val="18"/>
          <w:szCs w:val="18"/>
        </w:rPr>
        <w:t xml:space="preserve"> σε</w:t>
      </w:r>
      <w:r w:rsidRPr="00EA5B09">
        <w:rPr>
          <w:i/>
          <w:iCs/>
          <w:sz w:val="18"/>
          <w:szCs w:val="18"/>
        </w:rPr>
        <w:t xml:space="preserve">16,1%, ενώ ο δείκτης CET1 σε 14,1% (με σταδιακή εφαρμογή των </w:t>
      </w:r>
      <w:r>
        <w:rPr>
          <w:i/>
          <w:iCs/>
          <w:sz w:val="18"/>
          <w:szCs w:val="18"/>
        </w:rPr>
        <w:t xml:space="preserve">εποπτικών </w:t>
      </w:r>
      <w:r w:rsidRPr="00EA5B09">
        <w:rPr>
          <w:i/>
          <w:iCs/>
          <w:sz w:val="18"/>
          <w:szCs w:val="18"/>
        </w:rPr>
        <w:t>μεταβατικών διατάξεων και για τους δύο δείκτες).</w:t>
      </w:r>
    </w:p>
    <w:p w:rsidR="00322697" w:rsidRDefault="00322697" w:rsidP="00322697">
      <w:pPr>
        <w:spacing w:after="160" w:line="240" w:lineRule="exact"/>
        <w:ind w:left="-284"/>
        <w:jc w:val="both"/>
        <w:rPr>
          <w:i/>
          <w:iCs/>
          <w:sz w:val="18"/>
          <w:szCs w:val="18"/>
        </w:rPr>
      </w:pPr>
      <w:r w:rsidRPr="000F2232">
        <w:rPr>
          <w:i/>
          <w:iCs/>
          <w:sz w:val="18"/>
          <w:szCs w:val="18"/>
        </w:rPr>
        <w:t xml:space="preserve">Πριν από </w:t>
      </w:r>
      <w:r>
        <w:rPr>
          <w:i/>
          <w:iCs/>
          <w:sz w:val="18"/>
          <w:szCs w:val="18"/>
        </w:rPr>
        <w:t xml:space="preserve">μία </w:t>
      </w:r>
      <w:r w:rsidRPr="000F2232">
        <w:rPr>
          <w:i/>
          <w:iCs/>
          <w:sz w:val="18"/>
          <w:szCs w:val="18"/>
        </w:rPr>
        <w:t xml:space="preserve">εβδομάδα </w:t>
      </w:r>
      <w:r>
        <w:rPr>
          <w:i/>
          <w:iCs/>
          <w:sz w:val="18"/>
          <w:szCs w:val="18"/>
        </w:rPr>
        <w:t xml:space="preserve">ενημερώσαμε το </w:t>
      </w:r>
      <w:r w:rsidRPr="000F2232">
        <w:rPr>
          <w:i/>
          <w:iCs/>
          <w:sz w:val="18"/>
          <w:szCs w:val="18"/>
        </w:rPr>
        <w:t>επενδυτικ</w:t>
      </w:r>
      <w:r>
        <w:rPr>
          <w:i/>
          <w:iCs/>
          <w:sz w:val="18"/>
          <w:szCs w:val="18"/>
        </w:rPr>
        <w:t>ό</w:t>
      </w:r>
      <w:r w:rsidRPr="000F2232">
        <w:rPr>
          <w:i/>
          <w:iCs/>
          <w:sz w:val="18"/>
          <w:szCs w:val="18"/>
        </w:rPr>
        <w:t xml:space="preserve"> κοιν</w:t>
      </w:r>
      <w:r>
        <w:rPr>
          <w:i/>
          <w:iCs/>
          <w:sz w:val="18"/>
          <w:szCs w:val="18"/>
        </w:rPr>
        <w:t xml:space="preserve">ό </w:t>
      </w:r>
      <w:r w:rsidRPr="000F2232">
        <w:rPr>
          <w:i/>
          <w:iCs/>
          <w:sz w:val="18"/>
          <w:szCs w:val="18"/>
        </w:rPr>
        <w:t xml:space="preserve">ότι η ΕΚΤ </w:t>
      </w:r>
      <w:r>
        <w:rPr>
          <w:i/>
          <w:iCs/>
          <w:sz w:val="18"/>
          <w:szCs w:val="18"/>
        </w:rPr>
        <w:t xml:space="preserve">σηματοδότησε την πρόθεσή της να μην </w:t>
      </w:r>
      <w:r w:rsidRPr="000F2232">
        <w:rPr>
          <w:i/>
          <w:iCs/>
          <w:sz w:val="18"/>
          <w:szCs w:val="18"/>
        </w:rPr>
        <w:t xml:space="preserve">εγκρίνει το αίτημα της Τράπεζας Πειραιώς για πληρωμή σε μετρητά </w:t>
      </w:r>
      <w:r>
        <w:rPr>
          <w:i/>
          <w:iCs/>
          <w:sz w:val="18"/>
          <w:szCs w:val="18"/>
        </w:rPr>
        <w:t>ύψους €</w:t>
      </w:r>
      <w:r w:rsidRPr="000F2232">
        <w:rPr>
          <w:i/>
          <w:iCs/>
          <w:sz w:val="18"/>
          <w:szCs w:val="18"/>
        </w:rPr>
        <w:t xml:space="preserve">165εκατ.του ετήσιου </w:t>
      </w:r>
      <w:r>
        <w:rPr>
          <w:i/>
          <w:iCs/>
          <w:sz w:val="18"/>
          <w:szCs w:val="18"/>
        </w:rPr>
        <w:t xml:space="preserve">τοκομεριδίουτωνυπό Αίρεση Μετατρέψιμων Ομολόγων </w:t>
      </w:r>
      <w:r w:rsidRPr="000F2232">
        <w:rPr>
          <w:i/>
          <w:iCs/>
          <w:sz w:val="18"/>
          <w:szCs w:val="18"/>
        </w:rPr>
        <w:t>(</w:t>
      </w:r>
      <w:r w:rsidRPr="000F2232">
        <w:rPr>
          <w:i/>
          <w:iCs/>
          <w:sz w:val="18"/>
          <w:szCs w:val="18"/>
          <w:lang w:val="en-GB"/>
        </w:rPr>
        <w:t>CoCo</w:t>
      </w:r>
      <w:r w:rsidRPr="000F2232">
        <w:rPr>
          <w:i/>
          <w:iCs/>
          <w:sz w:val="18"/>
          <w:szCs w:val="18"/>
        </w:rPr>
        <w:t xml:space="preserve">). Η </w:t>
      </w:r>
      <w:r>
        <w:rPr>
          <w:i/>
          <w:iCs/>
          <w:sz w:val="18"/>
          <w:szCs w:val="18"/>
        </w:rPr>
        <w:t xml:space="preserve">τελική </w:t>
      </w:r>
      <w:r w:rsidRPr="000F2232">
        <w:rPr>
          <w:i/>
          <w:iCs/>
          <w:sz w:val="18"/>
          <w:szCs w:val="18"/>
        </w:rPr>
        <w:t>απόφαση του Διοικητικού Συμβουλίου της ΕΚΤ επιβεβαίωσε αυτή τη</w:t>
      </w:r>
      <w:r>
        <w:rPr>
          <w:i/>
          <w:iCs/>
          <w:sz w:val="18"/>
          <w:szCs w:val="18"/>
        </w:rPr>
        <w:t>ν έκβαση</w:t>
      </w:r>
      <w:r w:rsidRPr="000F2232">
        <w:rPr>
          <w:i/>
          <w:iCs/>
          <w:sz w:val="18"/>
          <w:szCs w:val="18"/>
        </w:rPr>
        <w:t>. Το Δι</w:t>
      </w:r>
      <w:r>
        <w:rPr>
          <w:i/>
          <w:iCs/>
          <w:sz w:val="18"/>
          <w:szCs w:val="18"/>
        </w:rPr>
        <w:t xml:space="preserve">οικητικό Συμβούλιο της Τράπεζας, κατά </w:t>
      </w:r>
      <w:r w:rsidRPr="000F2232">
        <w:rPr>
          <w:i/>
          <w:iCs/>
          <w:sz w:val="18"/>
          <w:szCs w:val="18"/>
        </w:rPr>
        <w:t xml:space="preserve">τη σημερινή του συνεδρίαση, αφού εξέτασε τις διαθέσιμες επιλογές, </w:t>
      </w:r>
      <w:r>
        <w:rPr>
          <w:i/>
          <w:iCs/>
          <w:sz w:val="18"/>
          <w:szCs w:val="18"/>
        </w:rPr>
        <w:t xml:space="preserve">αποφάσισε, εξασκώντας </w:t>
      </w:r>
      <w:r w:rsidRPr="000F2232">
        <w:rPr>
          <w:i/>
          <w:iCs/>
          <w:sz w:val="18"/>
          <w:szCs w:val="18"/>
        </w:rPr>
        <w:t xml:space="preserve">τη διακριτική του </w:t>
      </w:r>
      <w:r>
        <w:rPr>
          <w:i/>
          <w:iCs/>
          <w:sz w:val="18"/>
          <w:szCs w:val="18"/>
        </w:rPr>
        <w:t>ευχέρεια</w:t>
      </w:r>
      <w:r w:rsidRPr="000F2232">
        <w:rPr>
          <w:i/>
          <w:iCs/>
          <w:sz w:val="18"/>
          <w:szCs w:val="18"/>
        </w:rPr>
        <w:t xml:space="preserve"> σύμφωνα με τους σχετικούς όρους του προγράμματος </w:t>
      </w:r>
      <w:r w:rsidRPr="000F2232">
        <w:rPr>
          <w:i/>
          <w:iCs/>
          <w:sz w:val="18"/>
          <w:szCs w:val="18"/>
          <w:lang w:val="en-GB"/>
        </w:rPr>
        <w:t>CoCo</w:t>
      </w:r>
      <w:r>
        <w:rPr>
          <w:i/>
          <w:iCs/>
          <w:sz w:val="18"/>
          <w:szCs w:val="18"/>
        </w:rPr>
        <w:t>,</w:t>
      </w:r>
      <w:r w:rsidRPr="000F2232">
        <w:rPr>
          <w:i/>
          <w:iCs/>
          <w:sz w:val="18"/>
          <w:szCs w:val="18"/>
        </w:rPr>
        <w:t xml:space="preserve"> να ακυρώσει </w:t>
      </w:r>
      <w:r>
        <w:rPr>
          <w:i/>
          <w:iCs/>
          <w:sz w:val="18"/>
          <w:szCs w:val="18"/>
        </w:rPr>
        <w:t xml:space="preserve">την πληρωμή </w:t>
      </w:r>
      <w:r w:rsidRPr="000F2232">
        <w:rPr>
          <w:i/>
          <w:iCs/>
          <w:sz w:val="18"/>
          <w:szCs w:val="18"/>
        </w:rPr>
        <w:t>τ</w:t>
      </w:r>
      <w:r>
        <w:rPr>
          <w:i/>
          <w:iCs/>
          <w:sz w:val="18"/>
          <w:szCs w:val="18"/>
        </w:rPr>
        <w:t>ου</w:t>
      </w:r>
      <w:r w:rsidRPr="000F2232">
        <w:rPr>
          <w:i/>
          <w:iCs/>
          <w:sz w:val="18"/>
          <w:szCs w:val="18"/>
        </w:rPr>
        <w:t xml:space="preserve"> τ</w:t>
      </w:r>
      <w:r>
        <w:rPr>
          <w:i/>
          <w:iCs/>
          <w:sz w:val="18"/>
          <w:szCs w:val="18"/>
          <w:lang w:val="en-US"/>
        </w:rPr>
        <w:t>o</w:t>
      </w:r>
      <w:r>
        <w:rPr>
          <w:i/>
          <w:iCs/>
          <w:sz w:val="18"/>
          <w:szCs w:val="18"/>
        </w:rPr>
        <w:t xml:space="preserve">κομεριδίου του </w:t>
      </w:r>
      <w:r w:rsidRPr="000F2232">
        <w:rPr>
          <w:i/>
          <w:iCs/>
          <w:sz w:val="18"/>
          <w:szCs w:val="18"/>
          <w:lang w:val="en-GB"/>
        </w:rPr>
        <w:t>CoCo</w:t>
      </w:r>
      <w:r>
        <w:rPr>
          <w:i/>
          <w:iCs/>
          <w:sz w:val="18"/>
          <w:szCs w:val="18"/>
        </w:rPr>
        <w:t xml:space="preserve"> που είναιπληρωτέο </w:t>
      </w:r>
      <w:r w:rsidRPr="000F2232">
        <w:rPr>
          <w:i/>
          <w:iCs/>
          <w:sz w:val="18"/>
          <w:szCs w:val="18"/>
        </w:rPr>
        <w:t xml:space="preserve">στις 2 Δεκεμβρίου 2020. </w:t>
      </w:r>
      <w:r>
        <w:rPr>
          <w:i/>
          <w:iCs/>
          <w:sz w:val="18"/>
          <w:szCs w:val="18"/>
        </w:rPr>
        <w:t>Το γεγονός αυτό θ</w:t>
      </w:r>
      <w:r w:rsidRPr="000F2232">
        <w:rPr>
          <w:i/>
          <w:iCs/>
          <w:sz w:val="18"/>
          <w:szCs w:val="18"/>
        </w:rPr>
        <w:t xml:space="preserve">α οδηγήσει </w:t>
      </w:r>
      <w:r>
        <w:rPr>
          <w:i/>
          <w:iCs/>
          <w:sz w:val="18"/>
          <w:szCs w:val="18"/>
        </w:rPr>
        <w:t>σε</w:t>
      </w:r>
      <w:r w:rsidRPr="000F2232">
        <w:rPr>
          <w:i/>
          <w:iCs/>
          <w:sz w:val="18"/>
          <w:szCs w:val="18"/>
        </w:rPr>
        <w:t xml:space="preserve"> μετατροπή</w:t>
      </w:r>
      <w:r>
        <w:rPr>
          <w:i/>
          <w:iCs/>
          <w:sz w:val="18"/>
          <w:szCs w:val="18"/>
        </w:rPr>
        <w:t xml:space="preserve"> της συνολικής έκδοσης</w:t>
      </w:r>
      <w:r w:rsidRPr="000F2232">
        <w:rPr>
          <w:i/>
          <w:iCs/>
          <w:sz w:val="18"/>
          <w:szCs w:val="18"/>
        </w:rPr>
        <w:t xml:space="preserve"> του </w:t>
      </w:r>
      <w:r w:rsidRPr="000F2232">
        <w:rPr>
          <w:i/>
          <w:iCs/>
          <w:sz w:val="18"/>
          <w:szCs w:val="18"/>
          <w:lang w:val="en-GB"/>
        </w:rPr>
        <w:t>CoCo</w:t>
      </w:r>
      <w:r w:rsidRPr="00EC26DF">
        <w:rPr>
          <w:i/>
          <w:iCs/>
          <w:sz w:val="18"/>
          <w:szCs w:val="18"/>
        </w:rPr>
        <w:t xml:space="preserve">ύψους </w:t>
      </w:r>
      <w:r>
        <w:rPr>
          <w:i/>
          <w:iCs/>
          <w:sz w:val="18"/>
          <w:szCs w:val="18"/>
        </w:rPr>
        <w:t>€</w:t>
      </w:r>
      <w:r w:rsidRPr="00EC26DF">
        <w:rPr>
          <w:i/>
          <w:iCs/>
          <w:sz w:val="18"/>
          <w:szCs w:val="18"/>
        </w:rPr>
        <w:t xml:space="preserve">2δισ. </w:t>
      </w:r>
      <w:r w:rsidRPr="000F2232">
        <w:rPr>
          <w:i/>
          <w:iCs/>
          <w:sz w:val="18"/>
          <w:szCs w:val="18"/>
        </w:rPr>
        <w:t xml:space="preserve">σε κοινές μετοχές της Τράπεζας, αυξάνοντας το ποσοστό συμμετοχής του </w:t>
      </w:r>
      <w:r w:rsidRPr="000F2232">
        <w:rPr>
          <w:i/>
          <w:iCs/>
          <w:sz w:val="18"/>
          <w:szCs w:val="18"/>
        </w:rPr>
        <w:lastRenderedPageBreak/>
        <w:t>Ταμείου Χρηματο</w:t>
      </w:r>
      <w:r>
        <w:rPr>
          <w:i/>
          <w:iCs/>
          <w:sz w:val="18"/>
          <w:szCs w:val="18"/>
        </w:rPr>
        <w:t xml:space="preserve">πιστωτικής </w:t>
      </w:r>
      <w:r w:rsidRPr="000F2232">
        <w:rPr>
          <w:i/>
          <w:iCs/>
          <w:sz w:val="18"/>
          <w:szCs w:val="18"/>
        </w:rPr>
        <w:t xml:space="preserve">Σταθερότητας </w:t>
      </w:r>
      <w:r>
        <w:rPr>
          <w:i/>
          <w:iCs/>
          <w:sz w:val="18"/>
          <w:szCs w:val="18"/>
        </w:rPr>
        <w:t xml:space="preserve">στο μετοχικό κεφάλαιο της Τράπεζας </w:t>
      </w:r>
      <w:r w:rsidRPr="000F2232">
        <w:rPr>
          <w:i/>
          <w:iCs/>
          <w:sz w:val="18"/>
          <w:szCs w:val="18"/>
        </w:rPr>
        <w:t xml:space="preserve">σε 61% από 26% </w:t>
      </w:r>
      <w:r>
        <w:rPr>
          <w:i/>
          <w:iCs/>
          <w:sz w:val="18"/>
          <w:szCs w:val="18"/>
        </w:rPr>
        <w:t xml:space="preserve"> που είναι σήμερα</w:t>
      </w:r>
      <w:r w:rsidRPr="000F2232">
        <w:rPr>
          <w:i/>
          <w:iCs/>
          <w:sz w:val="18"/>
          <w:szCs w:val="18"/>
        </w:rPr>
        <w:t xml:space="preserve">. </w:t>
      </w:r>
    </w:p>
    <w:p w:rsidR="00322697" w:rsidRPr="000F2232" w:rsidRDefault="00FE02A1" w:rsidP="00322697">
      <w:pPr>
        <w:spacing w:after="160" w:line="240" w:lineRule="exact"/>
        <w:ind w:left="-284"/>
        <w:jc w:val="both"/>
        <w:rPr>
          <w:i/>
          <w:iCs/>
          <w:sz w:val="18"/>
          <w:szCs w:val="18"/>
        </w:rPr>
      </w:pPr>
      <w:r w:rsidRPr="00FE02A1">
        <w:rPr>
          <w:rFonts w:eastAsia="Times New Roman" w:cs="Calibri"/>
          <w:b/>
          <w:noProof/>
          <w:color w:val="FF0000"/>
          <w:sz w:val="28"/>
          <w:szCs w:val="28"/>
          <w:lang w:eastAsia="el-GR"/>
        </w:rPr>
        <w:pict>
          <v:rect id="_x0000_s1029" style="position:absolute;left:0;text-align:left;margin-left:0;margin-top:-9.4pt;width:557pt;height:694.95pt;z-index:-2515179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" fillcolor="#e6e6e1" stroked="f">
            <o:lock v:ext="edit" aspectratio="t"/>
            <v:textbox>
              <w:txbxContent>
                <w:p w:rsidR="004C55D3" w:rsidRDefault="004C55D3" w:rsidP="00322697"/>
              </w:txbxContent>
            </v:textbox>
            <w10:wrap anchorx="page"/>
          </v:rect>
        </w:pict>
      </w:r>
      <w:r w:rsidR="00322697" w:rsidRPr="000F2232">
        <w:rPr>
          <w:i/>
          <w:iCs/>
          <w:sz w:val="18"/>
          <w:szCs w:val="18"/>
        </w:rPr>
        <w:t xml:space="preserve">Αυτή η εξέλιξη θα ενισχύσει την </w:t>
      </w:r>
      <w:r w:rsidR="00322697">
        <w:rPr>
          <w:i/>
          <w:iCs/>
          <w:sz w:val="18"/>
          <w:szCs w:val="18"/>
        </w:rPr>
        <w:t xml:space="preserve">κεφαλαιακή </w:t>
      </w:r>
      <w:r w:rsidR="00322697" w:rsidRPr="000F2232">
        <w:rPr>
          <w:i/>
          <w:iCs/>
          <w:sz w:val="18"/>
          <w:szCs w:val="18"/>
        </w:rPr>
        <w:t xml:space="preserve">πορεία της Τράπεζας, επιτρέποντάς της να εντείνει τις προσπάθειές της </w:t>
      </w:r>
      <w:r w:rsidR="00322697">
        <w:rPr>
          <w:i/>
          <w:iCs/>
          <w:sz w:val="18"/>
          <w:szCs w:val="18"/>
        </w:rPr>
        <w:t>για εξυγίανση του ΝΡΕ ενεργητικού</w:t>
      </w:r>
      <w:r w:rsidR="00322697" w:rsidRPr="000F2232">
        <w:rPr>
          <w:i/>
          <w:iCs/>
          <w:sz w:val="18"/>
          <w:szCs w:val="18"/>
        </w:rPr>
        <w:t xml:space="preserve">, παράλληλα με την </w:t>
      </w:r>
      <w:r w:rsidR="00322697">
        <w:rPr>
          <w:i/>
          <w:iCs/>
          <w:sz w:val="18"/>
          <w:szCs w:val="18"/>
        </w:rPr>
        <w:t>εκτέλεση</w:t>
      </w:r>
      <w:r w:rsidR="00322697" w:rsidRPr="000F2232">
        <w:rPr>
          <w:i/>
          <w:iCs/>
          <w:sz w:val="18"/>
          <w:szCs w:val="18"/>
        </w:rPr>
        <w:t xml:space="preserve"> του σχεδίου </w:t>
      </w:r>
      <w:r w:rsidR="00322697">
        <w:rPr>
          <w:i/>
          <w:iCs/>
          <w:sz w:val="18"/>
          <w:szCs w:val="18"/>
        </w:rPr>
        <w:t>για τον λειτουργικό της μετασχηματισμό</w:t>
      </w:r>
      <w:r w:rsidR="00322697" w:rsidRPr="000F2232">
        <w:rPr>
          <w:i/>
          <w:iCs/>
          <w:sz w:val="18"/>
          <w:szCs w:val="18"/>
        </w:rPr>
        <w:t>.</w:t>
      </w:r>
    </w:p>
    <w:p w:rsidR="00322697" w:rsidRPr="00C75B77" w:rsidRDefault="00322697" w:rsidP="00322697">
      <w:pPr>
        <w:spacing w:after="160" w:line="240" w:lineRule="exact"/>
        <w:ind w:left="-284"/>
        <w:jc w:val="both"/>
        <w:rPr>
          <w:i/>
          <w:iCs/>
          <w:sz w:val="18"/>
          <w:szCs w:val="18"/>
        </w:rPr>
      </w:pPr>
      <w:r w:rsidRPr="00C75B77">
        <w:rPr>
          <w:i/>
          <w:iCs/>
          <w:sz w:val="18"/>
          <w:szCs w:val="18"/>
        </w:rPr>
        <w:t xml:space="preserve">Σήμερα, </w:t>
      </w:r>
      <w:r>
        <w:rPr>
          <w:i/>
          <w:iCs/>
          <w:sz w:val="18"/>
          <w:szCs w:val="18"/>
        </w:rPr>
        <w:t>παρουσιάζουμε</w:t>
      </w:r>
      <w:r w:rsidRPr="00C75B77">
        <w:rPr>
          <w:i/>
          <w:iCs/>
          <w:sz w:val="18"/>
          <w:szCs w:val="18"/>
        </w:rPr>
        <w:t xml:space="preserve"> στ</w:t>
      </w:r>
      <w:r>
        <w:rPr>
          <w:i/>
          <w:iCs/>
          <w:sz w:val="18"/>
          <w:szCs w:val="18"/>
        </w:rPr>
        <w:t xml:space="preserve">οεπενδυτικό κοινό </w:t>
      </w:r>
      <w:r w:rsidRPr="00C75B77">
        <w:rPr>
          <w:i/>
          <w:iCs/>
          <w:sz w:val="18"/>
          <w:szCs w:val="18"/>
        </w:rPr>
        <w:t>τις νέες</w:t>
      </w:r>
      <w:r>
        <w:rPr>
          <w:i/>
          <w:iCs/>
          <w:sz w:val="18"/>
          <w:szCs w:val="18"/>
        </w:rPr>
        <w:t xml:space="preserve"> πρωτοβουλίες μας </w:t>
      </w:r>
      <w:r w:rsidRPr="00C75B77">
        <w:rPr>
          <w:i/>
          <w:iCs/>
          <w:sz w:val="18"/>
          <w:szCs w:val="18"/>
        </w:rPr>
        <w:t>για το 2021, οι οποίες περιλαμβάνουν δράσεις κεφαλαιακ</w:t>
      </w:r>
      <w:r>
        <w:rPr>
          <w:i/>
          <w:iCs/>
          <w:sz w:val="18"/>
          <w:szCs w:val="18"/>
        </w:rPr>
        <w:t xml:space="preserve">ής ενίσχυσης, που </w:t>
      </w:r>
      <w:r w:rsidR="00997D49">
        <w:rPr>
          <w:i/>
          <w:iCs/>
          <w:sz w:val="18"/>
          <w:szCs w:val="18"/>
        </w:rPr>
        <w:t>έ</w:t>
      </w:r>
      <w:r>
        <w:rPr>
          <w:i/>
          <w:iCs/>
          <w:sz w:val="18"/>
          <w:szCs w:val="18"/>
        </w:rPr>
        <w:t xml:space="preserve">ως το τέλος 2021 θα </w:t>
      </w:r>
      <w:r w:rsidRPr="00C75B77">
        <w:rPr>
          <w:i/>
          <w:iCs/>
          <w:sz w:val="18"/>
          <w:szCs w:val="18"/>
        </w:rPr>
        <w:t xml:space="preserve">συνεισφέρουν περίπου </w:t>
      </w:r>
      <w:r>
        <w:rPr>
          <w:i/>
          <w:iCs/>
          <w:sz w:val="18"/>
          <w:szCs w:val="18"/>
        </w:rPr>
        <w:t>€</w:t>
      </w:r>
      <w:r w:rsidRPr="00C75B77">
        <w:rPr>
          <w:i/>
          <w:iCs/>
          <w:sz w:val="18"/>
          <w:szCs w:val="18"/>
        </w:rPr>
        <w:t xml:space="preserve">1δισ. </w:t>
      </w:r>
      <w:r>
        <w:rPr>
          <w:i/>
          <w:iCs/>
          <w:sz w:val="18"/>
          <w:szCs w:val="18"/>
        </w:rPr>
        <w:t>επιπρόσθετων</w:t>
      </w:r>
      <w:r w:rsidRPr="00C75B77">
        <w:rPr>
          <w:i/>
          <w:iCs/>
          <w:sz w:val="18"/>
          <w:szCs w:val="18"/>
        </w:rPr>
        <w:t xml:space="preserve"> κεφαλ</w:t>
      </w:r>
      <w:r>
        <w:rPr>
          <w:i/>
          <w:iCs/>
          <w:sz w:val="18"/>
          <w:szCs w:val="18"/>
        </w:rPr>
        <w:t>αίων</w:t>
      </w:r>
      <w:r w:rsidRPr="00C75B77">
        <w:rPr>
          <w:i/>
          <w:iCs/>
          <w:sz w:val="18"/>
          <w:szCs w:val="18"/>
        </w:rPr>
        <w:t xml:space="preserve">, </w:t>
      </w:r>
      <w:r w:rsidR="00941BFC">
        <w:rPr>
          <w:i/>
          <w:iCs/>
          <w:sz w:val="18"/>
          <w:szCs w:val="18"/>
        </w:rPr>
        <w:t>συμπεριλαμβάνοντας</w:t>
      </w:r>
      <w:r>
        <w:rPr>
          <w:i/>
          <w:iCs/>
          <w:sz w:val="18"/>
          <w:szCs w:val="18"/>
        </w:rPr>
        <w:t xml:space="preserve"> την κεφαλαιακή </w:t>
      </w:r>
      <w:r w:rsidRPr="00C75B77">
        <w:rPr>
          <w:i/>
          <w:iCs/>
          <w:sz w:val="18"/>
          <w:szCs w:val="18"/>
        </w:rPr>
        <w:t>εξοικονόμηση</w:t>
      </w:r>
      <w:r>
        <w:rPr>
          <w:i/>
          <w:iCs/>
          <w:sz w:val="18"/>
          <w:szCs w:val="18"/>
        </w:rPr>
        <w:t xml:space="preserve"> απότα μη οφειλόμενα πλέον τοκομερίδια </w:t>
      </w:r>
      <w:r w:rsidRPr="00C75B77">
        <w:rPr>
          <w:i/>
          <w:iCs/>
          <w:sz w:val="18"/>
          <w:szCs w:val="18"/>
          <w:lang w:val="en-GB"/>
        </w:rPr>
        <w:t>CoCo</w:t>
      </w:r>
      <w:r>
        <w:rPr>
          <w:i/>
          <w:iCs/>
          <w:sz w:val="18"/>
          <w:szCs w:val="18"/>
        </w:rPr>
        <w:t>. Το γεγονός αυτό θα επιτρέψει στην Τράπεζα να επιταχύνει ουσιωδώς</w:t>
      </w:r>
      <w:r w:rsidRPr="00C75B77">
        <w:rPr>
          <w:i/>
          <w:iCs/>
          <w:sz w:val="18"/>
          <w:szCs w:val="18"/>
        </w:rPr>
        <w:t xml:space="preserve"> το </w:t>
      </w:r>
      <w:r>
        <w:rPr>
          <w:i/>
          <w:iCs/>
          <w:sz w:val="18"/>
          <w:szCs w:val="18"/>
        </w:rPr>
        <w:t>σχέδιο εξυγίανσης των στοιχείων ΝΡΕ ενεργητικού της</w:t>
      </w:r>
      <w:r w:rsidRPr="00C75B77">
        <w:rPr>
          <w:i/>
          <w:iCs/>
          <w:sz w:val="18"/>
          <w:szCs w:val="18"/>
        </w:rPr>
        <w:t xml:space="preserve">. </w:t>
      </w:r>
      <w:r w:rsidR="00BB0857">
        <w:rPr>
          <w:i/>
          <w:iCs/>
          <w:sz w:val="18"/>
          <w:szCs w:val="18"/>
        </w:rPr>
        <w:t xml:space="preserve">Ενδεικτικά, τα εν λόγω </w:t>
      </w:r>
      <w:r>
        <w:rPr>
          <w:i/>
          <w:iCs/>
          <w:sz w:val="18"/>
          <w:szCs w:val="18"/>
        </w:rPr>
        <w:t>κεφάλαια ύψους €1δισ. θα διευκολύνουν επιπρόσθετη απο</w:t>
      </w:r>
      <w:r w:rsidRPr="00C75B77">
        <w:rPr>
          <w:i/>
          <w:iCs/>
          <w:sz w:val="18"/>
          <w:szCs w:val="18"/>
        </w:rPr>
        <w:t>αναγνώριση</w:t>
      </w:r>
      <w:r>
        <w:rPr>
          <w:i/>
          <w:iCs/>
          <w:sz w:val="18"/>
          <w:szCs w:val="18"/>
        </w:rPr>
        <w:t>€5δισ ΜΕΑ περίπου, επιπλέον των €</w:t>
      </w:r>
      <w:r w:rsidRPr="00C75B77">
        <w:rPr>
          <w:i/>
          <w:iCs/>
          <w:sz w:val="18"/>
          <w:szCs w:val="18"/>
        </w:rPr>
        <w:t xml:space="preserve">7δισ. </w:t>
      </w:r>
      <w:r>
        <w:rPr>
          <w:i/>
          <w:iCs/>
          <w:sz w:val="18"/>
          <w:szCs w:val="18"/>
        </w:rPr>
        <w:t>τιτλοποιήσεων (</w:t>
      </w:r>
      <w:r>
        <w:rPr>
          <w:i/>
          <w:iCs/>
          <w:sz w:val="18"/>
          <w:szCs w:val="18"/>
          <w:lang w:val="en-US"/>
        </w:rPr>
        <w:t>Phoenix</w:t>
      </w:r>
      <w:r w:rsidRPr="003944DF">
        <w:rPr>
          <w:i/>
          <w:iCs/>
          <w:sz w:val="18"/>
          <w:szCs w:val="18"/>
        </w:rPr>
        <w:t>&amp;</w:t>
      </w:r>
      <w:r>
        <w:rPr>
          <w:i/>
          <w:iCs/>
          <w:sz w:val="18"/>
          <w:szCs w:val="18"/>
          <w:lang w:val="en-US"/>
        </w:rPr>
        <w:t>Vega</w:t>
      </w:r>
      <w:r>
        <w:rPr>
          <w:i/>
          <w:iCs/>
          <w:sz w:val="18"/>
          <w:szCs w:val="18"/>
        </w:rPr>
        <w:t xml:space="preserve">) του προγράμματος </w:t>
      </w:r>
      <w:r>
        <w:rPr>
          <w:rFonts w:cstheme="minorHAnsi"/>
          <w:i/>
          <w:iCs/>
          <w:sz w:val="18"/>
          <w:szCs w:val="18"/>
        </w:rPr>
        <w:t>«</w:t>
      </w:r>
      <w:r>
        <w:rPr>
          <w:i/>
          <w:iCs/>
          <w:sz w:val="18"/>
          <w:szCs w:val="18"/>
        </w:rPr>
        <w:t>Ηρακλή</w:t>
      </w:r>
      <w:r>
        <w:rPr>
          <w:rFonts w:cstheme="minorHAnsi"/>
          <w:i/>
          <w:iCs/>
          <w:sz w:val="18"/>
          <w:szCs w:val="18"/>
        </w:rPr>
        <w:t>»</w:t>
      </w:r>
      <w:r>
        <w:rPr>
          <w:i/>
          <w:iCs/>
          <w:sz w:val="18"/>
          <w:szCs w:val="18"/>
        </w:rPr>
        <w:t xml:space="preserve"> που ήδη</w:t>
      </w:r>
      <w:r w:rsidRPr="00C75B77">
        <w:rPr>
          <w:i/>
          <w:iCs/>
          <w:sz w:val="18"/>
          <w:szCs w:val="18"/>
        </w:rPr>
        <w:t xml:space="preserve"> βρίσκονται σε εξέλιξη.</w:t>
      </w:r>
    </w:p>
    <w:p w:rsidR="00322697" w:rsidRPr="00605164" w:rsidRDefault="00C5331E" w:rsidP="00322697">
      <w:pPr>
        <w:spacing w:after="160" w:line="240" w:lineRule="exact"/>
        <w:ind w:left="-284"/>
        <w:jc w:val="both"/>
        <w:rPr>
          <w:i/>
          <w:iCs/>
          <w:sz w:val="18"/>
          <w:szCs w:val="18"/>
        </w:rPr>
      </w:pPr>
      <w:r w:rsidRPr="00605164">
        <w:rPr>
          <w:i/>
          <w:iCs/>
          <w:sz w:val="18"/>
          <w:szCs w:val="18"/>
        </w:rPr>
        <w:t xml:space="preserve">Παραμένουμε </w:t>
      </w:r>
      <w:r>
        <w:rPr>
          <w:i/>
          <w:iCs/>
          <w:sz w:val="18"/>
          <w:szCs w:val="18"/>
        </w:rPr>
        <w:t xml:space="preserve">πιο προσηλωμένοιαπό ποτέ </w:t>
      </w:r>
      <w:r w:rsidRPr="00605164">
        <w:rPr>
          <w:i/>
          <w:iCs/>
          <w:sz w:val="18"/>
          <w:szCs w:val="18"/>
        </w:rPr>
        <w:t>στ</w:t>
      </w:r>
      <w:r>
        <w:rPr>
          <w:i/>
          <w:iCs/>
          <w:sz w:val="18"/>
          <w:szCs w:val="18"/>
        </w:rPr>
        <w:t>ον στόχο μας</w:t>
      </w:r>
      <w:r w:rsidRPr="00605164">
        <w:rPr>
          <w:i/>
          <w:iCs/>
          <w:sz w:val="18"/>
          <w:szCs w:val="18"/>
        </w:rPr>
        <w:t xml:space="preserve"> για μ</w:t>
      </w:r>
      <w:r>
        <w:rPr>
          <w:i/>
          <w:iCs/>
          <w:sz w:val="18"/>
          <w:szCs w:val="18"/>
        </w:rPr>
        <w:t>ιααποτελεσματική</w:t>
      </w:r>
      <w:r w:rsidRPr="00605164">
        <w:rPr>
          <w:i/>
          <w:iCs/>
          <w:sz w:val="18"/>
          <w:szCs w:val="18"/>
        </w:rPr>
        <w:t xml:space="preserve">, </w:t>
      </w:r>
      <w:r w:rsidRPr="003944DF">
        <w:rPr>
          <w:i/>
          <w:iCs/>
          <w:sz w:val="18"/>
          <w:szCs w:val="18"/>
        </w:rPr>
        <w:t>λιτά διαρθρωμένη, πλήρως</w:t>
      </w:r>
      <w:r>
        <w:rPr>
          <w:i/>
          <w:iCs/>
          <w:sz w:val="18"/>
          <w:szCs w:val="18"/>
        </w:rPr>
        <w:t xml:space="preserve"> εξυγιασμένη </w:t>
      </w:r>
      <w:r w:rsidRPr="00605164">
        <w:rPr>
          <w:i/>
          <w:iCs/>
          <w:sz w:val="18"/>
          <w:szCs w:val="18"/>
        </w:rPr>
        <w:t xml:space="preserve">και κερδοφόρα τράπεζα, </w:t>
      </w:r>
      <w:r>
        <w:rPr>
          <w:i/>
          <w:iCs/>
          <w:sz w:val="18"/>
          <w:szCs w:val="18"/>
        </w:rPr>
        <w:t xml:space="preserve">που θα </w:t>
      </w:r>
      <w:r w:rsidRPr="00605164">
        <w:rPr>
          <w:i/>
          <w:iCs/>
          <w:sz w:val="18"/>
          <w:szCs w:val="18"/>
        </w:rPr>
        <w:t>λειτουργ</w:t>
      </w:r>
      <w:r>
        <w:rPr>
          <w:i/>
          <w:iCs/>
          <w:sz w:val="18"/>
          <w:szCs w:val="18"/>
        </w:rPr>
        <w:t>εί</w:t>
      </w:r>
      <w:r w:rsidRPr="00605164">
        <w:rPr>
          <w:i/>
          <w:iCs/>
          <w:sz w:val="18"/>
          <w:szCs w:val="18"/>
        </w:rPr>
        <w:t xml:space="preserve"> προς όφελος των πελατών μας, παρέχοντας αποδόσεις στους επενδυτές μας και προσθέ</w:t>
      </w:r>
      <w:r>
        <w:rPr>
          <w:i/>
          <w:iCs/>
          <w:sz w:val="18"/>
          <w:szCs w:val="18"/>
        </w:rPr>
        <w:t>τοντας αξία στους ανθρώπους μας και στο κοινωνικό σύνολο.</w:t>
      </w:r>
      <w:r w:rsidR="00322697">
        <w:rPr>
          <w:i/>
          <w:iCs/>
          <w:sz w:val="18"/>
          <w:szCs w:val="18"/>
        </w:rPr>
        <w:t>»</w:t>
      </w:r>
    </w:p>
    <w:p w:rsidR="00322697" w:rsidRPr="00AD3494" w:rsidRDefault="00322697" w:rsidP="00322697">
      <w:pPr>
        <w:spacing w:after="160" w:line="240" w:lineRule="exact"/>
        <w:ind w:left="2880" w:firstLine="720"/>
        <w:jc w:val="right"/>
        <w:rPr>
          <w:rFonts w:eastAsia="Times New Roman" w:cstheme="minorHAnsi"/>
          <w:color w:val="FF0000"/>
          <w:sz w:val="18"/>
          <w:szCs w:val="18"/>
          <w:lang w:val="en-US"/>
        </w:rPr>
      </w:pPr>
      <w:r>
        <w:rPr>
          <w:i/>
          <w:iCs/>
          <w:sz w:val="18"/>
          <w:szCs w:val="18"/>
        </w:rPr>
        <w:t>Χρήστος Μεγάλου,Διευθύνων Σύμβουλος</w:t>
      </w: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BC7F73" w:rsidRDefault="00BC7F73" w:rsidP="004D39DA">
      <w:pPr>
        <w:spacing w:after="160" w:line="240" w:lineRule="exact"/>
        <w:ind w:left="2880" w:firstLine="720"/>
        <w:jc w:val="right"/>
        <w:rPr>
          <w:i/>
          <w:iCs/>
          <w:sz w:val="18"/>
          <w:szCs w:val="18"/>
          <w:lang w:val="en-GB"/>
        </w:rPr>
      </w:pPr>
    </w:p>
    <w:p w:rsidR="0091390A" w:rsidRPr="00013051" w:rsidRDefault="0091390A" w:rsidP="007A260F">
      <w:pPr>
        <w:spacing w:after="0" w:line="260" w:lineRule="exact"/>
        <w:jc w:val="right"/>
        <w:rPr>
          <w:rFonts w:eastAsia="Times New Roman" w:cstheme="minorHAnsi"/>
          <w:b/>
          <w:color w:val="FF0000"/>
          <w:sz w:val="19"/>
          <w:szCs w:val="19"/>
          <w:lang w:val="en-US"/>
        </w:rPr>
      </w:pPr>
    </w:p>
    <w:tbl>
      <w:tblPr>
        <w:tblStyle w:val="TableGrid1"/>
        <w:tblpPr w:leftFromText="180" w:rightFromText="180" w:vertAnchor="text" w:horzAnchor="page" w:tblpX="2191" w:tblpY="72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85"/>
        <w:gridCol w:w="7087"/>
      </w:tblGrid>
      <w:tr w:rsidR="00CD2E41" w:rsidRPr="00B33004" w:rsidTr="00387895">
        <w:trPr>
          <w:trHeight w:val="2210"/>
        </w:trPr>
        <w:tc>
          <w:tcPr>
            <w:tcW w:w="1985" w:type="dxa"/>
            <w:tcMar>
              <w:top w:w="57" w:type="dxa"/>
              <w:bottom w:w="57" w:type="dxa"/>
            </w:tcMar>
          </w:tcPr>
          <w:p w:rsidR="004B4545" w:rsidRPr="00B33004" w:rsidRDefault="008D68E4" w:rsidP="008D68E4">
            <w:pPr>
              <w:tabs>
                <w:tab w:val="left" w:pos="8262"/>
              </w:tabs>
              <w:spacing w:after="60"/>
              <w:ind w:left="32" w:right="74"/>
              <w:contextualSpacing/>
              <w:rPr>
                <w:rFonts w:cs="Calibri"/>
                <w:b/>
                <w:i/>
                <w:color w:val="FF0000"/>
              </w:rPr>
            </w:pPr>
            <w:r>
              <w:rPr>
                <w:rFonts w:eastAsiaTheme="minorEastAsia" w:cs="Calibri"/>
                <w:i/>
                <w:color w:val="6691AB"/>
              </w:rPr>
              <w:t xml:space="preserve">Ενίσχυση καθαρών εσόδων από τόκους </w:t>
            </w:r>
            <w:r w:rsidR="00B33004" w:rsidRPr="00B33004">
              <w:rPr>
                <w:rFonts w:eastAsiaTheme="minorEastAsia" w:cs="Calibri"/>
                <w:i/>
                <w:color w:val="6691AB"/>
              </w:rPr>
              <w:t xml:space="preserve">λόγω νέων </w:t>
            </w:r>
            <w:r w:rsidR="003D3150">
              <w:rPr>
                <w:rFonts w:eastAsiaTheme="minorEastAsia" w:cs="Calibri"/>
                <w:i/>
                <w:color w:val="6691AB"/>
              </w:rPr>
              <w:t>εκταμιεύσεων</w:t>
            </w:r>
            <w:r w:rsidR="00B33004" w:rsidRPr="00B33004">
              <w:rPr>
                <w:rFonts w:eastAsiaTheme="minorEastAsia" w:cs="Calibri"/>
                <w:i/>
                <w:color w:val="6691AB"/>
              </w:rPr>
              <w:t xml:space="preserve"> και μειωμένου κόστους χρηματοδότησης</w:t>
            </w:r>
          </w:p>
        </w:tc>
        <w:tc>
          <w:tcPr>
            <w:tcW w:w="7087" w:type="dxa"/>
            <w:tcMar>
              <w:top w:w="57" w:type="dxa"/>
              <w:bottom w:w="57" w:type="dxa"/>
            </w:tcMar>
          </w:tcPr>
          <w:p w:rsidR="004B4545" w:rsidRPr="00B33004" w:rsidRDefault="00B33004" w:rsidP="00F83B7A">
            <w:pPr>
              <w:spacing w:after="80" w:line="240" w:lineRule="exact"/>
              <w:ind w:left="38" w:right="74"/>
              <w:jc w:val="both"/>
              <w:rPr>
                <w:sz w:val="18"/>
                <w:szCs w:val="18"/>
              </w:rPr>
            </w:pPr>
            <w:r w:rsidRPr="00B33004">
              <w:rPr>
                <w:sz w:val="18"/>
                <w:szCs w:val="18"/>
              </w:rPr>
              <w:t xml:space="preserve">Τα καθαρά έσοδα από τόκους το 3ο 3μηνο 2020 έφτασαν τα €380 εκατ., +8% σε ετήσια βάση και +3% σε τριμηνιαία. Τα νέα δάνεια ύψους €2δισ. ευρώ που εκταμιεύθηκαν το 3ο 3μηνο 2020, καθώς και τα €2,5δισ. κατά το πρώτο εξάμηνο και η αύξηση του χαρτοφυλακίου ομολόγων συνέβαλαν στην </w:t>
            </w:r>
            <w:r w:rsidR="003D3150">
              <w:rPr>
                <w:sz w:val="18"/>
                <w:szCs w:val="18"/>
              </w:rPr>
              <w:t>ενίσχυση</w:t>
            </w:r>
            <w:r w:rsidRPr="00B33004">
              <w:rPr>
                <w:sz w:val="18"/>
                <w:szCs w:val="18"/>
              </w:rPr>
              <w:t xml:space="preserve"> των καθαρών εσόδων τόκων. Το </w:t>
            </w:r>
            <w:r w:rsidR="003D3150">
              <w:rPr>
                <w:sz w:val="18"/>
                <w:szCs w:val="18"/>
              </w:rPr>
              <w:t xml:space="preserve">βελτιωμένο </w:t>
            </w:r>
            <w:r w:rsidRPr="00B33004">
              <w:rPr>
                <w:sz w:val="18"/>
                <w:szCs w:val="18"/>
              </w:rPr>
              <w:t xml:space="preserve">κόστος χρηματοδότησης </w:t>
            </w:r>
            <w:r w:rsidR="003D3150">
              <w:rPr>
                <w:sz w:val="18"/>
                <w:szCs w:val="18"/>
              </w:rPr>
              <w:t>συνέβαλε σημαντικά</w:t>
            </w:r>
            <w:r w:rsidRPr="00B33004">
              <w:rPr>
                <w:sz w:val="18"/>
                <w:szCs w:val="18"/>
              </w:rPr>
              <w:t xml:space="preserve">, </w:t>
            </w:r>
            <w:r w:rsidR="003D3150">
              <w:rPr>
                <w:sz w:val="18"/>
                <w:szCs w:val="18"/>
              </w:rPr>
              <w:t xml:space="preserve">καθώς υποχώρησε </w:t>
            </w:r>
            <w:r w:rsidRPr="00B33004">
              <w:rPr>
                <w:sz w:val="18"/>
                <w:szCs w:val="18"/>
              </w:rPr>
              <w:t xml:space="preserve">-24% </w:t>
            </w:r>
            <w:r w:rsidR="003D3150">
              <w:rPr>
                <w:sz w:val="18"/>
                <w:szCs w:val="18"/>
              </w:rPr>
              <w:t xml:space="preserve">ετησίως </w:t>
            </w:r>
            <w:r w:rsidRPr="00B33004">
              <w:rPr>
                <w:sz w:val="18"/>
                <w:szCs w:val="18"/>
              </w:rPr>
              <w:t xml:space="preserve">και -2% </w:t>
            </w:r>
            <w:r w:rsidR="003D3150">
              <w:rPr>
                <w:sz w:val="18"/>
                <w:szCs w:val="18"/>
              </w:rPr>
              <w:t>τριμηνιαίως</w:t>
            </w:r>
            <w:r w:rsidRPr="00B33004">
              <w:rPr>
                <w:sz w:val="18"/>
                <w:szCs w:val="18"/>
              </w:rPr>
              <w:t>, παρά το κόστος εξυπηρέτησης του χρέους</w:t>
            </w:r>
            <w:r w:rsidR="003D3150">
              <w:rPr>
                <w:sz w:val="18"/>
                <w:szCs w:val="18"/>
                <w:lang w:val="en-US"/>
              </w:rPr>
              <w:t>Tier</w:t>
            </w:r>
            <w:r w:rsidR="003D3150" w:rsidRPr="003D3150">
              <w:rPr>
                <w:sz w:val="18"/>
                <w:szCs w:val="18"/>
              </w:rPr>
              <w:t>2</w:t>
            </w:r>
            <w:r w:rsidRPr="00B33004">
              <w:rPr>
                <w:sz w:val="18"/>
                <w:szCs w:val="18"/>
              </w:rPr>
              <w:t xml:space="preserve">. </w:t>
            </w:r>
            <w:r w:rsidR="003D3150">
              <w:rPr>
                <w:sz w:val="18"/>
                <w:szCs w:val="18"/>
                <w:lang w:val="en-US"/>
              </w:rPr>
              <w:t>H</w:t>
            </w:r>
            <w:r w:rsidRPr="00B33004">
              <w:rPr>
                <w:sz w:val="18"/>
                <w:szCs w:val="18"/>
              </w:rPr>
              <w:t xml:space="preserve"> σημαντική συγκράτηση του κόστους καταθέσεων και η </w:t>
            </w:r>
            <w:r w:rsidR="003D3150">
              <w:rPr>
                <w:sz w:val="18"/>
                <w:szCs w:val="18"/>
              </w:rPr>
              <w:t>αξιοποίηση των χρηματοδοτικών διευκολύνσεων της ΕΚΤ (</w:t>
            </w:r>
            <w:r w:rsidRPr="00B33004">
              <w:rPr>
                <w:sz w:val="18"/>
                <w:szCs w:val="18"/>
                <w:lang w:val="en-US"/>
              </w:rPr>
              <w:t>TLTROIII</w:t>
            </w:r>
            <w:r w:rsidR="003D3150">
              <w:rPr>
                <w:sz w:val="18"/>
                <w:szCs w:val="18"/>
              </w:rPr>
              <w:t>)</w:t>
            </w:r>
            <w:r w:rsidRPr="00B33004">
              <w:rPr>
                <w:sz w:val="18"/>
                <w:szCs w:val="18"/>
              </w:rPr>
              <w:t xml:space="preserve"> απορρόφησαν τα </w:t>
            </w:r>
            <w:r w:rsidR="003D3150">
              <w:rPr>
                <w:sz w:val="18"/>
                <w:szCs w:val="18"/>
              </w:rPr>
              <w:t xml:space="preserve">σχετικά </w:t>
            </w:r>
            <w:r w:rsidRPr="00B33004">
              <w:rPr>
                <w:sz w:val="18"/>
                <w:szCs w:val="18"/>
              </w:rPr>
              <w:t xml:space="preserve">κόστη. Το καθαρό </w:t>
            </w:r>
            <w:r w:rsidR="003D3150">
              <w:rPr>
                <w:sz w:val="18"/>
                <w:szCs w:val="18"/>
              </w:rPr>
              <w:t xml:space="preserve">επιτοκιακό περιθώριο </w:t>
            </w:r>
            <w:r w:rsidRPr="00B33004">
              <w:rPr>
                <w:sz w:val="18"/>
                <w:szCs w:val="18"/>
              </w:rPr>
              <w:t>(ΝΙΜ) το 3ο 3μηνο 2020 ανήλθε στις 225μβ σε σύγκριση με τις 229μβ το 2ο 3μηνο 2020.</w:t>
            </w:r>
          </w:p>
        </w:tc>
      </w:tr>
      <w:tr w:rsidR="00CD2E41" w:rsidRPr="001717F2" w:rsidTr="009643B0">
        <w:trPr>
          <w:trHeight w:val="1407"/>
        </w:trPr>
        <w:tc>
          <w:tcPr>
            <w:tcW w:w="1985" w:type="dxa"/>
            <w:tcMar>
              <w:top w:w="57" w:type="dxa"/>
              <w:bottom w:w="57" w:type="dxa"/>
            </w:tcMar>
          </w:tcPr>
          <w:p w:rsidR="00AB178C" w:rsidRPr="009643B0" w:rsidRDefault="00A934D3" w:rsidP="00865D89">
            <w:pPr>
              <w:tabs>
                <w:tab w:val="left" w:pos="8262"/>
              </w:tabs>
              <w:spacing w:after="60"/>
              <w:ind w:left="32" w:right="-250"/>
              <w:contextualSpacing/>
              <w:rPr>
                <w:rFonts w:cs="Calibri"/>
                <w:b/>
                <w:color w:val="FF0000"/>
                <w:spacing w:val="-12"/>
              </w:rPr>
            </w:pPr>
            <w:r>
              <w:rPr>
                <w:rFonts w:eastAsiaTheme="minorEastAsia" w:cs="Calibri"/>
                <w:i/>
                <w:color w:val="6691AB"/>
                <w:spacing w:val="-12"/>
              </w:rPr>
              <w:t>Ανθεκτικά καθαρά έσοδα προμηθειών</w:t>
            </w:r>
          </w:p>
        </w:tc>
        <w:tc>
          <w:tcPr>
            <w:tcW w:w="7087" w:type="dxa"/>
            <w:tcMar>
              <w:top w:w="57" w:type="dxa"/>
              <w:bottom w:w="57" w:type="dxa"/>
            </w:tcMar>
          </w:tcPr>
          <w:p w:rsidR="004B4545" w:rsidRPr="001717F2" w:rsidRDefault="001717F2" w:rsidP="0031125E">
            <w:pPr>
              <w:spacing w:after="80" w:line="240" w:lineRule="exact"/>
              <w:ind w:left="38" w:right="74"/>
              <w:jc w:val="both"/>
              <w:rPr>
                <w:sz w:val="18"/>
                <w:szCs w:val="18"/>
              </w:rPr>
            </w:pPr>
            <w:r w:rsidRPr="001717F2">
              <w:rPr>
                <w:sz w:val="18"/>
                <w:szCs w:val="18"/>
              </w:rPr>
              <w:t xml:space="preserve">Τα καθαρά έσοδα προμηθειών ανήλθαν στα €81εκατ. το 3ο 3μηνο 2020, +1% σε ετήσια και αμετάβλητα σε τριμηνιαία βάση. Κύριοι συντελεστές </w:t>
            </w:r>
            <w:r w:rsidR="009241D6">
              <w:rPr>
                <w:sz w:val="18"/>
                <w:szCs w:val="18"/>
              </w:rPr>
              <w:t>που συνέβαλαν σ</w:t>
            </w:r>
            <w:r w:rsidRPr="001717F2">
              <w:rPr>
                <w:sz w:val="18"/>
                <w:szCs w:val="18"/>
              </w:rPr>
              <w:t>τη συγκρατημένη αύξηση των προμηθειών</w:t>
            </w:r>
            <w:r w:rsidR="009241D6">
              <w:rPr>
                <w:sz w:val="18"/>
                <w:szCs w:val="18"/>
              </w:rPr>
              <w:t>,</w:t>
            </w:r>
            <w:r w:rsidRPr="001717F2">
              <w:rPr>
                <w:sz w:val="18"/>
                <w:szCs w:val="18"/>
              </w:rPr>
              <w:t xml:space="preserve"> ήταν η εκταμίευση νέων δανείων, </w:t>
            </w:r>
            <w:r w:rsidR="009241D6">
              <w:rPr>
                <w:sz w:val="18"/>
                <w:szCs w:val="18"/>
              </w:rPr>
              <w:t xml:space="preserve">το </w:t>
            </w:r>
            <w:r w:rsidR="009241D6">
              <w:rPr>
                <w:sz w:val="18"/>
                <w:szCs w:val="18"/>
                <w:lang w:val="en-US"/>
              </w:rPr>
              <w:t>bancassurance</w:t>
            </w:r>
            <w:r w:rsidRPr="001717F2">
              <w:rPr>
                <w:sz w:val="18"/>
                <w:szCs w:val="18"/>
              </w:rPr>
              <w:t xml:space="preserve"> και </w:t>
            </w:r>
            <w:r w:rsidR="0031125E">
              <w:rPr>
                <w:sz w:val="18"/>
                <w:szCs w:val="18"/>
              </w:rPr>
              <w:t xml:space="preserve">το </w:t>
            </w:r>
            <w:r w:rsidR="0031125E">
              <w:rPr>
                <w:sz w:val="18"/>
                <w:szCs w:val="18"/>
                <w:lang w:val="en-US"/>
              </w:rPr>
              <w:t>assetmanagement</w:t>
            </w:r>
            <w:r w:rsidRPr="001717F2">
              <w:rPr>
                <w:sz w:val="18"/>
                <w:szCs w:val="18"/>
              </w:rPr>
              <w:t>. Τα καθαρά έσοδα προμηθειών ως ποσοστό του ενεργητικού παρέμειναν σταθερά σε τριμηνιαία βάση στο επίπεδο του 0,5%.</w:t>
            </w:r>
          </w:p>
        </w:tc>
      </w:tr>
      <w:tr w:rsidR="00CD2E41" w:rsidRPr="001717F2" w:rsidTr="00387895">
        <w:trPr>
          <w:trHeight w:val="2663"/>
        </w:trPr>
        <w:tc>
          <w:tcPr>
            <w:tcW w:w="1985" w:type="dxa"/>
            <w:tcMar>
              <w:top w:w="57" w:type="dxa"/>
              <w:bottom w:w="57" w:type="dxa"/>
            </w:tcMar>
          </w:tcPr>
          <w:p w:rsidR="001717F2" w:rsidRPr="001717F2" w:rsidRDefault="001717F2" w:rsidP="001717F2">
            <w:pPr>
              <w:tabs>
                <w:tab w:val="left" w:pos="8262"/>
              </w:tabs>
              <w:spacing w:after="60"/>
              <w:ind w:left="32"/>
              <w:contextualSpacing/>
              <w:rPr>
                <w:rFonts w:eastAsiaTheme="minorEastAsia" w:cs="Calibri"/>
                <w:i/>
                <w:color w:val="6691AB"/>
                <w:spacing w:val="-12"/>
              </w:rPr>
            </w:pPr>
            <w:r w:rsidRPr="001717F2">
              <w:rPr>
                <w:rFonts w:eastAsiaTheme="minorEastAsia" w:cs="Calibri"/>
                <w:i/>
                <w:color w:val="6691AB"/>
                <w:spacing w:val="-12"/>
              </w:rPr>
              <w:t>Μείωση λειτουργικών εξόδων κατά 6% ετησίως</w:t>
            </w:r>
            <w:r w:rsidR="001B055A">
              <w:rPr>
                <w:rFonts w:eastAsiaTheme="minorEastAsia" w:cs="Calibri"/>
                <w:i/>
                <w:color w:val="6691AB"/>
                <w:spacing w:val="-12"/>
              </w:rPr>
              <w:t xml:space="preserve"> σε συγκρίσιμη βάση</w:t>
            </w:r>
          </w:p>
          <w:p w:rsidR="004B4545" w:rsidRPr="00CD2E41" w:rsidRDefault="001717F2" w:rsidP="001717F2">
            <w:pPr>
              <w:tabs>
                <w:tab w:val="left" w:pos="8262"/>
              </w:tabs>
              <w:spacing w:after="60"/>
              <w:ind w:left="32"/>
              <w:contextualSpacing/>
              <w:rPr>
                <w:rFonts w:cs="Calibri"/>
                <w:b/>
                <w:i/>
                <w:color w:val="FF0000"/>
                <w:lang w:val="en-US"/>
              </w:rPr>
            </w:pPr>
            <w:r w:rsidRPr="001717F2">
              <w:rPr>
                <w:rFonts w:eastAsiaTheme="minorEastAsia" w:cs="Calibri"/>
                <w:i/>
                <w:color w:val="6691AB"/>
                <w:spacing w:val="-12"/>
                <w:lang w:val="en-US"/>
              </w:rPr>
              <w:t>Κόστος προςέσοδα στο 47%</w:t>
            </w:r>
          </w:p>
        </w:tc>
        <w:tc>
          <w:tcPr>
            <w:tcW w:w="7087" w:type="dxa"/>
            <w:tcMar>
              <w:top w:w="57" w:type="dxa"/>
              <w:bottom w:w="57" w:type="dxa"/>
            </w:tcMar>
          </w:tcPr>
          <w:p w:rsidR="004B4545" w:rsidRPr="001717F2" w:rsidRDefault="001717F2" w:rsidP="00D52D46">
            <w:pPr>
              <w:spacing w:after="80" w:line="240" w:lineRule="exact"/>
              <w:ind w:left="38" w:right="74"/>
              <w:jc w:val="both"/>
              <w:rPr>
                <w:sz w:val="18"/>
                <w:szCs w:val="18"/>
              </w:rPr>
            </w:pPr>
            <w:r w:rsidRPr="001717F2">
              <w:rPr>
                <w:sz w:val="18"/>
                <w:szCs w:val="18"/>
              </w:rPr>
              <w:t>Τα λειτουργικά έξοδα το</w:t>
            </w:r>
            <w:r w:rsidR="008B7311">
              <w:rPr>
                <w:sz w:val="18"/>
                <w:szCs w:val="18"/>
              </w:rPr>
              <w:t>υ</w:t>
            </w:r>
            <w:r w:rsidRPr="001717F2">
              <w:rPr>
                <w:sz w:val="18"/>
                <w:szCs w:val="18"/>
              </w:rPr>
              <w:t xml:space="preserve"> 3ο</w:t>
            </w:r>
            <w:r w:rsidR="008B7311">
              <w:rPr>
                <w:sz w:val="18"/>
                <w:szCs w:val="18"/>
              </w:rPr>
              <w:t>υ</w:t>
            </w:r>
            <w:r w:rsidRPr="001717F2">
              <w:rPr>
                <w:sz w:val="18"/>
                <w:szCs w:val="18"/>
              </w:rPr>
              <w:t xml:space="preserve"> 3μηνο</w:t>
            </w:r>
            <w:r w:rsidR="008B7311">
              <w:rPr>
                <w:sz w:val="18"/>
                <w:szCs w:val="18"/>
              </w:rPr>
              <w:t>υ</w:t>
            </w:r>
            <w:r w:rsidRPr="001717F2">
              <w:rPr>
                <w:sz w:val="18"/>
                <w:szCs w:val="18"/>
              </w:rPr>
              <w:t xml:space="preserve"> 2020 ανήλθαν σε €234εκατ. (-1% ετησίως), </w:t>
            </w:r>
            <w:r w:rsidR="008B7311">
              <w:rPr>
                <w:sz w:val="18"/>
                <w:szCs w:val="18"/>
              </w:rPr>
              <w:t>συμπεριλαμβα</w:t>
            </w:r>
            <w:r w:rsidR="00F83B7A">
              <w:rPr>
                <w:sz w:val="18"/>
                <w:szCs w:val="18"/>
              </w:rPr>
              <w:t>ν</w:t>
            </w:r>
            <w:r w:rsidR="008B7311">
              <w:rPr>
                <w:sz w:val="18"/>
                <w:szCs w:val="18"/>
              </w:rPr>
              <w:t xml:space="preserve">ομένης της </w:t>
            </w:r>
            <w:r w:rsidRPr="001717F2">
              <w:rPr>
                <w:sz w:val="18"/>
                <w:szCs w:val="18"/>
              </w:rPr>
              <w:t>προμήθεια</w:t>
            </w:r>
            <w:r w:rsidR="008B7311">
              <w:rPr>
                <w:sz w:val="18"/>
                <w:szCs w:val="18"/>
              </w:rPr>
              <w:t>ς</w:t>
            </w:r>
            <w:r w:rsidRPr="001717F2">
              <w:rPr>
                <w:sz w:val="18"/>
                <w:szCs w:val="18"/>
              </w:rPr>
              <w:t xml:space="preserve"> που καταβλήθηκε προς τον διαχειριστή των ΜΕΑ. Αν εξαιρεθεί η εν λόγω προμήθεια, τα λειτουργικά έξοδα είναι μειωμένα κατά 6% σε ετήσια βάση. Ο δείκτης κόστους προς έσοδα διαμορφώθηκε στο 47% το 3ο 3μηνο 2020 από 51% το 3ο 3μηνο 2019. Οι επαναλαμβανόμενες δαπάνες προσωπικού μειώθηκαν κατά 7% ετησίως, καθώς η Τράπεζα αποκόμισε το όφελος της απόσχισης της πλατφόρμας διαχείρισης ΜΕΑ και </w:t>
            </w:r>
            <w:r w:rsidR="00F24E37">
              <w:rPr>
                <w:sz w:val="18"/>
                <w:szCs w:val="18"/>
              </w:rPr>
              <w:t xml:space="preserve">του προγράμματος </w:t>
            </w:r>
            <w:r w:rsidRPr="001717F2">
              <w:rPr>
                <w:sz w:val="18"/>
                <w:szCs w:val="18"/>
              </w:rPr>
              <w:t xml:space="preserve">της εθελουσίας εξόδου του 2019. Συνολικά, τα λειτουργικά έξοδα κατά το 9μηνο 2020 σε συγκρίσιμη βάση ήταν μειωμένα κατά 9% ετησίως, με την Τράπεζα να παραμένει εντός </w:t>
            </w:r>
            <w:r w:rsidR="00587052">
              <w:rPr>
                <w:sz w:val="18"/>
                <w:szCs w:val="18"/>
              </w:rPr>
              <w:t xml:space="preserve">του </w:t>
            </w:r>
            <w:r w:rsidRPr="001717F2">
              <w:rPr>
                <w:sz w:val="18"/>
                <w:szCs w:val="18"/>
              </w:rPr>
              <w:t xml:space="preserve">στόχου </w:t>
            </w:r>
            <w:r w:rsidR="00F24E37">
              <w:rPr>
                <w:sz w:val="18"/>
                <w:szCs w:val="18"/>
              </w:rPr>
              <w:t xml:space="preserve">που είχε θέσει </w:t>
            </w:r>
            <w:r w:rsidRPr="001717F2">
              <w:rPr>
                <w:sz w:val="18"/>
                <w:szCs w:val="18"/>
              </w:rPr>
              <w:t xml:space="preserve">για μείωση των λειτουργικών εξόδων της με μέσο μονοψήφιο ρυθμό κατά το 2020, </w:t>
            </w:r>
            <w:r w:rsidR="00F24E37">
              <w:rPr>
                <w:sz w:val="18"/>
                <w:szCs w:val="18"/>
              </w:rPr>
              <w:t xml:space="preserve">σε συνέχεια τηςμείωσηςκατά </w:t>
            </w:r>
            <w:r w:rsidRPr="001717F2">
              <w:rPr>
                <w:sz w:val="18"/>
                <w:szCs w:val="18"/>
              </w:rPr>
              <w:t xml:space="preserve">6% </w:t>
            </w:r>
            <w:r w:rsidR="00F24E37">
              <w:rPr>
                <w:sz w:val="18"/>
                <w:szCs w:val="18"/>
              </w:rPr>
              <w:t xml:space="preserve">σε επαναλαμβανόμενη βάση </w:t>
            </w:r>
            <w:r w:rsidRPr="001717F2">
              <w:rPr>
                <w:sz w:val="18"/>
                <w:szCs w:val="18"/>
              </w:rPr>
              <w:t>το 2019.</w:t>
            </w:r>
          </w:p>
        </w:tc>
      </w:tr>
      <w:tr w:rsidR="00CD2E41" w:rsidRPr="00387895" w:rsidTr="00387895">
        <w:trPr>
          <w:trHeight w:val="1386"/>
        </w:trPr>
        <w:tc>
          <w:tcPr>
            <w:tcW w:w="1985" w:type="dxa"/>
            <w:tcMar>
              <w:top w:w="57" w:type="dxa"/>
              <w:bottom w:w="57" w:type="dxa"/>
            </w:tcMar>
          </w:tcPr>
          <w:p w:rsidR="004B4545" w:rsidRPr="001717F2" w:rsidRDefault="00D52D46" w:rsidP="001717F2">
            <w:pPr>
              <w:tabs>
                <w:tab w:val="left" w:pos="8262"/>
              </w:tabs>
              <w:spacing w:after="60"/>
              <w:ind w:left="32"/>
              <w:contextualSpacing/>
              <w:rPr>
                <w:rFonts w:cs="Calibri"/>
                <w:b/>
                <w:i/>
                <w:noProof/>
                <w:color w:val="FF0000"/>
                <w:spacing w:val="-6"/>
                <w:lang w:eastAsia="el-GR"/>
              </w:rPr>
            </w:pPr>
            <w:r>
              <w:rPr>
                <w:rFonts w:eastAsiaTheme="minorEastAsia" w:cs="Calibri"/>
                <w:i/>
                <w:color w:val="6691AB"/>
                <w:spacing w:val="-6"/>
              </w:rPr>
              <w:t>Κ</w:t>
            </w:r>
            <w:r w:rsidR="001717F2" w:rsidRPr="001717F2">
              <w:rPr>
                <w:rFonts w:eastAsiaTheme="minorEastAsia" w:cs="Calibri"/>
                <w:i/>
                <w:color w:val="6691AB"/>
                <w:spacing w:val="-6"/>
              </w:rPr>
              <w:t>έρδη προ φόρων και προβλέψεων +14% ετησίως</w:t>
            </w:r>
          </w:p>
        </w:tc>
        <w:tc>
          <w:tcPr>
            <w:tcW w:w="7087" w:type="dxa"/>
            <w:tcMar>
              <w:top w:w="57" w:type="dxa"/>
              <w:bottom w:w="57" w:type="dxa"/>
            </w:tcMar>
          </w:tcPr>
          <w:p w:rsidR="004B4545" w:rsidRPr="00387895" w:rsidRDefault="00387895" w:rsidP="00B33815">
            <w:pPr>
              <w:spacing w:after="80" w:line="240" w:lineRule="exact"/>
              <w:ind w:left="38" w:right="74"/>
              <w:jc w:val="both"/>
              <w:rPr>
                <w:sz w:val="18"/>
                <w:szCs w:val="18"/>
              </w:rPr>
            </w:pPr>
            <w:r w:rsidRPr="00387895">
              <w:rPr>
                <w:sz w:val="18"/>
                <w:szCs w:val="18"/>
              </w:rPr>
              <w:t xml:space="preserve">Τα κέρδη προ φόρων και προβλέψεων διαμορφώθηκαν σε €262εκατ. το 3ο 3μηνο 2020 σε σύγκριση με €285εκατ. το 2ο 3μηνο 2020 και €210εκατ. το ίδιο διάστημα το προηγούμενο έτος, αυξημένα κατά 14% ετησίως. </w:t>
            </w:r>
            <w:r w:rsidR="00B33815">
              <w:rPr>
                <w:sz w:val="18"/>
                <w:szCs w:val="18"/>
              </w:rPr>
              <w:t>Τ</w:t>
            </w:r>
            <w:r w:rsidRPr="00387895">
              <w:rPr>
                <w:sz w:val="18"/>
                <w:szCs w:val="18"/>
              </w:rPr>
              <w:t xml:space="preserve">α βασικά τραπεζικά έσοδα </w:t>
            </w:r>
            <w:r w:rsidR="00B33815">
              <w:rPr>
                <w:sz w:val="18"/>
                <w:szCs w:val="18"/>
              </w:rPr>
              <w:t xml:space="preserve">(καθαρά έσοδα από τόκους και προμήθειες) </w:t>
            </w:r>
            <w:r w:rsidRPr="00387895">
              <w:rPr>
                <w:sz w:val="18"/>
                <w:szCs w:val="18"/>
              </w:rPr>
              <w:t xml:space="preserve">μείον τα επαναλαμβανόμενα λειτουργικά έξοδα, ανήλθαν σε €227εκατ. το 3ο 3μηνο 2020, 15% υψηλότερα </w:t>
            </w:r>
            <w:r w:rsidR="00B33815">
              <w:rPr>
                <w:sz w:val="18"/>
                <w:szCs w:val="18"/>
              </w:rPr>
              <w:t xml:space="preserve">ετησίως </w:t>
            </w:r>
            <w:r w:rsidRPr="00387895">
              <w:rPr>
                <w:sz w:val="18"/>
                <w:szCs w:val="18"/>
              </w:rPr>
              <w:t>και 2% τριμηνι</w:t>
            </w:r>
            <w:r w:rsidR="00B33815">
              <w:rPr>
                <w:sz w:val="18"/>
                <w:szCs w:val="18"/>
              </w:rPr>
              <w:t>αίως</w:t>
            </w:r>
            <w:r w:rsidRPr="00387895">
              <w:rPr>
                <w:sz w:val="18"/>
                <w:szCs w:val="18"/>
              </w:rPr>
              <w:t>, αναδεικνύοντας τις προοπτικές των βασικών λειτουργιών της Τράπεζας.</w:t>
            </w:r>
          </w:p>
        </w:tc>
      </w:tr>
      <w:tr w:rsidR="00CD2E41" w:rsidRPr="00387895" w:rsidTr="00387895">
        <w:trPr>
          <w:trHeight w:val="1891"/>
        </w:trPr>
        <w:tc>
          <w:tcPr>
            <w:tcW w:w="1985" w:type="dxa"/>
            <w:tcMar>
              <w:top w:w="57" w:type="dxa"/>
              <w:bottom w:w="57" w:type="dxa"/>
            </w:tcMar>
          </w:tcPr>
          <w:p w:rsidR="004B4545" w:rsidRPr="00387895" w:rsidRDefault="00387895" w:rsidP="00EF1A90">
            <w:pPr>
              <w:tabs>
                <w:tab w:val="left" w:pos="8262"/>
              </w:tabs>
              <w:spacing w:after="60"/>
              <w:ind w:right="74"/>
              <w:contextualSpacing/>
              <w:rPr>
                <w:rFonts w:cs="Calibri"/>
                <w:b/>
                <w:i/>
                <w:noProof/>
                <w:color w:val="FF0000"/>
                <w:lang w:eastAsia="el-GR"/>
              </w:rPr>
            </w:pPr>
            <w:r w:rsidRPr="00387895">
              <w:rPr>
                <w:rFonts w:eastAsiaTheme="minorEastAsia" w:cs="Calibri"/>
                <w:i/>
                <w:color w:val="6691AB"/>
              </w:rPr>
              <w:t xml:space="preserve">Απομειώσεις δανείων σύμφωνα με </w:t>
            </w:r>
            <w:r w:rsidR="00EF1A90">
              <w:rPr>
                <w:rFonts w:eastAsiaTheme="minorEastAsia" w:cs="Calibri"/>
                <w:i/>
                <w:color w:val="6691AB"/>
              </w:rPr>
              <w:t>τις εκτιμήσεις της Τράπεζας</w:t>
            </w:r>
            <w:r w:rsidRPr="00387895">
              <w:rPr>
                <w:rFonts w:eastAsiaTheme="minorEastAsia" w:cs="Calibri"/>
                <w:i/>
                <w:color w:val="6691AB"/>
              </w:rPr>
              <w:t xml:space="preserve"> για το 2020</w:t>
            </w:r>
          </w:p>
        </w:tc>
        <w:tc>
          <w:tcPr>
            <w:tcW w:w="7087" w:type="dxa"/>
            <w:tcMar>
              <w:top w:w="57" w:type="dxa"/>
              <w:bottom w:w="57" w:type="dxa"/>
            </w:tcMar>
          </w:tcPr>
          <w:p w:rsidR="004B4545" w:rsidRPr="00387895" w:rsidRDefault="00387895" w:rsidP="00A529A1">
            <w:pPr>
              <w:spacing w:after="80" w:line="240" w:lineRule="exact"/>
              <w:ind w:left="38" w:right="74"/>
              <w:jc w:val="both"/>
              <w:rPr>
                <w:sz w:val="18"/>
                <w:szCs w:val="18"/>
              </w:rPr>
            </w:pPr>
            <w:r w:rsidRPr="00387895">
              <w:rPr>
                <w:sz w:val="18"/>
                <w:szCs w:val="18"/>
              </w:rPr>
              <w:t xml:space="preserve">Το σύνολο των απομειώσεων κατά το 3ο 3μηνο 2020 διαμορφώθηκε σε €146εκατ. από €157εκατ. κατά την ίδια περίοδο πέρυσι και €142εκατ. το 2ο 3μηνο 2020. Το έξοδο </w:t>
            </w:r>
            <w:r w:rsidR="00A529A1">
              <w:rPr>
                <w:sz w:val="18"/>
                <w:szCs w:val="18"/>
              </w:rPr>
              <w:t>απομειώσεων</w:t>
            </w:r>
            <w:r w:rsidRPr="00387895">
              <w:rPr>
                <w:sz w:val="18"/>
                <w:szCs w:val="18"/>
              </w:rPr>
              <w:t xml:space="preserve"> δανείων ως ποσοστό των δανείων μετά από προβλέψεις διαμορφώθηκε στις 136μ.β.</w:t>
            </w:r>
            <w:r w:rsidR="00A529A1">
              <w:rPr>
                <w:sz w:val="18"/>
                <w:szCs w:val="18"/>
              </w:rPr>
              <w:t>,</w:t>
            </w:r>
            <w:r w:rsidRPr="00387895">
              <w:rPr>
                <w:sz w:val="18"/>
                <w:szCs w:val="18"/>
              </w:rPr>
              <w:t xml:space="preserve"> περίπου </w:t>
            </w:r>
            <w:r w:rsidR="00A529A1">
              <w:rPr>
                <w:sz w:val="18"/>
                <w:szCs w:val="18"/>
              </w:rPr>
              <w:t>στο ίδιο επίπεδο</w:t>
            </w:r>
            <w:r w:rsidRPr="00387895">
              <w:rPr>
                <w:sz w:val="18"/>
                <w:szCs w:val="18"/>
              </w:rPr>
              <w:t xml:space="preserve"> σε σύγκριση με τις 137μ.β. του 2ου 3μηνου 2020 και έναντι 165 μ.β. το 3ο 3μηνο 2019. Οι </w:t>
            </w:r>
            <w:r w:rsidR="00A529A1">
              <w:rPr>
                <w:sz w:val="18"/>
                <w:szCs w:val="18"/>
              </w:rPr>
              <w:t>απομειώσειςσ</w:t>
            </w:r>
            <w:r w:rsidRPr="00387895">
              <w:rPr>
                <w:sz w:val="18"/>
                <w:szCs w:val="18"/>
              </w:rPr>
              <w:t xml:space="preserve">τα λοιπά στοιχεία ενεργητικού διαμορφώθηκαν σε €30εκατ. </w:t>
            </w:r>
            <w:r w:rsidR="00A529A1">
              <w:rPr>
                <w:sz w:val="18"/>
                <w:szCs w:val="18"/>
              </w:rPr>
              <w:t>έναντι</w:t>
            </w:r>
            <w:r w:rsidRPr="00387895">
              <w:rPr>
                <w:sz w:val="18"/>
                <w:szCs w:val="18"/>
              </w:rPr>
              <w:t xml:space="preserve"> €18εκατ. το 2ο 3μηνο 2020. Στο 3ο τρίμηνο του 2020 περιλαμβάνονται </w:t>
            </w:r>
            <w:r w:rsidR="00A529A1">
              <w:rPr>
                <w:sz w:val="18"/>
                <w:szCs w:val="18"/>
              </w:rPr>
              <w:t>απομειώσεις</w:t>
            </w:r>
            <w:r w:rsidRPr="00387895">
              <w:rPr>
                <w:sz w:val="18"/>
                <w:szCs w:val="18"/>
              </w:rPr>
              <w:t xml:space="preserve"> €21εκατ. σχετιζόμενες με </w:t>
            </w:r>
            <w:r w:rsidRPr="00387895">
              <w:rPr>
                <w:sz w:val="18"/>
                <w:szCs w:val="18"/>
                <w:lang w:val="en-US"/>
              </w:rPr>
              <w:t>Covid</w:t>
            </w:r>
            <w:r w:rsidRPr="00387895">
              <w:rPr>
                <w:sz w:val="18"/>
                <w:szCs w:val="18"/>
              </w:rPr>
              <w:t xml:space="preserve">-19 ενώ συνολικά για το 9μηνο οι αντίστοιχες  </w:t>
            </w:r>
            <w:r w:rsidR="00A529A1">
              <w:rPr>
                <w:sz w:val="18"/>
                <w:szCs w:val="18"/>
              </w:rPr>
              <w:t>απομειώσεις</w:t>
            </w:r>
            <w:r w:rsidRPr="00387895">
              <w:rPr>
                <w:sz w:val="18"/>
                <w:szCs w:val="18"/>
              </w:rPr>
              <w:t xml:space="preserve"> ανέρχονται σε €362εκατ.</w:t>
            </w:r>
          </w:p>
        </w:tc>
      </w:tr>
      <w:tr w:rsidR="00CD2E41" w:rsidRPr="00BC7F73" w:rsidTr="00B33004">
        <w:trPr>
          <w:trHeight w:val="145"/>
        </w:trPr>
        <w:tc>
          <w:tcPr>
            <w:tcW w:w="1985" w:type="dxa"/>
            <w:tcMar>
              <w:top w:w="57" w:type="dxa"/>
              <w:bottom w:w="57" w:type="dxa"/>
            </w:tcMar>
          </w:tcPr>
          <w:p w:rsidR="004B4545" w:rsidRPr="00387895" w:rsidRDefault="00F407DA" w:rsidP="00F407DA">
            <w:pPr>
              <w:tabs>
                <w:tab w:val="left" w:pos="8262"/>
              </w:tabs>
              <w:spacing w:after="60"/>
              <w:ind w:right="74"/>
              <w:contextualSpacing/>
              <w:rPr>
                <w:rFonts w:cs="Calibri"/>
                <w:b/>
                <w:i/>
                <w:color w:val="FF0000"/>
                <w:spacing w:val="-8"/>
                <w:sz w:val="24"/>
                <w:szCs w:val="24"/>
              </w:rPr>
            </w:pPr>
            <w:r w:rsidRPr="00F407DA">
              <w:rPr>
                <w:rFonts w:eastAsiaTheme="minorEastAsia" w:cs="Calibri"/>
                <w:i/>
                <w:color w:val="6691AB"/>
                <w:spacing w:val="-8"/>
              </w:rPr>
              <w:t>Καθαρ</w:t>
            </w:r>
            <w:r>
              <w:rPr>
                <w:rFonts w:eastAsiaTheme="minorEastAsia" w:cs="Calibri"/>
                <w:i/>
                <w:color w:val="6691AB"/>
                <w:spacing w:val="-8"/>
              </w:rPr>
              <w:t>ό αποτέλεσμαεπιβαρυμένο</w:t>
            </w:r>
            <w:r w:rsidR="00387895" w:rsidRPr="00387895">
              <w:rPr>
                <w:rFonts w:eastAsiaTheme="minorEastAsia" w:cs="Calibri"/>
                <w:i/>
                <w:color w:val="6691AB"/>
                <w:spacing w:val="-8"/>
              </w:rPr>
              <w:t xml:space="preserve"> από αυξημένους φόρους</w:t>
            </w:r>
          </w:p>
        </w:tc>
        <w:tc>
          <w:tcPr>
            <w:tcW w:w="7087" w:type="dxa"/>
            <w:tcMar>
              <w:top w:w="57" w:type="dxa"/>
              <w:bottom w:w="57" w:type="dxa"/>
            </w:tcMar>
          </w:tcPr>
          <w:p w:rsidR="00ED0FF9" w:rsidRPr="00BE70B8" w:rsidRDefault="00BE70B8" w:rsidP="00DF49ED">
            <w:pPr>
              <w:spacing w:after="80" w:line="240" w:lineRule="exact"/>
              <w:ind w:left="38" w:right="74"/>
              <w:jc w:val="both"/>
              <w:rPr>
                <w:spacing w:val="-2"/>
                <w:sz w:val="18"/>
                <w:szCs w:val="18"/>
              </w:rPr>
            </w:pPr>
            <w:r w:rsidRPr="00BE70B8">
              <w:rPr>
                <w:spacing w:val="-2"/>
                <w:sz w:val="18"/>
                <w:szCs w:val="18"/>
              </w:rPr>
              <w:t xml:space="preserve">Τα κέρδη προ φόρων κατά το 3ο 3μηνο 2020 ανήλθαν σε €82εκατ. έναντι €53εκατ. κατά το ίδιο τρίμηνο του 2019 και €125εκατ. κατά το 2ο 3μηνο 2020. Τα καθαρά αποτελέσματα του Ομίλου μετά </w:t>
            </w:r>
            <w:r w:rsidR="00F407DA">
              <w:rPr>
                <w:spacing w:val="-2"/>
                <w:sz w:val="18"/>
                <w:szCs w:val="18"/>
              </w:rPr>
              <w:t xml:space="preserve">φόρων </w:t>
            </w:r>
            <w:r w:rsidRPr="00BE70B8">
              <w:rPr>
                <w:spacing w:val="-2"/>
                <w:sz w:val="18"/>
                <w:szCs w:val="18"/>
              </w:rPr>
              <w:t xml:space="preserve">ήταν μηδενικά το 3ο 3μηνο 2020 σε σύγκριση με €82εκατ. κέρδη το 2ο 3μηνο 2020 και €49εκατ. το3ο 3μηνο 2019. Στο 3ο τρίμηνο 2020 ο φόρος ανήλθε σε €79 εκατ. </w:t>
            </w:r>
            <w:r w:rsidRPr="00BE70B8">
              <w:rPr>
                <w:spacing w:val="-2"/>
                <w:sz w:val="18"/>
                <w:szCs w:val="18"/>
              </w:rPr>
              <w:lastRenderedPageBreak/>
              <w:t xml:space="preserve">κυρίως </w:t>
            </w:r>
            <w:r w:rsidR="00F407DA">
              <w:rPr>
                <w:spacing w:val="-2"/>
                <w:sz w:val="18"/>
                <w:szCs w:val="18"/>
              </w:rPr>
              <w:t xml:space="preserve">λόγω λογιστικοποίησης φόρων </w:t>
            </w:r>
            <w:r w:rsidR="00DF49ED">
              <w:rPr>
                <w:spacing w:val="-2"/>
                <w:sz w:val="18"/>
                <w:szCs w:val="18"/>
              </w:rPr>
              <w:t>που σχετίζονται με</w:t>
            </w:r>
            <w:r w:rsidRPr="00BE70B8">
              <w:rPr>
                <w:spacing w:val="-2"/>
                <w:sz w:val="18"/>
                <w:szCs w:val="18"/>
              </w:rPr>
              <w:t>τις τιτλοποιήσεις</w:t>
            </w:r>
            <w:r w:rsidRPr="00BE70B8">
              <w:rPr>
                <w:spacing w:val="-2"/>
                <w:sz w:val="18"/>
                <w:szCs w:val="18"/>
                <w:lang w:val="en-US"/>
              </w:rPr>
              <w:t>Phoenix</w:t>
            </w:r>
            <w:r w:rsidRPr="00BE70B8">
              <w:rPr>
                <w:spacing w:val="-2"/>
                <w:sz w:val="18"/>
                <w:szCs w:val="18"/>
              </w:rPr>
              <w:t xml:space="preserve"> και </w:t>
            </w:r>
            <w:r w:rsidRPr="00BE70B8">
              <w:rPr>
                <w:spacing w:val="-2"/>
                <w:sz w:val="18"/>
                <w:szCs w:val="18"/>
                <w:lang w:val="en-US"/>
              </w:rPr>
              <w:t>Vega</w:t>
            </w:r>
            <w:r w:rsidRPr="00BE70B8">
              <w:rPr>
                <w:spacing w:val="-2"/>
                <w:sz w:val="18"/>
                <w:szCs w:val="18"/>
              </w:rPr>
              <w:t>.</w:t>
            </w:r>
          </w:p>
        </w:tc>
      </w:tr>
    </w:tbl>
    <w:p w:rsidR="00025755" w:rsidRPr="003D3150" w:rsidRDefault="00B33004" w:rsidP="003D3150">
      <w:pPr>
        <w:ind w:left="-630" w:hanging="142"/>
        <w:rPr>
          <w:rFonts w:eastAsia="Times New Roman" w:cstheme="minorHAnsi"/>
          <w:b/>
          <w:color w:val="FF0000"/>
          <w:sz w:val="19"/>
          <w:szCs w:val="19"/>
        </w:rPr>
      </w:pPr>
      <w:r w:rsidRPr="00B33004">
        <w:rPr>
          <w:rFonts w:eastAsia="Times New Roman" w:cs="Calibri"/>
          <w:b/>
          <w:i/>
          <w:color w:val="6691AB"/>
          <w:sz w:val="27"/>
          <w:szCs w:val="27"/>
        </w:rPr>
        <w:lastRenderedPageBreak/>
        <w:t xml:space="preserve">Κύρια Σημεία Αποτελεσμάτων: </w:t>
      </w:r>
      <w:r w:rsidR="003D3150">
        <w:rPr>
          <w:rFonts w:eastAsia="Times New Roman" w:cs="Calibri"/>
          <w:b/>
          <w:i/>
          <w:color w:val="6691AB"/>
          <w:sz w:val="27"/>
          <w:szCs w:val="27"/>
        </w:rPr>
        <w:t xml:space="preserve">Θετικές </w:t>
      </w:r>
      <w:r w:rsidRPr="00B33004">
        <w:rPr>
          <w:rFonts w:eastAsia="Times New Roman" w:cs="Calibri"/>
          <w:b/>
          <w:i/>
          <w:color w:val="6691AB"/>
          <w:sz w:val="27"/>
          <w:szCs w:val="27"/>
        </w:rPr>
        <w:t>τάσεις σε όλα τα μεγέθη</w:t>
      </w:r>
    </w:p>
    <w:p w:rsidR="009643B0" w:rsidRPr="003A0BAE" w:rsidRDefault="009643B0" w:rsidP="009643B0">
      <w:pPr>
        <w:pStyle w:val="Default"/>
        <w:ind w:left="-624" w:right="113"/>
        <w:jc w:val="both"/>
        <w:rPr>
          <w:sz w:val="14"/>
          <w:szCs w:val="14"/>
        </w:rPr>
      </w:pPr>
      <w:r w:rsidRPr="009B7A12">
        <w:rPr>
          <w:sz w:val="14"/>
          <w:szCs w:val="14"/>
        </w:rPr>
        <w:t>Για πληρέστερη αναφορά σχετικά με</w:t>
      </w:r>
      <w:r>
        <w:rPr>
          <w:sz w:val="14"/>
          <w:szCs w:val="14"/>
        </w:rPr>
        <w:t xml:space="preserve"> τα</w:t>
      </w:r>
      <w:r w:rsidRPr="009B7A12">
        <w:rPr>
          <w:sz w:val="14"/>
          <w:szCs w:val="14"/>
        </w:rPr>
        <w:t xml:space="preserve"> χρηματοοικονομικά στοιχεία και </w:t>
      </w:r>
      <w:r>
        <w:rPr>
          <w:sz w:val="14"/>
          <w:szCs w:val="14"/>
        </w:rPr>
        <w:t xml:space="preserve">τους </w:t>
      </w:r>
      <w:r w:rsidRPr="009B7A12">
        <w:rPr>
          <w:sz w:val="14"/>
          <w:szCs w:val="14"/>
        </w:rPr>
        <w:t>δείκτες της Τράπεζας Πειραιώς</w:t>
      </w:r>
      <w:r>
        <w:rPr>
          <w:sz w:val="14"/>
          <w:szCs w:val="14"/>
        </w:rPr>
        <w:t xml:space="preserve">,βλ. </w:t>
      </w:r>
      <w:hyperlink r:id="rId11" w:history="1">
        <w:r w:rsidR="003A0BAE" w:rsidRPr="003A0BAE">
          <w:rPr>
            <w:rStyle w:val="-"/>
            <w:sz w:val="14"/>
            <w:szCs w:val="14"/>
          </w:rPr>
          <w:t>Οικ. Καταστάσεις</w:t>
        </w:r>
      </w:hyperlink>
      <w:r w:rsidRPr="009B7A12">
        <w:rPr>
          <w:sz w:val="14"/>
          <w:szCs w:val="14"/>
        </w:rPr>
        <w:t xml:space="preserve"> και</w:t>
      </w:r>
      <w:hyperlink r:id="rId12" w:history="1">
        <w:r w:rsidR="003A0BAE" w:rsidRPr="003A0BAE">
          <w:rPr>
            <w:rStyle w:val="-"/>
            <w:sz w:val="14"/>
            <w:szCs w:val="14"/>
          </w:rPr>
          <w:t>Παρουσίαση Αποτελεσμάτων</w:t>
        </w:r>
      </w:hyperlink>
      <w:r w:rsidR="004C55D3">
        <w:rPr>
          <w:sz w:val="14"/>
          <w:szCs w:val="14"/>
        </w:rPr>
        <w:t xml:space="preserve"> που είναι διαθέσιμα στον ιστότοπο της Τράπεζας Πειραιώς</w:t>
      </w:r>
    </w:p>
    <w:p w:rsidR="00A72705" w:rsidRDefault="00A72705" w:rsidP="00A72705">
      <w:pPr>
        <w:pStyle w:val="10"/>
        <w:ind w:left="-567" w:hanging="142"/>
      </w:pPr>
      <w:r>
        <w:rPr>
          <w:rStyle w:val="11"/>
          <w:rFonts w:eastAsia="Times New Roman" w:cs="Calibri"/>
          <w:b/>
          <w:i/>
          <w:color w:val="6691AB"/>
          <w:sz w:val="27"/>
          <w:szCs w:val="27"/>
        </w:rPr>
        <w:t xml:space="preserve">Βασικά </w:t>
      </w:r>
      <w:r w:rsidR="00997D03">
        <w:rPr>
          <w:rStyle w:val="11"/>
          <w:rFonts w:eastAsia="Times New Roman" w:cs="Calibri"/>
          <w:b/>
          <w:i/>
          <w:color w:val="6691AB"/>
          <w:sz w:val="27"/>
          <w:szCs w:val="27"/>
        </w:rPr>
        <w:t>Στοιχεία</w:t>
      </w:r>
      <w:r>
        <w:rPr>
          <w:rStyle w:val="11"/>
          <w:rFonts w:eastAsia="Times New Roman" w:cs="Calibri"/>
          <w:b/>
          <w:i/>
          <w:color w:val="6691AB"/>
          <w:sz w:val="27"/>
          <w:szCs w:val="27"/>
        </w:rPr>
        <w:t xml:space="preserve"> Ισολογισμού: </w:t>
      </w:r>
      <w:r w:rsidR="00997D03">
        <w:rPr>
          <w:rStyle w:val="11"/>
          <w:rFonts w:eastAsia="Times New Roman" w:cs="Calibri"/>
          <w:b/>
          <w:i/>
          <w:color w:val="6691AB"/>
          <w:sz w:val="27"/>
          <w:szCs w:val="27"/>
        </w:rPr>
        <w:t>Βελτιωμένα και ενισχυμένα μεγέθη</w:t>
      </w:r>
    </w:p>
    <w:tbl>
      <w:tblPr>
        <w:tblStyle w:val="TableGrid1"/>
        <w:tblpPr w:leftFromText="180" w:rightFromText="180" w:vertAnchor="page" w:horzAnchor="margin" w:tblpXSpec="right" w:tblpY="3091"/>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2"/>
        <w:gridCol w:w="6982"/>
      </w:tblGrid>
      <w:tr w:rsidR="00117E4D" w:rsidRPr="000A4CC5" w:rsidTr="00372608">
        <w:trPr>
          <w:trHeight w:val="1927"/>
        </w:trPr>
        <w:tc>
          <w:tcPr>
            <w:tcW w:w="1982" w:type="dxa"/>
            <w:tcMar>
              <w:top w:w="57" w:type="dxa"/>
              <w:bottom w:w="57" w:type="dxa"/>
            </w:tcMar>
          </w:tcPr>
          <w:p w:rsidR="00117E4D" w:rsidRPr="00BA29C7" w:rsidRDefault="00BA29C7" w:rsidP="00117E4D">
            <w:pPr>
              <w:tabs>
                <w:tab w:val="left" w:pos="8262"/>
              </w:tabs>
              <w:spacing w:after="60"/>
              <w:ind w:left="32" w:right="74"/>
              <w:contextualSpacing/>
              <w:rPr>
                <w:rFonts w:eastAsiaTheme="minorEastAsia" w:cs="Calibri"/>
                <w:i/>
                <w:color w:val="FF0000"/>
              </w:rPr>
            </w:pPr>
            <w:r w:rsidRPr="00BA29C7">
              <w:rPr>
                <w:rFonts w:eastAsiaTheme="minorEastAsia" w:cs="Calibri"/>
                <w:i/>
                <w:color w:val="6691AB"/>
              </w:rPr>
              <w:t xml:space="preserve">Καταθέσεις </w:t>
            </w:r>
            <w:r w:rsidR="00F626B9">
              <w:rPr>
                <w:rFonts w:eastAsiaTheme="minorEastAsia" w:cs="Calibri"/>
                <w:i/>
                <w:color w:val="6691AB"/>
              </w:rPr>
              <w:t xml:space="preserve">πελατών </w:t>
            </w:r>
            <w:r w:rsidRPr="00BA29C7">
              <w:rPr>
                <w:rFonts w:eastAsiaTheme="minorEastAsia" w:cs="Calibri"/>
                <w:i/>
                <w:color w:val="6691AB"/>
              </w:rPr>
              <w:t>+4% ετησίως με χαμηλότερο κόστος</w:t>
            </w:r>
          </w:p>
        </w:tc>
        <w:tc>
          <w:tcPr>
            <w:tcW w:w="6982" w:type="dxa"/>
            <w:tcMar>
              <w:top w:w="57" w:type="dxa"/>
              <w:bottom w:w="57" w:type="dxa"/>
            </w:tcMar>
          </w:tcPr>
          <w:p w:rsidR="00117E4D" w:rsidRPr="000A4CC5" w:rsidRDefault="000A4CC5" w:rsidP="00E23FDD">
            <w:pPr>
              <w:tabs>
                <w:tab w:val="left" w:pos="8262"/>
              </w:tabs>
              <w:spacing w:before="40" w:after="40" w:line="252" w:lineRule="auto"/>
              <w:ind w:left="7" w:right="301"/>
              <w:jc w:val="both"/>
              <w:rPr>
                <w:color w:val="FF0000"/>
                <w:sz w:val="18"/>
                <w:szCs w:val="18"/>
              </w:rPr>
            </w:pPr>
            <w:r w:rsidRPr="000A4CC5">
              <w:rPr>
                <w:sz w:val="18"/>
                <w:szCs w:val="18"/>
              </w:rPr>
              <w:t xml:space="preserve">Οι καταθέσεις πελατών διαμορφώθηκαν σε €47,1δισ. στο τέλος Σεπτεμβρίου 2020, </w:t>
            </w:r>
            <w:r w:rsidR="00F626B9">
              <w:rPr>
                <w:sz w:val="18"/>
                <w:szCs w:val="18"/>
              </w:rPr>
              <w:t>+</w:t>
            </w:r>
            <w:r w:rsidRPr="000A4CC5">
              <w:rPr>
                <w:sz w:val="18"/>
                <w:szCs w:val="18"/>
              </w:rPr>
              <w:t xml:space="preserve">4% </w:t>
            </w:r>
            <w:r w:rsidR="00F626B9">
              <w:rPr>
                <w:sz w:val="18"/>
                <w:szCs w:val="18"/>
              </w:rPr>
              <w:t>ετησίως</w:t>
            </w:r>
            <w:r w:rsidRPr="000A4CC5">
              <w:rPr>
                <w:sz w:val="18"/>
                <w:szCs w:val="18"/>
              </w:rPr>
              <w:t xml:space="preserve"> και </w:t>
            </w:r>
            <w:r w:rsidR="00F626B9">
              <w:rPr>
                <w:sz w:val="18"/>
                <w:szCs w:val="18"/>
              </w:rPr>
              <w:t>+</w:t>
            </w:r>
            <w:r w:rsidRPr="000A4CC5">
              <w:rPr>
                <w:sz w:val="18"/>
                <w:szCs w:val="18"/>
              </w:rPr>
              <w:t xml:space="preserve">3% σε τριμηνιαία βάση. Οι καταθέσεις ιδιωτικού τομέα αυξήθηκαν κατά €2,3δισ. από την αρχή του έτους, με βελτίωση σε όλες τις πελατειακές κατηγορίες. Το κόστος καταθέσεων </w:t>
            </w:r>
            <w:r w:rsidR="00F626B9">
              <w:rPr>
                <w:sz w:val="18"/>
                <w:szCs w:val="18"/>
              </w:rPr>
              <w:t xml:space="preserve">αποκλιμακώθηκεπεραιτέρω </w:t>
            </w:r>
            <w:r w:rsidRPr="000A4CC5">
              <w:rPr>
                <w:sz w:val="18"/>
                <w:szCs w:val="18"/>
              </w:rPr>
              <w:t xml:space="preserve">στις 15 μ.β. το 3ο 3μηνο 2020 έναντι 18μβ το 2ο 3μηνο 2020 και 24μβ το 1ο 3μηνο 2020. Η </w:t>
            </w:r>
            <w:r w:rsidR="00F626B9">
              <w:rPr>
                <w:sz w:val="18"/>
                <w:szCs w:val="18"/>
              </w:rPr>
              <w:t>ενισχυμένη ρευστότητα</w:t>
            </w:r>
            <w:r w:rsidRPr="000A4CC5">
              <w:rPr>
                <w:sz w:val="18"/>
                <w:szCs w:val="18"/>
              </w:rPr>
              <w:t xml:space="preserve"> έχει </w:t>
            </w:r>
            <w:r w:rsidR="00F626B9">
              <w:rPr>
                <w:sz w:val="18"/>
                <w:szCs w:val="18"/>
              </w:rPr>
              <w:t>στρέψει την προσοχή της Τράπεζας στο κόστος καταθέσεων</w:t>
            </w:r>
            <w:r w:rsidRPr="000A4CC5">
              <w:rPr>
                <w:sz w:val="18"/>
                <w:szCs w:val="18"/>
              </w:rPr>
              <w:t>, στην προσπάθειά της να επιτύχει ισορροπία μεταξύ προσέλκυσης καταθέσεων και μείωσης των εξόδων τόκων.</w:t>
            </w:r>
          </w:p>
        </w:tc>
      </w:tr>
      <w:tr w:rsidR="00117E4D" w:rsidRPr="000E3A57" w:rsidTr="00372608">
        <w:trPr>
          <w:trHeight w:val="1929"/>
        </w:trPr>
        <w:tc>
          <w:tcPr>
            <w:tcW w:w="1982" w:type="dxa"/>
            <w:shd w:val="clear" w:color="auto" w:fill="auto"/>
            <w:tcMar>
              <w:top w:w="57" w:type="dxa"/>
              <w:bottom w:w="57" w:type="dxa"/>
            </w:tcMar>
          </w:tcPr>
          <w:p w:rsidR="00117E4D" w:rsidRPr="000E3A57" w:rsidRDefault="00F626B9" w:rsidP="00037DDC">
            <w:pPr>
              <w:tabs>
                <w:tab w:val="left" w:pos="8262"/>
              </w:tabs>
              <w:spacing w:after="60"/>
              <w:ind w:left="32" w:right="74"/>
              <w:contextualSpacing/>
              <w:rPr>
                <w:rFonts w:cs="Calibri"/>
                <w:i/>
                <w:color w:val="FF0000"/>
              </w:rPr>
            </w:pPr>
            <w:r>
              <w:rPr>
                <w:rFonts w:eastAsiaTheme="minorEastAsia" w:cs="Calibri"/>
                <w:i/>
                <w:color w:val="6691AB"/>
              </w:rPr>
              <w:lastRenderedPageBreak/>
              <w:t>Ισχυρό</w:t>
            </w:r>
            <w:r w:rsidR="000E3A57" w:rsidRPr="000E3A57">
              <w:rPr>
                <w:rFonts w:eastAsiaTheme="minorEastAsia" w:cs="Calibri"/>
                <w:i/>
                <w:color w:val="6691AB"/>
              </w:rPr>
              <w:t xml:space="preserve"> προφίλ ρευστότητας με δείκτη </w:t>
            </w:r>
            <w:r w:rsidR="000E3A57" w:rsidRPr="000E3A57">
              <w:rPr>
                <w:rFonts w:eastAsiaTheme="minorEastAsia" w:cs="Calibri"/>
                <w:i/>
                <w:color w:val="6691AB"/>
                <w:lang w:val="en-US"/>
              </w:rPr>
              <w:t>LCR</w:t>
            </w:r>
            <w:r w:rsidR="000E3A57" w:rsidRPr="000E3A57">
              <w:rPr>
                <w:rFonts w:eastAsiaTheme="minorEastAsia" w:cs="Calibri"/>
                <w:i/>
                <w:color w:val="6691AB"/>
              </w:rPr>
              <w:t xml:space="preserve"> στο 157%</w:t>
            </w:r>
          </w:p>
        </w:tc>
        <w:tc>
          <w:tcPr>
            <w:tcW w:w="6982" w:type="dxa"/>
            <w:tcMar>
              <w:top w:w="57" w:type="dxa"/>
              <w:bottom w:w="57" w:type="dxa"/>
            </w:tcMar>
          </w:tcPr>
          <w:p w:rsidR="00117E4D" w:rsidRPr="00BF551D" w:rsidRDefault="000E3A57" w:rsidP="008D68E4">
            <w:pPr>
              <w:tabs>
                <w:tab w:val="left" w:pos="8262"/>
              </w:tabs>
              <w:spacing w:before="40" w:after="40" w:line="252" w:lineRule="auto"/>
              <w:ind w:left="7" w:right="301"/>
              <w:jc w:val="both"/>
              <w:rPr>
                <w:color w:val="FF0000"/>
                <w:sz w:val="18"/>
                <w:szCs w:val="18"/>
              </w:rPr>
            </w:pPr>
            <w:r w:rsidRPr="000E3A57">
              <w:rPr>
                <w:sz w:val="18"/>
                <w:szCs w:val="18"/>
              </w:rPr>
              <w:t xml:space="preserve">Η χρηματοδότηση από το Ευρωσύστημα αυξήθηκε σε €9δισ. στις 30 Σεπτεμβρίου 2020 από €0,4δισ. στις 31 Δεκεμβρίου 2019, μέσω της αξιοποίησης </w:t>
            </w:r>
            <w:r w:rsidR="00E23FDD">
              <w:rPr>
                <w:sz w:val="18"/>
                <w:szCs w:val="18"/>
              </w:rPr>
              <w:t xml:space="preserve">των διεκολύνσεων </w:t>
            </w:r>
            <w:r w:rsidRPr="000E3A57">
              <w:rPr>
                <w:sz w:val="18"/>
                <w:szCs w:val="18"/>
              </w:rPr>
              <w:t>χρηματοδότησης της ΕΚΤ (</w:t>
            </w:r>
            <w:r w:rsidRPr="000E3A57">
              <w:rPr>
                <w:sz w:val="18"/>
                <w:szCs w:val="18"/>
                <w:lang w:val="en-US"/>
              </w:rPr>
              <w:t>TLTRO</w:t>
            </w:r>
            <w:r w:rsidR="00C67F83">
              <w:rPr>
                <w:sz w:val="18"/>
                <w:szCs w:val="18"/>
              </w:rPr>
              <w:t xml:space="preserve"> ΙΙΙ</w:t>
            </w:r>
            <w:r w:rsidRPr="000E3A57">
              <w:rPr>
                <w:sz w:val="18"/>
                <w:szCs w:val="18"/>
              </w:rPr>
              <w:t xml:space="preserve">). Η χρήση της διατραπεζικής αγοράς </w:t>
            </w:r>
            <w:r w:rsidRPr="000E3A57">
              <w:rPr>
                <w:sz w:val="18"/>
                <w:szCs w:val="18"/>
                <w:lang w:val="en-US"/>
              </w:rPr>
              <w:t>repos</w:t>
            </w:r>
            <w:r w:rsidRPr="000E3A57">
              <w:rPr>
                <w:sz w:val="18"/>
                <w:szCs w:val="18"/>
              </w:rPr>
              <w:t xml:space="preserve"> περιορίστηκε σε €0,1δισ. στις 30 Σεπτεμβρίου 2020. Η Τράπεζα Πειραιώς </w:t>
            </w:r>
            <w:r w:rsidR="008D68E4">
              <w:rPr>
                <w:sz w:val="18"/>
                <w:szCs w:val="18"/>
              </w:rPr>
              <w:t xml:space="preserve">βελτίωσε περαιτέρω τον δείκτη κάλυψης ρευστότητας </w:t>
            </w:r>
            <w:r w:rsidR="008D68E4" w:rsidRPr="008D68E4">
              <w:rPr>
                <w:sz w:val="18"/>
                <w:szCs w:val="18"/>
              </w:rPr>
              <w:t>(</w:t>
            </w:r>
            <w:r w:rsidR="008D68E4">
              <w:rPr>
                <w:sz w:val="18"/>
                <w:szCs w:val="18"/>
                <w:lang w:val="en-US"/>
              </w:rPr>
              <w:t>LCR</w:t>
            </w:r>
            <w:r w:rsidR="008D68E4" w:rsidRPr="008D68E4">
              <w:rPr>
                <w:sz w:val="18"/>
                <w:szCs w:val="18"/>
              </w:rPr>
              <w:t>)</w:t>
            </w:r>
            <w:r w:rsidRPr="000E3A57">
              <w:rPr>
                <w:sz w:val="18"/>
                <w:szCs w:val="18"/>
              </w:rPr>
              <w:t xml:space="preserve"> στο επίπεδο του 157% στις 30 Σεπτεμβρίου 2020. </w:t>
            </w:r>
            <w:r w:rsidR="007A5F28" w:rsidRPr="007A5F28">
              <w:rPr>
                <w:sz w:val="18"/>
                <w:szCs w:val="18"/>
              </w:rPr>
              <w:t>Ο λόγος δανείων μετά από προβλέψεις ως προς καταθέσεις του Ομίλου βελτιώθηκε περαιτέρω στο 81% από 84% ένα χρόνο νωρίτερα.</w:t>
            </w:r>
          </w:p>
        </w:tc>
      </w:tr>
      <w:tr w:rsidR="00117E4D" w:rsidRPr="0081352E" w:rsidTr="00117E4D">
        <w:trPr>
          <w:trHeight w:val="251"/>
        </w:trPr>
        <w:tc>
          <w:tcPr>
            <w:tcW w:w="1982" w:type="dxa"/>
            <w:tcMar>
              <w:top w:w="57" w:type="dxa"/>
              <w:bottom w:w="57" w:type="dxa"/>
            </w:tcMar>
          </w:tcPr>
          <w:p w:rsidR="00117E4D" w:rsidRPr="00F37490" w:rsidRDefault="008D68E4" w:rsidP="008D68E4">
            <w:pPr>
              <w:tabs>
                <w:tab w:val="left" w:pos="8262"/>
              </w:tabs>
              <w:spacing w:after="60"/>
              <w:ind w:left="32" w:right="-111"/>
              <w:contextualSpacing/>
              <w:rPr>
                <w:rFonts w:cs="Calibri"/>
                <w:i/>
                <w:color w:val="FF0000"/>
                <w:spacing w:val="-14"/>
              </w:rPr>
            </w:pPr>
            <w:r>
              <w:rPr>
                <w:rFonts w:eastAsiaTheme="minorEastAsia" w:cs="Calibri"/>
                <w:i/>
                <w:color w:val="6691AB"/>
                <w:spacing w:val="-14"/>
              </w:rPr>
              <w:t>Τα εξυπηρετούμενα δάνεια αυξήθηκαν</w:t>
            </w:r>
            <w:r w:rsidR="00F37490" w:rsidRPr="00F37490">
              <w:rPr>
                <w:rFonts w:eastAsiaTheme="minorEastAsia" w:cs="Calibri"/>
                <w:i/>
                <w:color w:val="6691AB"/>
                <w:spacing w:val="-14"/>
              </w:rPr>
              <w:t xml:space="preserve"> από την αρχή της χρονιάς</w:t>
            </w:r>
          </w:p>
        </w:tc>
        <w:tc>
          <w:tcPr>
            <w:tcW w:w="6982" w:type="dxa"/>
            <w:tcMar>
              <w:top w:w="57" w:type="dxa"/>
              <w:bottom w:w="57" w:type="dxa"/>
            </w:tcMar>
          </w:tcPr>
          <w:p w:rsidR="0081352E" w:rsidRPr="0081352E" w:rsidRDefault="0081352E" w:rsidP="008D68E4">
            <w:pPr>
              <w:tabs>
                <w:tab w:val="left" w:pos="8262"/>
              </w:tabs>
              <w:spacing w:before="40" w:after="40" w:line="252" w:lineRule="auto"/>
              <w:ind w:left="7" w:right="301"/>
              <w:jc w:val="both"/>
              <w:rPr>
                <w:color w:val="FF0000"/>
                <w:sz w:val="18"/>
                <w:szCs w:val="18"/>
              </w:rPr>
            </w:pPr>
            <w:r w:rsidRPr="00372608">
              <w:rPr>
                <w:sz w:val="18"/>
                <w:szCs w:val="18"/>
              </w:rPr>
              <w:t>Τα δάνεια προ προβλέψεων και προσαρμογών ανήλθαν σε €48,5δισ. στ</w:t>
            </w:r>
            <w:r w:rsidR="00E23FDD">
              <w:rPr>
                <w:sz w:val="18"/>
                <w:szCs w:val="18"/>
                <w:lang w:val="en-US"/>
              </w:rPr>
              <w:t>o</w:t>
            </w:r>
            <w:r w:rsidRPr="00372608">
              <w:rPr>
                <w:sz w:val="18"/>
                <w:szCs w:val="18"/>
              </w:rPr>
              <w:t>τέλ</w:t>
            </w:r>
            <w:r w:rsidR="00E23FDD">
              <w:rPr>
                <w:sz w:val="18"/>
                <w:szCs w:val="18"/>
                <w:lang w:val="en-US"/>
              </w:rPr>
              <w:t>o</w:t>
            </w:r>
            <w:r w:rsidR="00E23FDD">
              <w:rPr>
                <w:sz w:val="18"/>
                <w:szCs w:val="18"/>
              </w:rPr>
              <w:t xml:space="preserve">ς </w:t>
            </w:r>
            <w:r w:rsidRPr="00372608">
              <w:rPr>
                <w:sz w:val="18"/>
                <w:szCs w:val="18"/>
              </w:rPr>
              <w:t xml:space="preserve">Σεπτεμβρίου 2020 και μετά από προβλέψεις </w:t>
            </w:r>
            <w:r w:rsidR="00E23FDD">
              <w:rPr>
                <w:sz w:val="18"/>
                <w:szCs w:val="18"/>
              </w:rPr>
              <w:t>σε</w:t>
            </w:r>
            <w:r w:rsidRPr="00372608">
              <w:rPr>
                <w:sz w:val="18"/>
                <w:szCs w:val="18"/>
              </w:rPr>
              <w:t xml:space="preserve"> €38,3δισ. </w:t>
            </w:r>
            <w:r w:rsidRPr="0081352E">
              <w:rPr>
                <w:sz w:val="18"/>
                <w:szCs w:val="18"/>
              </w:rPr>
              <w:t xml:space="preserve">Το </w:t>
            </w:r>
            <w:r w:rsidR="008D68E4">
              <w:rPr>
                <w:sz w:val="18"/>
                <w:szCs w:val="18"/>
              </w:rPr>
              <w:t xml:space="preserve">σύνολο των </w:t>
            </w:r>
            <w:r w:rsidRPr="0081352E">
              <w:rPr>
                <w:sz w:val="18"/>
                <w:szCs w:val="18"/>
              </w:rPr>
              <w:t xml:space="preserve">εξυπηρετούμενων δανείων στην Ελλάδα αυξήθηκε κατά €1,7δισ. κατά το 9μηνο 2020, με τις επιχειρηματικές χορηγήσεις να </w:t>
            </w:r>
            <w:r>
              <w:rPr>
                <w:sz w:val="18"/>
                <w:szCs w:val="18"/>
              </w:rPr>
              <w:t xml:space="preserve">καθορίζουν την τάση. </w:t>
            </w:r>
            <w:r w:rsidRPr="0081352E">
              <w:rPr>
                <w:sz w:val="18"/>
                <w:szCs w:val="18"/>
              </w:rPr>
              <w:t xml:space="preserve">Οι νέες εκταμιεύσεις δανείων </w:t>
            </w:r>
            <w:r w:rsidR="008D68E4">
              <w:rPr>
                <w:sz w:val="18"/>
                <w:szCs w:val="18"/>
              </w:rPr>
              <w:t>διαμορφώθηκανσε</w:t>
            </w:r>
            <w:r w:rsidRPr="0081352E">
              <w:rPr>
                <w:sz w:val="18"/>
                <w:szCs w:val="18"/>
              </w:rPr>
              <w:t xml:space="preserve"> €4,5δισ. στο τέλος του 3ου 3μήνου 2020, περαιτέρω </w:t>
            </w:r>
            <w:r w:rsidR="008D68E4">
              <w:rPr>
                <w:sz w:val="18"/>
                <w:szCs w:val="18"/>
              </w:rPr>
              <w:t xml:space="preserve">αυξημένες </w:t>
            </w:r>
            <w:r w:rsidRPr="0081352E">
              <w:rPr>
                <w:sz w:val="18"/>
                <w:szCs w:val="18"/>
              </w:rPr>
              <w:t xml:space="preserve">στα €5,4 δισ. στα μέσα Νοεμβρίου,υπερβαίνοντας τον </w:t>
            </w:r>
            <w:r w:rsidR="00E23FDD">
              <w:rPr>
                <w:sz w:val="18"/>
                <w:szCs w:val="18"/>
              </w:rPr>
              <w:t xml:space="preserve">αρχικό </w:t>
            </w:r>
            <w:r w:rsidRPr="0081352E">
              <w:rPr>
                <w:sz w:val="18"/>
                <w:szCs w:val="18"/>
              </w:rPr>
              <w:t xml:space="preserve">στόχο </w:t>
            </w:r>
            <w:r w:rsidR="00E23FDD">
              <w:rPr>
                <w:sz w:val="18"/>
                <w:szCs w:val="18"/>
              </w:rPr>
              <w:t xml:space="preserve">που είχε τεθεί </w:t>
            </w:r>
            <w:r w:rsidRPr="0081352E">
              <w:rPr>
                <w:sz w:val="18"/>
                <w:szCs w:val="18"/>
              </w:rPr>
              <w:t xml:space="preserve">για νέες εκταμιεύσεις ύψους €4,9δισ. το 2020. </w:t>
            </w:r>
          </w:p>
        </w:tc>
      </w:tr>
      <w:tr w:rsidR="00117E4D" w:rsidRPr="00BA5ED9" w:rsidTr="00117E4D">
        <w:trPr>
          <w:trHeight w:val="251"/>
        </w:trPr>
        <w:tc>
          <w:tcPr>
            <w:tcW w:w="1982" w:type="dxa"/>
            <w:tcMar>
              <w:top w:w="57" w:type="dxa"/>
              <w:bottom w:w="57" w:type="dxa"/>
            </w:tcMar>
          </w:tcPr>
          <w:p w:rsidR="00117E4D" w:rsidRPr="000B30BD" w:rsidRDefault="000B30BD" w:rsidP="00ED64FD">
            <w:pPr>
              <w:tabs>
                <w:tab w:val="left" w:pos="8262"/>
              </w:tabs>
              <w:spacing w:after="60"/>
              <w:ind w:left="32" w:right="74"/>
              <w:contextualSpacing/>
              <w:rPr>
                <w:rFonts w:eastAsiaTheme="minorEastAsia" w:cs="Calibri"/>
                <w:i/>
                <w:color w:val="FF0000"/>
              </w:rPr>
            </w:pPr>
            <w:r w:rsidRPr="000B30BD">
              <w:rPr>
                <w:rFonts w:eastAsiaTheme="minorEastAsia" w:cs="Calibri"/>
                <w:i/>
                <w:color w:val="6691AB"/>
              </w:rPr>
              <w:t xml:space="preserve">Δείκτες κεφαλαιακής επάρκειας </w:t>
            </w:r>
            <w:r>
              <w:rPr>
                <w:rFonts w:eastAsiaTheme="minorEastAsia" w:cs="Calibri"/>
                <w:i/>
                <w:color w:val="6691AB"/>
              </w:rPr>
              <w:t>σε ικανοποιητικ</w:t>
            </w:r>
            <w:r w:rsidR="00ED64FD">
              <w:rPr>
                <w:rFonts w:eastAsiaTheme="minorEastAsia" w:cs="Calibri"/>
                <w:i/>
                <w:color w:val="6691AB"/>
              </w:rPr>
              <w:t>ό</w:t>
            </w:r>
            <w:r>
              <w:rPr>
                <w:rFonts w:eastAsiaTheme="minorEastAsia" w:cs="Calibri"/>
                <w:i/>
                <w:color w:val="6691AB"/>
              </w:rPr>
              <w:t xml:space="preserve"> επίπεδ</w:t>
            </w:r>
            <w:r w:rsidR="00ED64FD">
              <w:rPr>
                <w:rFonts w:eastAsiaTheme="minorEastAsia" w:cs="Calibri"/>
                <w:i/>
                <w:color w:val="6691AB"/>
              </w:rPr>
              <w:t>ο</w:t>
            </w:r>
          </w:p>
        </w:tc>
        <w:tc>
          <w:tcPr>
            <w:tcW w:w="6982" w:type="dxa"/>
            <w:tcMar>
              <w:top w:w="57" w:type="dxa"/>
              <w:bottom w:w="57" w:type="dxa"/>
            </w:tcMar>
          </w:tcPr>
          <w:p w:rsidR="00117E4D" w:rsidRPr="00BA5ED9" w:rsidRDefault="00585B80" w:rsidP="004E36EA">
            <w:pPr>
              <w:tabs>
                <w:tab w:val="left" w:pos="8262"/>
              </w:tabs>
              <w:spacing w:before="40" w:after="40" w:line="252" w:lineRule="auto"/>
              <w:ind w:left="7" w:right="301"/>
              <w:jc w:val="both"/>
              <w:rPr>
                <w:sz w:val="18"/>
                <w:szCs w:val="18"/>
              </w:rPr>
            </w:pPr>
            <w:r w:rsidRPr="00585B80">
              <w:rPr>
                <w:sz w:val="18"/>
                <w:szCs w:val="18"/>
              </w:rPr>
              <w:t>Ο δείκτης κεφαλαιακής επάρκειας Common EquityTier 1 (CET1) του Ομίλου στις 30 Σεπτεμβρίου 2020 διαμορφώθηκε στο 14,1%, ενώ ο δείκτης συνολικής κεφαλαιακής επάρκειας στο 16,1%, υψηλότερα από την ελάχιστη εποπτική απαίτηση του 11,25%</w:t>
            </w:r>
            <w:r w:rsidR="00ED64FD">
              <w:rPr>
                <w:sz w:val="18"/>
                <w:szCs w:val="18"/>
              </w:rPr>
              <w:t xml:space="preserve"> ( συμπεριλαμβανομένων των εποπτικών διευκολύνσεων λόγω</w:t>
            </w:r>
            <w:r>
              <w:rPr>
                <w:sz w:val="18"/>
                <w:szCs w:val="18"/>
                <w:lang w:val="en-US"/>
              </w:rPr>
              <w:t>Covid</w:t>
            </w:r>
            <w:r w:rsidRPr="00585B80">
              <w:rPr>
                <w:sz w:val="18"/>
                <w:szCs w:val="18"/>
              </w:rPr>
              <w:t xml:space="preserve">-19). Οι δείκτες CET1 και συνολικής κεφαλαιακής επάρκειας με πλήρη εφαρμογή της Βασιλείας ΙΙΙ διαμορφώθηκαν σε 11,6% and 13,6% αντίστοιχα. Η </w:t>
            </w:r>
            <w:r w:rsidR="00ED64FD">
              <w:rPr>
                <w:sz w:val="18"/>
                <w:szCs w:val="18"/>
              </w:rPr>
              <w:t>εξέλιξη</w:t>
            </w:r>
            <w:r w:rsidRPr="00585B80">
              <w:rPr>
                <w:sz w:val="18"/>
                <w:szCs w:val="18"/>
              </w:rPr>
              <w:t xml:space="preserve"> των κεφαλαίων της Τράπεζας </w:t>
            </w:r>
            <w:r w:rsidR="004E36EA">
              <w:rPr>
                <w:sz w:val="18"/>
                <w:szCs w:val="18"/>
              </w:rPr>
              <w:t>αναμένεται να</w:t>
            </w:r>
            <w:r w:rsidRPr="00585B80">
              <w:rPr>
                <w:sz w:val="18"/>
                <w:szCs w:val="18"/>
              </w:rPr>
              <w:t xml:space="preserve"> βελτιωθεί περαιτέρω από </w:t>
            </w:r>
            <w:r>
              <w:rPr>
                <w:sz w:val="18"/>
                <w:szCs w:val="18"/>
              </w:rPr>
              <w:t>επιπρόσθετες ενέργειες κεφαλαιακής ενίσχυσης που βρίσκονται σε εξέλιξη, σ</w:t>
            </w:r>
            <w:r w:rsidRPr="00585B80">
              <w:rPr>
                <w:sz w:val="18"/>
                <w:szCs w:val="18"/>
              </w:rPr>
              <w:t xml:space="preserve">υνολικού ύψους </w:t>
            </w:r>
            <w:r>
              <w:rPr>
                <w:sz w:val="18"/>
                <w:szCs w:val="18"/>
              </w:rPr>
              <w:t xml:space="preserve">περίπου </w:t>
            </w:r>
            <w:r w:rsidRPr="00585B80">
              <w:rPr>
                <w:sz w:val="18"/>
                <w:szCs w:val="18"/>
              </w:rPr>
              <w:t>€</w:t>
            </w:r>
            <w:r>
              <w:rPr>
                <w:sz w:val="18"/>
                <w:szCs w:val="18"/>
              </w:rPr>
              <w:t xml:space="preserve">1δισ. Οι εν λόγω ενέργειες </w:t>
            </w:r>
            <w:r w:rsidR="00ED64FD">
              <w:rPr>
                <w:sz w:val="18"/>
                <w:szCs w:val="18"/>
              </w:rPr>
              <w:t>περιλαμβάνουν</w:t>
            </w:r>
            <w:r>
              <w:rPr>
                <w:sz w:val="18"/>
                <w:szCs w:val="18"/>
              </w:rPr>
              <w:t xml:space="preserve"> την απόσχιση </w:t>
            </w:r>
            <w:r w:rsidRPr="00585B80">
              <w:rPr>
                <w:sz w:val="18"/>
                <w:szCs w:val="18"/>
              </w:rPr>
              <w:t xml:space="preserve">των </w:t>
            </w:r>
            <w:r w:rsidR="00BA5ED9">
              <w:rPr>
                <w:sz w:val="18"/>
                <w:szCs w:val="18"/>
              </w:rPr>
              <w:t>υπηρεσιών αποδοχής καρτών</w:t>
            </w:r>
            <w:r w:rsidRPr="00585B80">
              <w:rPr>
                <w:sz w:val="18"/>
                <w:szCs w:val="18"/>
              </w:rPr>
              <w:t>, τη διενέργεια τιτλοποίησης</w:t>
            </w:r>
            <w:r w:rsidR="00ED64FD">
              <w:rPr>
                <w:sz w:val="18"/>
                <w:szCs w:val="18"/>
              </w:rPr>
              <w:t xml:space="preserve">εξυπηρετούμενων </w:t>
            </w:r>
            <w:r w:rsidRPr="00585B80">
              <w:rPr>
                <w:sz w:val="18"/>
                <w:szCs w:val="18"/>
              </w:rPr>
              <w:t xml:space="preserve">δανείων </w:t>
            </w:r>
            <w:r w:rsidR="004E36EA">
              <w:rPr>
                <w:sz w:val="18"/>
                <w:szCs w:val="18"/>
              </w:rPr>
              <w:t>(</w:t>
            </w:r>
            <w:r w:rsidR="004E36EA">
              <w:rPr>
                <w:sz w:val="18"/>
                <w:szCs w:val="18"/>
                <w:lang w:val="en-US"/>
              </w:rPr>
              <w:t>SyntheticSecuritization</w:t>
            </w:r>
            <w:r w:rsidR="004E36EA">
              <w:rPr>
                <w:sz w:val="18"/>
                <w:szCs w:val="18"/>
              </w:rPr>
              <w:t xml:space="preserve">) </w:t>
            </w:r>
            <w:r w:rsidRPr="00585B80">
              <w:rPr>
                <w:sz w:val="18"/>
                <w:szCs w:val="18"/>
              </w:rPr>
              <w:t xml:space="preserve">ύψους </w:t>
            </w:r>
            <w:r>
              <w:rPr>
                <w:sz w:val="18"/>
                <w:szCs w:val="18"/>
              </w:rPr>
              <w:t>€</w:t>
            </w:r>
            <w:r w:rsidRPr="00585B80">
              <w:rPr>
                <w:sz w:val="18"/>
                <w:szCs w:val="18"/>
              </w:rPr>
              <w:t>2δι</w:t>
            </w:r>
            <w:r>
              <w:rPr>
                <w:sz w:val="18"/>
                <w:szCs w:val="18"/>
              </w:rPr>
              <w:t xml:space="preserve">σ. </w:t>
            </w:r>
            <w:r w:rsidRPr="00585B80">
              <w:rPr>
                <w:sz w:val="18"/>
                <w:szCs w:val="18"/>
              </w:rPr>
              <w:t xml:space="preserve">και </w:t>
            </w:r>
            <w:r w:rsidR="004E36EA">
              <w:rPr>
                <w:sz w:val="18"/>
                <w:szCs w:val="18"/>
              </w:rPr>
              <w:t xml:space="preserve">ανάθεση της διαχείρισης </w:t>
            </w:r>
            <w:r w:rsidR="00ED64FD">
              <w:rPr>
                <w:sz w:val="18"/>
                <w:szCs w:val="18"/>
              </w:rPr>
              <w:t>χ</w:t>
            </w:r>
            <w:r w:rsidRPr="00585B80">
              <w:rPr>
                <w:sz w:val="18"/>
                <w:szCs w:val="18"/>
              </w:rPr>
              <w:t>αρτοφυλακίου συμμετοχών της Τράπεζας.</w:t>
            </w:r>
          </w:p>
        </w:tc>
      </w:tr>
      <w:tr w:rsidR="00117E4D" w:rsidRPr="00D92023" w:rsidTr="00556FCF">
        <w:trPr>
          <w:trHeight w:val="1563"/>
        </w:trPr>
        <w:tc>
          <w:tcPr>
            <w:tcW w:w="1982" w:type="dxa"/>
            <w:tcMar>
              <w:top w:w="57" w:type="dxa"/>
              <w:bottom w:w="57" w:type="dxa"/>
            </w:tcMar>
          </w:tcPr>
          <w:p w:rsidR="00117E4D" w:rsidRPr="00FE7C89" w:rsidRDefault="004E36EA" w:rsidP="004E36EA">
            <w:pPr>
              <w:tabs>
                <w:tab w:val="left" w:pos="8262"/>
              </w:tabs>
              <w:spacing w:after="60"/>
              <w:ind w:left="32" w:right="74"/>
              <w:contextualSpacing/>
              <w:rPr>
                <w:rFonts w:cs="Calibri"/>
                <w:i/>
              </w:rPr>
            </w:pPr>
            <w:r>
              <w:rPr>
                <w:rFonts w:eastAsiaTheme="minorEastAsia" w:cs="Calibri"/>
                <w:i/>
                <w:color w:val="6691AB"/>
              </w:rPr>
              <w:t>Συνεχίζεται η μείωση του αποθέματος</w:t>
            </w:r>
            <w:r w:rsidR="00FE7C89" w:rsidRPr="00FE7C89">
              <w:rPr>
                <w:rFonts w:eastAsiaTheme="minorEastAsia" w:cs="Calibri"/>
                <w:i/>
                <w:color w:val="6691AB"/>
              </w:rPr>
              <w:t xml:space="preserve"> ΜΕΑ</w:t>
            </w:r>
          </w:p>
        </w:tc>
        <w:tc>
          <w:tcPr>
            <w:tcW w:w="6982" w:type="dxa"/>
            <w:tcMar>
              <w:top w:w="57" w:type="dxa"/>
              <w:bottom w:w="57" w:type="dxa"/>
            </w:tcMar>
          </w:tcPr>
          <w:p w:rsidR="00D92023" w:rsidRPr="00D92023" w:rsidRDefault="00D92023" w:rsidP="003A436B">
            <w:pPr>
              <w:tabs>
                <w:tab w:val="left" w:pos="8262"/>
              </w:tabs>
              <w:spacing w:before="40" w:after="40" w:line="252" w:lineRule="auto"/>
              <w:ind w:right="301"/>
              <w:jc w:val="both"/>
              <w:rPr>
                <w:color w:val="FF0000"/>
                <w:sz w:val="18"/>
                <w:szCs w:val="18"/>
              </w:rPr>
            </w:pPr>
            <w:r w:rsidRPr="00D92023">
              <w:rPr>
                <w:sz w:val="18"/>
                <w:szCs w:val="18"/>
              </w:rPr>
              <w:t xml:space="preserve">Τα ΜΕΑ ανήλθαν σε €22,7δισ. στο τέλος Σεπτεμβρίου 2020 από €24,5δισ. στις 31 Δεκεμβρίου 2019. Ο δείκτης κάλυψης ΜΕΑ από σωρευτικές προβλέψεις </w:t>
            </w:r>
            <w:r>
              <w:rPr>
                <w:sz w:val="18"/>
                <w:szCs w:val="18"/>
              </w:rPr>
              <w:t xml:space="preserve">παρέμεινε </w:t>
            </w:r>
            <w:r w:rsidR="00310998">
              <w:rPr>
                <w:sz w:val="18"/>
                <w:szCs w:val="18"/>
              </w:rPr>
              <w:t>αμετάβλητός</w:t>
            </w:r>
            <w:r>
              <w:rPr>
                <w:sz w:val="18"/>
                <w:szCs w:val="18"/>
              </w:rPr>
              <w:t xml:space="preserve"> στ</w:t>
            </w:r>
            <w:r w:rsidRPr="00D92023">
              <w:rPr>
                <w:sz w:val="18"/>
                <w:szCs w:val="18"/>
              </w:rPr>
              <w:t>ο 45%. Οι τιτλοποιήσεις</w:t>
            </w:r>
            <w:r>
              <w:rPr>
                <w:sz w:val="18"/>
                <w:szCs w:val="18"/>
              </w:rPr>
              <w:t xml:space="preserve"> ΜΕΑ</w:t>
            </w:r>
            <w:r w:rsidRPr="00D92023">
              <w:rPr>
                <w:sz w:val="18"/>
                <w:szCs w:val="18"/>
              </w:rPr>
              <w:t xml:space="preserve"> Phoenix και Vega συνολικού ύψους €7 δισ.</w:t>
            </w:r>
            <w:r>
              <w:rPr>
                <w:sz w:val="18"/>
                <w:szCs w:val="18"/>
              </w:rPr>
              <w:t xml:space="preserve">, οι οποίες </w:t>
            </w:r>
            <w:r w:rsidRPr="00D92023">
              <w:rPr>
                <w:sz w:val="18"/>
                <w:szCs w:val="18"/>
              </w:rPr>
              <w:t xml:space="preserve">αναμένεται να ολοκληρωθούν </w:t>
            </w:r>
            <w:r>
              <w:rPr>
                <w:sz w:val="18"/>
                <w:szCs w:val="18"/>
              </w:rPr>
              <w:t xml:space="preserve">στους πρώτους μήνες του </w:t>
            </w:r>
            <w:r w:rsidRPr="00D92023">
              <w:rPr>
                <w:sz w:val="18"/>
                <w:szCs w:val="18"/>
              </w:rPr>
              <w:t>2021</w:t>
            </w:r>
            <w:r>
              <w:rPr>
                <w:sz w:val="18"/>
                <w:szCs w:val="18"/>
              </w:rPr>
              <w:t xml:space="preserve">,θα </w:t>
            </w:r>
            <w:r w:rsidRPr="00D92023">
              <w:rPr>
                <w:sz w:val="18"/>
                <w:szCs w:val="18"/>
              </w:rPr>
              <w:t xml:space="preserve">μειώσουν περαιτέρω το </w:t>
            </w:r>
            <w:r>
              <w:rPr>
                <w:sz w:val="18"/>
                <w:szCs w:val="18"/>
              </w:rPr>
              <w:t xml:space="preserve">υπόλοιπο των </w:t>
            </w:r>
            <w:r w:rsidRPr="00D92023">
              <w:rPr>
                <w:sz w:val="18"/>
                <w:szCs w:val="18"/>
              </w:rPr>
              <w:t xml:space="preserve">ΜΕΑ της Τράπεζας, ενώ επιπλέον </w:t>
            </w:r>
            <w:r w:rsidR="004E36EA">
              <w:rPr>
                <w:sz w:val="18"/>
                <w:szCs w:val="18"/>
              </w:rPr>
              <w:t>ενέργειες</w:t>
            </w:r>
            <w:r w:rsidR="00107686" w:rsidRPr="00107686">
              <w:rPr>
                <w:sz w:val="18"/>
                <w:szCs w:val="18"/>
              </w:rPr>
              <w:t xml:space="preserve">εξυγίανσης των στοιχείων ενεργητικού </w:t>
            </w:r>
            <w:r w:rsidR="00107686">
              <w:rPr>
                <w:sz w:val="18"/>
                <w:szCs w:val="18"/>
              </w:rPr>
              <w:t>βρίσκονται υπό αξιολόγηση επί του παρόντος</w:t>
            </w:r>
            <w:r w:rsidRPr="00D92023">
              <w:rPr>
                <w:sz w:val="18"/>
                <w:szCs w:val="18"/>
              </w:rPr>
              <w:t xml:space="preserve">, </w:t>
            </w:r>
            <w:r w:rsidR="00107686">
              <w:rPr>
                <w:sz w:val="18"/>
                <w:szCs w:val="18"/>
              </w:rPr>
              <w:t xml:space="preserve">λαμβάνοντας υπόψη </w:t>
            </w:r>
            <w:r w:rsidRPr="00D92023">
              <w:rPr>
                <w:sz w:val="18"/>
                <w:szCs w:val="18"/>
              </w:rPr>
              <w:t>τη</w:t>
            </w:r>
            <w:r w:rsidR="004E36EA">
              <w:rPr>
                <w:sz w:val="18"/>
                <w:szCs w:val="18"/>
              </w:rPr>
              <w:t xml:space="preserve">νενισχυμένη </w:t>
            </w:r>
            <w:r w:rsidR="003A436B">
              <w:rPr>
                <w:sz w:val="18"/>
                <w:szCs w:val="18"/>
              </w:rPr>
              <w:t xml:space="preserve">εξέλιξη της </w:t>
            </w:r>
            <w:r w:rsidR="004E36EA">
              <w:rPr>
                <w:sz w:val="18"/>
                <w:szCs w:val="18"/>
              </w:rPr>
              <w:t>κεφαλαιακή θέση</w:t>
            </w:r>
            <w:r w:rsidRPr="00D92023">
              <w:rPr>
                <w:sz w:val="18"/>
                <w:szCs w:val="18"/>
              </w:rPr>
              <w:t xml:space="preserve"> της Τράπεζας.  </w:t>
            </w:r>
          </w:p>
        </w:tc>
      </w:tr>
      <w:tr w:rsidR="00556FCF" w:rsidRPr="00677CFD" w:rsidTr="00117E4D">
        <w:trPr>
          <w:trHeight w:val="1943"/>
        </w:trPr>
        <w:tc>
          <w:tcPr>
            <w:tcW w:w="1982" w:type="dxa"/>
            <w:tcMar>
              <w:top w:w="57" w:type="dxa"/>
              <w:bottom w:w="57" w:type="dxa"/>
            </w:tcMar>
          </w:tcPr>
          <w:p w:rsidR="00556FCF" w:rsidRPr="00416095" w:rsidRDefault="00FE7C89" w:rsidP="00FE7C89">
            <w:pPr>
              <w:tabs>
                <w:tab w:val="left" w:pos="8262"/>
              </w:tabs>
              <w:spacing w:after="60"/>
              <w:ind w:left="32" w:right="74"/>
              <w:contextualSpacing/>
              <w:rPr>
                <w:rFonts w:eastAsiaTheme="minorEastAsia" w:cs="Calibri"/>
                <w:i/>
                <w:color w:val="6691AB"/>
                <w:lang w:val="en-US"/>
              </w:rPr>
            </w:pPr>
            <w:r w:rsidRPr="00FE7C89">
              <w:rPr>
                <w:rFonts w:eastAsiaTheme="minorEastAsia" w:cs="Calibri"/>
                <w:i/>
                <w:color w:val="6691AB"/>
                <w:lang w:val="en-US"/>
              </w:rPr>
              <w:t xml:space="preserve">Εταιρικός μετασχηματισμός </w:t>
            </w:r>
          </w:p>
        </w:tc>
        <w:tc>
          <w:tcPr>
            <w:tcW w:w="6982" w:type="dxa"/>
            <w:tcMar>
              <w:top w:w="57" w:type="dxa"/>
              <w:bottom w:w="57" w:type="dxa"/>
            </w:tcMar>
          </w:tcPr>
          <w:p w:rsidR="00677CFD" w:rsidRPr="00677CFD" w:rsidRDefault="00677CFD" w:rsidP="003A436B">
            <w:pPr>
              <w:tabs>
                <w:tab w:val="left" w:pos="8262"/>
              </w:tabs>
              <w:spacing w:before="40" w:after="40" w:line="252" w:lineRule="auto"/>
              <w:ind w:left="6" w:right="301"/>
              <w:jc w:val="both"/>
              <w:rPr>
                <w:sz w:val="18"/>
                <w:szCs w:val="18"/>
              </w:rPr>
            </w:pPr>
            <w:r w:rsidRPr="00677CFD">
              <w:rPr>
                <w:sz w:val="18"/>
                <w:szCs w:val="18"/>
              </w:rPr>
              <w:t xml:space="preserve">Ο εταιρικός μετασχηματισμός της Τράπεζας Πειραιώς βρίσκεται σε </w:t>
            </w:r>
            <w:r w:rsidR="003A436B">
              <w:rPr>
                <w:sz w:val="18"/>
                <w:szCs w:val="18"/>
              </w:rPr>
              <w:t xml:space="preserve">τροχιά </w:t>
            </w:r>
            <w:r w:rsidRPr="00677CFD">
              <w:rPr>
                <w:sz w:val="18"/>
                <w:szCs w:val="18"/>
              </w:rPr>
              <w:t xml:space="preserve">ολοκλήρωσης. Αναμενόμενη ημερομηνία απόσχισης έχει οριστεί η 30η Δεκεμβρίου 2020. Οι μέτοχοι έχουν προσκληθεί σε Έκτακτη Γενική Συνέλευση </w:t>
            </w:r>
            <w:r w:rsidR="003A436B">
              <w:rPr>
                <w:sz w:val="18"/>
                <w:szCs w:val="18"/>
              </w:rPr>
              <w:t xml:space="preserve">που θα λάβει χώρα </w:t>
            </w:r>
            <w:r w:rsidRPr="00677CFD">
              <w:rPr>
                <w:sz w:val="18"/>
                <w:szCs w:val="18"/>
              </w:rPr>
              <w:t xml:space="preserve">στις 10 Δεκεμβρίου 2020 προκειμένου να εγκρίνουν </w:t>
            </w:r>
            <w:r>
              <w:rPr>
                <w:sz w:val="18"/>
                <w:szCs w:val="18"/>
              </w:rPr>
              <w:t>τον εταιρικό μετασχηματισμό (</w:t>
            </w:r>
            <w:r w:rsidRPr="00677CFD">
              <w:rPr>
                <w:sz w:val="18"/>
                <w:szCs w:val="18"/>
              </w:rPr>
              <w:t>απόσχιση και συνεισφορά σε νέα εταιρία</w:t>
            </w:r>
            <w:r>
              <w:rPr>
                <w:sz w:val="18"/>
                <w:szCs w:val="18"/>
              </w:rPr>
              <w:t>),</w:t>
            </w:r>
            <w:r w:rsidRPr="00677CFD">
              <w:rPr>
                <w:sz w:val="18"/>
                <w:szCs w:val="18"/>
              </w:rPr>
              <w:t xml:space="preserve"> καθώς και τα καταστατικά της </w:t>
            </w:r>
            <w:r>
              <w:rPr>
                <w:sz w:val="18"/>
                <w:szCs w:val="18"/>
              </w:rPr>
              <w:t xml:space="preserve">νέας </w:t>
            </w:r>
            <w:r w:rsidRPr="00677CFD">
              <w:rPr>
                <w:sz w:val="18"/>
                <w:szCs w:val="18"/>
              </w:rPr>
              <w:t xml:space="preserve">εταιρίας συμμετοχών και της </w:t>
            </w:r>
            <w:r>
              <w:rPr>
                <w:sz w:val="18"/>
                <w:szCs w:val="18"/>
              </w:rPr>
              <w:t xml:space="preserve">νέας εταιρίας τραπεζικών δραστηριοτήτων του Ομίλου. </w:t>
            </w:r>
          </w:p>
        </w:tc>
      </w:tr>
    </w:tbl>
    <w:p w:rsidR="00FA1352" w:rsidRPr="00C3326C" w:rsidRDefault="00C3326C" w:rsidP="005828D6">
      <w:pPr>
        <w:shd w:val="clear" w:color="auto" w:fill="FFFFFF" w:themeFill="background1"/>
        <w:tabs>
          <w:tab w:val="left" w:pos="9214"/>
        </w:tabs>
        <w:spacing w:after="40" w:line="300" w:lineRule="exact"/>
        <w:ind w:left="-567" w:right="-425"/>
        <w:rPr>
          <w:rFonts w:eastAsia="Times New Roman" w:cs="Calibri"/>
          <w:b/>
          <w:i/>
          <w:color w:val="FF0000"/>
          <w:sz w:val="27"/>
          <w:szCs w:val="27"/>
        </w:rPr>
      </w:pPr>
      <w:r>
        <w:rPr>
          <w:rFonts w:eastAsia="Times New Roman" w:cs="Calibri"/>
          <w:b/>
          <w:i/>
          <w:color w:val="3A73AE" w:themeColor="accent1"/>
          <w:sz w:val="27"/>
          <w:szCs w:val="27"/>
        </w:rPr>
        <w:t>Αποφασιστική</w:t>
      </w:r>
      <w:r w:rsidR="00E23FDD">
        <w:rPr>
          <w:rFonts w:eastAsia="Times New Roman" w:cs="Calibri"/>
          <w:b/>
          <w:i/>
          <w:color w:val="3A73AE" w:themeColor="accent1"/>
          <w:sz w:val="27"/>
          <w:szCs w:val="27"/>
        </w:rPr>
        <w:t>α</w:t>
      </w:r>
      <w:r>
        <w:rPr>
          <w:rFonts w:eastAsia="Times New Roman" w:cs="Calibri"/>
          <w:b/>
          <w:i/>
          <w:color w:val="3A73AE" w:themeColor="accent1"/>
          <w:sz w:val="27"/>
          <w:szCs w:val="27"/>
        </w:rPr>
        <w:t>νταπόκρισηγιατην</w:t>
      </w:r>
      <w:r w:rsidR="00E23FDD">
        <w:rPr>
          <w:rFonts w:eastAsia="Times New Roman" w:cs="Calibri"/>
          <w:b/>
          <w:i/>
          <w:color w:val="3A73AE" w:themeColor="accent1"/>
          <w:sz w:val="27"/>
          <w:szCs w:val="27"/>
        </w:rPr>
        <w:t>υ</w:t>
      </w:r>
      <w:r>
        <w:rPr>
          <w:rFonts w:eastAsia="Times New Roman" w:cs="Calibri"/>
          <w:b/>
          <w:i/>
          <w:color w:val="3A73AE" w:themeColor="accent1"/>
          <w:sz w:val="27"/>
          <w:szCs w:val="27"/>
        </w:rPr>
        <w:t xml:space="preserve">ποστήριξη </w:t>
      </w:r>
      <w:r w:rsidR="00E23FDD">
        <w:rPr>
          <w:rFonts w:eastAsia="Times New Roman" w:cs="Calibri"/>
          <w:b/>
          <w:i/>
          <w:color w:val="3A73AE" w:themeColor="accent1"/>
          <w:sz w:val="27"/>
          <w:szCs w:val="27"/>
        </w:rPr>
        <w:t>π</w:t>
      </w:r>
      <w:r>
        <w:rPr>
          <w:rFonts w:eastAsia="Times New Roman" w:cs="Calibri"/>
          <w:b/>
          <w:i/>
          <w:color w:val="3A73AE" w:themeColor="accent1"/>
          <w:sz w:val="27"/>
          <w:szCs w:val="27"/>
        </w:rPr>
        <w:t>ελατών</w:t>
      </w:r>
      <w:r w:rsidR="00E23FDD">
        <w:rPr>
          <w:rFonts w:eastAsia="Times New Roman" w:cs="Calibri"/>
          <w:b/>
          <w:i/>
          <w:color w:val="3A73AE" w:themeColor="accent1"/>
          <w:sz w:val="27"/>
          <w:szCs w:val="27"/>
        </w:rPr>
        <w:t xml:space="preserve"> που έχουν πληγεί</w:t>
      </w:r>
    </w:p>
    <w:tbl>
      <w:tblPr>
        <w:tblStyle w:val="TableGrid1"/>
        <w:tblpPr w:leftFromText="180" w:rightFromText="180" w:vertAnchor="text" w:horzAnchor="margin" w:tblpX="-709" w:tblpY="27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6946"/>
      </w:tblGrid>
      <w:tr w:rsidR="00CD2E41" w:rsidRPr="00C3326C" w:rsidTr="00C747D0">
        <w:trPr>
          <w:trHeight w:val="931"/>
        </w:trPr>
        <w:tc>
          <w:tcPr>
            <w:tcW w:w="8789" w:type="dxa"/>
            <w:gridSpan w:val="2"/>
            <w:tcMar>
              <w:top w:w="57" w:type="dxa"/>
              <w:bottom w:w="57" w:type="dxa"/>
            </w:tcMar>
          </w:tcPr>
          <w:p w:rsidR="00C3326C" w:rsidRDefault="00C3326C" w:rsidP="00C747D0">
            <w:pPr>
              <w:jc w:val="both"/>
              <w:rPr>
                <w:sz w:val="18"/>
                <w:szCs w:val="18"/>
              </w:rPr>
            </w:pPr>
            <w:r w:rsidRPr="00C3326C">
              <w:rPr>
                <w:sz w:val="18"/>
                <w:szCs w:val="18"/>
              </w:rPr>
              <w:t xml:space="preserve">Η Τράπεζα Πειραιώς, σε συνεργασία με την Ελληνική Ένωση Τραπεζών και </w:t>
            </w:r>
            <w:r>
              <w:rPr>
                <w:sz w:val="18"/>
                <w:szCs w:val="18"/>
              </w:rPr>
              <w:t xml:space="preserve">τις </w:t>
            </w:r>
            <w:r w:rsidRPr="00C3326C">
              <w:rPr>
                <w:sz w:val="18"/>
                <w:szCs w:val="18"/>
              </w:rPr>
              <w:t xml:space="preserve">τράπεζες-μέλη, παρακολουθεί στενά τις εξελίξεις και συνεργάζεται με την Ελληνική Κυβέρνηση και τις Εποπτικές Αρχές </w:t>
            </w:r>
            <w:r>
              <w:rPr>
                <w:sz w:val="18"/>
                <w:szCs w:val="18"/>
              </w:rPr>
              <w:t xml:space="preserve">προκειμένου </w:t>
            </w:r>
            <w:r w:rsidRPr="00C3326C">
              <w:rPr>
                <w:sz w:val="18"/>
                <w:szCs w:val="18"/>
              </w:rPr>
              <w:t>να βοηθήσει στην αντιμετώπιση των αρνητικών επιπτώσεων της πανδημίας του κοροναϊού και της δια</w:t>
            </w:r>
            <w:r>
              <w:rPr>
                <w:sz w:val="18"/>
                <w:szCs w:val="18"/>
              </w:rPr>
              <w:t>ταραχής</w:t>
            </w:r>
            <w:r w:rsidRPr="00C3326C">
              <w:rPr>
                <w:sz w:val="18"/>
                <w:szCs w:val="18"/>
              </w:rPr>
              <w:t xml:space="preserve"> της οικονομικής δραστηριότητας.</w:t>
            </w:r>
          </w:p>
          <w:p w:rsidR="00C3326C" w:rsidRPr="00C3326C" w:rsidRDefault="00C3326C" w:rsidP="00C747D0">
            <w:pPr>
              <w:jc w:val="both"/>
              <w:rPr>
                <w:sz w:val="18"/>
                <w:szCs w:val="18"/>
              </w:rPr>
            </w:pPr>
          </w:p>
        </w:tc>
      </w:tr>
      <w:tr w:rsidR="00CD2E41" w:rsidRPr="00BE70B8" w:rsidTr="00C747D0">
        <w:trPr>
          <w:trHeight w:val="962"/>
        </w:trPr>
        <w:tc>
          <w:tcPr>
            <w:tcW w:w="1843" w:type="dxa"/>
            <w:tcMar>
              <w:top w:w="57" w:type="dxa"/>
              <w:bottom w:w="57" w:type="dxa"/>
            </w:tcMar>
          </w:tcPr>
          <w:p w:rsidR="00FA1352" w:rsidRPr="00CD2E41" w:rsidRDefault="00C3326C" w:rsidP="00C747D0">
            <w:pPr>
              <w:tabs>
                <w:tab w:val="left" w:pos="8262"/>
              </w:tabs>
              <w:spacing w:after="60"/>
              <w:ind w:left="32" w:right="74"/>
              <w:contextualSpacing/>
              <w:rPr>
                <w:rFonts w:cs="Calibri"/>
                <w:b/>
                <w:color w:val="FF0000"/>
                <w:lang w:val="en-US"/>
              </w:rPr>
            </w:pPr>
            <w:r w:rsidRPr="00C3326C">
              <w:rPr>
                <w:rFonts w:eastAsiaTheme="minorEastAsia" w:cs="Calibri"/>
                <w:i/>
                <w:color w:val="6691AB"/>
                <w:lang w:val="en-US"/>
              </w:rPr>
              <w:lastRenderedPageBreak/>
              <w:t>Αναστολή αποπληρωμής δανείων</w:t>
            </w:r>
          </w:p>
        </w:tc>
        <w:tc>
          <w:tcPr>
            <w:tcW w:w="6946" w:type="dxa"/>
            <w:tcMar>
              <w:top w:w="57" w:type="dxa"/>
              <w:bottom w:w="57" w:type="dxa"/>
            </w:tcMar>
          </w:tcPr>
          <w:p w:rsidR="00C6428C" w:rsidRDefault="00C6428C" w:rsidP="00C747D0">
            <w:pPr>
              <w:pBdr>
                <w:top w:val="nil"/>
                <w:left w:val="nil"/>
                <w:bottom w:val="nil"/>
                <w:right w:val="nil"/>
                <w:between w:val="nil"/>
                <w:bar w:val="nil"/>
              </w:pBdr>
              <w:spacing w:after="120"/>
              <w:jc w:val="both"/>
              <w:rPr>
                <w:sz w:val="18"/>
                <w:szCs w:val="18"/>
              </w:rPr>
            </w:pPr>
            <w:r w:rsidRPr="00C6428C">
              <w:rPr>
                <w:sz w:val="18"/>
                <w:szCs w:val="18"/>
              </w:rPr>
              <w:t>Η Ελληνική Ένωση Τραπεζών τον Μάρτιο του 2020 ανακοίνωσε μέτρα για τη στήριξη επιχειρήσεων και φυσικών προσώπων (εργαζομένων, αυτοαπασχολουμένων και ατομικ</w:t>
            </w:r>
            <w:r>
              <w:rPr>
                <w:sz w:val="18"/>
                <w:szCs w:val="18"/>
              </w:rPr>
              <w:t xml:space="preserve">ών </w:t>
            </w:r>
            <w:r w:rsidRPr="00C6428C">
              <w:rPr>
                <w:sz w:val="18"/>
                <w:szCs w:val="18"/>
              </w:rPr>
              <w:t>επιχειρήσε</w:t>
            </w:r>
            <w:r>
              <w:rPr>
                <w:sz w:val="18"/>
                <w:szCs w:val="18"/>
              </w:rPr>
              <w:t>ων</w:t>
            </w:r>
            <w:r w:rsidRPr="00C6428C">
              <w:rPr>
                <w:sz w:val="18"/>
                <w:szCs w:val="18"/>
              </w:rPr>
              <w:t xml:space="preserve">) που </w:t>
            </w:r>
            <w:r>
              <w:rPr>
                <w:sz w:val="18"/>
                <w:szCs w:val="18"/>
              </w:rPr>
              <w:t xml:space="preserve">επηρεάστηκαν </w:t>
            </w:r>
            <w:r w:rsidRPr="00C6428C">
              <w:rPr>
                <w:sz w:val="18"/>
                <w:szCs w:val="18"/>
              </w:rPr>
              <w:t xml:space="preserve">από την κρίση. </w:t>
            </w:r>
          </w:p>
          <w:p w:rsidR="00C6428C" w:rsidRPr="00C6428C" w:rsidRDefault="00C6428C" w:rsidP="00C747D0">
            <w:pPr>
              <w:pBdr>
                <w:top w:val="nil"/>
                <w:left w:val="nil"/>
                <w:bottom w:val="nil"/>
                <w:right w:val="nil"/>
                <w:between w:val="nil"/>
                <w:bar w:val="nil"/>
              </w:pBdr>
              <w:spacing w:after="120"/>
              <w:jc w:val="both"/>
              <w:rPr>
                <w:sz w:val="18"/>
                <w:szCs w:val="18"/>
              </w:rPr>
            </w:pPr>
            <w:r w:rsidRPr="00C6428C">
              <w:rPr>
                <w:sz w:val="18"/>
                <w:szCs w:val="18"/>
              </w:rPr>
              <w:t xml:space="preserve">Για την κατηγορία των φυσικών προσώπων, οι τράπεζες προσέφεραν αναστολή πληρωμής των δόσεων των εξυπηρετούμενων δανείων τους έως τις 31 Δεκεμβρίου 2020. Επιλέξιμα για την αναστολή ήταν πρόσωπα που ήταν επίσης επιλέξιμα για την αποζημίωση των €800 λόγω του </w:t>
            </w:r>
            <w:r w:rsidRPr="00C6428C">
              <w:rPr>
                <w:sz w:val="18"/>
                <w:szCs w:val="18"/>
                <w:lang w:val="en-US"/>
              </w:rPr>
              <w:t>Covid</w:t>
            </w:r>
            <w:r w:rsidRPr="00C6428C">
              <w:rPr>
                <w:sz w:val="18"/>
                <w:szCs w:val="18"/>
              </w:rPr>
              <w:t xml:space="preserve">-19, ή απασχολούνταν σε επηρεαζόμενους επιχειρηματικούς τομείς ή ήταν ιδιοκτήτες μικρών και μεσαίων επιχειρήσεων ή είχαν μέλος της οικογένειάς τους που επηρεάζεται από τον </w:t>
            </w:r>
            <w:r w:rsidRPr="00C6428C">
              <w:rPr>
                <w:sz w:val="18"/>
                <w:szCs w:val="18"/>
                <w:lang w:val="en-US"/>
              </w:rPr>
              <w:t>Covid</w:t>
            </w:r>
            <w:r w:rsidRPr="00C6428C">
              <w:rPr>
                <w:sz w:val="18"/>
                <w:szCs w:val="18"/>
              </w:rPr>
              <w:t>-19.</w:t>
            </w:r>
          </w:p>
          <w:p w:rsidR="000400C0" w:rsidRDefault="000400C0" w:rsidP="00C747D0">
            <w:pPr>
              <w:pBdr>
                <w:top w:val="nil"/>
                <w:left w:val="nil"/>
                <w:bottom w:val="nil"/>
                <w:right w:val="nil"/>
                <w:between w:val="nil"/>
                <w:bar w:val="nil"/>
              </w:pBdr>
              <w:spacing w:after="120"/>
              <w:jc w:val="both"/>
              <w:rPr>
                <w:sz w:val="18"/>
                <w:szCs w:val="18"/>
              </w:rPr>
            </w:pPr>
            <w:r w:rsidRPr="000400C0">
              <w:rPr>
                <w:sz w:val="18"/>
                <w:szCs w:val="18"/>
              </w:rPr>
              <w:t xml:space="preserve">Για τις πληγείσες επιχειρήσεις αντίστοιχα, οι τράπεζες προσέφεραν αναστολή της πληρωμής των δόσεων κεφαλαίου εξυπηρετούμενων δανείων ως τις 31 Δεκεμβρίου 2020 για επιλέξιμες επιχειρήσεις που επηρεάστηκαν από τον </w:t>
            </w:r>
            <w:r w:rsidRPr="000400C0">
              <w:rPr>
                <w:sz w:val="18"/>
                <w:szCs w:val="18"/>
                <w:lang w:val="en-US"/>
              </w:rPr>
              <w:t>Covid</w:t>
            </w:r>
            <w:r w:rsidRPr="000400C0">
              <w:rPr>
                <w:sz w:val="18"/>
                <w:szCs w:val="18"/>
              </w:rPr>
              <w:t>-19</w:t>
            </w:r>
            <w:r w:rsidR="00D4572B">
              <w:rPr>
                <w:sz w:val="18"/>
                <w:szCs w:val="18"/>
              </w:rPr>
              <w:t>,</w:t>
            </w:r>
            <w:r w:rsidRPr="000400C0">
              <w:rPr>
                <w:sz w:val="18"/>
                <w:szCs w:val="18"/>
              </w:rPr>
              <w:t xml:space="preserve"> σύμφωνα με τις κατευθυντήριες γραμμές της κυβέρνησης. </w:t>
            </w:r>
          </w:p>
          <w:p w:rsidR="00FA1352" w:rsidRPr="00EE1557" w:rsidRDefault="000400C0" w:rsidP="00864FE8">
            <w:pPr>
              <w:pBdr>
                <w:top w:val="nil"/>
                <w:left w:val="nil"/>
                <w:bottom w:val="nil"/>
                <w:right w:val="nil"/>
                <w:between w:val="nil"/>
                <w:bar w:val="nil"/>
              </w:pBdr>
              <w:spacing w:after="120"/>
              <w:jc w:val="both"/>
              <w:rPr>
                <w:sz w:val="18"/>
                <w:szCs w:val="18"/>
              </w:rPr>
            </w:pPr>
            <w:r w:rsidRPr="000400C0">
              <w:rPr>
                <w:sz w:val="18"/>
                <w:szCs w:val="18"/>
              </w:rPr>
              <w:t xml:space="preserve">Σύμφωνα με στοιχεία της Τράπεζας της Ελλάδος, τον Σεπτέμβριο του 2020, το συνολικό ποσό των δανείων που είχαν τεθεί σε αναστολή αποπληρωμής από τις τέσσερις συστημικές ελληνικές τράπεζες ανήλθε σε €20,1δισ. Η εφαρμογή της αναστολής πληρωμής των δόσεων κεφαλαίου δανείων από την Τράπεζα Πειραιώς διαμορφώθηκε στο συνολικό ποσό των €5,5δισ., εκ των οποίων το 46% αφορούσε νοικοκυριά, το 28% </w:t>
            </w:r>
            <w:r w:rsidR="00864FE8">
              <w:rPr>
                <w:sz w:val="18"/>
                <w:szCs w:val="18"/>
              </w:rPr>
              <w:t>μεσαίων και μικρών επιχειρήσεων</w:t>
            </w:r>
            <w:r w:rsidRPr="000400C0">
              <w:rPr>
                <w:sz w:val="18"/>
                <w:szCs w:val="18"/>
              </w:rPr>
              <w:t xml:space="preserve"> και το 26% μεγάλες επιχειρήσεις.</w:t>
            </w:r>
          </w:p>
        </w:tc>
      </w:tr>
      <w:tr w:rsidR="00F46948" w:rsidRPr="004D3208" w:rsidTr="00C747D0">
        <w:trPr>
          <w:trHeight w:val="2904"/>
        </w:trPr>
        <w:tc>
          <w:tcPr>
            <w:tcW w:w="1843" w:type="dxa"/>
            <w:tcMar>
              <w:top w:w="57" w:type="dxa"/>
              <w:bottom w:w="57" w:type="dxa"/>
            </w:tcMar>
          </w:tcPr>
          <w:p w:rsidR="00F46948" w:rsidRPr="00305DCB" w:rsidRDefault="00305DCB" w:rsidP="00C747D0">
            <w:pPr>
              <w:tabs>
                <w:tab w:val="left" w:pos="8262"/>
              </w:tabs>
              <w:spacing w:after="60"/>
              <w:ind w:left="32" w:right="74"/>
              <w:contextualSpacing/>
              <w:rPr>
                <w:rFonts w:eastAsiaTheme="minorEastAsia" w:cs="Calibri"/>
                <w:i/>
                <w:color w:val="6691AB"/>
              </w:rPr>
            </w:pPr>
            <w:r w:rsidRPr="00305DCB">
              <w:rPr>
                <w:rFonts w:eastAsiaTheme="minorEastAsia" w:cs="Calibri"/>
                <w:i/>
                <w:color w:val="6691AB"/>
              </w:rPr>
              <w:t>Προγράμματα στήριξης του Ελληνικού Δημοσίου</w:t>
            </w:r>
          </w:p>
        </w:tc>
        <w:tc>
          <w:tcPr>
            <w:tcW w:w="6946" w:type="dxa"/>
            <w:tcMar>
              <w:top w:w="57" w:type="dxa"/>
              <w:bottom w:w="57" w:type="dxa"/>
            </w:tcMar>
          </w:tcPr>
          <w:p w:rsidR="00305DCB" w:rsidRPr="00305DCB" w:rsidRDefault="00305DCB" w:rsidP="00C747D0">
            <w:pPr>
              <w:spacing w:after="120"/>
              <w:jc w:val="both"/>
              <w:rPr>
                <w:sz w:val="18"/>
                <w:szCs w:val="18"/>
              </w:rPr>
            </w:pPr>
            <w:r w:rsidRPr="00305DCB">
              <w:rPr>
                <w:sz w:val="18"/>
                <w:szCs w:val="18"/>
              </w:rPr>
              <w:t>Προκειμένου να στηρίξει τους πελάτες της, η Τράπεζα Πειραιώς συμμετέχει ενεργά στην υλοποίηση προγραμμάτων χρηματοδότησης του Ελληνικού Δημοσίου</w:t>
            </w:r>
            <w:r>
              <w:rPr>
                <w:sz w:val="18"/>
                <w:szCs w:val="18"/>
              </w:rPr>
              <w:t>,</w:t>
            </w:r>
            <w:r w:rsidRPr="00305DCB">
              <w:rPr>
                <w:sz w:val="18"/>
                <w:szCs w:val="18"/>
              </w:rPr>
              <w:t xml:space="preserve"> μέσω της παροχής εγγυήσεων και επιδοτήσεων επιτοκίου.</w:t>
            </w:r>
          </w:p>
          <w:p w:rsidR="00305DCB" w:rsidRDefault="00305DCB" w:rsidP="00C747D0">
            <w:pPr>
              <w:spacing w:after="120"/>
              <w:jc w:val="both"/>
              <w:rPr>
                <w:sz w:val="18"/>
                <w:szCs w:val="18"/>
              </w:rPr>
            </w:pPr>
            <w:r w:rsidRPr="00305DCB">
              <w:rPr>
                <w:sz w:val="18"/>
                <w:szCs w:val="18"/>
              </w:rPr>
              <w:t>Στ</w:t>
            </w:r>
            <w:r w:rsidR="00864FE8">
              <w:rPr>
                <w:sz w:val="18"/>
                <w:szCs w:val="18"/>
              </w:rPr>
              <w:t>ο</w:t>
            </w:r>
            <w:r w:rsidRPr="00305DCB">
              <w:rPr>
                <w:sz w:val="18"/>
                <w:szCs w:val="18"/>
              </w:rPr>
              <w:t xml:space="preserve"> πλαίσι</w:t>
            </w:r>
            <w:r w:rsidR="00864FE8">
              <w:rPr>
                <w:sz w:val="18"/>
                <w:szCs w:val="18"/>
              </w:rPr>
              <w:t>ο</w:t>
            </w:r>
            <w:r w:rsidRPr="00305DCB">
              <w:rPr>
                <w:sz w:val="18"/>
                <w:szCs w:val="18"/>
              </w:rPr>
              <w:t xml:space="preserve"> του υποπρογράμματος της Ελληνικής Αναπτυξιακής Τράπεζας «Ταμείο Εγγυοδοσίας για το </w:t>
            </w:r>
            <w:r w:rsidRPr="00305DCB">
              <w:rPr>
                <w:sz w:val="18"/>
                <w:szCs w:val="18"/>
                <w:lang w:val="en-US"/>
              </w:rPr>
              <w:t>Covid</w:t>
            </w:r>
            <w:r w:rsidRPr="00305DCB">
              <w:rPr>
                <w:sz w:val="18"/>
                <w:szCs w:val="18"/>
              </w:rPr>
              <w:t xml:space="preserve">-19» με σκοπό τη διευκόλυνση των </w:t>
            </w:r>
            <w:r w:rsidR="00977D1F">
              <w:rPr>
                <w:sz w:val="18"/>
                <w:szCs w:val="18"/>
              </w:rPr>
              <w:t>μικρών, μεσαίων</w:t>
            </w:r>
            <w:r w:rsidRPr="00305DCB">
              <w:rPr>
                <w:sz w:val="18"/>
                <w:szCs w:val="18"/>
              </w:rPr>
              <w:t xml:space="preserve"> και </w:t>
            </w:r>
            <w:r w:rsidR="00977D1F">
              <w:rPr>
                <w:sz w:val="18"/>
                <w:szCs w:val="18"/>
              </w:rPr>
              <w:t>μεγάλων</w:t>
            </w:r>
            <w:r w:rsidRPr="00305DCB">
              <w:rPr>
                <w:sz w:val="18"/>
                <w:szCs w:val="18"/>
              </w:rPr>
              <w:t xml:space="preserve"> επιχειρήσεων με κεφάλαιο κίνησης, η Τράπεζα Πειραιώς διέθεσε συνολικό ποσό €1,0δισ. από το σύνολο των €3,6δισ. της αγοράς. </w:t>
            </w:r>
          </w:p>
          <w:p w:rsidR="00305DCB" w:rsidRPr="00305DCB" w:rsidRDefault="00305DCB" w:rsidP="00C747D0">
            <w:pPr>
              <w:spacing w:after="120"/>
              <w:jc w:val="both"/>
              <w:rPr>
                <w:sz w:val="18"/>
                <w:szCs w:val="18"/>
              </w:rPr>
            </w:pPr>
            <w:r w:rsidRPr="00305DCB">
              <w:rPr>
                <w:sz w:val="18"/>
                <w:szCs w:val="18"/>
              </w:rPr>
              <w:t xml:space="preserve">Παράλληλα, στο πρόγραμμα που χρηματοδοτήθηκε από το Υπουργείο Ανάπτυξης με 2ετή επιδότηση επιτοκίου σε νέες χρηματοδοτήσεις προς μεσαίες και μικρές επιχειρήσεις που επλήγησαν από την πανδημία, η Τράπεζα συμμετείχε με 3,2 χιλιάδες εγκεκριμένα αιτήματα δανείου για ποσό €0,4δισ. από συνολικά €1,4 δισ. της </w:t>
            </w:r>
            <w:r>
              <w:rPr>
                <w:sz w:val="18"/>
                <w:szCs w:val="18"/>
              </w:rPr>
              <w:t xml:space="preserve">εγχώριας </w:t>
            </w:r>
            <w:r w:rsidRPr="00305DCB">
              <w:rPr>
                <w:sz w:val="18"/>
                <w:szCs w:val="18"/>
              </w:rPr>
              <w:t>αγοράς.</w:t>
            </w:r>
          </w:p>
          <w:p w:rsidR="005A69E5" w:rsidRDefault="00305DCB" w:rsidP="00C747D0">
            <w:pPr>
              <w:spacing w:after="120"/>
              <w:jc w:val="both"/>
              <w:rPr>
                <w:sz w:val="18"/>
                <w:szCs w:val="18"/>
              </w:rPr>
            </w:pPr>
            <w:r w:rsidRPr="00305DCB">
              <w:rPr>
                <w:sz w:val="18"/>
                <w:szCs w:val="18"/>
              </w:rPr>
              <w:t>Επίσης, το πρόγραμμα «Γέφυρα», με χρηματοδότηση από το Υπουργείο Οικονομικών για τη στήριξη δανειοληπτών στεγαστικών δανείων, έχει λάβει συνολικά περίπου 160χιλ</w:t>
            </w:r>
            <w:r>
              <w:rPr>
                <w:sz w:val="18"/>
                <w:szCs w:val="18"/>
              </w:rPr>
              <w:t xml:space="preserve">. </w:t>
            </w:r>
            <w:r w:rsidRPr="00305DCB">
              <w:rPr>
                <w:sz w:val="18"/>
                <w:szCs w:val="18"/>
              </w:rPr>
              <w:t>αιτήσεις και έχει εισέλθει στη φάση υλοποίησης. Προς την Τράπεζα Πειραιώς συγκεκριμένα διοχετεύονται περίπου 32 χιλιάδες αιτήσεις που αντιστοιχούν σε ποσό</w:t>
            </w:r>
            <w:r w:rsidR="005A69E5">
              <w:rPr>
                <w:sz w:val="18"/>
                <w:szCs w:val="18"/>
              </w:rPr>
              <w:t xml:space="preserve"> ύψους</w:t>
            </w:r>
            <w:r w:rsidRPr="00305DCB">
              <w:rPr>
                <w:sz w:val="18"/>
                <w:szCs w:val="18"/>
              </w:rPr>
              <w:t xml:space="preserve"> €1,7 δισ. </w:t>
            </w:r>
          </w:p>
          <w:p w:rsidR="00305DCB" w:rsidRPr="00305DCB" w:rsidRDefault="00305DCB" w:rsidP="00C747D0">
            <w:pPr>
              <w:spacing w:after="120"/>
              <w:jc w:val="both"/>
              <w:rPr>
                <w:sz w:val="18"/>
                <w:szCs w:val="18"/>
              </w:rPr>
            </w:pPr>
            <w:r w:rsidRPr="00305DCB">
              <w:rPr>
                <w:sz w:val="18"/>
                <w:szCs w:val="18"/>
              </w:rPr>
              <w:t xml:space="preserve">Πέραν των  παραπάνω, το Ταμείο Εγγυοδοσίας της Ελληνικής Αναπτυξιακής Τράπεζας έχει ανακοινώσει την ενίσχυση του προγράμματος, </w:t>
            </w:r>
            <w:r w:rsidR="005A69E5">
              <w:rPr>
                <w:sz w:val="18"/>
                <w:szCs w:val="18"/>
              </w:rPr>
              <w:t xml:space="preserve">που </w:t>
            </w:r>
            <w:r w:rsidRPr="00305DCB">
              <w:rPr>
                <w:sz w:val="18"/>
                <w:szCs w:val="18"/>
              </w:rPr>
              <w:t>για την Τράπεζα Πειραιώς αντιστοιχεί σε έν</w:t>
            </w:r>
            <w:r w:rsidR="00977D1F">
              <w:rPr>
                <w:sz w:val="18"/>
                <w:szCs w:val="18"/>
              </w:rPr>
              <w:t xml:space="preserve">α επιπλέον διαθέσιμο ποσό ύψους περίπου </w:t>
            </w:r>
            <w:r w:rsidRPr="00305DCB">
              <w:rPr>
                <w:sz w:val="18"/>
                <w:szCs w:val="18"/>
              </w:rPr>
              <w:t>€0,6 δισ.</w:t>
            </w:r>
            <w:r w:rsidR="005A69E5" w:rsidRPr="005A69E5">
              <w:rPr>
                <w:sz w:val="18"/>
                <w:szCs w:val="18"/>
              </w:rPr>
              <w:t>Επιπλέον, το νέο πρόγραμμα χρηματοδότησης με επιδότηση επιτοκίου 2 ετών που χρηματοδοτήθηκε από το Υπουργείο Ανάπτυξης άρχισε να λαμβάνει αιτή</w:t>
            </w:r>
            <w:r w:rsidR="00DB5DAB">
              <w:rPr>
                <w:sz w:val="18"/>
                <w:szCs w:val="18"/>
              </w:rPr>
              <w:t>σεις στο πλαίσιο επέκτασής του περίπου</w:t>
            </w:r>
            <w:r w:rsidR="005A69E5" w:rsidRPr="005A69E5">
              <w:rPr>
                <w:sz w:val="18"/>
                <w:szCs w:val="18"/>
              </w:rPr>
              <w:t xml:space="preserve"> €0,8δισ., εκ των οποίων στην Τράπεζα Πειραιώς </w:t>
            </w:r>
            <w:r w:rsidR="00DB5DAB">
              <w:rPr>
                <w:sz w:val="18"/>
                <w:szCs w:val="18"/>
              </w:rPr>
              <w:t>αντιστοιχούν</w:t>
            </w:r>
            <w:r w:rsidR="005A69E5" w:rsidRPr="005A69E5">
              <w:rPr>
                <w:sz w:val="18"/>
                <w:szCs w:val="18"/>
              </w:rPr>
              <w:t xml:space="preserve"> €0,2δισ.</w:t>
            </w:r>
          </w:p>
          <w:p w:rsidR="00F46948" w:rsidRPr="00EE1557" w:rsidRDefault="00F46948" w:rsidP="00C747D0">
            <w:pPr>
              <w:spacing w:after="120"/>
              <w:jc w:val="both"/>
              <w:rPr>
                <w:sz w:val="18"/>
                <w:szCs w:val="18"/>
              </w:rPr>
            </w:pPr>
          </w:p>
        </w:tc>
      </w:tr>
    </w:tbl>
    <w:p w:rsidR="005C2FB3" w:rsidRPr="00EE1557" w:rsidRDefault="005C2FB3" w:rsidP="005C2FB3">
      <w:pPr>
        <w:shd w:val="clear" w:color="auto" w:fill="FFFFFF" w:themeFill="background1"/>
        <w:tabs>
          <w:tab w:val="left" w:pos="9214"/>
        </w:tabs>
        <w:spacing w:after="40" w:line="300" w:lineRule="exact"/>
        <w:ind w:left="-567" w:right="-425"/>
        <w:rPr>
          <w:rFonts w:eastAsia="Times New Roman" w:cs="Calibri"/>
          <w:b/>
          <w:i/>
          <w:color w:val="3A73AE" w:themeColor="accent1"/>
          <w:sz w:val="27"/>
          <w:szCs w:val="27"/>
        </w:rPr>
      </w:pPr>
    </w:p>
    <w:p w:rsidR="005C2FB3" w:rsidRPr="00EE1557" w:rsidRDefault="005C2FB3">
      <w:pPr>
        <w:rPr>
          <w:rFonts w:eastAsia="Times New Roman" w:cs="Calibri"/>
          <w:b/>
          <w:i/>
          <w:color w:val="3A73AE" w:themeColor="accent1"/>
          <w:sz w:val="27"/>
          <w:szCs w:val="27"/>
        </w:rPr>
      </w:pPr>
      <w:r w:rsidRPr="00EE1557">
        <w:rPr>
          <w:rFonts w:eastAsia="Times New Roman" w:cs="Calibri"/>
          <w:b/>
          <w:i/>
          <w:color w:val="3A73AE" w:themeColor="accent1"/>
          <w:sz w:val="27"/>
          <w:szCs w:val="27"/>
        </w:rPr>
        <w:br w:type="page"/>
      </w:r>
    </w:p>
    <w:p w:rsidR="00E47ECD" w:rsidRPr="00EE1557" w:rsidRDefault="00B77489" w:rsidP="004F12D6">
      <w:pPr>
        <w:shd w:val="clear" w:color="auto" w:fill="FFFFFF" w:themeFill="background1"/>
        <w:tabs>
          <w:tab w:val="left" w:pos="9214"/>
        </w:tabs>
        <w:spacing w:after="40" w:line="300" w:lineRule="exact"/>
        <w:ind w:left="-567" w:right="-425"/>
        <w:rPr>
          <w:rFonts w:eastAsia="Times New Roman" w:cs="Calibri"/>
          <w:b/>
          <w:i/>
          <w:color w:val="3A73AE" w:themeColor="accent1"/>
          <w:sz w:val="27"/>
          <w:szCs w:val="27"/>
        </w:rPr>
      </w:pPr>
      <w:r>
        <w:rPr>
          <w:rFonts w:eastAsia="Times New Roman" w:cs="Calibri"/>
          <w:b/>
          <w:i/>
          <w:color w:val="3A73AE" w:themeColor="accent1"/>
          <w:sz w:val="27"/>
          <w:szCs w:val="27"/>
        </w:rPr>
        <w:lastRenderedPageBreak/>
        <w:t>ΕξέλιξηΕταιρικούΜετασχηματισμού</w:t>
      </w:r>
    </w:p>
    <w:p w:rsidR="00F72C75" w:rsidRPr="00EE1557" w:rsidRDefault="00F72C75" w:rsidP="00F72C75">
      <w:pPr>
        <w:spacing w:after="120"/>
        <w:jc w:val="both"/>
        <w:rPr>
          <w:sz w:val="18"/>
          <w:szCs w:val="18"/>
        </w:rPr>
      </w:pPr>
    </w:p>
    <w:p w:rsidR="00891F63" w:rsidRPr="00891F63" w:rsidRDefault="00557DFA" w:rsidP="00F72C75">
      <w:pPr>
        <w:ind w:left="-567"/>
        <w:jc w:val="both"/>
        <w:rPr>
          <w:sz w:val="18"/>
          <w:szCs w:val="18"/>
        </w:rPr>
      </w:pPr>
      <w:r>
        <w:rPr>
          <w:sz w:val="18"/>
          <w:szCs w:val="18"/>
        </w:rPr>
        <w:t>Ηεπιτυχήςολοκλήρωσητουεταιρικούμετασχηματισμούθ</w:t>
      </w:r>
      <w:r w:rsidRPr="00557DFA">
        <w:rPr>
          <w:sz w:val="18"/>
          <w:szCs w:val="18"/>
        </w:rPr>
        <w:t xml:space="preserve">α </w:t>
      </w:r>
      <w:r>
        <w:rPr>
          <w:sz w:val="18"/>
          <w:szCs w:val="18"/>
        </w:rPr>
        <w:t xml:space="preserve">οδηγήσει στην επίτευξη μία σειράς στρατηγικών στόχων </w:t>
      </w:r>
      <w:r w:rsidRPr="00557DFA">
        <w:rPr>
          <w:sz w:val="18"/>
          <w:szCs w:val="18"/>
        </w:rPr>
        <w:t xml:space="preserve">για την Τράπεζα Πειραιώς, </w:t>
      </w:r>
      <w:r w:rsidR="00891F63">
        <w:rPr>
          <w:sz w:val="18"/>
          <w:szCs w:val="18"/>
        </w:rPr>
        <w:t>π</w:t>
      </w:r>
      <w:r w:rsidR="00891F63" w:rsidRPr="008D5D7E">
        <w:rPr>
          <w:rFonts w:ascii="Calibri" w:eastAsia="Calibri" w:hAnsi="Calibri" w:cs="Calibri"/>
          <w:sz w:val="18"/>
          <w:szCs w:val="18"/>
        </w:rPr>
        <w:t xml:space="preserve">αρέχοντας στη Διοίκηση της Τράπεζας στρατηγική εστίαση στις βασικές τραπεζικές δραστηριότητες, διευκολύνοντας τη στρατηγική </w:t>
      </w:r>
      <w:r w:rsidR="00891F63">
        <w:rPr>
          <w:rFonts w:ascii="Calibri" w:eastAsia="Calibri" w:hAnsi="Calibri" w:cs="Calibri"/>
          <w:sz w:val="18"/>
          <w:szCs w:val="18"/>
        </w:rPr>
        <w:t>εξυγίανσης ισολογισμού</w:t>
      </w:r>
      <w:r w:rsidR="00891F63" w:rsidRPr="008D5D7E">
        <w:rPr>
          <w:rFonts w:ascii="Calibri" w:eastAsia="Calibri" w:hAnsi="Calibri" w:cs="Calibri"/>
          <w:sz w:val="18"/>
          <w:szCs w:val="18"/>
        </w:rPr>
        <w:t>.</w:t>
      </w:r>
    </w:p>
    <w:p w:rsidR="00F72C75" w:rsidRPr="00891F63" w:rsidRDefault="00891F63" w:rsidP="006E4994">
      <w:pPr>
        <w:ind w:left="-567"/>
        <w:jc w:val="both"/>
        <w:rPr>
          <w:sz w:val="18"/>
          <w:szCs w:val="18"/>
        </w:rPr>
      </w:pPr>
      <w:r w:rsidRPr="00891F63">
        <w:rPr>
          <w:sz w:val="18"/>
          <w:szCs w:val="18"/>
        </w:rPr>
        <w:t xml:space="preserve">Επιπρόσθετα, η Τράπεζα, αξιοποιώντας την πρόοδο της περιόδου 2017-2019, </w:t>
      </w:r>
      <w:r>
        <w:rPr>
          <w:sz w:val="18"/>
          <w:szCs w:val="18"/>
        </w:rPr>
        <w:t xml:space="preserve">ολοκλήρωσε τη </w:t>
      </w:r>
      <w:r w:rsidRPr="00891F63">
        <w:rPr>
          <w:sz w:val="18"/>
          <w:szCs w:val="18"/>
        </w:rPr>
        <w:t xml:space="preserve">φάση κατάρτισης </w:t>
      </w:r>
      <w:r>
        <w:rPr>
          <w:sz w:val="18"/>
          <w:szCs w:val="18"/>
        </w:rPr>
        <w:t>του</w:t>
      </w:r>
      <w:r w:rsidRPr="00891F63">
        <w:rPr>
          <w:sz w:val="18"/>
          <w:szCs w:val="18"/>
        </w:rPr>
        <w:t xml:space="preserve"> νέου σχεδίου μετασχηματ</w:t>
      </w:r>
      <w:r>
        <w:rPr>
          <w:sz w:val="18"/>
          <w:szCs w:val="18"/>
        </w:rPr>
        <w:t xml:space="preserve">ισμού για τα επόμενα 3-5 χρόνια και </w:t>
      </w:r>
      <w:r w:rsidR="006E4994" w:rsidRPr="006E4994">
        <w:rPr>
          <w:sz w:val="18"/>
          <w:szCs w:val="18"/>
        </w:rPr>
        <w:t xml:space="preserve">έχει ξεκινήσει τη φάση </w:t>
      </w:r>
      <w:r w:rsidR="006E4994">
        <w:rPr>
          <w:sz w:val="18"/>
          <w:szCs w:val="18"/>
        </w:rPr>
        <w:t>υλοποίησης</w:t>
      </w:r>
      <w:r w:rsidR="006E4994" w:rsidRPr="006E4994">
        <w:rPr>
          <w:sz w:val="18"/>
          <w:szCs w:val="18"/>
        </w:rPr>
        <w:t>, με προσέγγιση από τη βάση προς τα πάνω με 17 πρωτοβουλί</w:t>
      </w:r>
      <w:r w:rsidR="006E4994">
        <w:rPr>
          <w:sz w:val="18"/>
          <w:szCs w:val="18"/>
        </w:rPr>
        <w:t>ες</w:t>
      </w:r>
      <w:r w:rsidR="006E4994" w:rsidRPr="006E4994">
        <w:rPr>
          <w:sz w:val="18"/>
          <w:szCs w:val="18"/>
        </w:rPr>
        <w:t xml:space="preserve">, 120 έργα και 100 </w:t>
      </w:r>
      <w:r w:rsidR="006E4994">
        <w:rPr>
          <w:sz w:val="18"/>
          <w:szCs w:val="18"/>
        </w:rPr>
        <w:t xml:space="preserve">βασικούς λειτουργικούς δείκτες δημιουργίας αξίας. </w:t>
      </w:r>
      <w:r>
        <w:rPr>
          <w:sz w:val="18"/>
          <w:szCs w:val="18"/>
        </w:rPr>
        <w:t>Εντόςτου</w:t>
      </w:r>
      <w:r w:rsidRPr="00891F63">
        <w:rPr>
          <w:sz w:val="18"/>
          <w:szCs w:val="18"/>
        </w:rPr>
        <w:t xml:space="preserve"> 4</w:t>
      </w:r>
      <w:r>
        <w:rPr>
          <w:sz w:val="18"/>
          <w:szCs w:val="18"/>
        </w:rPr>
        <w:t>ουτριμήνου</w:t>
      </w:r>
      <w:r w:rsidRPr="00891F63">
        <w:rPr>
          <w:sz w:val="18"/>
          <w:szCs w:val="18"/>
        </w:rPr>
        <w:t xml:space="preserve"> 2</w:t>
      </w:r>
      <w:r w:rsidR="00F72C75" w:rsidRPr="00891F63">
        <w:rPr>
          <w:sz w:val="18"/>
          <w:szCs w:val="18"/>
        </w:rPr>
        <w:t xml:space="preserve">020, </w:t>
      </w:r>
      <w:r>
        <w:rPr>
          <w:sz w:val="18"/>
          <w:szCs w:val="18"/>
        </w:rPr>
        <w:t>στοπλαίσιοτουεταιρικούμετασχηματισμούτηςΤράπεζας</w:t>
      </w:r>
      <w:r w:rsidR="00F72C75" w:rsidRPr="00891F63">
        <w:rPr>
          <w:sz w:val="18"/>
          <w:szCs w:val="18"/>
        </w:rPr>
        <w:t xml:space="preserve">, </w:t>
      </w:r>
      <w:r>
        <w:rPr>
          <w:sz w:val="18"/>
          <w:szCs w:val="18"/>
        </w:rPr>
        <w:t xml:space="preserve">περίπου </w:t>
      </w:r>
      <w:r w:rsidR="00F72C75" w:rsidRPr="00891F63">
        <w:rPr>
          <w:sz w:val="18"/>
          <w:szCs w:val="18"/>
        </w:rPr>
        <w:t xml:space="preserve">1,000 </w:t>
      </w:r>
      <w:r>
        <w:rPr>
          <w:sz w:val="18"/>
          <w:szCs w:val="18"/>
        </w:rPr>
        <w:t xml:space="preserve">εργαζόμενοι </w:t>
      </w:r>
      <w:r w:rsidR="00037DDC">
        <w:rPr>
          <w:sz w:val="18"/>
          <w:szCs w:val="18"/>
        </w:rPr>
        <w:t xml:space="preserve">θα κάνουν χρήση του προγράμματος εθελουσίας αποχώρησης </w:t>
      </w:r>
      <w:r>
        <w:rPr>
          <w:sz w:val="18"/>
          <w:szCs w:val="18"/>
        </w:rPr>
        <w:t xml:space="preserve">και περίπου </w:t>
      </w:r>
      <w:r w:rsidR="00F72C75" w:rsidRPr="00891F63">
        <w:rPr>
          <w:sz w:val="18"/>
          <w:szCs w:val="18"/>
        </w:rPr>
        <w:t xml:space="preserve">40 </w:t>
      </w:r>
      <w:r>
        <w:rPr>
          <w:sz w:val="18"/>
          <w:szCs w:val="18"/>
        </w:rPr>
        <w:t xml:space="preserve">καταστήματα </w:t>
      </w:r>
      <w:r w:rsidR="00037DDC">
        <w:rPr>
          <w:sz w:val="18"/>
          <w:szCs w:val="18"/>
        </w:rPr>
        <w:t>θα κλείσουν</w:t>
      </w:r>
      <w:r>
        <w:rPr>
          <w:sz w:val="18"/>
          <w:szCs w:val="18"/>
        </w:rPr>
        <w:t>.</w:t>
      </w:r>
    </w:p>
    <w:p w:rsidR="007E6937" w:rsidRPr="00F77D56" w:rsidRDefault="00F77D56" w:rsidP="00F72C75">
      <w:pPr>
        <w:spacing w:after="0" w:line="240" w:lineRule="auto"/>
        <w:ind w:left="-567"/>
        <w:jc w:val="both"/>
        <w:rPr>
          <w:sz w:val="18"/>
          <w:szCs w:val="18"/>
        </w:rPr>
      </w:pPr>
      <w:r>
        <w:rPr>
          <w:sz w:val="18"/>
          <w:szCs w:val="18"/>
        </w:rPr>
        <w:t>Οιβασικοίστόχοιτουεταιρικούμετασχηματισμού είναι</w:t>
      </w:r>
      <w:r w:rsidR="00BD0744" w:rsidRPr="00F77D56">
        <w:rPr>
          <w:sz w:val="18"/>
          <w:szCs w:val="18"/>
        </w:rPr>
        <w:t>:</w:t>
      </w:r>
    </w:p>
    <w:p w:rsidR="00F72C75" w:rsidRPr="00F77D56" w:rsidRDefault="00F72C75" w:rsidP="00F72C75">
      <w:pPr>
        <w:pStyle w:val="a6"/>
        <w:spacing w:after="160" w:line="259" w:lineRule="auto"/>
        <w:ind w:left="0"/>
        <w:jc w:val="both"/>
        <w:rPr>
          <w:rFonts w:ascii="Calibri" w:eastAsia="Calibri" w:hAnsi="Calibri" w:cs="Calibri"/>
          <w:color w:val="000000" w:themeColor="text1"/>
          <w:sz w:val="18"/>
          <w:szCs w:val="18"/>
          <w:lang w:val="el-GR"/>
        </w:rPr>
      </w:pPr>
    </w:p>
    <w:p w:rsidR="005C3466" w:rsidRPr="00EE1557" w:rsidRDefault="005C3466" w:rsidP="005C3466">
      <w:pPr>
        <w:pStyle w:val="a6"/>
        <w:numPr>
          <w:ilvl w:val="0"/>
          <w:numId w:val="24"/>
        </w:numPr>
        <w:spacing w:after="160" w:line="276" w:lineRule="auto"/>
        <w:ind w:left="-284" w:hanging="283"/>
        <w:jc w:val="both"/>
        <w:rPr>
          <w:rFonts w:ascii="Calibri" w:eastAsia="Calibri" w:hAnsi="Calibri" w:cs="Calibri"/>
          <w:color w:val="000000" w:themeColor="text1"/>
          <w:sz w:val="18"/>
          <w:szCs w:val="18"/>
          <w:lang w:val="el-GR"/>
        </w:rPr>
      </w:pPr>
      <w:r w:rsidRPr="00EE1557">
        <w:rPr>
          <w:rFonts w:ascii="Calibri" w:eastAsia="Calibri" w:hAnsi="Calibri" w:cs="Calibri"/>
          <w:color w:val="000000" w:themeColor="text1"/>
          <w:sz w:val="18"/>
          <w:szCs w:val="18"/>
          <w:lang w:val="el-GR"/>
        </w:rPr>
        <w:t>η αναβάθμιση της εμπορικής πλατφόρμας της Τράπεζας, ενισχύοντας τις νέες τραπεζικές εργασίες μέσω της παροχής ψηφιακών υπηρεσιών και προϊόντων, αξιοποιώντας πλήρως τις επιχειρήσεις υψηλής δυναμικής και προοπτικής</w:t>
      </w:r>
    </w:p>
    <w:p w:rsidR="005C3466" w:rsidRPr="00EE1557" w:rsidRDefault="005C3466" w:rsidP="005C3466">
      <w:pPr>
        <w:pStyle w:val="a6"/>
        <w:numPr>
          <w:ilvl w:val="0"/>
          <w:numId w:val="24"/>
        </w:numPr>
        <w:spacing w:after="160" w:line="276" w:lineRule="auto"/>
        <w:ind w:left="-284" w:hanging="283"/>
        <w:jc w:val="both"/>
        <w:rPr>
          <w:rFonts w:ascii="Calibri" w:eastAsia="Calibri" w:hAnsi="Calibri" w:cs="Calibri"/>
          <w:color w:val="000000" w:themeColor="text1"/>
          <w:sz w:val="18"/>
          <w:szCs w:val="18"/>
          <w:lang w:val="el-GR"/>
        </w:rPr>
      </w:pPr>
      <w:r w:rsidRPr="00EE1557">
        <w:rPr>
          <w:rFonts w:ascii="Calibri" w:eastAsia="Calibri" w:hAnsi="Calibri" w:cs="Calibri"/>
          <w:color w:val="000000" w:themeColor="text1"/>
          <w:sz w:val="18"/>
          <w:szCs w:val="18"/>
          <w:lang w:val="el-GR"/>
        </w:rPr>
        <w:t>η ανάδειξη της Τράπεζας Πειραιώς σε τράπεζα πρώτης επιλογής των πελατών, μέσω πελατοκεντρικής, ψηφιακά πρωτοποριακής και στοχευμένης πρότασης για τη δημιουργία αξίας</w:t>
      </w:r>
    </w:p>
    <w:p w:rsidR="005C3466" w:rsidRPr="00EE1557" w:rsidRDefault="005C3466" w:rsidP="005C3466">
      <w:pPr>
        <w:pStyle w:val="a6"/>
        <w:numPr>
          <w:ilvl w:val="0"/>
          <w:numId w:val="24"/>
        </w:numPr>
        <w:spacing w:after="160" w:line="276" w:lineRule="auto"/>
        <w:ind w:left="-284" w:hanging="283"/>
        <w:jc w:val="both"/>
        <w:rPr>
          <w:rFonts w:ascii="Calibri" w:eastAsia="Calibri" w:hAnsi="Calibri" w:cs="Calibri"/>
          <w:color w:val="000000" w:themeColor="text1"/>
          <w:sz w:val="18"/>
          <w:szCs w:val="18"/>
          <w:lang w:val="el-GR"/>
        </w:rPr>
      </w:pPr>
      <w:r w:rsidRPr="00EE1557">
        <w:rPr>
          <w:rFonts w:ascii="Calibri" w:eastAsia="Calibri" w:hAnsi="Calibri" w:cs="Calibri"/>
          <w:color w:val="000000" w:themeColor="text1"/>
          <w:sz w:val="18"/>
          <w:szCs w:val="18"/>
          <w:lang w:val="el-GR"/>
        </w:rPr>
        <w:t xml:space="preserve">η ενίσχυση και ενδυνάμωση του ταλέντου εντός της Τράπεζας μέσω αποτελεσματικού προφίλ στελέχωσης για το ανθρώπινο δυναμικό </w:t>
      </w:r>
    </w:p>
    <w:p w:rsidR="005C3466" w:rsidRPr="005C3466" w:rsidRDefault="005C3466" w:rsidP="005C3466">
      <w:pPr>
        <w:pStyle w:val="a6"/>
        <w:numPr>
          <w:ilvl w:val="0"/>
          <w:numId w:val="24"/>
        </w:numPr>
        <w:spacing w:after="160" w:line="276" w:lineRule="auto"/>
        <w:ind w:left="-284" w:hanging="283"/>
        <w:jc w:val="both"/>
        <w:rPr>
          <w:rFonts w:ascii="Calibri" w:eastAsia="Calibri" w:hAnsi="Calibri" w:cs="Calibri"/>
          <w:color w:val="000000" w:themeColor="text1"/>
          <w:sz w:val="18"/>
          <w:szCs w:val="18"/>
          <w:lang w:val="el-GR"/>
        </w:rPr>
      </w:pPr>
      <w:r w:rsidRPr="005C3466">
        <w:rPr>
          <w:rFonts w:ascii="Calibri" w:eastAsia="Calibri" w:hAnsi="Calibri" w:cs="Calibri"/>
          <w:color w:val="000000" w:themeColor="text1"/>
          <w:sz w:val="18"/>
          <w:szCs w:val="18"/>
          <w:lang w:val="el-GR"/>
        </w:rPr>
        <w:t>η προώθηση απλοποίησης και αυτοματισμών σε όλους τους τομείς για την επίτευξη εξοικονόμησης κόστους εξυπηρέτησης και απελευθέρωσης πόρων, ώστε να δοθεί έμφαση στις εμπορικές δραστηριότητες</w:t>
      </w:r>
    </w:p>
    <w:p w:rsidR="005C3466" w:rsidRDefault="005C3466" w:rsidP="005C3466">
      <w:pPr>
        <w:spacing w:after="160"/>
        <w:jc w:val="both"/>
        <w:rPr>
          <w:rFonts w:ascii="Calibri" w:eastAsia="Calibri" w:hAnsi="Calibri" w:cs="Calibri"/>
          <w:color w:val="000000" w:themeColor="text1"/>
          <w:sz w:val="18"/>
          <w:szCs w:val="18"/>
        </w:rPr>
      </w:pPr>
    </w:p>
    <w:p w:rsidR="005C3466" w:rsidRPr="005C3466" w:rsidRDefault="005C3466" w:rsidP="005C3466">
      <w:pPr>
        <w:spacing w:after="160"/>
        <w:jc w:val="both"/>
        <w:rPr>
          <w:rFonts w:ascii="Calibri" w:eastAsia="Calibri" w:hAnsi="Calibri" w:cs="Calibri"/>
          <w:color w:val="000000" w:themeColor="text1"/>
          <w:sz w:val="18"/>
          <w:szCs w:val="18"/>
        </w:rPr>
      </w:pPr>
    </w:p>
    <w:p w:rsidR="005C2FB3" w:rsidRPr="005C3466" w:rsidRDefault="005C2FB3">
      <w:pPr>
        <w:rPr>
          <w:rFonts w:ascii="Calibri" w:eastAsia="Calibri" w:hAnsi="Calibri" w:cs="Calibri"/>
          <w:color w:val="FF0000"/>
          <w:sz w:val="18"/>
          <w:szCs w:val="18"/>
        </w:rPr>
      </w:pPr>
      <w:r w:rsidRPr="005C3466">
        <w:rPr>
          <w:rFonts w:ascii="Calibri" w:eastAsia="Calibri" w:hAnsi="Calibri" w:cs="Calibri"/>
          <w:color w:val="FF0000"/>
          <w:sz w:val="18"/>
          <w:szCs w:val="18"/>
        </w:rPr>
        <w:br w:type="page"/>
      </w:r>
    </w:p>
    <w:p w:rsidR="00ED3B80" w:rsidRPr="005C3466" w:rsidRDefault="00FE02A1" w:rsidP="00ED3B80">
      <w:pPr>
        <w:tabs>
          <w:tab w:val="left" w:pos="1701"/>
          <w:tab w:val="left" w:pos="8262"/>
        </w:tabs>
        <w:spacing w:before="120" w:after="0" w:line="264" w:lineRule="auto"/>
        <w:ind w:left="1701" w:right="-285"/>
        <w:contextualSpacing/>
        <w:jc w:val="both"/>
        <w:rPr>
          <w:rFonts w:eastAsiaTheme="minorEastAsia" w:cs="Calibri"/>
          <w:color w:val="FF0000"/>
          <w:sz w:val="26"/>
          <w:szCs w:val="26"/>
        </w:rPr>
      </w:pPr>
      <w:r w:rsidRPr="00FE02A1">
        <w:rPr>
          <w:rFonts w:ascii="Calibri" w:eastAsiaTheme="minorEastAsia" w:hAnsi="Calibri" w:cs="Calibri"/>
          <w:noProof/>
          <w:color w:val="FF0000"/>
          <w:sz w:val="14"/>
          <w:szCs w:val="18"/>
          <w:lang w:eastAsia="el-GR"/>
        </w:rPr>
        <w:lastRenderedPageBreak/>
        <w:pict>
          <v:shapetype id="_x0000_t202" coordsize="21600,21600" o:spt="202" path="m,l,21600r21600,l21600,xe">
            <v:stroke joinstyle="miter"/>
            <v:path gradientshapeok="t" o:connecttype="rect"/>
          </v:shapetype>
          <v:shape id="Text Box 35" o:spid="_x0000_s1030" type="#_x0000_t202" style="position:absolute;left:0;text-align:left;margin-left:185.5pt;margin-top:13.75pt;width:199.5pt;height:21.05pt;z-index:251786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" filled="f" stroked="f" strokeweight=".5pt">
            <v:path arrowok="t"/>
            <v:textbox>
              <w:txbxContent>
                <w:p w:rsidR="004C55D3" w:rsidRPr="00437795" w:rsidRDefault="004C55D3" w:rsidP="00E67719">
                  <w:pPr>
                    <w:ind w:left="-142"/>
                    <w:rPr>
                      <w:rFonts w:eastAsiaTheme="minorEastAsia" w:cs="Calibri"/>
                      <w:b/>
                      <w:bCs/>
                      <w:color w:val="003C96" w:themeColor="text2"/>
                      <w:sz w:val="18"/>
                      <w:szCs w:val="18"/>
                    </w:rPr>
                  </w:pPr>
                  <w:r w:rsidRPr="00437795">
                    <w:rPr>
                      <w:rFonts w:eastAsiaTheme="minorEastAsia" w:cs="Calibri"/>
                      <w:b/>
                      <w:bCs/>
                      <w:color w:val="003C96" w:themeColor="text2"/>
                      <w:sz w:val="18"/>
                      <w:szCs w:val="18"/>
                    </w:rPr>
                    <w:t>Καταθέσεις Ιδιωτικού Τομέα στην Ελλάδα (€δισ.)</w:t>
                  </w:r>
                </w:p>
              </w:txbxContent>
            </v:textbox>
          </v:shape>
        </w:pict>
      </w:r>
      <w:r w:rsidRPr="00FE02A1">
        <w:rPr>
          <w:rFonts w:ascii="Calibri" w:eastAsiaTheme="minorEastAsia" w:hAnsi="Calibri" w:cs="Calibri"/>
          <w:noProof/>
          <w:color w:val="FF0000"/>
          <w:sz w:val="14"/>
          <w:szCs w:val="18"/>
          <w:lang w:eastAsia="el-GR"/>
        </w:rPr>
        <w:pict>
          <v:shape id="Text Box 22" o:spid="_x0000_s1031" type="#_x0000_t202" style="position:absolute;left:0;text-align:left;margin-left:-57.25pt;margin-top:13.05pt;width:163.95pt;height:21.05pt;z-index:251784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" filled="f" stroked="f" strokeweight=".5pt">
            <v:path arrowok="t"/>
            <v:textbox>
              <w:txbxContent>
                <w:p w:rsidR="004C55D3" w:rsidRPr="00F16CA1" w:rsidRDefault="004C55D3" w:rsidP="00E67719">
                  <w:pPr>
                    <w:ind w:left="-142"/>
                    <w:rPr>
                      <w:rFonts w:eastAsiaTheme="minorEastAsia" w:cs="Calibri"/>
                      <w:b/>
                      <w:bCs/>
                      <w:color w:val="003C96" w:themeColor="text2"/>
                      <w:sz w:val="18"/>
                      <w:szCs w:val="18"/>
                      <w:lang w:val="en-US"/>
                    </w:rPr>
                  </w:pPr>
                  <w:r w:rsidRPr="00437795">
                    <w:rPr>
                      <w:rFonts w:eastAsiaTheme="minorEastAsia" w:cs="Calibri"/>
                      <w:b/>
                      <w:bCs/>
                      <w:color w:val="003C96" w:themeColor="text2"/>
                      <w:sz w:val="18"/>
                      <w:szCs w:val="18"/>
                      <w:lang w:val="en-US"/>
                    </w:rPr>
                    <w:t xml:space="preserve">ΝέεςΕκταμιεύσεις Δανείων (€δισ.)                                                </w:t>
                  </w:r>
                </w:p>
              </w:txbxContent>
            </v:textbox>
          </v:shape>
        </w:pict>
      </w:r>
    </w:p>
    <w:p w:rsidR="00E67719" w:rsidRPr="005C3466" w:rsidRDefault="00993439" w:rsidP="00E67719">
      <w:pPr>
        <w:tabs>
          <w:tab w:val="left" w:pos="1701"/>
          <w:tab w:val="left" w:pos="8262"/>
        </w:tabs>
        <w:spacing w:before="120" w:after="0" w:line="264" w:lineRule="auto"/>
        <w:ind w:left="1701" w:right="-285"/>
        <w:contextualSpacing/>
        <w:jc w:val="both"/>
        <w:rPr>
          <w:rFonts w:eastAsiaTheme="minorEastAsia" w:cs="Calibri"/>
          <w:color w:val="FF0000"/>
          <w:sz w:val="26"/>
          <w:szCs w:val="26"/>
        </w:rPr>
      </w:pPr>
      <w:r w:rsidRPr="00CD2E41">
        <w:rPr>
          <w:rFonts w:eastAsiaTheme="minorEastAsia" w:cs="Calibri"/>
          <w:noProof/>
          <w:color w:val="FF0000"/>
          <w:sz w:val="26"/>
          <w:szCs w:val="26"/>
          <w:lang w:val="en-US"/>
        </w:rPr>
        <w:drawing>
          <wp:anchor distT="0" distB="0" distL="114300" distR="114300" simplePos="0" relativeHeight="251794432" behindDoc="1" locked="0" layoutInCell="1" allowOverlap="1">
            <wp:simplePos x="0" y="0"/>
            <wp:positionH relativeFrom="column">
              <wp:posOffset>-810895</wp:posOffset>
            </wp:positionH>
            <wp:positionV relativeFrom="paragraph">
              <wp:posOffset>312420</wp:posOffset>
            </wp:positionV>
            <wp:extent cx="1907540" cy="1374140"/>
            <wp:effectExtent l="0" t="0" r="0" b="0"/>
            <wp:wrapTight wrapText="bothSides">
              <wp:wrapPolygon edited="0">
                <wp:start x="18983" y="2994"/>
                <wp:lineTo x="4530" y="5390"/>
                <wp:lineTo x="1510" y="7486"/>
                <wp:lineTo x="1294" y="18566"/>
                <wp:lineTo x="8197" y="19165"/>
                <wp:lineTo x="15963" y="19165"/>
                <wp:lineTo x="21356" y="18566"/>
                <wp:lineTo x="20493" y="13176"/>
                <wp:lineTo x="20061" y="2994"/>
                <wp:lineTo x="18983" y="2994"/>
              </wp:wrapPolygon>
            </wp:wrapTight>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E67719" w:rsidRPr="005C3466" w:rsidRDefault="005B7DD8" w:rsidP="00E67719">
      <w:pPr>
        <w:tabs>
          <w:tab w:val="left" w:pos="3686"/>
          <w:tab w:val="left" w:pos="3828"/>
        </w:tabs>
        <w:rPr>
          <w:rFonts w:cs="Calibri"/>
          <w:color w:val="FF0000"/>
          <w:sz w:val="19"/>
          <w:szCs w:val="19"/>
        </w:rPr>
      </w:pPr>
      <w:r w:rsidRPr="00CD2E41">
        <w:rPr>
          <w:rFonts w:eastAsiaTheme="minorEastAsia" w:cs="Calibri"/>
          <w:noProof/>
          <w:color w:val="FF0000"/>
          <w:sz w:val="26"/>
          <w:szCs w:val="26"/>
          <w:lang w:val="en-US"/>
        </w:rPr>
        <w:drawing>
          <wp:anchor distT="0" distB="0" distL="114300" distR="114300" simplePos="0" relativeHeight="251796480" behindDoc="1" locked="0" layoutInCell="1" allowOverlap="1">
            <wp:simplePos x="0" y="0"/>
            <wp:positionH relativeFrom="column">
              <wp:posOffset>2322195</wp:posOffset>
            </wp:positionH>
            <wp:positionV relativeFrom="paragraph">
              <wp:posOffset>91440</wp:posOffset>
            </wp:positionV>
            <wp:extent cx="1907540" cy="1374140"/>
            <wp:effectExtent l="0" t="0" r="0" b="0"/>
            <wp:wrapTight wrapText="bothSides">
              <wp:wrapPolygon edited="0">
                <wp:start x="5177" y="7786"/>
                <wp:lineTo x="2157" y="9283"/>
                <wp:lineTo x="1294" y="10481"/>
                <wp:lineTo x="1294" y="18566"/>
                <wp:lineTo x="8197" y="19165"/>
                <wp:lineTo x="15963" y="19165"/>
                <wp:lineTo x="21356" y="18566"/>
                <wp:lineTo x="20924" y="8684"/>
                <wp:lineTo x="19630" y="8384"/>
                <wp:lineTo x="6903" y="7786"/>
                <wp:lineTo x="5177" y="7786"/>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E67719" w:rsidRPr="005C3466" w:rsidRDefault="00E67719" w:rsidP="00E67719">
      <w:pPr>
        <w:tabs>
          <w:tab w:val="left" w:pos="8262"/>
        </w:tabs>
        <w:spacing w:before="120" w:after="120" w:line="240" w:lineRule="auto"/>
        <w:ind w:left="-993" w:right="74"/>
        <w:contextualSpacing/>
        <w:jc w:val="both"/>
        <w:rPr>
          <w:rFonts w:eastAsiaTheme="minorEastAsia" w:cs="Calibri"/>
          <w:color w:val="FF0000"/>
          <w:sz w:val="28"/>
          <w:szCs w:val="28"/>
        </w:rPr>
      </w:pPr>
    </w:p>
    <w:p w:rsidR="00E67719" w:rsidRPr="005C3466" w:rsidRDefault="00E67719" w:rsidP="00E67719">
      <w:pPr>
        <w:tabs>
          <w:tab w:val="left" w:pos="3119"/>
          <w:tab w:val="left" w:pos="3544"/>
          <w:tab w:val="left" w:pos="8262"/>
        </w:tabs>
        <w:spacing w:before="120" w:after="120" w:line="240" w:lineRule="auto"/>
        <w:ind w:left="-993" w:right="74"/>
        <w:contextualSpacing/>
        <w:jc w:val="both"/>
        <w:rPr>
          <w:rFonts w:eastAsiaTheme="minorEastAsia" w:cs="Calibri"/>
          <w:color w:val="FF0000"/>
          <w:sz w:val="28"/>
          <w:szCs w:val="28"/>
        </w:rPr>
      </w:pPr>
    </w:p>
    <w:p w:rsidR="00E67719" w:rsidRPr="005C3466" w:rsidRDefault="00E67719" w:rsidP="00E67719">
      <w:pPr>
        <w:tabs>
          <w:tab w:val="left" w:pos="8262"/>
        </w:tabs>
        <w:spacing w:before="120" w:after="120" w:line="240" w:lineRule="auto"/>
        <w:ind w:left="-993" w:right="74"/>
        <w:contextualSpacing/>
        <w:jc w:val="both"/>
        <w:rPr>
          <w:rFonts w:eastAsiaTheme="minorEastAsia" w:cs="Calibri"/>
          <w:color w:val="FF0000"/>
          <w:sz w:val="28"/>
          <w:szCs w:val="28"/>
        </w:rPr>
      </w:pPr>
    </w:p>
    <w:p w:rsidR="00E67719" w:rsidRPr="005C3466" w:rsidRDefault="00E67719" w:rsidP="00E67719">
      <w:pPr>
        <w:tabs>
          <w:tab w:val="left" w:pos="8262"/>
        </w:tabs>
        <w:spacing w:before="120" w:after="120" w:line="240" w:lineRule="auto"/>
        <w:ind w:left="-993" w:right="74"/>
        <w:contextualSpacing/>
        <w:jc w:val="center"/>
        <w:rPr>
          <w:rFonts w:eastAsiaTheme="minorEastAsia" w:cs="Calibri"/>
          <w:color w:val="FF0000"/>
          <w:sz w:val="28"/>
          <w:szCs w:val="28"/>
        </w:rPr>
      </w:pPr>
    </w:p>
    <w:p w:rsidR="00E67719" w:rsidRPr="005C3466" w:rsidRDefault="00E67719" w:rsidP="00E67719">
      <w:pPr>
        <w:tabs>
          <w:tab w:val="left" w:pos="8262"/>
        </w:tabs>
        <w:spacing w:before="120" w:after="120" w:line="240" w:lineRule="auto"/>
        <w:ind w:left="-993" w:right="74"/>
        <w:contextualSpacing/>
        <w:jc w:val="both"/>
        <w:rPr>
          <w:rFonts w:eastAsiaTheme="minorEastAsia" w:cs="Calibri"/>
          <w:color w:val="FF0000"/>
          <w:sz w:val="28"/>
          <w:szCs w:val="28"/>
        </w:rPr>
      </w:pPr>
    </w:p>
    <w:p w:rsidR="00E67719" w:rsidRPr="005C3466" w:rsidRDefault="00E67719" w:rsidP="00E67719">
      <w:pPr>
        <w:tabs>
          <w:tab w:val="left" w:pos="8262"/>
        </w:tabs>
        <w:spacing w:before="120" w:after="120" w:line="240" w:lineRule="auto"/>
        <w:ind w:left="-993" w:right="74"/>
        <w:contextualSpacing/>
        <w:jc w:val="both"/>
        <w:rPr>
          <w:rFonts w:eastAsiaTheme="minorEastAsia" w:cs="Calibri"/>
          <w:color w:val="FF0000"/>
          <w:sz w:val="28"/>
          <w:szCs w:val="28"/>
        </w:rPr>
      </w:pPr>
    </w:p>
    <w:p w:rsidR="00E67719" w:rsidRPr="005C3466" w:rsidRDefault="00E67719" w:rsidP="00E67719">
      <w:pPr>
        <w:tabs>
          <w:tab w:val="left" w:pos="8262"/>
        </w:tabs>
        <w:spacing w:before="120" w:after="120" w:line="240" w:lineRule="auto"/>
        <w:ind w:left="-993" w:right="74"/>
        <w:contextualSpacing/>
        <w:jc w:val="both"/>
        <w:rPr>
          <w:rFonts w:eastAsiaTheme="minorEastAsia" w:cs="Calibri"/>
          <w:color w:val="FF0000"/>
          <w:sz w:val="28"/>
          <w:szCs w:val="28"/>
        </w:rPr>
      </w:pPr>
    </w:p>
    <w:p w:rsidR="00E67719" w:rsidRPr="005C3466" w:rsidRDefault="00FE02A1" w:rsidP="00E67719">
      <w:pPr>
        <w:tabs>
          <w:tab w:val="left" w:pos="8262"/>
        </w:tabs>
        <w:spacing w:before="120" w:after="120" w:line="240" w:lineRule="auto"/>
        <w:ind w:left="-993" w:right="74"/>
        <w:contextualSpacing/>
        <w:jc w:val="both"/>
        <w:rPr>
          <w:rFonts w:eastAsiaTheme="minorEastAsia" w:cs="Calibri"/>
          <w:color w:val="FF0000"/>
          <w:sz w:val="28"/>
          <w:szCs w:val="28"/>
        </w:rPr>
      </w:pPr>
      <w:r w:rsidRPr="00FE02A1">
        <w:rPr>
          <w:rFonts w:ascii="Calibri" w:eastAsiaTheme="minorEastAsia" w:hAnsi="Calibri" w:cs="Calibri"/>
          <w:noProof/>
          <w:color w:val="FF0000"/>
          <w:sz w:val="14"/>
          <w:szCs w:val="18"/>
          <w:lang w:eastAsia="el-GR"/>
        </w:rPr>
        <w:pict>
          <v:shape id="Text Box 75" o:spid="_x0000_s1032" type="#_x0000_t202" style="position:absolute;left:0;text-align:left;margin-left:187.9pt;margin-top:7.6pt;width:194.25pt;height:21.05pt;z-index:251781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" filled="f" stroked="f" strokeweight=".5pt">
            <v:path arrowok="t"/>
            <v:textbox>
              <w:txbxContent>
                <w:p w:rsidR="004C55D3" w:rsidRPr="00835319" w:rsidRDefault="004C55D3" w:rsidP="00E67719">
                  <w:pPr>
                    <w:ind w:left="-142"/>
                    <w:rPr>
                      <w:rFonts w:eastAsiaTheme="minorEastAsia" w:cs="Calibri"/>
                      <w:b/>
                      <w:bCs/>
                      <w:color w:val="003C96" w:themeColor="text2"/>
                      <w:sz w:val="18"/>
                      <w:szCs w:val="18"/>
                    </w:rPr>
                  </w:pPr>
                  <w:r w:rsidRPr="00835319">
                    <w:rPr>
                      <w:rFonts w:eastAsiaTheme="minorEastAsia" w:cs="Calibri"/>
                      <w:b/>
                      <w:bCs/>
                      <w:color w:val="003C96" w:themeColor="text2"/>
                      <w:sz w:val="18"/>
                      <w:szCs w:val="18"/>
                    </w:rPr>
                    <w:t xml:space="preserve">Μη Εξυπηρετούμενα Ανοίγματα | Ελλάδα (€δισ.)                                                </w:t>
                  </w:r>
                </w:p>
              </w:txbxContent>
            </v:textbox>
          </v:shape>
        </w:pict>
      </w:r>
      <w:r w:rsidRPr="00FE02A1">
        <w:rPr>
          <w:rFonts w:ascii="Calibri" w:eastAsiaTheme="minorEastAsia" w:hAnsi="Calibri" w:cs="Calibri"/>
          <w:noProof/>
          <w:color w:val="FF0000"/>
          <w:sz w:val="14"/>
          <w:szCs w:val="18"/>
          <w:lang w:eastAsia="el-GR"/>
        </w:rPr>
        <w:pict>
          <v:shape id="Text Box 20" o:spid="_x0000_s1033" type="#_x0000_t202" style="position:absolute;left:0;text-align:left;margin-left:-53.6pt;margin-top:9.1pt;width:180pt;height:21.05pt;z-index:251782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" filled="f" stroked="f" strokeweight=".5pt">
            <v:path arrowok="t"/>
            <v:textbox>
              <w:txbxContent>
                <w:p w:rsidR="004C55D3" w:rsidRPr="00F16CA1" w:rsidRDefault="004C55D3" w:rsidP="00E67719">
                  <w:pPr>
                    <w:ind w:left="-142"/>
                    <w:rPr>
                      <w:rFonts w:eastAsiaTheme="minorEastAsia" w:cs="Calibri"/>
                      <w:b/>
                      <w:bCs/>
                      <w:color w:val="003C96" w:themeColor="text2"/>
                      <w:sz w:val="18"/>
                      <w:szCs w:val="18"/>
                      <w:lang w:val="en-US"/>
                    </w:rPr>
                  </w:pPr>
                  <w:r w:rsidRPr="00835319">
                    <w:rPr>
                      <w:rFonts w:eastAsiaTheme="minorEastAsia" w:cs="Calibri"/>
                      <w:b/>
                      <w:bCs/>
                      <w:color w:val="003C96" w:themeColor="text2"/>
                      <w:sz w:val="18"/>
                      <w:szCs w:val="18"/>
                      <w:lang w:val="en-US"/>
                    </w:rPr>
                    <w:t xml:space="preserve">Εξυπηρετούμενα Δάνεια | Ελλάδα (€δισ.)                                                </w:t>
                  </w:r>
                </w:p>
              </w:txbxContent>
            </v:textbox>
          </v:shape>
        </w:pict>
      </w:r>
    </w:p>
    <w:p w:rsidR="00E67719" w:rsidRPr="005C3466" w:rsidRDefault="008A231C" w:rsidP="00E67719">
      <w:pPr>
        <w:tabs>
          <w:tab w:val="left" w:pos="8262"/>
        </w:tabs>
        <w:spacing w:before="120" w:after="120" w:line="240" w:lineRule="auto"/>
        <w:ind w:left="-993" w:right="74"/>
        <w:contextualSpacing/>
        <w:jc w:val="both"/>
        <w:rPr>
          <w:rFonts w:eastAsiaTheme="minorEastAsia" w:cs="Calibri"/>
          <w:color w:val="FF0000"/>
          <w:sz w:val="28"/>
          <w:szCs w:val="28"/>
        </w:rPr>
      </w:pPr>
      <w:r w:rsidRPr="00CD2E41">
        <w:rPr>
          <w:rFonts w:eastAsiaTheme="minorEastAsia" w:cs="Calibri"/>
          <w:noProof/>
          <w:color w:val="FF0000"/>
          <w:sz w:val="28"/>
          <w:szCs w:val="28"/>
          <w:lang w:val="en-US"/>
        </w:rPr>
        <w:drawing>
          <wp:anchor distT="0" distB="0" distL="114300" distR="114300" simplePos="0" relativeHeight="251788288" behindDoc="0" locked="0" layoutInCell="1" allowOverlap="1">
            <wp:simplePos x="0" y="0"/>
            <wp:positionH relativeFrom="page">
              <wp:posOffset>988695</wp:posOffset>
            </wp:positionH>
            <wp:positionV relativeFrom="page">
              <wp:posOffset>4290695</wp:posOffset>
            </wp:positionV>
            <wp:extent cx="2231390" cy="1502410"/>
            <wp:effectExtent l="0" t="0" r="0" b="2540"/>
            <wp:wrapNone/>
            <wp:docPr id="16"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E67719" w:rsidRPr="005C3466" w:rsidRDefault="008A231C" w:rsidP="00E67719">
      <w:pPr>
        <w:tabs>
          <w:tab w:val="left" w:pos="8262"/>
        </w:tabs>
        <w:spacing w:before="120" w:after="120" w:line="240" w:lineRule="auto"/>
        <w:ind w:left="-993" w:right="74"/>
        <w:contextualSpacing/>
        <w:jc w:val="both"/>
        <w:rPr>
          <w:rFonts w:eastAsiaTheme="minorEastAsia" w:cs="Calibri"/>
          <w:color w:val="FF0000"/>
          <w:sz w:val="28"/>
          <w:szCs w:val="28"/>
        </w:rPr>
      </w:pPr>
      <w:r w:rsidRPr="00CD2E41">
        <w:rPr>
          <w:rFonts w:eastAsiaTheme="minorEastAsia" w:cs="Calibri"/>
          <w:noProof/>
          <w:color w:val="FF0000"/>
          <w:sz w:val="28"/>
          <w:szCs w:val="28"/>
          <w:lang w:val="en-US"/>
        </w:rPr>
        <w:drawing>
          <wp:anchor distT="0" distB="0" distL="114300" distR="114300" simplePos="0" relativeHeight="251787264" behindDoc="0" locked="0" layoutInCell="1" allowOverlap="1">
            <wp:simplePos x="0" y="0"/>
            <wp:positionH relativeFrom="page">
              <wp:posOffset>4244975</wp:posOffset>
            </wp:positionH>
            <wp:positionV relativeFrom="page">
              <wp:posOffset>4262755</wp:posOffset>
            </wp:positionV>
            <wp:extent cx="2231390" cy="1502410"/>
            <wp:effectExtent l="0" t="0" r="0" b="2540"/>
            <wp:wrapNone/>
            <wp:docPr id="15"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E67719" w:rsidRPr="005C3466" w:rsidRDefault="00E67719" w:rsidP="00E67719">
      <w:pPr>
        <w:tabs>
          <w:tab w:val="left" w:pos="8262"/>
        </w:tabs>
        <w:spacing w:before="120" w:after="120" w:line="240" w:lineRule="auto"/>
        <w:ind w:left="-993" w:right="74"/>
        <w:contextualSpacing/>
        <w:jc w:val="both"/>
        <w:rPr>
          <w:rFonts w:eastAsiaTheme="minorEastAsia" w:cs="Calibri"/>
          <w:color w:val="FF0000"/>
          <w:sz w:val="28"/>
          <w:szCs w:val="28"/>
        </w:rPr>
      </w:pPr>
    </w:p>
    <w:p w:rsidR="00E67719" w:rsidRPr="005C3466" w:rsidRDefault="00E67719" w:rsidP="00E67719">
      <w:pPr>
        <w:tabs>
          <w:tab w:val="left" w:pos="8262"/>
        </w:tabs>
        <w:spacing w:before="120" w:after="120" w:line="240" w:lineRule="auto"/>
        <w:ind w:left="-993" w:right="74"/>
        <w:contextualSpacing/>
        <w:jc w:val="both"/>
        <w:rPr>
          <w:rFonts w:eastAsiaTheme="minorEastAsia" w:cs="Calibri"/>
          <w:color w:val="FF0000"/>
          <w:sz w:val="28"/>
          <w:szCs w:val="28"/>
        </w:rPr>
      </w:pPr>
    </w:p>
    <w:p w:rsidR="00E67719" w:rsidRPr="005C3466" w:rsidRDefault="00FE02A1" w:rsidP="00E67719">
      <w:pPr>
        <w:rPr>
          <w:rFonts w:eastAsiaTheme="minorEastAsia" w:cs="Calibri"/>
          <w:color w:val="FF0000"/>
          <w:sz w:val="28"/>
          <w:szCs w:val="28"/>
        </w:rPr>
      </w:pPr>
      <w:r w:rsidRPr="00FE02A1">
        <w:rPr>
          <w:rFonts w:ascii="Calibri" w:eastAsiaTheme="minorEastAsia" w:hAnsi="Calibri" w:cs="Calibri"/>
          <w:noProof/>
          <w:color w:val="FF0000"/>
          <w:sz w:val="14"/>
          <w:szCs w:val="18"/>
          <w:lang w:eastAsia="el-GR"/>
        </w:rPr>
        <w:pict>
          <v:shape id="Text Box 17" o:spid="_x0000_s1034" type="#_x0000_t202" style="position:absolute;margin-left:190.15pt;margin-top:129.9pt;width:163.95pt;height:36pt;z-index:251783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" filled="f" stroked="f" strokeweight=".5pt">
            <v:path arrowok="t"/>
            <v:textbox>
              <w:txbxContent>
                <w:p w:rsidR="004C55D3" w:rsidRPr="00E8444D" w:rsidRDefault="00D52D46" w:rsidP="00E67719">
                  <w:pPr>
                    <w:rPr>
                      <w:rFonts w:eastAsiaTheme="minorEastAsia" w:cs="Calibri"/>
                      <w:b/>
                      <w:bCs/>
                      <w:color w:val="003C96" w:themeColor="text2"/>
                      <w:sz w:val="18"/>
                      <w:szCs w:val="18"/>
                    </w:rPr>
                  </w:pPr>
                  <w:r>
                    <w:rPr>
                      <w:rFonts w:eastAsiaTheme="minorEastAsia" w:cs="Calibri"/>
                      <w:b/>
                      <w:bCs/>
                      <w:color w:val="003C96" w:themeColor="text2"/>
                      <w:sz w:val="18"/>
                      <w:szCs w:val="18"/>
                    </w:rPr>
                    <w:t>Λειτουργικά Έξοδα</w:t>
                  </w:r>
                  <w:r w:rsidR="004C55D3">
                    <w:rPr>
                      <w:rFonts w:eastAsiaTheme="minorEastAsia" w:cs="Calibri"/>
                      <w:b/>
                      <w:bCs/>
                      <w:color w:val="003C96" w:themeColor="text2"/>
                      <w:sz w:val="18"/>
                      <w:szCs w:val="18"/>
                    </w:rPr>
                    <w:t xml:space="preserve"> (€εκατ.)   </w:t>
                  </w:r>
                </w:p>
              </w:txbxContent>
            </v:textbox>
          </v:shape>
        </w:pict>
      </w:r>
      <w:r w:rsidRPr="00FE02A1">
        <w:rPr>
          <w:rFonts w:ascii="Calibri" w:eastAsiaTheme="minorEastAsia" w:hAnsi="Calibri" w:cs="Calibri"/>
          <w:noProof/>
          <w:color w:val="FF0000"/>
          <w:sz w:val="14"/>
          <w:szCs w:val="18"/>
          <w:lang w:eastAsia="el-GR"/>
        </w:rPr>
        <w:pict>
          <v:shape id="Text Box 34" o:spid="_x0000_s1035" type="#_x0000_t202" style="position:absolute;margin-left:-59.8pt;margin-top:128.9pt;width:163.95pt;height:21.05pt;z-index:251785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" filled="f" stroked="f" strokeweight=".5pt">
            <v:path arrowok="t"/>
            <v:textbox>
              <w:txbxContent>
                <w:p w:rsidR="004C55D3" w:rsidRPr="00F16CA1" w:rsidRDefault="004C55D3" w:rsidP="00E67719">
                  <w:pPr>
                    <w:ind w:left="-142"/>
                    <w:rPr>
                      <w:rFonts w:eastAsiaTheme="minorEastAsia" w:cs="Calibri"/>
                      <w:b/>
                      <w:bCs/>
                      <w:color w:val="003C96" w:themeColor="text2"/>
                      <w:sz w:val="18"/>
                      <w:szCs w:val="18"/>
                      <w:lang w:val="en-US"/>
                    </w:rPr>
                  </w:pPr>
                  <w:r w:rsidRPr="00B4070C">
                    <w:rPr>
                      <w:rFonts w:eastAsiaTheme="minorEastAsia" w:cs="Calibri"/>
                      <w:b/>
                      <w:bCs/>
                      <w:color w:val="003C96" w:themeColor="text2"/>
                      <w:sz w:val="18"/>
                      <w:szCs w:val="18"/>
                      <w:lang w:val="en-US"/>
                    </w:rPr>
                    <w:t>ΒασικάΤραπεζικά Έσοδα (€εκατ.)</w:t>
                  </w:r>
                </w:p>
              </w:txbxContent>
            </v:textbox>
          </v:shape>
        </w:pict>
      </w:r>
      <w:r w:rsidR="00CF0138" w:rsidRPr="00CD2E41">
        <w:rPr>
          <w:rFonts w:eastAsiaTheme="minorEastAsia" w:cs="Calibri"/>
          <w:b/>
          <w:noProof/>
          <w:color w:val="FF0000"/>
          <w:sz w:val="16"/>
          <w:szCs w:val="16"/>
          <w:lang w:val="en-US"/>
        </w:rPr>
        <w:drawing>
          <wp:anchor distT="0" distB="0" distL="114300" distR="114300" simplePos="0" relativeHeight="251790336" behindDoc="0" locked="0" layoutInCell="1" allowOverlap="1">
            <wp:simplePos x="0" y="0"/>
            <wp:positionH relativeFrom="page">
              <wp:posOffset>4187825</wp:posOffset>
            </wp:positionH>
            <wp:positionV relativeFrom="page">
              <wp:posOffset>7168515</wp:posOffset>
            </wp:positionV>
            <wp:extent cx="2231390" cy="1502410"/>
            <wp:effectExtent l="0" t="0" r="0" b="0"/>
            <wp:wrapNone/>
            <wp:docPr id="10"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CF0138" w:rsidRPr="00CD2E41">
        <w:rPr>
          <w:rFonts w:eastAsiaTheme="minorEastAsia" w:cs="Calibri"/>
          <w:b/>
          <w:noProof/>
          <w:color w:val="FF0000"/>
          <w:sz w:val="16"/>
          <w:szCs w:val="16"/>
          <w:lang w:val="en-US"/>
        </w:rPr>
        <w:drawing>
          <wp:anchor distT="0" distB="0" distL="114300" distR="114300" simplePos="0" relativeHeight="251728895" behindDoc="0" locked="0" layoutInCell="1" allowOverlap="1">
            <wp:simplePos x="0" y="0"/>
            <wp:positionH relativeFrom="page">
              <wp:posOffset>997585</wp:posOffset>
            </wp:positionH>
            <wp:positionV relativeFrom="page">
              <wp:posOffset>7175500</wp:posOffset>
            </wp:positionV>
            <wp:extent cx="2231390" cy="1502410"/>
            <wp:effectExtent l="0" t="0" r="0" b="0"/>
            <wp:wrapNone/>
            <wp:docPr id="7"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E67719" w:rsidRPr="005C3466">
        <w:rPr>
          <w:rFonts w:eastAsiaTheme="minorEastAsia" w:cs="Calibri"/>
          <w:color w:val="FF0000"/>
          <w:sz w:val="28"/>
          <w:szCs w:val="28"/>
        </w:rPr>
        <w:br w:type="page"/>
      </w:r>
    </w:p>
    <w:p w:rsidR="006878C9" w:rsidRPr="006878C9" w:rsidRDefault="002427FD" w:rsidP="008A15AB">
      <w:pPr>
        <w:spacing w:after="0" w:line="240" w:lineRule="auto"/>
        <w:ind w:left="-1843" w:right="-284"/>
        <w:rPr>
          <w:rFonts w:eastAsia="Times New Roman" w:cs="Calibri"/>
          <w:b/>
          <w:i/>
          <w:color w:val="3A73AE" w:themeColor="accent1"/>
          <w:sz w:val="27"/>
          <w:szCs w:val="27"/>
          <w:lang w:val="en-US"/>
        </w:rPr>
      </w:pPr>
      <w:r w:rsidRPr="002427FD">
        <w:rPr>
          <w:rFonts w:eastAsia="Times New Roman" w:cs="Calibri"/>
          <w:b/>
          <w:i/>
          <w:color w:val="3A73AE" w:themeColor="accent1"/>
          <w:sz w:val="27"/>
          <w:szCs w:val="27"/>
          <w:lang w:val="en-US"/>
        </w:rPr>
        <w:lastRenderedPageBreak/>
        <w:t>Επιλεγμένα Στοιχεία ΟμίλουΤράπεζας Πειραιώς</w:t>
      </w:r>
    </w:p>
    <w:tbl>
      <w:tblPr>
        <w:tblpPr w:leftFromText="180" w:rightFromText="180" w:vertAnchor="text" w:horzAnchor="page" w:tblpX="1165" w:tblpY="493"/>
        <w:tblW w:w="5887" w:type="pct"/>
        <w:shd w:val="clear" w:color="auto" w:fill="EDEBE5"/>
        <w:tblLayout w:type="fixed"/>
        <w:tblCellMar>
          <w:left w:w="113" w:type="dxa"/>
          <w:right w:w="170" w:type="dxa"/>
        </w:tblCellMar>
        <w:tblLook w:val="00A0"/>
      </w:tblPr>
      <w:tblGrid>
        <w:gridCol w:w="4105"/>
        <w:gridCol w:w="959"/>
        <w:gridCol w:w="959"/>
        <w:gridCol w:w="1024"/>
        <w:gridCol w:w="894"/>
        <w:gridCol w:w="959"/>
        <w:gridCol w:w="947"/>
      </w:tblGrid>
      <w:tr w:rsidR="007E4699" w:rsidRPr="005744FA" w:rsidTr="009A7861">
        <w:trPr>
          <w:trHeight w:val="419"/>
        </w:trPr>
        <w:tc>
          <w:tcPr>
            <w:tcW w:w="2084" w:type="pct"/>
            <w:tcBorders>
              <w:top w:val="single" w:sz="4" w:space="0" w:color="003C96" w:themeColor="text2"/>
              <w:left w:val="single" w:sz="4" w:space="0" w:color="003C96" w:themeColor="text2"/>
              <w:bottom w:val="single" w:sz="4" w:space="0" w:color="003C96" w:themeColor="text2"/>
            </w:tcBorders>
            <w:shd w:val="clear" w:color="auto" w:fill="3A73AE" w:themeFill="accent1"/>
            <w:vAlign w:val="center"/>
          </w:tcPr>
          <w:p w:rsidR="007E4699" w:rsidRPr="002427FD" w:rsidRDefault="007E4699" w:rsidP="00A3296A">
            <w:pPr>
              <w:tabs>
                <w:tab w:val="left" w:pos="284"/>
              </w:tabs>
              <w:spacing w:after="0"/>
              <w:rPr>
                <w:rFonts w:ascii="Calibri" w:eastAsiaTheme="minorEastAsia" w:hAnsi="Calibri" w:cs="Calibri"/>
                <w:color w:val="FFFFFF" w:themeColor="background1"/>
                <w:sz w:val="16"/>
                <w:szCs w:val="16"/>
              </w:rPr>
            </w:pPr>
            <w:r w:rsidRPr="002427FD">
              <w:rPr>
                <w:rFonts w:ascii="Calibri" w:eastAsiaTheme="minorEastAsia" w:hAnsi="Calibri" w:cs="Calibri"/>
                <w:color w:val="FFFFFF" w:themeColor="background1"/>
                <w:sz w:val="16"/>
                <w:szCs w:val="16"/>
              </w:rPr>
              <w:t>Ενοποιημένα Στοιχεία (ποσά σε € εκατ.)</w:t>
            </w:r>
          </w:p>
        </w:tc>
        <w:tc>
          <w:tcPr>
            <w:tcW w:w="487" w:type="pct"/>
            <w:tcBorders>
              <w:top w:val="single" w:sz="4" w:space="0" w:color="003C96" w:themeColor="text2"/>
              <w:bottom w:val="single" w:sz="4" w:space="0" w:color="003C96" w:themeColor="text2"/>
            </w:tcBorders>
            <w:shd w:val="clear" w:color="auto" w:fill="3A73AE" w:themeFill="accent1"/>
            <w:vAlign w:val="center"/>
          </w:tcPr>
          <w:p w:rsidR="007E4699" w:rsidRPr="007E4699" w:rsidRDefault="007E4699" w:rsidP="00A3296A">
            <w:pPr>
              <w:tabs>
                <w:tab w:val="left" w:pos="284"/>
              </w:tabs>
              <w:spacing w:after="0"/>
              <w:jc w:val="center"/>
              <w:rPr>
                <w:rFonts w:ascii="Calibri" w:eastAsiaTheme="minorEastAsia" w:hAnsi="Calibri" w:cs="Calibri"/>
                <w:color w:val="FFFFFF" w:themeColor="background1"/>
                <w:sz w:val="16"/>
                <w:szCs w:val="16"/>
              </w:rPr>
            </w:pPr>
          </w:p>
        </w:tc>
        <w:tc>
          <w:tcPr>
            <w:tcW w:w="487" w:type="pct"/>
            <w:tcBorders>
              <w:top w:val="single" w:sz="4" w:space="0" w:color="003C96" w:themeColor="text2"/>
              <w:bottom w:val="single" w:sz="4" w:space="0" w:color="003C96" w:themeColor="text2"/>
            </w:tcBorders>
            <w:shd w:val="clear" w:color="auto" w:fill="3A73AE" w:themeFill="accent1"/>
            <w:vAlign w:val="center"/>
          </w:tcPr>
          <w:p w:rsidR="007E4699" w:rsidRPr="007E4699" w:rsidRDefault="007E4699" w:rsidP="00A3296A">
            <w:pPr>
              <w:tabs>
                <w:tab w:val="left" w:pos="284"/>
              </w:tabs>
              <w:spacing w:after="0"/>
              <w:jc w:val="center"/>
              <w:rPr>
                <w:rFonts w:ascii="Calibri" w:eastAsiaTheme="minorEastAsia" w:hAnsi="Calibri" w:cs="Calibri"/>
                <w:color w:val="FFFFFF" w:themeColor="background1"/>
                <w:sz w:val="16"/>
                <w:szCs w:val="16"/>
              </w:rPr>
            </w:pPr>
          </w:p>
        </w:tc>
        <w:tc>
          <w:tcPr>
            <w:tcW w:w="520" w:type="pct"/>
            <w:tcBorders>
              <w:top w:val="single" w:sz="4" w:space="0" w:color="003C96" w:themeColor="text2"/>
              <w:bottom w:val="single" w:sz="4" w:space="0" w:color="003C96" w:themeColor="text2"/>
            </w:tcBorders>
            <w:shd w:val="clear" w:color="auto" w:fill="3A73AE" w:themeFill="accent1"/>
            <w:vAlign w:val="center"/>
          </w:tcPr>
          <w:p w:rsidR="007E4699" w:rsidRPr="007E4699" w:rsidRDefault="007E4699" w:rsidP="002427FD">
            <w:pPr>
              <w:spacing w:after="0"/>
              <w:ind w:left="-103" w:right="-138"/>
              <w:jc w:val="center"/>
              <w:rPr>
                <w:rFonts w:ascii="Calibri" w:eastAsiaTheme="minorEastAsia" w:hAnsi="Calibri" w:cs="Calibri"/>
                <w:color w:val="FFFFFF" w:themeColor="background1"/>
                <w:sz w:val="16"/>
                <w:szCs w:val="16"/>
              </w:rPr>
            </w:pPr>
          </w:p>
        </w:tc>
        <w:tc>
          <w:tcPr>
            <w:tcW w:w="454" w:type="pct"/>
            <w:tcBorders>
              <w:top w:val="single" w:sz="4" w:space="0" w:color="003C96" w:themeColor="text2"/>
              <w:bottom w:val="single" w:sz="4" w:space="0" w:color="003C96" w:themeColor="text2"/>
            </w:tcBorders>
            <w:shd w:val="clear" w:color="auto" w:fill="3A73AE" w:themeFill="accent1"/>
            <w:vAlign w:val="center"/>
          </w:tcPr>
          <w:p w:rsidR="007E4699" w:rsidRPr="007E4699" w:rsidRDefault="007E4699" w:rsidP="00A3296A">
            <w:pPr>
              <w:tabs>
                <w:tab w:val="left" w:pos="284"/>
              </w:tabs>
              <w:spacing w:after="0"/>
              <w:jc w:val="center"/>
              <w:rPr>
                <w:rFonts w:ascii="Calibri" w:eastAsiaTheme="minorEastAsia" w:hAnsi="Calibri" w:cs="Calibri"/>
                <w:color w:val="FFFFFF" w:themeColor="background1"/>
                <w:sz w:val="16"/>
                <w:szCs w:val="16"/>
              </w:rPr>
            </w:pPr>
          </w:p>
        </w:tc>
        <w:tc>
          <w:tcPr>
            <w:tcW w:w="487" w:type="pct"/>
            <w:tcBorders>
              <w:top w:val="single" w:sz="4" w:space="0" w:color="003C96" w:themeColor="text2"/>
              <w:bottom w:val="single" w:sz="4" w:space="0" w:color="003C96" w:themeColor="text2"/>
            </w:tcBorders>
            <w:shd w:val="clear" w:color="auto" w:fill="3A73AE" w:themeFill="accent1"/>
            <w:vAlign w:val="center"/>
          </w:tcPr>
          <w:p w:rsidR="007E4699" w:rsidRPr="007E4699" w:rsidRDefault="007E4699" w:rsidP="00A3296A">
            <w:pPr>
              <w:tabs>
                <w:tab w:val="left" w:pos="284"/>
              </w:tabs>
              <w:spacing w:after="0"/>
              <w:ind w:hanging="22"/>
              <w:jc w:val="center"/>
              <w:rPr>
                <w:rFonts w:ascii="Calibri" w:eastAsiaTheme="minorEastAsia" w:hAnsi="Calibri" w:cs="Calibri"/>
                <w:color w:val="FFFFFF" w:themeColor="background1"/>
                <w:sz w:val="16"/>
                <w:szCs w:val="16"/>
              </w:rPr>
            </w:pPr>
          </w:p>
        </w:tc>
        <w:tc>
          <w:tcPr>
            <w:tcW w:w="482" w:type="pct"/>
            <w:tcBorders>
              <w:top w:val="single" w:sz="4" w:space="0" w:color="003C96" w:themeColor="text2"/>
              <w:bottom w:val="single" w:sz="4" w:space="0" w:color="003C96" w:themeColor="text2"/>
              <w:right w:val="single" w:sz="4" w:space="0" w:color="FFC000"/>
            </w:tcBorders>
            <w:shd w:val="clear" w:color="auto" w:fill="3A73AE" w:themeFill="accent1"/>
            <w:vAlign w:val="center"/>
          </w:tcPr>
          <w:p w:rsidR="007E4699" w:rsidRPr="007E4699" w:rsidRDefault="007E4699" w:rsidP="002427FD">
            <w:pPr>
              <w:tabs>
                <w:tab w:val="left" w:pos="284"/>
              </w:tabs>
              <w:spacing w:after="0"/>
              <w:ind w:right="-108"/>
              <w:jc w:val="center"/>
              <w:rPr>
                <w:rFonts w:ascii="Calibri" w:eastAsiaTheme="minorEastAsia" w:hAnsi="Calibri" w:cs="Calibri"/>
                <w:color w:val="FFFFFF" w:themeColor="background1"/>
                <w:sz w:val="16"/>
                <w:szCs w:val="16"/>
              </w:rPr>
            </w:pPr>
          </w:p>
        </w:tc>
      </w:tr>
      <w:tr w:rsidR="007E4699" w:rsidRPr="005744FA" w:rsidTr="009A7861">
        <w:trPr>
          <w:trHeight w:val="406"/>
        </w:trPr>
        <w:tc>
          <w:tcPr>
            <w:tcW w:w="2084" w:type="pct"/>
            <w:tcBorders>
              <w:top w:val="single" w:sz="4" w:space="0" w:color="003C96" w:themeColor="text2"/>
              <w:left w:val="single" w:sz="4" w:space="0" w:color="FFC000"/>
            </w:tcBorders>
            <w:shd w:val="clear" w:color="auto" w:fill="DCDCD7"/>
            <w:vAlign w:val="center"/>
          </w:tcPr>
          <w:p w:rsidR="007E4699" w:rsidRPr="005744FA" w:rsidRDefault="007E4699" w:rsidP="00777DF0">
            <w:pPr>
              <w:tabs>
                <w:tab w:val="left" w:pos="284"/>
              </w:tabs>
              <w:spacing w:after="0"/>
              <w:rPr>
                <w:rFonts w:eastAsiaTheme="minorEastAsia" w:cs="Calibri"/>
                <w:color w:val="003C96" w:themeColor="text2"/>
                <w:sz w:val="16"/>
                <w:szCs w:val="16"/>
                <w:lang w:val="en-US"/>
              </w:rPr>
            </w:pPr>
            <w:r w:rsidRPr="00777DF0">
              <w:rPr>
                <w:rFonts w:ascii="Calibri" w:eastAsiaTheme="minorEastAsia" w:hAnsi="Calibri" w:cs="Calibri"/>
                <w:color w:val="003C96" w:themeColor="text2"/>
                <w:sz w:val="16"/>
                <w:szCs w:val="16"/>
                <w:lang w:val="en-GB"/>
              </w:rPr>
              <w:t>Επιλεγμένα Στοιχεία Ισολογισμού</w:t>
            </w:r>
          </w:p>
        </w:tc>
        <w:tc>
          <w:tcPr>
            <w:tcW w:w="487" w:type="pct"/>
            <w:tcBorders>
              <w:top w:val="single" w:sz="4" w:space="0" w:color="003C96" w:themeColor="text2"/>
            </w:tcBorders>
            <w:shd w:val="clear" w:color="auto" w:fill="DCDCD7"/>
            <w:vAlign w:val="center"/>
          </w:tcPr>
          <w:p w:rsidR="007E4699" w:rsidRPr="00777DF0" w:rsidRDefault="007E4699" w:rsidP="00777DF0">
            <w:pPr>
              <w:spacing w:after="0"/>
              <w:ind w:right="-57"/>
              <w:jc w:val="center"/>
              <w:rPr>
                <w:rFonts w:ascii="Calibri" w:eastAsiaTheme="minorEastAsia" w:hAnsi="Calibri" w:cs="Calibri"/>
                <w:color w:val="003C96" w:themeColor="text2"/>
                <w:sz w:val="16"/>
                <w:szCs w:val="16"/>
              </w:rPr>
            </w:pPr>
            <w:r w:rsidRPr="00777DF0">
              <w:rPr>
                <w:rFonts w:ascii="Calibri" w:eastAsiaTheme="minorEastAsia" w:hAnsi="Calibri" w:cs="Calibri"/>
                <w:color w:val="003C96" w:themeColor="text2"/>
                <w:sz w:val="16"/>
                <w:szCs w:val="16"/>
              </w:rPr>
              <w:t>30.09.20</w:t>
            </w:r>
          </w:p>
        </w:tc>
        <w:tc>
          <w:tcPr>
            <w:tcW w:w="487" w:type="pct"/>
            <w:tcBorders>
              <w:top w:val="single" w:sz="4" w:space="0" w:color="003C96" w:themeColor="text2"/>
            </w:tcBorders>
            <w:shd w:val="clear" w:color="auto" w:fill="DCDCD7"/>
            <w:vAlign w:val="center"/>
          </w:tcPr>
          <w:p w:rsidR="007E4699" w:rsidRPr="00777DF0" w:rsidRDefault="007E4699" w:rsidP="00777DF0">
            <w:pPr>
              <w:spacing w:after="0"/>
              <w:ind w:right="-57"/>
              <w:jc w:val="center"/>
              <w:rPr>
                <w:rFonts w:ascii="Calibri" w:eastAsiaTheme="minorEastAsia" w:hAnsi="Calibri" w:cs="Calibri"/>
                <w:color w:val="003C96" w:themeColor="text2"/>
                <w:sz w:val="16"/>
                <w:szCs w:val="16"/>
              </w:rPr>
            </w:pPr>
            <w:r w:rsidRPr="00777DF0">
              <w:rPr>
                <w:rFonts w:ascii="Calibri" w:eastAsiaTheme="minorEastAsia" w:hAnsi="Calibri" w:cs="Calibri"/>
                <w:color w:val="003C96" w:themeColor="text2"/>
                <w:sz w:val="16"/>
                <w:szCs w:val="16"/>
              </w:rPr>
              <w:t>30.06.20</w:t>
            </w:r>
          </w:p>
        </w:tc>
        <w:tc>
          <w:tcPr>
            <w:tcW w:w="520" w:type="pct"/>
            <w:tcBorders>
              <w:top w:val="single" w:sz="4" w:space="0" w:color="003C96" w:themeColor="text2"/>
              <w:right w:val="single" w:sz="18" w:space="0" w:color="FFC000"/>
            </w:tcBorders>
            <w:shd w:val="clear" w:color="auto" w:fill="DCDCD7"/>
            <w:vAlign w:val="center"/>
          </w:tcPr>
          <w:p w:rsidR="009A7861" w:rsidRDefault="007E4699" w:rsidP="00777DF0">
            <w:pPr>
              <w:spacing w:after="0"/>
              <w:ind w:left="-103" w:right="-189"/>
              <w:jc w:val="center"/>
              <w:rPr>
                <w:rFonts w:ascii="Calibri" w:eastAsiaTheme="minorEastAsia" w:hAnsi="Calibri" w:cs="Calibri"/>
                <w:color w:val="003C96" w:themeColor="text2"/>
                <w:sz w:val="16"/>
                <w:szCs w:val="16"/>
              </w:rPr>
            </w:pPr>
            <w:r w:rsidRPr="00777DF0">
              <w:rPr>
                <w:rFonts w:ascii="Calibri" w:eastAsiaTheme="minorEastAsia" w:hAnsi="Calibri" w:cs="Calibri"/>
                <w:color w:val="003C96" w:themeColor="text2"/>
                <w:sz w:val="16"/>
                <w:szCs w:val="16"/>
              </w:rPr>
              <w:t xml:space="preserve">Δ% </w:t>
            </w:r>
          </w:p>
          <w:p w:rsidR="007E4699" w:rsidRPr="00777DF0" w:rsidRDefault="007E4699" w:rsidP="00777DF0">
            <w:pPr>
              <w:spacing w:after="0"/>
              <w:ind w:left="-103" w:right="-189"/>
              <w:jc w:val="center"/>
              <w:rPr>
                <w:rFonts w:ascii="Calibri" w:eastAsiaTheme="minorEastAsia" w:hAnsi="Calibri" w:cs="Calibri"/>
                <w:color w:val="003C96" w:themeColor="text2"/>
                <w:sz w:val="16"/>
                <w:szCs w:val="16"/>
              </w:rPr>
            </w:pPr>
            <w:r w:rsidRPr="009A7861">
              <w:rPr>
                <w:rFonts w:ascii="Calibri" w:eastAsiaTheme="minorEastAsia" w:hAnsi="Calibri" w:cs="Calibri"/>
                <w:color w:val="003C96" w:themeColor="text2"/>
                <w:sz w:val="14"/>
                <w:szCs w:val="14"/>
              </w:rPr>
              <w:t>τριμηνιαίως</w:t>
            </w:r>
          </w:p>
        </w:tc>
        <w:tc>
          <w:tcPr>
            <w:tcW w:w="454" w:type="pct"/>
            <w:tcBorders>
              <w:top w:val="single" w:sz="4" w:space="0" w:color="003C96" w:themeColor="text2"/>
              <w:left w:val="single" w:sz="18" w:space="0" w:color="FFC000"/>
            </w:tcBorders>
            <w:shd w:val="clear" w:color="auto" w:fill="DCDCD7"/>
            <w:vAlign w:val="center"/>
          </w:tcPr>
          <w:p w:rsidR="007E4699" w:rsidRPr="00777DF0" w:rsidRDefault="007E4699" w:rsidP="00777DF0">
            <w:pPr>
              <w:spacing w:after="0"/>
              <w:ind w:right="-57"/>
              <w:jc w:val="center"/>
              <w:rPr>
                <w:rFonts w:ascii="Calibri" w:eastAsiaTheme="minorEastAsia" w:hAnsi="Calibri" w:cs="Calibri"/>
                <w:color w:val="003C96" w:themeColor="text2"/>
                <w:sz w:val="16"/>
                <w:szCs w:val="16"/>
              </w:rPr>
            </w:pPr>
            <w:r w:rsidRPr="00777DF0">
              <w:rPr>
                <w:rFonts w:ascii="Calibri" w:eastAsiaTheme="minorEastAsia" w:hAnsi="Calibri" w:cs="Calibri"/>
                <w:color w:val="003C96" w:themeColor="text2"/>
                <w:sz w:val="16"/>
                <w:szCs w:val="16"/>
              </w:rPr>
              <w:t>30.09.20</w:t>
            </w:r>
          </w:p>
        </w:tc>
        <w:tc>
          <w:tcPr>
            <w:tcW w:w="487" w:type="pct"/>
            <w:tcBorders>
              <w:top w:val="single" w:sz="4" w:space="0" w:color="003C96" w:themeColor="text2"/>
            </w:tcBorders>
            <w:shd w:val="clear" w:color="auto" w:fill="DCDCD7"/>
            <w:vAlign w:val="center"/>
          </w:tcPr>
          <w:p w:rsidR="007E4699" w:rsidRPr="00777DF0" w:rsidRDefault="007E4699" w:rsidP="00777DF0">
            <w:pPr>
              <w:spacing w:after="0"/>
              <w:ind w:right="-57"/>
              <w:jc w:val="center"/>
              <w:rPr>
                <w:rFonts w:ascii="Calibri" w:eastAsiaTheme="minorEastAsia" w:hAnsi="Calibri" w:cs="Calibri"/>
                <w:color w:val="003C96" w:themeColor="text2"/>
                <w:sz w:val="16"/>
                <w:szCs w:val="16"/>
              </w:rPr>
            </w:pPr>
            <w:r w:rsidRPr="00777DF0">
              <w:rPr>
                <w:rFonts w:ascii="Calibri" w:eastAsiaTheme="minorEastAsia" w:hAnsi="Calibri" w:cs="Calibri"/>
                <w:color w:val="003C96" w:themeColor="text2"/>
                <w:sz w:val="16"/>
                <w:szCs w:val="16"/>
              </w:rPr>
              <w:t>30.09.19</w:t>
            </w:r>
          </w:p>
        </w:tc>
        <w:tc>
          <w:tcPr>
            <w:tcW w:w="482" w:type="pct"/>
            <w:tcBorders>
              <w:top w:val="single" w:sz="4" w:space="0" w:color="003C96" w:themeColor="text2"/>
              <w:right w:val="single" w:sz="4" w:space="0" w:color="FFC000"/>
            </w:tcBorders>
            <w:shd w:val="clear" w:color="auto" w:fill="DCDCD7"/>
            <w:vAlign w:val="center"/>
          </w:tcPr>
          <w:p w:rsidR="007E4699" w:rsidRPr="00777DF0" w:rsidRDefault="007E4699" w:rsidP="00777DF0">
            <w:pPr>
              <w:spacing w:after="0"/>
              <w:ind w:right="-57"/>
              <w:jc w:val="center"/>
              <w:rPr>
                <w:rFonts w:ascii="Calibri" w:eastAsiaTheme="minorEastAsia" w:hAnsi="Calibri" w:cs="Calibri"/>
                <w:color w:val="003C96" w:themeColor="text2"/>
                <w:sz w:val="16"/>
                <w:szCs w:val="16"/>
              </w:rPr>
            </w:pPr>
            <w:r w:rsidRPr="00777DF0">
              <w:rPr>
                <w:rFonts w:ascii="Calibri" w:eastAsiaTheme="minorEastAsia" w:hAnsi="Calibri" w:cs="Calibri"/>
                <w:color w:val="003C96" w:themeColor="text2"/>
                <w:sz w:val="16"/>
                <w:szCs w:val="16"/>
              </w:rPr>
              <w:t>Δ%</w:t>
            </w:r>
          </w:p>
          <w:p w:rsidR="007E4699" w:rsidRPr="009A7861" w:rsidRDefault="007E4699" w:rsidP="00777DF0">
            <w:pPr>
              <w:spacing w:after="0"/>
              <w:ind w:right="-57"/>
              <w:jc w:val="center"/>
              <w:rPr>
                <w:rFonts w:ascii="Calibri" w:eastAsiaTheme="minorEastAsia" w:hAnsi="Calibri" w:cs="Calibri"/>
                <w:color w:val="003C96" w:themeColor="text2"/>
                <w:sz w:val="14"/>
                <w:szCs w:val="14"/>
              </w:rPr>
            </w:pPr>
            <w:r w:rsidRPr="009A7861">
              <w:rPr>
                <w:rFonts w:ascii="Calibri" w:eastAsiaTheme="minorEastAsia" w:hAnsi="Calibri" w:cs="Calibri"/>
                <w:color w:val="003C96" w:themeColor="text2"/>
                <w:sz w:val="14"/>
                <w:szCs w:val="14"/>
              </w:rPr>
              <w:t>ετησίως</w:t>
            </w:r>
          </w:p>
        </w:tc>
      </w:tr>
      <w:tr w:rsidR="007E4699" w:rsidRPr="005744FA" w:rsidTr="009A7861">
        <w:trPr>
          <w:trHeight w:val="63"/>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5744FA" w:rsidRDefault="007E4699" w:rsidP="00777DF0">
            <w:pPr>
              <w:tabs>
                <w:tab w:val="left" w:pos="284"/>
              </w:tabs>
              <w:spacing w:after="0"/>
              <w:jc w:val="right"/>
              <w:rPr>
                <w:rFonts w:eastAsiaTheme="minorEastAsia" w:cs="Calibri"/>
                <w:sz w:val="10"/>
                <w:szCs w:val="16"/>
                <w:lang w:val="en-US"/>
              </w:rPr>
            </w:pPr>
          </w:p>
        </w:tc>
        <w:tc>
          <w:tcPr>
            <w:tcW w:w="487" w:type="pct"/>
            <w:tcBorders>
              <w:left w:val="single" w:sz="4" w:space="0" w:color="FFC000"/>
              <w:right w:val="single" w:sz="4" w:space="0" w:color="FFC000"/>
            </w:tcBorders>
            <w:shd w:val="clear" w:color="auto" w:fill="FFFFFF" w:themeFill="background1"/>
            <w:vAlign w:val="center"/>
          </w:tcPr>
          <w:p w:rsidR="007E4699" w:rsidRPr="00EE6EA8" w:rsidRDefault="007E4699" w:rsidP="00777DF0">
            <w:pPr>
              <w:tabs>
                <w:tab w:val="left" w:pos="284"/>
              </w:tabs>
              <w:spacing w:after="0"/>
              <w:jc w:val="right"/>
              <w:rPr>
                <w:rFonts w:eastAsiaTheme="minorEastAsia" w:cs="Calibri"/>
                <w:sz w:val="10"/>
                <w:szCs w:val="16"/>
                <w:lang w:val="en-US"/>
              </w:rPr>
            </w:pPr>
          </w:p>
        </w:tc>
        <w:tc>
          <w:tcPr>
            <w:tcW w:w="487" w:type="pct"/>
            <w:tcBorders>
              <w:left w:val="single" w:sz="4" w:space="0" w:color="FFC000"/>
              <w:right w:val="single" w:sz="4" w:space="0" w:color="FFC000"/>
            </w:tcBorders>
            <w:shd w:val="clear" w:color="auto" w:fill="FFFFFF" w:themeFill="background1"/>
            <w:vAlign w:val="center"/>
          </w:tcPr>
          <w:p w:rsidR="007E4699" w:rsidRPr="00EE6EA8" w:rsidRDefault="007E4699" w:rsidP="00777DF0">
            <w:pPr>
              <w:tabs>
                <w:tab w:val="left" w:pos="284"/>
              </w:tabs>
              <w:spacing w:after="0"/>
              <w:jc w:val="right"/>
              <w:rPr>
                <w:rFonts w:eastAsiaTheme="minorEastAsia" w:cs="Calibri"/>
                <w:sz w:val="10"/>
                <w:szCs w:val="16"/>
                <w:lang w:val="en-US"/>
              </w:rPr>
            </w:pPr>
          </w:p>
        </w:tc>
        <w:tc>
          <w:tcPr>
            <w:tcW w:w="520" w:type="pct"/>
            <w:tcBorders>
              <w:left w:val="single" w:sz="4" w:space="0" w:color="FFC000"/>
              <w:right w:val="single" w:sz="18" w:space="0" w:color="FFC000"/>
            </w:tcBorders>
            <w:shd w:val="clear" w:color="auto" w:fill="FFFFFF" w:themeFill="background1"/>
            <w:vAlign w:val="center"/>
          </w:tcPr>
          <w:p w:rsidR="007E4699" w:rsidRPr="00EE6EA8" w:rsidRDefault="007E4699" w:rsidP="00777DF0">
            <w:pPr>
              <w:tabs>
                <w:tab w:val="left" w:pos="284"/>
              </w:tabs>
              <w:spacing w:after="0"/>
              <w:jc w:val="right"/>
              <w:rPr>
                <w:rFonts w:eastAsiaTheme="minorEastAsia" w:cs="Calibri"/>
                <w:sz w:val="10"/>
                <w:szCs w:val="16"/>
                <w:lang w:val="en-US"/>
              </w:rPr>
            </w:pPr>
          </w:p>
        </w:tc>
        <w:tc>
          <w:tcPr>
            <w:tcW w:w="454" w:type="pct"/>
            <w:tcBorders>
              <w:left w:val="single" w:sz="18" w:space="0" w:color="FFC000"/>
              <w:right w:val="single" w:sz="4" w:space="0" w:color="FFC000"/>
            </w:tcBorders>
            <w:shd w:val="clear" w:color="auto" w:fill="FFFFFF" w:themeFill="background1"/>
            <w:vAlign w:val="center"/>
          </w:tcPr>
          <w:p w:rsidR="007E4699" w:rsidRPr="00EE6EA8" w:rsidRDefault="007E4699" w:rsidP="00777DF0">
            <w:pPr>
              <w:tabs>
                <w:tab w:val="left" w:pos="284"/>
              </w:tabs>
              <w:spacing w:after="0"/>
              <w:jc w:val="right"/>
              <w:rPr>
                <w:rFonts w:eastAsiaTheme="minorEastAsia" w:cs="Calibri"/>
                <w:sz w:val="10"/>
                <w:szCs w:val="16"/>
                <w:lang w:val="en-US"/>
              </w:rPr>
            </w:pPr>
          </w:p>
        </w:tc>
        <w:tc>
          <w:tcPr>
            <w:tcW w:w="487" w:type="pct"/>
            <w:tcBorders>
              <w:left w:val="single" w:sz="4" w:space="0" w:color="FFC000"/>
              <w:right w:val="single" w:sz="4" w:space="0" w:color="FFC000"/>
            </w:tcBorders>
            <w:shd w:val="clear" w:color="auto" w:fill="FFFFFF" w:themeFill="background1"/>
            <w:vAlign w:val="center"/>
          </w:tcPr>
          <w:p w:rsidR="007E4699" w:rsidRPr="00EE6EA8" w:rsidRDefault="007E4699" w:rsidP="00777DF0">
            <w:pPr>
              <w:tabs>
                <w:tab w:val="left" w:pos="284"/>
              </w:tabs>
              <w:spacing w:after="0"/>
              <w:jc w:val="right"/>
              <w:rPr>
                <w:rFonts w:eastAsiaTheme="minorEastAsia" w:cs="Calibri"/>
                <w:i/>
                <w:sz w:val="10"/>
                <w:szCs w:val="16"/>
                <w:lang w:val="en-US"/>
              </w:rPr>
            </w:pPr>
          </w:p>
        </w:tc>
        <w:tc>
          <w:tcPr>
            <w:tcW w:w="482" w:type="pct"/>
            <w:tcBorders>
              <w:left w:val="single" w:sz="4" w:space="0" w:color="FFC000"/>
              <w:right w:val="single" w:sz="4" w:space="0" w:color="FFC000"/>
            </w:tcBorders>
            <w:shd w:val="clear" w:color="auto" w:fill="FFFFFF" w:themeFill="background1"/>
            <w:vAlign w:val="center"/>
          </w:tcPr>
          <w:p w:rsidR="007E4699" w:rsidRPr="00EE6EA8" w:rsidRDefault="007E4699" w:rsidP="00777DF0">
            <w:pPr>
              <w:tabs>
                <w:tab w:val="left" w:pos="284"/>
              </w:tabs>
              <w:spacing w:after="0"/>
              <w:jc w:val="right"/>
              <w:rPr>
                <w:rFonts w:eastAsiaTheme="minorEastAsia" w:cs="Calibri"/>
                <w:sz w:val="10"/>
                <w:szCs w:val="16"/>
                <w:lang w:val="en-US"/>
              </w:rPr>
            </w:pPr>
          </w:p>
        </w:tc>
      </w:tr>
      <w:tr w:rsidR="007E4699" w:rsidRPr="005744FA" w:rsidTr="009A7861">
        <w:trPr>
          <w:trHeight w:val="303"/>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5744FA" w:rsidRDefault="007E4699" w:rsidP="00777DF0">
            <w:pPr>
              <w:tabs>
                <w:tab w:val="left" w:pos="284"/>
              </w:tabs>
              <w:spacing w:after="0" w:line="240" w:lineRule="auto"/>
              <w:rPr>
                <w:rFonts w:eastAsiaTheme="minorEastAsia" w:cs="Calibri"/>
                <w:sz w:val="16"/>
                <w:szCs w:val="16"/>
                <w:lang w:val="en-GB"/>
              </w:rPr>
            </w:pPr>
            <w:r w:rsidRPr="002C502D">
              <w:rPr>
                <w:rFonts w:ascii="Calibri" w:eastAsiaTheme="minorEastAsia" w:hAnsi="Calibri" w:cs="Calibri"/>
                <w:sz w:val="16"/>
                <w:szCs w:val="16"/>
              </w:rPr>
              <w:t>Ενεργητικό</w:t>
            </w:r>
          </w:p>
        </w:tc>
        <w:tc>
          <w:tcPr>
            <w:tcW w:w="487" w:type="pct"/>
            <w:tcBorders>
              <w:left w:val="single" w:sz="4" w:space="0" w:color="FFC000"/>
              <w:right w:val="single" w:sz="4" w:space="0" w:color="FFC000"/>
            </w:tcBorders>
            <w:shd w:val="clear" w:color="auto" w:fill="FFFFFF" w:themeFill="background1"/>
            <w:vAlign w:val="center"/>
          </w:tcPr>
          <w:p w:rsidR="007E4699" w:rsidRPr="00B710C6" w:rsidRDefault="007E4699" w:rsidP="00777DF0">
            <w:pPr>
              <w:tabs>
                <w:tab w:val="left" w:pos="284"/>
              </w:tabs>
              <w:spacing w:after="0" w:line="240" w:lineRule="auto"/>
              <w:jc w:val="right"/>
              <w:rPr>
                <w:rFonts w:eastAsiaTheme="minorEastAsia" w:cs="Calibri"/>
                <w:color w:val="000000" w:themeColor="text1"/>
                <w:sz w:val="16"/>
                <w:szCs w:val="16"/>
                <w:lang w:val="en-US"/>
              </w:rPr>
            </w:pPr>
            <w:r w:rsidRPr="00B710C6">
              <w:rPr>
                <w:rFonts w:eastAsiaTheme="minorEastAsia" w:cs="Calibri"/>
                <w:color w:val="000000" w:themeColor="text1"/>
                <w:sz w:val="16"/>
                <w:szCs w:val="16"/>
                <w:lang w:val="en-US"/>
              </w:rPr>
              <w:t>67</w:t>
            </w:r>
            <w:r>
              <w:rPr>
                <w:rFonts w:eastAsiaTheme="minorEastAsia" w:cs="Calibri"/>
                <w:color w:val="000000" w:themeColor="text1"/>
                <w:sz w:val="16"/>
                <w:szCs w:val="16"/>
                <w:lang w:val="en-US"/>
              </w:rPr>
              <w:t>.</w:t>
            </w:r>
            <w:r w:rsidRPr="00B710C6">
              <w:rPr>
                <w:rFonts w:eastAsiaTheme="minorEastAsia" w:cs="Calibri"/>
                <w:color w:val="000000" w:themeColor="text1"/>
                <w:sz w:val="16"/>
                <w:szCs w:val="16"/>
                <w:lang w:val="en-US"/>
              </w:rPr>
              <w:t>693</w:t>
            </w: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64.382</w:t>
            </w:r>
          </w:p>
        </w:tc>
        <w:tc>
          <w:tcPr>
            <w:tcW w:w="520" w:type="pct"/>
            <w:tcBorders>
              <w:left w:val="single" w:sz="4" w:space="0" w:color="FFC000"/>
              <w:right w:val="single" w:sz="18"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5%</w:t>
            </w:r>
          </w:p>
        </w:tc>
        <w:tc>
          <w:tcPr>
            <w:tcW w:w="454" w:type="pct"/>
            <w:tcBorders>
              <w:left w:val="single" w:sz="18"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67</w:t>
            </w:r>
            <w:r>
              <w:rPr>
                <w:rFonts w:eastAsiaTheme="minorEastAsia" w:cs="Calibri"/>
                <w:color w:val="000000" w:themeColor="text1"/>
                <w:sz w:val="16"/>
                <w:szCs w:val="16"/>
                <w:lang w:val="en-US"/>
              </w:rPr>
              <w:t>.</w:t>
            </w:r>
            <w:r w:rsidRPr="00777DF0">
              <w:rPr>
                <w:rFonts w:eastAsiaTheme="minorEastAsia" w:cs="Calibri"/>
                <w:color w:val="000000" w:themeColor="text1"/>
                <w:sz w:val="16"/>
                <w:szCs w:val="16"/>
              </w:rPr>
              <w:t>693</w:t>
            </w: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B710C6">
              <w:rPr>
                <w:rFonts w:eastAsiaTheme="minorEastAsia" w:cs="Calibri"/>
                <w:color w:val="000000" w:themeColor="text1"/>
                <w:sz w:val="16"/>
                <w:szCs w:val="16"/>
              </w:rPr>
              <w:t>59</w:t>
            </w:r>
            <w:r>
              <w:rPr>
                <w:rFonts w:eastAsiaTheme="minorEastAsia" w:cs="Calibri"/>
                <w:color w:val="000000" w:themeColor="text1"/>
                <w:sz w:val="16"/>
                <w:szCs w:val="16"/>
                <w:lang w:val="en-US"/>
              </w:rPr>
              <w:t>.</w:t>
            </w:r>
            <w:r w:rsidRPr="00777DF0">
              <w:rPr>
                <w:rFonts w:eastAsiaTheme="minorEastAsia" w:cs="Calibri"/>
                <w:color w:val="000000" w:themeColor="text1"/>
                <w:sz w:val="16"/>
                <w:szCs w:val="16"/>
              </w:rPr>
              <w:t>089</w:t>
            </w:r>
          </w:p>
        </w:tc>
        <w:tc>
          <w:tcPr>
            <w:tcW w:w="482"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15%</w:t>
            </w:r>
          </w:p>
        </w:tc>
      </w:tr>
      <w:tr w:rsidR="007E4699" w:rsidRPr="005744FA" w:rsidTr="009A7861">
        <w:trPr>
          <w:trHeight w:val="303"/>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777DF0" w:rsidRDefault="007E4699" w:rsidP="00777DF0">
            <w:pPr>
              <w:tabs>
                <w:tab w:val="left" w:pos="284"/>
              </w:tabs>
              <w:spacing w:after="0" w:line="240" w:lineRule="auto"/>
              <w:rPr>
                <w:rFonts w:eastAsiaTheme="minorEastAsia" w:cs="Calibri"/>
                <w:sz w:val="16"/>
                <w:szCs w:val="16"/>
              </w:rPr>
            </w:pPr>
            <w:r w:rsidRPr="002C502D">
              <w:rPr>
                <w:rFonts w:ascii="Calibri" w:eastAsiaTheme="minorEastAsia" w:hAnsi="Calibri" w:cs="Calibri"/>
                <w:sz w:val="16"/>
                <w:szCs w:val="16"/>
              </w:rPr>
              <w:t>Καταθέσεις</w:t>
            </w: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47.088</w:t>
            </w: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45</w:t>
            </w:r>
            <w:r>
              <w:rPr>
                <w:rFonts w:eastAsiaTheme="minorEastAsia" w:cs="Calibri"/>
                <w:color w:val="000000" w:themeColor="text1"/>
                <w:sz w:val="16"/>
                <w:szCs w:val="16"/>
                <w:lang w:val="en-US"/>
              </w:rPr>
              <w:t>.</w:t>
            </w:r>
            <w:r w:rsidRPr="00777DF0">
              <w:rPr>
                <w:rFonts w:eastAsiaTheme="minorEastAsia" w:cs="Calibri"/>
                <w:color w:val="000000" w:themeColor="text1"/>
                <w:sz w:val="16"/>
                <w:szCs w:val="16"/>
              </w:rPr>
              <w:t>706</w:t>
            </w:r>
          </w:p>
        </w:tc>
        <w:tc>
          <w:tcPr>
            <w:tcW w:w="520" w:type="pct"/>
            <w:tcBorders>
              <w:left w:val="single" w:sz="4" w:space="0" w:color="FFC000"/>
              <w:right w:val="single" w:sz="18"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3%</w:t>
            </w:r>
          </w:p>
        </w:tc>
        <w:tc>
          <w:tcPr>
            <w:tcW w:w="454" w:type="pct"/>
            <w:tcBorders>
              <w:left w:val="single" w:sz="18"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47</w:t>
            </w:r>
            <w:r>
              <w:rPr>
                <w:rFonts w:eastAsiaTheme="minorEastAsia" w:cs="Calibri"/>
                <w:color w:val="000000" w:themeColor="text1"/>
                <w:sz w:val="16"/>
                <w:szCs w:val="16"/>
                <w:lang w:val="en-US"/>
              </w:rPr>
              <w:t>.</w:t>
            </w:r>
            <w:r w:rsidRPr="00777DF0">
              <w:rPr>
                <w:rFonts w:eastAsiaTheme="minorEastAsia" w:cs="Calibri"/>
                <w:color w:val="000000" w:themeColor="text1"/>
                <w:sz w:val="16"/>
                <w:szCs w:val="16"/>
              </w:rPr>
              <w:t>088</w:t>
            </w: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B710C6">
              <w:rPr>
                <w:rFonts w:eastAsiaTheme="minorEastAsia" w:cs="Calibri"/>
                <w:color w:val="000000" w:themeColor="text1"/>
                <w:sz w:val="16"/>
                <w:szCs w:val="16"/>
              </w:rPr>
              <w:t>45</w:t>
            </w:r>
            <w:r w:rsidRPr="00777DF0">
              <w:rPr>
                <w:rFonts w:eastAsiaTheme="minorEastAsia" w:cs="Calibri"/>
                <w:color w:val="000000" w:themeColor="text1"/>
                <w:sz w:val="16"/>
                <w:szCs w:val="16"/>
              </w:rPr>
              <w:t>.</w:t>
            </w:r>
            <w:r w:rsidRPr="00B710C6">
              <w:rPr>
                <w:rFonts w:eastAsiaTheme="minorEastAsia" w:cs="Calibri"/>
                <w:color w:val="000000" w:themeColor="text1"/>
                <w:sz w:val="16"/>
                <w:szCs w:val="16"/>
              </w:rPr>
              <w:t>172</w:t>
            </w:r>
          </w:p>
        </w:tc>
        <w:tc>
          <w:tcPr>
            <w:tcW w:w="482"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4%</w:t>
            </w:r>
          </w:p>
        </w:tc>
      </w:tr>
      <w:tr w:rsidR="007E4699" w:rsidRPr="005744FA" w:rsidTr="009A7861">
        <w:trPr>
          <w:trHeight w:val="303"/>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777DF0" w:rsidRDefault="007E4699" w:rsidP="00777DF0">
            <w:pPr>
              <w:tabs>
                <w:tab w:val="left" w:pos="284"/>
              </w:tabs>
              <w:spacing w:after="0" w:line="240" w:lineRule="auto"/>
              <w:ind w:right="-201"/>
              <w:rPr>
                <w:rFonts w:eastAsiaTheme="minorEastAsia" w:cs="Calibri"/>
                <w:sz w:val="16"/>
                <w:szCs w:val="16"/>
                <w:vertAlign w:val="superscript"/>
              </w:rPr>
            </w:pPr>
            <w:r w:rsidRPr="002C502D">
              <w:rPr>
                <w:rFonts w:ascii="Calibri" w:eastAsiaTheme="minorEastAsia" w:hAnsi="Calibri" w:cs="Calibri"/>
                <w:sz w:val="16"/>
                <w:szCs w:val="16"/>
              </w:rPr>
              <w:t xml:space="preserve">Δάνεια προ Απομειώσεων και Προσαρμογών </w:t>
            </w: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48.488</w:t>
            </w: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48.306</w:t>
            </w:r>
          </w:p>
        </w:tc>
        <w:tc>
          <w:tcPr>
            <w:tcW w:w="520" w:type="pct"/>
            <w:tcBorders>
              <w:left w:val="single" w:sz="4" w:space="0" w:color="FFC000"/>
              <w:right w:val="single" w:sz="18"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0%</w:t>
            </w:r>
          </w:p>
        </w:tc>
        <w:tc>
          <w:tcPr>
            <w:tcW w:w="454" w:type="pct"/>
            <w:tcBorders>
              <w:left w:val="single" w:sz="18"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48.488</w:t>
            </w: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49</w:t>
            </w:r>
            <w:r>
              <w:rPr>
                <w:rFonts w:eastAsiaTheme="minorEastAsia" w:cs="Calibri"/>
                <w:color w:val="000000" w:themeColor="text1"/>
                <w:sz w:val="16"/>
                <w:szCs w:val="16"/>
                <w:lang w:val="en-US"/>
              </w:rPr>
              <w:t>.</w:t>
            </w:r>
            <w:r w:rsidRPr="00777DF0">
              <w:rPr>
                <w:rFonts w:eastAsiaTheme="minorEastAsia" w:cs="Calibri"/>
                <w:color w:val="000000" w:themeColor="text1"/>
                <w:sz w:val="16"/>
                <w:szCs w:val="16"/>
              </w:rPr>
              <w:t>758</w:t>
            </w:r>
          </w:p>
        </w:tc>
        <w:tc>
          <w:tcPr>
            <w:tcW w:w="482"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-3%</w:t>
            </w:r>
          </w:p>
        </w:tc>
      </w:tr>
      <w:tr w:rsidR="007E4699" w:rsidRPr="005744FA" w:rsidTr="009A7861">
        <w:trPr>
          <w:trHeight w:val="303"/>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5744FA" w:rsidRDefault="007E4699" w:rsidP="00777DF0">
            <w:pPr>
              <w:tabs>
                <w:tab w:val="left" w:pos="284"/>
              </w:tabs>
              <w:spacing w:after="0" w:line="240" w:lineRule="auto"/>
              <w:rPr>
                <w:rFonts w:eastAsiaTheme="minorEastAsia" w:cs="Calibri"/>
                <w:sz w:val="16"/>
                <w:szCs w:val="16"/>
              </w:rPr>
            </w:pPr>
            <w:r w:rsidRPr="002C502D">
              <w:rPr>
                <w:rFonts w:ascii="Calibri" w:eastAsiaTheme="minorEastAsia" w:hAnsi="Calibri" w:cs="Calibri"/>
                <w:sz w:val="16"/>
                <w:szCs w:val="16"/>
              </w:rPr>
              <w:t>Σωρευμένες Προβλέψεις</w:t>
            </w: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10.208</w:t>
            </w: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10.514</w:t>
            </w:r>
          </w:p>
        </w:tc>
        <w:tc>
          <w:tcPr>
            <w:tcW w:w="520" w:type="pct"/>
            <w:tcBorders>
              <w:left w:val="single" w:sz="4" w:space="0" w:color="FFC000"/>
              <w:right w:val="single" w:sz="18"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-3%</w:t>
            </w:r>
          </w:p>
        </w:tc>
        <w:tc>
          <w:tcPr>
            <w:tcW w:w="454" w:type="pct"/>
            <w:tcBorders>
              <w:left w:val="single" w:sz="18"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10.208</w:t>
            </w: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11.805</w:t>
            </w:r>
          </w:p>
        </w:tc>
        <w:tc>
          <w:tcPr>
            <w:tcW w:w="482" w:type="pct"/>
            <w:tcBorders>
              <w:left w:val="single" w:sz="4" w:space="0" w:color="FFC000"/>
              <w:right w:val="single" w:sz="4" w:space="0" w:color="FFC000"/>
            </w:tcBorders>
            <w:shd w:val="clear" w:color="auto" w:fill="FFFFFF" w:themeFill="background1"/>
            <w:vAlign w:val="center"/>
          </w:tcPr>
          <w:p w:rsidR="007E4699" w:rsidRPr="00777DF0" w:rsidRDefault="003A2901" w:rsidP="00777DF0">
            <w:pPr>
              <w:tabs>
                <w:tab w:val="left" w:pos="284"/>
              </w:tabs>
              <w:spacing w:after="0" w:line="240" w:lineRule="auto"/>
              <w:jc w:val="right"/>
              <w:rPr>
                <w:rFonts w:eastAsiaTheme="minorEastAsia" w:cs="Calibri"/>
                <w:color w:val="000000" w:themeColor="text1"/>
                <w:sz w:val="16"/>
                <w:szCs w:val="16"/>
              </w:rPr>
            </w:pPr>
            <w:r>
              <w:rPr>
                <w:rFonts w:eastAsiaTheme="minorEastAsia" w:cs="Calibri"/>
                <w:color w:val="000000" w:themeColor="text1"/>
                <w:sz w:val="16"/>
                <w:szCs w:val="16"/>
              </w:rPr>
              <w:t>-14</w:t>
            </w:r>
            <w:r w:rsidR="007E4699" w:rsidRPr="00777DF0">
              <w:rPr>
                <w:rFonts w:eastAsiaTheme="minorEastAsia" w:cs="Calibri"/>
                <w:color w:val="000000" w:themeColor="text1"/>
                <w:sz w:val="16"/>
                <w:szCs w:val="16"/>
              </w:rPr>
              <w:t>%</w:t>
            </w:r>
          </w:p>
        </w:tc>
      </w:tr>
      <w:tr w:rsidR="007E4699" w:rsidRPr="005744FA" w:rsidTr="009A7861">
        <w:trPr>
          <w:trHeight w:val="303"/>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777DF0" w:rsidRDefault="007E4699" w:rsidP="00777DF0">
            <w:pPr>
              <w:tabs>
                <w:tab w:val="left" w:pos="284"/>
              </w:tabs>
              <w:spacing w:after="0" w:line="240" w:lineRule="auto"/>
              <w:rPr>
                <w:rFonts w:eastAsiaTheme="minorEastAsia" w:cs="Calibri"/>
                <w:sz w:val="16"/>
                <w:szCs w:val="16"/>
              </w:rPr>
            </w:pPr>
            <w:r w:rsidRPr="002C502D">
              <w:rPr>
                <w:rFonts w:ascii="Calibri" w:eastAsiaTheme="minorEastAsia" w:hAnsi="Calibri" w:cs="Calibri"/>
                <w:sz w:val="16"/>
                <w:szCs w:val="16"/>
              </w:rPr>
              <w:t>Σύνολο Ιδίων Κεφαλαίων</w:t>
            </w: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7.648</w:t>
            </w: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7.648</w:t>
            </w:r>
          </w:p>
        </w:tc>
        <w:tc>
          <w:tcPr>
            <w:tcW w:w="520" w:type="pct"/>
            <w:tcBorders>
              <w:left w:val="single" w:sz="4" w:space="0" w:color="FFC000"/>
              <w:right w:val="single" w:sz="18"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highlight w:val="yellow"/>
              </w:rPr>
            </w:pPr>
            <w:r w:rsidRPr="00777DF0">
              <w:rPr>
                <w:rFonts w:eastAsiaTheme="minorEastAsia" w:cs="Calibri"/>
                <w:color w:val="000000" w:themeColor="text1"/>
                <w:sz w:val="16"/>
                <w:szCs w:val="16"/>
              </w:rPr>
              <w:t>0%</w:t>
            </w:r>
          </w:p>
        </w:tc>
        <w:tc>
          <w:tcPr>
            <w:tcW w:w="454" w:type="pct"/>
            <w:tcBorders>
              <w:left w:val="single" w:sz="18"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7.648</w:t>
            </w: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7</w:t>
            </w:r>
            <w:r>
              <w:rPr>
                <w:rFonts w:eastAsiaTheme="minorEastAsia" w:cs="Calibri"/>
                <w:color w:val="000000" w:themeColor="text1"/>
                <w:sz w:val="16"/>
                <w:szCs w:val="16"/>
                <w:lang w:val="en-US"/>
              </w:rPr>
              <w:t>.</w:t>
            </w:r>
            <w:r w:rsidRPr="00777DF0">
              <w:rPr>
                <w:rFonts w:eastAsiaTheme="minorEastAsia" w:cs="Calibri"/>
                <w:color w:val="000000" w:themeColor="text1"/>
                <w:sz w:val="16"/>
                <w:szCs w:val="16"/>
              </w:rPr>
              <w:t>758</w:t>
            </w:r>
          </w:p>
        </w:tc>
        <w:tc>
          <w:tcPr>
            <w:tcW w:w="482"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r w:rsidRPr="00777DF0">
              <w:rPr>
                <w:rFonts w:eastAsiaTheme="minorEastAsia" w:cs="Calibri"/>
                <w:color w:val="000000" w:themeColor="text1"/>
                <w:sz w:val="16"/>
                <w:szCs w:val="16"/>
              </w:rPr>
              <w:t>-1%</w:t>
            </w:r>
          </w:p>
        </w:tc>
      </w:tr>
      <w:tr w:rsidR="007E4699" w:rsidRPr="005744FA" w:rsidTr="009A7861">
        <w:trPr>
          <w:trHeight w:val="63"/>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777DF0" w:rsidRDefault="007E4699" w:rsidP="00777DF0">
            <w:pPr>
              <w:tabs>
                <w:tab w:val="left" w:pos="284"/>
              </w:tabs>
              <w:spacing w:after="0" w:line="240" w:lineRule="auto"/>
              <w:rPr>
                <w:rFonts w:ascii="Calibri" w:eastAsiaTheme="minorEastAsia" w:hAnsi="Calibri" w:cs="Calibri"/>
                <w:sz w:val="16"/>
                <w:szCs w:val="16"/>
              </w:rPr>
            </w:pP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color w:val="000000" w:themeColor="text1"/>
                <w:sz w:val="16"/>
                <w:szCs w:val="16"/>
              </w:rPr>
            </w:pPr>
          </w:p>
        </w:tc>
        <w:tc>
          <w:tcPr>
            <w:tcW w:w="520" w:type="pct"/>
            <w:tcBorders>
              <w:left w:val="single" w:sz="4" w:space="0" w:color="FFC000"/>
              <w:right w:val="single" w:sz="18"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sz w:val="16"/>
                <w:szCs w:val="16"/>
              </w:rPr>
            </w:pPr>
          </w:p>
        </w:tc>
        <w:tc>
          <w:tcPr>
            <w:tcW w:w="454" w:type="pct"/>
            <w:tcBorders>
              <w:left w:val="single" w:sz="18"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sz w:val="16"/>
                <w:szCs w:val="16"/>
              </w:rPr>
            </w:pPr>
          </w:p>
        </w:tc>
        <w:tc>
          <w:tcPr>
            <w:tcW w:w="487" w:type="pct"/>
            <w:tcBorders>
              <w:left w:val="single" w:sz="4" w:space="0" w:color="FFC000"/>
              <w:right w:val="single" w:sz="4" w:space="0" w:color="FFC000"/>
            </w:tcBorders>
            <w:shd w:val="clear" w:color="auto" w:fill="FFFFFF" w:themeFill="background1"/>
            <w:vAlign w:val="center"/>
          </w:tcPr>
          <w:p w:rsidR="007E4699" w:rsidRPr="00777DF0" w:rsidRDefault="007E4699" w:rsidP="00777DF0">
            <w:pPr>
              <w:tabs>
                <w:tab w:val="left" w:pos="284"/>
              </w:tabs>
              <w:spacing w:after="0" w:line="240" w:lineRule="auto"/>
              <w:jc w:val="right"/>
              <w:rPr>
                <w:rFonts w:eastAsiaTheme="minorEastAsia" w:cs="Calibri"/>
                <w:sz w:val="16"/>
                <w:szCs w:val="16"/>
              </w:rPr>
            </w:pPr>
          </w:p>
        </w:tc>
        <w:tc>
          <w:tcPr>
            <w:tcW w:w="482" w:type="pct"/>
            <w:tcBorders>
              <w:left w:val="single" w:sz="4" w:space="0" w:color="FFC000"/>
              <w:right w:val="single" w:sz="4" w:space="0" w:color="FFC000"/>
            </w:tcBorders>
            <w:shd w:val="clear" w:color="auto" w:fill="FFFFFF" w:themeFill="background1"/>
          </w:tcPr>
          <w:p w:rsidR="007E4699" w:rsidRPr="00777DF0" w:rsidRDefault="007E4699" w:rsidP="00777DF0">
            <w:pPr>
              <w:tabs>
                <w:tab w:val="left" w:pos="284"/>
              </w:tabs>
              <w:spacing w:after="0" w:line="240" w:lineRule="auto"/>
              <w:jc w:val="right"/>
              <w:rPr>
                <w:rFonts w:eastAsiaTheme="minorEastAsia" w:cs="Calibri"/>
                <w:sz w:val="16"/>
                <w:szCs w:val="16"/>
              </w:rPr>
            </w:pPr>
          </w:p>
        </w:tc>
      </w:tr>
      <w:tr w:rsidR="007E4699" w:rsidRPr="005744FA" w:rsidTr="009A7861">
        <w:trPr>
          <w:trHeight w:val="419"/>
        </w:trPr>
        <w:tc>
          <w:tcPr>
            <w:tcW w:w="2084" w:type="pct"/>
            <w:tcBorders>
              <w:left w:val="single" w:sz="4" w:space="0" w:color="FFC000"/>
            </w:tcBorders>
            <w:shd w:val="clear" w:color="auto" w:fill="DCDCD7"/>
            <w:tcMar>
              <w:right w:w="113" w:type="dxa"/>
            </w:tcMar>
            <w:vAlign w:val="center"/>
          </w:tcPr>
          <w:p w:rsidR="007E4699" w:rsidRPr="00777DF0" w:rsidRDefault="007E4699" w:rsidP="00777DF0">
            <w:pPr>
              <w:tabs>
                <w:tab w:val="left" w:pos="284"/>
              </w:tabs>
              <w:spacing w:after="0"/>
              <w:rPr>
                <w:rFonts w:eastAsiaTheme="minorEastAsia" w:cs="Calibri"/>
                <w:color w:val="003C96" w:themeColor="text2"/>
                <w:sz w:val="16"/>
                <w:szCs w:val="16"/>
              </w:rPr>
            </w:pPr>
            <w:r w:rsidRPr="00777DF0">
              <w:rPr>
                <w:rFonts w:ascii="Calibri" w:eastAsiaTheme="minorEastAsia" w:hAnsi="Calibri" w:cs="Calibri"/>
                <w:color w:val="003C96" w:themeColor="text2"/>
                <w:sz w:val="16"/>
                <w:szCs w:val="16"/>
                <w:lang w:val="en-GB"/>
              </w:rPr>
              <w:t>Επιλεγμένα Αποτελέσματα</w:t>
            </w:r>
          </w:p>
        </w:tc>
        <w:tc>
          <w:tcPr>
            <w:tcW w:w="487" w:type="pct"/>
            <w:shd w:val="clear" w:color="auto" w:fill="DCDCD7"/>
            <w:vAlign w:val="center"/>
          </w:tcPr>
          <w:p w:rsidR="007E4699" w:rsidRPr="00777DF0" w:rsidRDefault="007E4699" w:rsidP="00777DF0">
            <w:pPr>
              <w:spacing w:after="0"/>
              <w:ind w:right="-57"/>
              <w:jc w:val="center"/>
              <w:rPr>
                <w:rFonts w:eastAsiaTheme="minorEastAsia" w:cs="Calibri"/>
                <w:color w:val="003C96" w:themeColor="text2"/>
                <w:sz w:val="16"/>
                <w:szCs w:val="16"/>
              </w:rPr>
            </w:pPr>
            <w:r>
              <w:rPr>
                <w:rFonts w:ascii="Calibri" w:eastAsiaTheme="minorEastAsia" w:hAnsi="Calibri" w:cs="Calibri"/>
                <w:color w:val="003C96" w:themeColor="text2"/>
                <w:sz w:val="16"/>
                <w:szCs w:val="16"/>
              </w:rPr>
              <w:t>2</w:t>
            </w:r>
            <w:r w:rsidRPr="006468C0">
              <w:rPr>
                <w:rFonts w:ascii="Calibri" w:eastAsiaTheme="minorEastAsia" w:hAnsi="Calibri" w:cs="Calibri"/>
                <w:color w:val="003C96" w:themeColor="text2"/>
                <w:sz w:val="16"/>
                <w:szCs w:val="16"/>
                <w:vertAlign w:val="superscript"/>
              </w:rPr>
              <w:t>ο</w:t>
            </w:r>
            <w:r>
              <w:rPr>
                <w:rFonts w:ascii="Calibri" w:eastAsiaTheme="minorEastAsia" w:hAnsi="Calibri" w:cs="Calibri"/>
                <w:color w:val="003C96" w:themeColor="text2"/>
                <w:sz w:val="16"/>
                <w:szCs w:val="16"/>
              </w:rPr>
              <w:t xml:space="preserve"> 3μ</w:t>
            </w:r>
            <w:r>
              <w:rPr>
                <w:rFonts w:ascii="Calibri" w:eastAsiaTheme="minorEastAsia" w:hAnsi="Calibri" w:cs="Calibri"/>
                <w:color w:val="003C96" w:themeColor="text2"/>
                <w:sz w:val="16"/>
                <w:szCs w:val="16"/>
                <w:lang w:val="en-GB"/>
              </w:rPr>
              <w:t>2020</w:t>
            </w:r>
          </w:p>
        </w:tc>
        <w:tc>
          <w:tcPr>
            <w:tcW w:w="487" w:type="pct"/>
            <w:shd w:val="clear" w:color="auto" w:fill="DCDCD7"/>
            <w:vAlign w:val="center"/>
          </w:tcPr>
          <w:p w:rsidR="007E4699" w:rsidRPr="00777DF0" w:rsidRDefault="007E4699" w:rsidP="005F0949">
            <w:pPr>
              <w:spacing w:after="0"/>
              <w:ind w:right="-166"/>
              <w:jc w:val="center"/>
              <w:rPr>
                <w:rFonts w:eastAsiaTheme="minorEastAsia" w:cs="Calibri"/>
                <w:color w:val="003C96" w:themeColor="text2"/>
                <w:sz w:val="16"/>
                <w:szCs w:val="16"/>
              </w:rPr>
            </w:pPr>
            <w:r>
              <w:rPr>
                <w:rFonts w:eastAsiaTheme="minorEastAsia" w:cs="Calibri"/>
                <w:color w:val="003C96" w:themeColor="text2"/>
                <w:sz w:val="16"/>
                <w:szCs w:val="16"/>
              </w:rPr>
              <w:t>1</w:t>
            </w:r>
            <w:r w:rsidRPr="006468C0">
              <w:rPr>
                <w:rFonts w:eastAsiaTheme="minorEastAsia" w:cs="Calibri"/>
                <w:color w:val="003C96" w:themeColor="text2"/>
                <w:sz w:val="16"/>
                <w:szCs w:val="16"/>
                <w:vertAlign w:val="superscript"/>
              </w:rPr>
              <w:t>ο</w:t>
            </w:r>
            <w:r>
              <w:rPr>
                <w:rFonts w:eastAsiaTheme="minorEastAsia" w:cs="Calibri"/>
                <w:color w:val="003C96" w:themeColor="text2"/>
                <w:sz w:val="16"/>
                <w:szCs w:val="16"/>
              </w:rPr>
              <w:t xml:space="preserve"> 3μ</w:t>
            </w:r>
            <w:r>
              <w:rPr>
                <w:rFonts w:eastAsiaTheme="minorEastAsia" w:cs="Calibri"/>
                <w:color w:val="003C96" w:themeColor="text2"/>
                <w:sz w:val="16"/>
                <w:szCs w:val="16"/>
                <w:lang w:val="en-GB"/>
              </w:rPr>
              <w:t xml:space="preserve"> 2020</w:t>
            </w:r>
          </w:p>
        </w:tc>
        <w:tc>
          <w:tcPr>
            <w:tcW w:w="520" w:type="pct"/>
            <w:shd w:val="clear" w:color="auto" w:fill="DCDCD7"/>
            <w:vAlign w:val="center"/>
          </w:tcPr>
          <w:p w:rsidR="007E4699" w:rsidRPr="00777DF0" w:rsidRDefault="009A7861" w:rsidP="00777DF0">
            <w:pPr>
              <w:tabs>
                <w:tab w:val="left" w:pos="284"/>
              </w:tabs>
              <w:spacing w:after="0"/>
              <w:jc w:val="center"/>
              <w:rPr>
                <w:rFonts w:eastAsiaTheme="minorEastAsia" w:cs="Calibri"/>
                <w:color w:val="003C96" w:themeColor="text2"/>
                <w:sz w:val="16"/>
                <w:szCs w:val="16"/>
              </w:rPr>
            </w:pPr>
            <w:r>
              <w:rPr>
                <w:rFonts w:ascii="Calibri" w:eastAsiaTheme="minorEastAsia" w:hAnsi="Calibri" w:cs="Calibri"/>
                <w:color w:val="003C96" w:themeColor="text2"/>
                <w:sz w:val="16"/>
                <w:szCs w:val="16"/>
              </w:rPr>
              <w:t>Δ%</w:t>
            </w:r>
            <w:r w:rsidRPr="009A7861">
              <w:rPr>
                <w:rFonts w:ascii="Calibri" w:eastAsiaTheme="minorEastAsia" w:hAnsi="Calibri" w:cs="Calibri"/>
                <w:color w:val="003C96" w:themeColor="text2"/>
                <w:sz w:val="14"/>
                <w:szCs w:val="14"/>
              </w:rPr>
              <w:t>τριμηνιαίως</w:t>
            </w:r>
          </w:p>
        </w:tc>
        <w:tc>
          <w:tcPr>
            <w:tcW w:w="454" w:type="pct"/>
            <w:tcBorders>
              <w:left w:val="single" w:sz="18" w:space="0" w:color="FFC000"/>
            </w:tcBorders>
            <w:shd w:val="clear" w:color="auto" w:fill="DCDCD7"/>
            <w:vAlign w:val="center"/>
          </w:tcPr>
          <w:p w:rsidR="007E4699" w:rsidRPr="00777DF0" w:rsidRDefault="007E4699" w:rsidP="0011396F">
            <w:pPr>
              <w:tabs>
                <w:tab w:val="left" w:pos="284"/>
              </w:tabs>
              <w:spacing w:after="0"/>
              <w:jc w:val="center"/>
              <w:rPr>
                <w:rFonts w:eastAsiaTheme="minorEastAsia" w:cs="Calibri"/>
                <w:color w:val="003C96" w:themeColor="text2"/>
                <w:sz w:val="16"/>
                <w:szCs w:val="16"/>
              </w:rPr>
            </w:pPr>
            <w:r>
              <w:rPr>
                <w:rFonts w:ascii="Calibri" w:eastAsiaTheme="minorEastAsia" w:hAnsi="Calibri" w:cs="Calibri"/>
                <w:color w:val="003C96" w:themeColor="text2"/>
                <w:sz w:val="16"/>
                <w:szCs w:val="16"/>
              </w:rPr>
              <w:t>9μηνο</w:t>
            </w:r>
            <w:r w:rsidRPr="00777DF0">
              <w:rPr>
                <w:rFonts w:ascii="Calibri" w:eastAsiaTheme="minorEastAsia" w:hAnsi="Calibri" w:cs="Calibri"/>
                <w:color w:val="003C96" w:themeColor="text2"/>
                <w:sz w:val="16"/>
                <w:szCs w:val="16"/>
              </w:rPr>
              <w:t xml:space="preserve"> 2020</w:t>
            </w:r>
          </w:p>
        </w:tc>
        <w:tc>
          <w:tcPr>
            <w:tcW w:w="487" w:type="pct"/>
            <w:shd w:val="clear" w:color="auto" w:fill="DCDCD7"/>
            <w:vAlign w:val="center"/>
          </w:tcPr>
          <w:p w:rsidR="007E4699" w:rsidRPr="0085679B" w:rsidRDefault="007E4699" w:rsidP="0011396F">
            <w:pPr>
              <w:tabs>
                <w:tab w:val="left" w:pos="284"/>
              </w:tabs>
              <w:spacing w:after="0"/>
              <w:jc w:val="center"/>
              <w:rPr>
                <w:rFonts w:eastAsiaTheme="minorEastAsia" w:cs="Calibri"/>
                <w:color w:val="003C96" w:themeColor="text2"/>
                <w:sz w:val="16"/>
                <w:szCs w:val="16"/>
                <w:lang w:val="en-US"/>
              </w:rPr>
            </w:pPr>
            <w:r w:rsidRPr="00777DF0">
              <w:rPr>
                <w:rFonts w:ascii="Calibri" w:eastAsiaTheme="minorEastAsia" w:hAnsi="Calibri" w:cs="Calibri"/>
                <w:color w:val="003C96" w:themeColor="text2"/>
                <w:sz w:val="16"/>
                <w:szCs w:val="16"/>
              </w:rPr>
              <w:t>9</w:t>
            </w:r>
            <w:r>
              <w:rPr>
                <w:rFonts w:ascii="Calibri" w:eastAsiaTheme="minorEastAsia" w:hAnsi="Calibri" w:cs="Calibri"/>
                <w:color w:val="003C96" w:themeColor="text2"/>
                <w:sz w:val="16"/>
                <w:szCs w:val="16"/>
              </w:rPr>
              <w:t>μηνο</w:t>
            </w:r>
            <w:r>
              <w:rPr>
                <w:rFonts w:ascii="Calibri" w:eastAsiaTheme="minorEastAsia" w:hAnsi="Calibri" w:cs="Calibri"/>
                <w:color w:val="003C96" w:themeColor="text2"/>
                <w:sz w:val="16"/>
                <w:szCs w:val="16"/>
                <w:lang w:val="en-US"/>
              </w:rPr>
              <w:t>2019</w:t>
            </w:r>
          </w:p>
        </w:tc>
        <w:tc>
          <w:tcPr>
            <w:tcW w:w="482" w:type="pct"/>
            <w:tcBorders>
              <w:right w:val="single" w:sz="4" w:space="0" w:color="FFC000"/>
            </w:tcBorders>
            <w:shd w:val="clear" w:color="auto" w:fill="DCDCD7"/>
            <w:vAlign w:val="center"/>
          </w:tcPr>
          <w:p w:rsidR="007E4699" w:rsidRPr="00777DF0" w:rsidRDefault="007E4699" w:rsidP="0011396F">
            <w:pPr>
              <w:spacing w:after="0"/>
              <w:ind w:right="-57"/>
              <w:jc w:val="center"/>
              <w:rPr>
                <w:rFonts w:ascii="Calibri" w:eastAsiaTheme="minorEastAsia" w:hAnsi="Calibri" w:cs="Calibri"/>
                <w:color w:val="003C96" w:themeColor="text2"/>
                <w:sz w:val="16"/>
                <w:szCs w:val="16"/>
              </w:rPr>
            </w:pPr>
            <w:r w:rsidRPr="00777DF0">
              <w:rPr>
                <w:rFonts w:ascii="Calibri" w:eastAsiaTheme="minorEastAsia" w:hAnsi="Calibri" w:cs="Calibri"/>
                <w:color w:val="003C96" w:themeColor="text2"/>
                <w:sz w:val="16"/>
                <w:szCs w:val="16"/>
              </w:rPr>
              <w:t>Δ%</w:t>
            </w:r>
          </w:p>
          <w:p w:rsidR="007E4699" w:rsidRPr="009A7861" w:rsidRDefault="007E4699" w:rsidP="0011396F">
            <w:pPr>
              <w:tabs>
                <w:tab w:val="left" w:pos="284"/>
              </w:tabs>
              <w:spacing w:after="0"/>
              <w:jc w:val="center"/>
              <w:rPr>
                <w:rFonts w:ascii="Calibri" w:eastAsiaTheme="minorEastAsia" w:hAnsi="Calibri" w:cs="Calibri"/>
                <w:color w:val="003C96" w:themeColor="text2"/>
                <w:sz w:val="14"/>
                <w:szCs w:val="14"/>
              </w:rPr>
            </w:pPr>
            <w:r w:rsidRPr="009A7861">
              <w:rPr>
                <w:rFonts w:ascii="Calibri" w:eastAsiaTheme="minorEastAsia" w:hAnsi="Calibri" w:cs="Calibri"/>
                <w:color w:val="003C96" w:themeColor="text2"/>
                <w:sz w:val="14"/>
                <w:szCs w:val="14"/>
              </w:rPr>
              <w:t>ετησίως</w:t>
            </w:r>
          </w:p>
        </w:tc>
      </w:tr>
      <w:tr w:rsidR="007E4699" w:rsidRPr="005744FA" w:rsidTr="009A7861">
        <w:trPr>
          <w:trHeight w:val="142"/>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5744FA" w:rsidRDefault="007E4699" w:rsidP="00777DF0">
            <w:pPr>
              <w:tabs>
                <w:tab w:val="left" w:pos="284"/>
              </w:tabs>
              <w:spacing w:after="0"/>
              <w:rPr>
                <w:rFonts w:eastAsiaTheme="minorEastAsia" w:cs="Calibri"/>
                <w:sz w:val="10"/>
                <w:szCs w:val="16"/>
              </w:rPr>
            </w:pPr>
          </w:p>
        </w:tc>
        <w:tc>
          <w:tcPr>
            <w:tcW w:w="487" w:type="pct"/>
            <w:tcBorders>
              <w:left w:val="single" w:sz="4" w:space="0" w:color="FFC000"/>
              <w:right w:val="single" w:sz="4" w:space="0" w:color="FFC000"/>
            </w:tcBorders>
            <w:shd w:val="clear" w:color="auto" w:fill="FFFFFF" w:themeFill="background1"/>
            <w:vAlign w:val="center"/>
          </w:tcPr>
          <w:p w:rsidR="007E4699" w:rsidRPr="005744FA" w:rsidRDefault="007E4699" w:rsidP="00777DF0">
            <w:pPr>
              <w:tabs>
                <w:tab w:val="left" w:pos="284"/>
              </w:tabs>
              <w:spacing w:after="0"/>
              <w:jc w:val="right"/>
              <w:rPr>
                <w:rFonts w:eastAsiaTheme="minorEastAsia" w:cs="Calibri"/>
                <w:sz w:val="10"/>
                <w:szCs w:val="16"/>
              </w:rPr>
            </w:pPr>
          </w:p>
        </w:tc>
        <w:tc>
          <w:tcPr>
            <w:tcW w:w="487" w:type="pct"/>
            <w:tcBorders>
              <w:left w:val="single" w:sz="4" w:space="0" w:color="FFC000"/>
              <w:right w:val="single" w:sz="2" w:space="0" w:color="FFC000"/>
            </w:tcBorders>
            <w:shd w:val="clear" w:color="auto" w:fill="FFFFFF" w:themeFill="background1"/>
            <w:vAlign w:val="center"/>
          </w:tcPr>
          <w:p w:rsidR="007E4699" w:rsidRPr="005744FA" w:rsidRDefault="007E4699" w:rsidP="00777DF0">
            <w:pPr>
              <w:tabs>
                <w:tab w:val="left" w:pos="284"/>
              </w:tabs>
              <w:spacing w:after="0"/>
              <w:jc w:val="right"/>
              <w:rPr>
                <w:rFonts w:eastAsiaTheme="minorEastAsia" w:cs="Calibri"/>
                <w:sz w:val="10"/>
                <w:szCs w:val="16"/>
              </w:rPr>
            </w:pPr>
          </w:p>
        </w:tc>
        <w:tc>
          <w:tcPr>
            <w:tcW w:w="520" w:type="pct"/>
            <w:tcBorders>
              <w:left w:val="single" w:sz="2" w:space="0" w:color="FFC000"/>
              <w:right w:val="single" w:sz="4" w:space="0" w:color="FFC000"/>
            </w:tcBorders>
            <w:shd w:val="clear" w:color="auto" w:fill="FFFFFF" w:themeFill="background1"/>
            <w:vAlign w:val="center"/>
          </w:tcPr>
          <w:p w:rsidR="007E4699" w:rsidRPr="005744FA" w:rsidRDefault="007E4699" w:rsidP="00777DF0">
            <w:pPr>
              <w:tabs>
                <w:tab w:val="left" w:pos="284"/>
              </w:tabs>
              <w:spacing w:after="0"/>
              <w:jc w:val="right"/>
              <w:rPr>
                <w:rFonts w:eastAsiaTheme="minorEastAsia" w:cs="Calibri"/>
                <w:sz w:val="10"/>
                <w:szCs w:val="16"/>
              </w:rPr>
            </w:pPr>
          </w:p>
        </w:tc>
        <w:tc>
          <w:tcPr>
            <w:tcW w:w="454" w:type="pct"/>
            <w:tcBorders>
              <w:left w:val="single" w:sz="18" w:space="0" w:color="FFC000"/>
              <w:right w:val="single" w:sz="4" w:space="0" w:color="FFC000"/>
            </w:tcBorders>
            <w:shd w:val="clear" w:color="auto" w:fill="FFFFFF" w:themeFill="background1"/>
            <w:vAlign w:val="center"/>
          </w:tcPr>
          <w:p w:rsidR="007E4699" w:rsidRPr="005744FA" w:rsidRDefault="007E4699" w:rsidP="00777DF0">
            <w:pPr>
              <w:tabs>
                <w:tab w:val="left" w:pos="284"/>
              </w:tabs>
              <w:spacing w:after="0"/>
              <w:jc w:val="right"/>
              <w:rPr>
                <w:rFonts w:eastAsiaTheme="minorEastAsia" w:cs="Calibri"/>
                <w:sz w:val="10"/>
                <w:szCs w:val="16"/>
              </w:rPr>
            </w:pPr>
          </w:p>
        </w:tc>
        <w:tc>
          <w:tcPr>
            <w:tcW w:w="487" w:type="pct"/>
            <w:tcBorders>
              <w:left w:val="single" w:sz="4" w:space="0" w:color="FFC000"/>
              <w:right w:val="single" w:sz="4" w:space="0" w:color="FFC000"/>
            </w:tcBorders>
            <w:shd w:val="clear" w:color="auto" w:fill="FFFFFF" w:themeFill="background1"/>
            <w:vAlign w:val="center"/>
          </w:tcPr>
          <w:p w:rsidR="007E4699" w:rsidRPr="005744FA" w:rsidRDefault="007E4699" w:rsidP="00777DF0">
            <w:pPr>
              <w:tabs>
                <w:tab w:val="left" w:pos="284"/>
              </w:tabs>
              <w:spacing w:after="0"/>
              <w:jc w:val="right"/>
              <w:rPr>
                <w:rFonts w:eastAsiaTheme="minorEastAsia" w:cs="Calibri"/>
                <w:sz w:val="10"/>
                <w:szCs w:val="16"/>
              </w:rPr>
            </w:pPr>
          </w:p>
        </w:tc>
        <w:tc>
          <w:tcPr>
            <w:tcW w:w="482" w:type="pct"/>
            <w:tcBorders>
              <w:left w:val="single" w:sz="4" w:space="0" w:color="FFC000"/>
              <w:right w:val="single" w:sz="4" w:space="0" w:color="FFC000"/>
            </w:tcBorders>
            <w:shd w:val="clear" w:color="auto" w:fill="FFFFFF" w:themeFill="background1"/>
          </w:tcPr>
          <w:p w:rsidR="007E4699" w:rsidRPr="005744FA" w:rsidRDefault="007E4699" w:rsidP="00777DF0">
            <w:pPr>
              <w:tabs>
                <w:tab w:val="left" w:pos="284"/>
              </w:tabs>
              <w:spacing w:after="0"/>
              <w:jc w:val="right"/>
              <w:rPr>
                <w:rFonts w:eastAsiaTheme="minorEastAsia" w:cs="Calibri"/>
                <w:sz w:val="10"/>
                <w:szCs w:val="16"/>
              </w:rPr>
            </w:pPr>
          </w:p>
        </w:tc>
      </w:tr>
      <w:tr w:rsidR="00D837BC" w:rsidRPr="00BA3578" w:rsidTr="009A7861">
        <w:trPr>
          <w:trHeight w:val="280"/>
        </w:trPr>
        <w:tc>
          <w:tcPr>
            <w:tcW w:w="2084" w:type="pct"/>
            <w:tcBorders>
              <w:left w:val="single" w:sz="4" w:space="0" w:color="FFC000"/>
              <w:right w:val="single" w:sz="4" w:space="0" w:color="FFC000"/>
            </w:tcBorders>
            <w:shd w:val="clear" w:color="auto" w:fill="FFFFFF" w:themeFill="background1"/>
            <w:tcMar>
              <w:right w:w="113" w:type="dxa"/>
            </w:tcMar>
            <w:vAlign w:val="center"/>
          </w:tcPr>
          <w:p w:rsidR="00D837BC" w:rsidRPr="005744FA" w:rsidRDefault="00D837BC" w:rsidP="00D837BC">
            <w:pPr>
              <w:tabs>
                <w:tab w:val="left" w:pos="284"/>
              </w:tabs>
              <w:spacing w:after="0"/>
              <w:rPr>
                <w:rFonts w:eastAsiaTheme="minorEastAsia" w:cs="Calibri"/>
                <w:sz w:val="16"/>
                <w:szCs w:val="16"/>
                <w:lang w:val="en-GB"/>
              </w:rPr>
            </w:pPr>
            <w:r w:rsidRPr="007316DD">
              <w:rPr>
                <w:rFonts w:ascii="Calibri" w:eastAsiaTheme="minorEastAsia" w:hAnsi="Calibri" w:cs="Calibri"/>
                <w:sz w:val="16"/>
                <w:szCs w:val="16"/>
              </w:rPr>
              <w:t>Καθαρά Έσοδα Τόκων</w:t>
            </w:r>
          </w:p>
        </w:tc>
        <w:tc>
          <w:tcPr>
            <w:tcW w:w="487" w:type="pct"/>
            <w:tcBorders>
              <w:left w:val="single" w:sz="4" w:space="0" w:color="FFC000"/>
              <w:right w:val="single" w:sz="4" w:space="0" w:color="FFC000"/>
            </w:tcBorders>
            <w:shd w:val="clear" w:color="auto" w:fill="FFFFFF" w:themeFill="background1"/>
            <w:vAlign w:val="center"/>
          </w:tcPr>
          <w:p w:rsidR="00D837BC" w:rsidRPr="002D26E9"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380</w:t>
            </w:r>
          </w:p>
        </w:tc>
        <w:tc>
          <w:tcPr>
            <w:tcW w:w="487" w:type="pct"/>
            <w:tcBorders>
              <w:left w:val="single" w:sz="4" w:space="0" w:color="FFC000"/>
              <w:right w:val="single" w:sz="4" w:space="0" w:color="FFC000"/>
            </w:tcBorders>
            <w:shd w:val="clear" w:color="auto" w:fill="FFFFFF" w:themeFill="background1"/>
            <w:vAlign w:val="center"/>
          </w:tcPr>
          <w:p w:rsidR="00D837BC" w:rsidRPr="005744FA" w:rsidRDefault="00D837BC" w:rsidP="00D837BC">
            <w:pPr>
              <w:tabs>
                <w:tab w:val="left" w:pos="284"/>
              </w:tabs>
              <w:spacing w:after="0"/>
              <w:jc w:val="right"/>
              <w:rPr>
                <w:rFonts w:eastAsiaTheme="minorEastAsia" w:cs="Calibri"/>
                <w:color w:val="000000" w:themeColor="text1"/>
                <w:sz w:val="16"/>
                <w:szCs w:val="16"/>
                <w:lang w:val="en-US"/>
              </w:rPr>
            </w:pPr>
            <w:r>
              <w:rPr>
                <w:rFonts w:eastAsiaTheme="minorEastAsia" w:cs="Calibri"/>
                <w:sz w:val="16"/>
                <w:szCs w:val="16"/>
              </w:rPr>
              <w:t>3</w:t>
            </w:r>
            <w:r>
              <w:rPr>
                <w:rFonts w:eastAsiaTheme="minorEastAsia" w:cs="Calibri"/>
                <w:sz w:val="16"/>
                <w:szCs w:val="16"/>
                <w:lang w:val="en-US"/>
              </w:rPr>
              <w:t>67</w:t>
            </w:r>
          </w:p>
        </w:tc>
        <w:tc>
          <w:tcPr>
            <w:tcW w:w="520" w:type="pct"/>
            <w:tcBorders>
              <w:left w:val="single" w:sz="2" w:space="0" w:color="FFC000"/>
              <w:right w:val="single" w:sz="4" w:space="0" w:color="FFC000"/>
            </w:tcBorders>
            <w:shd w:val="clear" w:color="auto" w:fill="FFFFFF" w:themeFill="background1"/>
            <w:vAlign w:val="center"/>
          </w:tcPr>
          <w:p w:rsidR="00D837BC" w:rsidRPr="00744269" w:rsidRDefault="00D837BC" w:rsidP="00D837BC">
            <w:pPr>
              <w:tabs>
                <w:tab w:val="left" w:pos="284"/>
              </w:tabs>
              <w:spacing w:after="0"/>
              <w:jc w:val="right"/>
              <w:rPr>
                <w:rFonts w:eastAsiaTheme="minorEastAsia" w:cs="Calibri"/>
                <w:sz w:val="16"/>
                <w:szCs w:val="16"/>
                <w:lang w:val="en-US"/>
              </w:rPr>
            </w:pPr>
            <w:r w:rsidRPr="00B710C6">
              <w:rPr>
                <w:rFonts w:eastAsiaTheme="minorEastAsia" w:cs="Calibri"/>
                <w:sz w:val="16"/>
                <w:szCs w:val="16"/>
                <w:lang w:val="en-US"/>
              </w:rPr>
              <w:t>3%</w:t>
            </w:r>
          </w:p>
        </w:tc>
        <w:tc>
          <w:tcPr>
            <w:tcW w:w="454" w:type="pct"/>
            <w:tcBorders>
              <w:left w:val="single" w:sz="18" w:space="0" w:color="FFC000"/>
              <w:right w:val="single" w:sz="4" w:space="0" w:color="FFC000"/>
            </w:tcBorders>
            <w:shd w:val="clear" w:color="auto" w:fill="FFFFFF" w:themeFill="background1"/>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1</w:t>
            </w:r>
            <w:r w:rsidRPr="00BA3578">
              <w:rPr>
                <w:rFonts w:eastAsiaTheme="minorEastAsia" w:cs="Calibri"/>
                <w:sz w:val="16"/>
                <w:szCs w:val="16"/>
                <w:lang w:val="en-US"/>
              </w:rPr>
              <w:t>.</w:t>
            </w:r>
            <w:r>
              <w:rPr>
                <w:rFonts w:eastAsiaTheme="minorEastAsia" w:cs="Calibri"/>
                <w:sz w:val="16"/>
                <w:szCs w:val="16"/>
                <w:lang w:val="en-US"/>
              </w:rPr>
              <w:t>107</w:t>
            </w:r>
          </w:p>
        </w:tc>
        <w:tc>
          <w:tcPr>
            <w:tcW w:w="487" w:type="pct"/>
            <w:tcBorders>
              <w:left w:val="single" w:sz="4" w:space="0" w:color="FFC000"/>
              <w:right w:val="single" w:sz="4" w:space="0" w:color="FFC000"/>
            </w:tcBorders>
            <w:shd w:val="clear" w:color="auto" w:fill="FFFFFF" w:themeFill="background1"/>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1</w:t>
            </w:r>
            <w:r>
              <w:rPr>
                <w:rFonts w:eastAsiaTheme="minorEastAsia" w:cs="Calibri"/>
                <w:sz w:val="16"/>
                <w:szCs w:val="16"/>
              </w:rPr>
              <w:t>.</w:t>
            </w:r>
            <w:r>
              <w:rPr>
                <w:rFonts w:eastAsiaTheme="minorEastAsia" w:cs="Calibri"/>
                <w:sz w:val="16"/>
                <w:szCs w:val="16"/>
                <w:lang w:val="en-US"/>
              </w:rPr>
              <w:t>072</w:t>
            </w:r>
          </w:p>
        </w:tc>
        <w:tc>
          <w:tcPr>
            <w:tcW w:w="482" w:type="pct"/>
            <w:tcBorders>
              <w:left w:val="single" w:sz="4" w:space="0" w:color="FFC000"/>
              <w:right w:val="single" w:sz="4" w:space="0" w:color="FFC000"/>
            </w:tcBorders>
            <w:shd w:val="clear" w:color="auto" w:fill="FFFFFF" w:themeFill="background1"/>
          </w:tcPr>
          <w:p w:rsidR="00D837BC" w:rsidRPr="00744269" w:rsidRDefault="00D837BC" w:rsidP="00D837BC">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3%</w:t>
            </w:r>
          </w:p>
        </w:tc>
      </w:tr>
      <w:tr w:rsidR="00D837BC" w:rsidRPr="00BA3578" w:rsidTr="009A7861">
        <w:trPr>
          <w:trHeight w:val="280"/>
        </w:trPr>
        <w:tc>
          <w:tcPr>
            <w:tcW w:w="2084" w:type="pct"/>
            <w:tcBorders>
              <w:left w:val="single" w:sz="4" w:space="0" w:color="FFC000"/>
              <w:right w:val="single" w:sz="4" w:space="0" w:color="FFC000"/>
            </w:tcBorders>
            <w:shd w:val="clear" w:color="auto" w:fill="FFFFFF" w:themeFill="background1"/>
            <w:tcMar>
              <w:right w:w="113" w:type="dxa"/>
            </w:tcMar>
            <w:vAlign w:val="center"/>
          </w:tcPr>
          <w:p w:rsidR="00D837BC" w:rsidRPr="00BA3578" w:rsidRDefault="00D837BC" w:rsidP="00D837BC">
            <w:pPr>
              <w:tabs>
                <w:tab w:val="left" w:pos="284"/>
              </w:tabs>
              <w:spacing w:after="0"/>
              <w:rPr>
                <w:rFonts w:eastAsiaTheme="minorEastAsia" w:cs="Calibri"/>
                <w:sz w:val="16"/>
                <w:szCs w:val="16"/>
                <w:lang w:val="en-US"/>
              </w:rPr>
            </w:pPr>
            <w:r w:rsidRPr="007316DD">
              <w:rPr>
                <w:rFonts w:ascii="Calibri" w:eastAsiaTheme="minorEastAsia" w:hAnsi="Calibri" w:cs="Calibri"/>
                <w:sz w:val="16"/>
                <w:szCs w:val="16"/>
              </w:rPr>
              <w:t xml:space="preserve">Καθαρά Έσοδα Προμηθειών </w:t>
            </w:r>
          </w:p>
        </w:tc>
        <w:tc>
          <w:tcPr>
            <w:tcW w:w="487" w:type="pct"/>
            <w:tcBorders>
              <w:left w:val="single" w:sz="4" w:space="0" w:color="FFC000"/>
              <w:right w:val="single" w:sz="4" w:space="0" w:color="FFC000"/>
            </w:tcBorders>
            <w:shd w:val="clear" w:color="auto" w:fill="FFFFFF" w:themeFill="background1"/>
            <w:vAlign w:val="center"/>
          </w:tcPr>
          <w:p w:rsidR="00D837BC" w:rsidRPr="00B815B3"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81</w:t>
            </w:r>
          </w:p>
        </w:tc>
        <w:tc>
          <w:tcPr>
            <w:tcW w:w="487" w:type="pct"/>
            <w:tcBorders>
              <w:left w:val="single" w:sz="4" w:space="0" w:color="FFC000"/>
              <w:right w:val="single" w:sz="4" w:space="0" w:color="FFC000"/>
            </w:tcBorders>
            <w:shd w:val="clear" w:color="auto" w:fill="FFFFFF" w:themeFill="background1"/>
            <w:vAlign w:val="center"/>
          </w:tcPr>
          <w:p w:rsidR="00D837BC" w:rsidRPr="005744FA" w:rsidRDefault="00D837BC" w:rsidP="00D837BC">
            <w:pPr>
              <w:tabs>
                <w:tab w:val="left" w:pos="284"/>
              </w:tabs>
              <w:spacing w:after="0"/>
              <w:jc w:val="right"/>
              <w:rPr>
                <w:rFonts w:eastAsiaTheme="minorEastAsia" w:cs="Calibri"/>
                <w:color w:val="000000" w:themeColor="text1"/>
                <w:sz w:val="16"/>
                <w:szCs w:val="16"/>
                <w:lang w:val="en-US"/>
              </w:rPr>
            </w:pPr>
            <w:r>
              <w:rPr>
                <w:rFonts w:eastAsiaTheme="minorEastAsia" w:cs="Calibri"/>
                <w:sz w:val="16"/>
                <w:szCs w:val="16"/>
                <w:lang w:val="en-US"/>
              </w:rPr>
              <w:t>80</w:t>
            </w:r>
          </w:p>
        </w:tc>
        <w:tc>
          <w:tcPr>
            <w:tcW w:w="520" w:type="pct"/>
            <w:tcBorders>
              <w:left w:val="single" w:sz="2" w:space="0" w:color="FFC000"/>
              <w:right w:val="single" w:sz="4" w:space="0" w:color="FFC000"/>
            </w:tcBorders>
            <w:shd w:val="clear" w:color="auto" w:fill="FFFFFF" w:themeFill="background1"/>
            <w:vAlign w:val="center"/>
          </w:tcPr>
          <w:p w:rsidR="00D837BC" w:rsidRPr="00744269" w:rsidRDefault="00D837BC" w:rsidP="00D837BC">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1%</w:t>
            </w:r>
          </w:p>
        </w:tc>
        <w:tc>
          <w:tcPr>
            <w:tcW w:w="454" w:type="pct"/>
            <w:tcBorders>
              <w:left w:val="single" w:sz="18" w:space="0" w:color="FFC000"/>
              <w:right w:val="single" w:sz="4" w:space="0" w:color="FFC000"/>
            </w:tcBorders>
            <w:shd w:val="clear" w:color="auto" w:fill="FFFFFF" w:themeFill="background1"/>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231</w:t>
            </w:r>
          </w:p>
        </w:tc>
        <w:tc>
          <w:tcPr>
            <w:tcW w:w="487" w:type="pct"/>
            <w:tcBorders>
              <w:left w:val="single" w:sz="4" w:space="0" w:color="FFC000"/>
              <w:right w:val="single" w:sz="4" w:space="0" w:color="FFC000"/>
            </w:tcBorders>
            <w:shd w:val="clear" w:color="auto" w:fill="FFFFFF" w:themeFill="background1"/>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227</w:t>
            </w:r>
          </w:p>
        </w:tc>
        <w:tc>
          <w:tcPr>
            <w:tcW w:w="482" w:type="pct"/>
            <w:tcBorders>
              <w:left w:val="single" w:sz="4" w:space="0" w:color="FFC000"/>
              <w:right w:val="single" w:sz="4" w:space="0" w:color="FFC000"/>
            </w:tcBorders>
            <w:shd w:val="clear" w:color="auto" w:fill="FFFFFF" w:themeFill="background1"/>
          </w:tcPr>
          <w:p w:rsidR="00D837BC" w:rsidRPr="00744269" w:rsidRDefault="00D837BC" w:rsidP="00D837BC">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2%</w:t>
            </w:r>
          </w:p>
        </w:tc>
      </w:tr>
      <w:tr w:rsidR="00D837BC" w:rsidRPr="00BA3578" w:rsidTr="009A7861">
        <w:trPr>
          <w:trHeight w:val="280"/>
        </w:trPr>
        <w:tc>
          <w:tcPr>
            <w:tcW w:w="2084" w:type="pct"/>
            <w:tcBorders>
              <w:left w:val="single" w:sz="4" w:space="0" w:color="FFC000"/>
              <w:right w:val="single" w:sz="4" w:space="0" w:color="FFC000"/>
            </w:tcBorders>
            <w:shd w:val="clear" w:color="auto" w:fill="FFFFFF" w:themeFill="background1"/>
            <w:tcMar>
              <w:right w:w="113" w:type="dxa"/>
            </w:tcMar>
            <w:vAlign w:val="center"/>
          </w:tcPr>
          <w:p w:rsidR="00D837BC" w:rsidRPr="00D837BC" w:rsidRDefault="00D837BC" w:rsidP="00D837BC">
            <w:pPr>
              <w:tabs>
                <w:tab w:val="left" w:pos="284"/>
              </w:tabs>
              <w:spacing w:after="0"/>
              <w:rPr>
                <w:rFonts w:eastAsiaTheme="minorEastAsia" w:cs="Calibri"/>
                <w:sz w:val="16"/>
                <w:szCs w:val="16"/>
              </w:rPr>
            </w:pPr>
            <w:r w:rsidRPr="007316DD">
              <w:rPr>
                <w:rFonts w:ascii="Calibri" w:eastAsiaTheme="minorEastAsia" w:hAnsi="Calibri" w:cs="Calibri"/>
                <w:sz w:val="16"/>
                <w:szCs w:val="16"/>
              </w:rPr>
              <w:t>Αποτελέσματα Εμπορ. &amp; Επενδ. Χαρ/κίου</w:t>
            </w:r>
          </w:p>
        </w:tc>
        <w:tc>
          <w:tcPr>
            <w:tcW w:w="487" w:type="pct"/>
            <w:tcBorders>
              <w:left w:val="single" w:sz="4" w:space="0" w:color="FFC000"/>
              <w:right w:val="single" w:sz="4" w:space="0" w:color="FFC000"/>
            </w:tcBorders>
            <w:shd w:val="clear" w:color="auto" w:fill="FFFFFF" w:themeFill="background1"/>
            <w:vAlign w:val="center"/>
          </w:tcPr>
          <w:p w:rsidR="00D837BC" w:rsidRPr="00B815B3"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14</w:t>
            </w:r>
          </w:p>
        </w:tc>
        <w:tc>
          <w:tcPr>
            <w:tcW w:w="487" w:type="pct"/>
            <w:tcBorders>
              <w:left w:val="single" w:sz="4" w:space="0" w:color="FFC000"/>
              <w:right w:val="single" w:sz="4" w:space="0" w:color="FFC000"/>
            </w:tcBorders>
            <w:shd w:val="clear" w:color="auto" w:fill="FFFFFF" w:themeFill="background1"/>
            <w:vAlign w:val="center"/>
          </w:tcPr>
          <w:p w:rsidR="00D837BC" w:rsidRPr="005744FA" w:rsidRDefault="00D837BC" w:rsidP="00D837BC">
            <w:pPr>
              <w:tabs>
                <w:tab w:val="left" w:pos="284"/>
              </w:tabs>
              <w:spacing w:after="0"/>
              <w:jc w:val="right"/>
              <w:rPr>
                <w:rFonts w:eastAsiaTheme="minorEastAsia" w:cs="Calibri"/>
                <w:color w:val="000000" w:themeColor="text1"/>
                <w:sz w:val="16"/>
                <w:szCs w:val="16"/>
                <w:lang w:val="en-US"/>
              </w:rPr>
            </w:pPr>
            <w:r>
              <w:rPr>
                <w:rFonts w:eastAsiaTheme="minorEastAsia" w:cs="Calibri"/>
                <w:sz w:val="16"/>
                <w:szCs w:val="16"/>
                <w:lang w:val="en-US"/>
              </w:rPr>
              <w:t>52</w:t>
            </w:r>
          </w:p>
        </w:tc>
        <w:tc>
          <w:tcPr>
            <w:tcW w:w="520" w:type="pct"/>
            <w:tcBorders>
              <w:left w:val="single" w:sz="2" w:space="0" w:color="FFC000"/>
              <w:right w:val="single" w:sz="4" w:space="0" w:color="FFC000"/>
            </w:tcBorders>
            <w:shd w:val="clear" w:color="auto" w:fill="FFFFFF" w:themeFill="background1"/>
            <w:vAlign w:val="center"/>
          </w:tcPr>
          <w:p w:rsidR="00D837BC" w:rsidRPr="00B710C6" w:rsidRDefault="00D837BC" w:rsidP="00D837BC">
            <w:pPr>
              <w:tabs>
                <w:tab w:val="left" w:pos="284"/>
              </w:tabs>
              <w:spacing w:after="0"/>
              <w:jc w:val="right"/>
              <w:rPr>
                <w:rFonts w:eastAsiaTheme="minorEastAsia" w:cs="Calibri"/>
                <w:color w:val="000000" w:themeColor="text1"/>
                <w:sz w:val="16"/>
                <w:szCs w:val="16"/>
                <w:lang w:val="en-US"/>
              </w:rPr>
            </w:pPr>
            <w:r w:rsidRPr="00B710C6">
              <w:rPr>
                <w:rFonts w:eastAsiaTheme="minorEastAsia" w:cs="Calibri"/>
                <w:color w:val="000000" w:themeColor="text1"/>
                <w:sz w:val="16"/>
                <w:szCs w:val="16"/>
                <w:lang w:val="en-US"/>
              </w:rPr>
              <w:t>-73%</w:t>
            </w:r>
          </w:p>
        </w:tc>
        <w:tc>
          <w:tcPr>
            <w:tcW w:w="454" w:type="pct"/>
            <w:tcBorders>
              <w:left w:val="single" w:sz="18" w:space="0" w:color="FFC000"/>
              <w:right w:val="single" w:sz="4" w:space="0" w:color="FFC000"/>
            </w:tcBorders>
            <w:shd w:val="clear" w:color="auto" w:fill="FFFFFF" w:themeFill="background1"/>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33</w:t>
            </w:r>
          </w:p>
        </w:tc>
        <w:tc>
          <w:tcPr>
            <w:tcW w:w="487" w:type="pct"/>
            <w:tcBorders>
              <w:left w:val="single" w:sz="4" w:space="0" w:color="FFC000"/>
              <w:right w:val="single" w:sz="4" w:space="0" w:color="FFC000"/>
            </w:tcBorders>
            <w:shd w:val="clear" w:color="auto" w:fill="FFFFFF" w:themeFill="background1"/>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24</w:t>
            </w:r>
          </w:p>
        </w:tc>
        <w:tc>
          <w:tcPr>
            <w:tcW w:w="482" w:type="pct"/>
            <w:tcBorders>
              <w:left w:val="single" w:sz="4" w:space="0" w:color="FFC000"/>
              <w:right w:val="single" w:sz="4" w:space="0" w:color="FFC000"/>
            </w:tcBorders>
            <w:shd w:val="clear" w:color="auto" w:fill="FFFFFF" w:themeFill="background1"/>
          </w:tcPr>
          <w:p w:rsidR="00D837BC" w:rsidRPr="00B710C6" w:rsidRDefault="00D837BC" w:rsidP="00D837BC">
            <w:pPr>
              <w:tabs>
                <w:tab w:val="left" w:pos="284"/>
              </w:tabs>
              <w:spacing w:after="0"/>
              <w:jc w:val="right"/>
              <w:rPr>
                <w:rFonts w:eastAsiaTheme="minorEastAsia" w:cs="Calibri"/>
                <w:color w:val="000000" w:themeColor="text1"/>
                <w:sz w:val="16"/>
                <w:szCs w:val="16"/>
                <w:lang w:val="en-US"/>
              </w:rPr>
            </w:pPr>
            <w:r w:rsidRPr="00B710C6">
              <w:rPr>
                <w:rFonts w:eastAsiaTheme="minorEastAsia" w:cs="Calibri"/>
                <w:color w:val="000000" w:themeColor="text1"/>
                <w:sz w:val="16"/>
                <w:szCs w:val="16"/>
                <w:lang w:val="en-US"/>
              </w:rPr>
              <w:t>38%</w:t>
            </w:r>
          </w:p>
        </w:tc>
      </w:tr>
      <w:tr w:rsidR="00D837BC" w:rsidRPr="005744FA" w:rsidTr="009A7861">
        <w:trPr>
          <w:trHeight w:val="280"/>
        </w:trPr>
        <w:tc>
          <w:tcPr>
            <w:tcW w:w="2084" w:type="pct"/>
            <w:tcBorders>
              <w:left w:val="single" w:sz="4" w:space="0" w:color="FFC000"/>
              <w:right w:val="single" w:sz="4" w:space="0" w:color="FFC000"/>
            </w:tcBorders>
            <w:shd w:val="clear" w:color="auto" w:fill="auto"/>
            <w:tcMar>
              <w:right w:w="113" w:type="dxa"/>
            </w:tcMar>
            <w:vAlign w:val="center"/>
          </w:tcPr>
          <w:p w:rsidR="00D837BC" w:rsidRPr="005744FA" w:rsidRDefault="00D837BC" w:rsidP="00D837BC">
            <w:pPr>
              <w:tabs>
                <w:tab w:val="left" w:pos="284"/>
              </w:tabs>
              <w:spacing w:after="0"/>
              <w:rPr>
                <w:rFonts w:eastAsiaTheme="minorEastAsia" w:cs="Calibri"/>
                <w:sz w:val="16"/>
                <w:szCs w:val="16"/>
                <w:lang w:val="en-GB"/>
              </w:rPr>
            </w:pPr>
            <w:r w:rsidRPr="007316DD">
              <w:rPr>
                <w:rFonts w:ascii="Calibri" w:eastAsiaTheme="minorEastAsia" w:hAnsi="Calibri" w:cs="Calibri"/>
                <w:sz w:val="16"/>
                <w:szCs w:val="16"/>
              </w:rPr>
              <w:t>Λοιπά Λειτουργικά Έσοδα &amp; Μερίσματα</w:t>
            </w:r>
          </w:p>
        </w:tc>
        <w:tc>
          <w:tcPr>
            <w:tcW w:w="487" w:type="pct"/>
            <w:tcBorders>
              <w:left w:val="single" w:sz="4" w:space="0" w:color="FFC000"/>
              <w:right w:val="single" w:sz="4" w:space="0" w:color="FFC000"/>
            </w:tcBorders>
            <w:shd w:val="clear" w:color="auto" w:fill="auto"/>
            <w:vAlign w:val="center"/>
          </w:tcPr>
          <w:p w:rsidR="00D837BC" w:rsidRPr="002D26E9" w:rsidRDefault="00D837BC" w:rsidP="00D837BC">
            <w:pPr>
              <w:tabs>
                <w:tab w:val="left" w:pos="284"/>
              </w:tabs>
              <w:spacing w:after="0"/>
              <w:jc w:val="center"/>
              <w:rPr>
                <w:rFonts w:eastAsiaTheme="minorEastAsia" w:cs="Calibri"/>
                <w:sz w:val="16"/>
                <w:szCs w:val="16"/>
                <w:lang w:val="en-US"/>
              </w:rPr>
            </w:pPr>
            <w:r>
              <w:rPr>
                <w:rFonts w:eastAsiaTheme="minorEastAsia" w:cs="Calibri"/>
                <w:sz w:val="16"/>
                <w:szCs w:val="16"/>
                <w:lang w:val="en-US"/>
              </w:rPr>
              <w:t xml:space="preserve">            21</w:t>
            </w:r>
          </w:p>
        </w:tc>
        <w:tc>
          <w:tcPr>
            <w:tcW w:w="487" w:type="pct"/>
            <w:tcBorders>
              <w:left w:val="single" w:sz="4"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color w:val="000000" w:themeColor="text1"/>
                <w:sz w:val="16"/>
                <w:szCs w:val="16"/>
                <w:lang w:val="en-US"/>
              </w:rPr>
            </w:pPr>
            <w:r>
              <w:rPr>
                <w:rFonts w:eastAsiaTheme="minorEastAsia" w:cs="Calibri"/>
                <w:sz w:val="16"/>
                <w:szCs w:val="16"/>
                <w:lang w:val="en-US"/>
              </w:rPr>
              <w:t>11</w:t>
            </w:r>
          </w:p>
        </w:tc>
        <w:tc>
          <w:tcPr>
            <w:tcW w:w="520" w:type="pct"/>
            <w:tcBorders>
              <w:left w:val="single" w:sz="2" w:space="0" w:color="FFC000"/>
              <w:right w:val="single" w:sz="4" w:space="0" w:color="FFC000"/>
            </w:tcBorders>
            <w:shd w:val="clear" w:color="auto" w:fill="auto"/>
            <w:vAlign w:val="center"/>
          </w:tcPr>
          <w:p w:rsidR="00D837BC" w:rsidRPr="00B710C6" w:rsidRDefault="00D837BC" w:rsidP="00D837BC">
            <w:pPr>
              <w:tabs>
                <w:tab w:val="left" w:pos="284"/>
              </w:tabs>
              <w:spacing w:after="0"/>
              <w:jc w:val="right"/>
              <w:rPr>
                <w:rFonts w:eastAsiaTheme="minorEastAsia" w:cs="Calibri"/>
                <w:color w:val="000000" w:themeColor="text1"/>
                <w:sz w:val="16"/>
                <w:szCs w:val="16"/>
                <w:lang w:val="en-US"/>
              </w:rPr>
            </w:pPr>
            <w:r w:rsidRPr="00B710C6">
              <w:rPr>
                <w:rFonts w:eastAsiaTheme="minorEastAsia" w:cs="Calibri"/>
                <w:color w:val="000000" w:themeColor="text1"/>
                <w:sz w:val="16"/>
                <w:szCs w:val="16"/>
                <w:lang w:val="en-US"/>
              </w:rPr>
              <w:t>91%</w:t>
            </w:r>
          </w:p>
        </w:tc>
        <w:tc>
          <w:tcPr>
            <w:tcW w:w="454" w:type="pct"/>
            <w:tcBorders>
              <w:left w:val="single" w:sz="18"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46</w:t>
            </w:r>
          </w:p>
        </w:tc>
        <w:tc>
          <w:tcPr>
            <w:tcW w:w="487" w:type="pct"/>
            <w:tcBorders>
              <w:left w:val="single" w:sz="4"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38</w:t>
            </w:r>
          </w:p>
        </w:tc>
        <w:tc>
          <w:tcPr>
            <w:tcW w:w="482" w:type="pct"/>
            <w:tcBorders>
              <w:left w:val="single" w:sz="4" w:space="0" w:color="FFC000"/>
              <w:right w:val="single" w:sz="4" w:space="0" w:color="FFC000"/>
            </w:tcBorders>
          </w:tcPr>
          <w:p w:rsidR="00D837BC" w:rsidRPr="00B710C6" w:rsidRDefault="00D837BC" w:rsidP="00D837BC">
            <w:pPr>
              <w:tabs>
                <w:tab w:val="left" w:pos="284"/>
              </w:tabs>
              <w:spacing w:after="0"/>
              <w:jc w:val="right"/>
              <w:rPr>
                <w:rFonts w:eastAsiaTheme="minorEastAsia" w:cs="Calibri"/>
                <w:color w:val="000000" w:themeColor="text1"/>
                <w:sz w:val="16"/>
                <w:szCs w:val="16"/>
                <w:lang w:val="en-US"/>
              </w:rPr>
            </w:pPr>
            <w:r w:rsidRPr="00B710C6">
              <w:rPr>
                <w:rFonts w:eastAsiaTheme="minorEastAsia" w:cs="Calibri"/>
                <w:color w:val="000000" w:themeColor="text1"/>
                <w:sz w:val="16"/>
                <w:szCs w:val="16"/>
                <w:lang w:val="en-US"/>
              </w:rPr>
              <w:t>21%</w:t>
            </w:r>
          </w:p>
        </w:tc>
      </w:tr>
      <w:tr w:rsidR="007E4699" w:rsidRPr="005744FA" w:rsidTr="009A7861">
        <w:trPr>
          <w:trHeight w:val="63"/>
        </w:trPr>
        <w:tc>
          <w:tcPr>
            <w:tcW w:w="2084" w:type="pct"/>
            <w:tcBorders>
              <w:left w:val="single" w:sz="4" w:space="0" w:color="FFC000"/>
              <w:right w:val="single" w:sz="4" w:space="0" w:color="FFC000"/>
            </w:tcBorders>
            <w:shd w:val="clear" w:color="auto" w:fill="auto"/>
            <w:tcMar>
              <w:right w:w="113" w:type="dxa"/>
            </w:tcMar>
            <w:vAlign w:val="center"/>
          </w:tcPr>
          <w:p w:rsidR="007E4699" w:rsidRPr="005744FA" w:rsidRDefault="007E4699" w:rsidP="00777DF0">
            <w:pPr>
              <w:tabs>
                <w:tab w:val="left" w:pos="284"/>
              </w:tabs>
              <w:spacing w:after="0"/>
              <w:rPr>
                <w:rFonts w:eastAsiaTheme="minorEastAsia" w:cs="Calibri"/>
                <w:color w:val="003C96" w:themeColor="text2"/>
                <w:sz w:val="4"/>
                <w:szCs w:val="4"/>
                <w:lang w:val="en-US"/>
              </w:rPr>
            </w:pPr>
          </w:p>
        </w:tc>
        <w:tc>
          <w:tcPr>
            <w:tcW w:w="487" w:type="pct"/>
            <w:tcBorders>
              <w:left w:val="single" w:sz="4" w:space="0" w:color="FFC000"/>
              <w:right w:val="single" w:sz="4" w:space="0" w:color="FFC000"/>
            </w:tcBorders>
            <w:shd w:val="clear" w:color="auto" w:fill="auto"/>
            <w:vAlign w:val="center"/>
          </w:tcPr>
          <w:p w:rsidR="007E4699" w:rsidRPr="005744FA" w:rsidRDefault="007E4699" w:rsidP="00777DF0">
            <w:pPr>
              <w:tabs>
                <w:tab w:val="left" w:pos="284"/>
              </w:tabs>
              <w:spacing w:after="0"/>
              <w:jc w:val="right"/>
              <w:rPr>
                <w:rFonts w:eastAsiaTheme="minorEastAsia" w:cs="Calibri"/>
                <w:color w:val="003C96" w:themeColor="text2"/>
                <w:sz w:val="4"/>
                <w:szCs w:val="4"/>
                <w:lang w:val="en-US"/>
              </w:rPr>
            </w:pPr>
          </w:p>
        </w:tc>
        <w:tc>
          <w:tcPr>
            <w:tcW w:w="487" w:type="pct"/>
            <w:tcBorders>
              <w:left w:val="single" w:sz="4" w:space="0" w:color="FFC000"/>
              <w:right w:val="single" w:sz="4" w:space="0" w:color="FFC000"/>
            </w:tcBorders>
            <w:shd w:val="clear" w:color="auto" w:fill="auto"/>
            <w:vAlign w:val="center"/>
          </w:tcPr>
          <w:p w:rsidR="007E4699" w:rsidRPr="005744FA" w:rsidRDefault="007E4699" w:rsidP="00777DF0">
            <w:pPr>
              <w:tabs>
                <w:tab w:val="left" w:pos="284"/>
              </w:tabs>
              <w:spacing w:after="0"/>
              <w:jc w:val="right"/>
              <w:rPr>
                <w:rFonts w:eastAsiaTheme="minorEastAsia" w:cs="Calibri"/>
                <w:color w:val="003C96" w:themeColor="text2"/>
                <w:sz w:val="4"/>
                <w:szCs w:val="4"/>
                <w:lang w:val="en-US"/>
              </w:rPr>
            </w:pPr>
          </w:p>
        </w:tc>
        <w:tc>
          <w:tcPr>
            <w:tcW w:w="520" w:type="pct"/>
            <w:tcBorders>
              <w:left w:val="single" w:sz="2" w:space="0" w:color="FFC000"/>
              <w:right w:val="single" w:sz="4" w:space="0" w:color="FFC000"/>
            </w:tcBorders>
            <w:shd w:val="clear" w:color="auto" w:fill="auto"/>
            <w:vAlign w:val="center"/>
          </w:tcPr>
          <w:p w:rsidR="007E4699" w:rsidRPr="00744269" w:rsidRDefault="007E4699" w:rsidP="00777DF0">
            <w:pPr>
              <w:tabs>
                <w:tab w:val="left" w:pos="284"/>
              </w:tabs>
              <w:spacing w:after="0"/>
              <w:jc w:val="right"/>
              <w:rPr>
                <w:rFonts w:eastAsiaTheme="minorEastAsia" w:cs="Calibri"/>
                <w:color w:val="003C96" w:themeColor="text2"/>
                <w:sz w:val="4"/>
                <w:szCs w:val="4"/>
                <w:lang w:val="en-US"/>
              </w:rPr>
            </w:pPr>
          </w:p>
        </w:tc>
        <w:tc>
          <w:tcPr>
            <w:tcW w:w="454" w:type="pct"/>
            <w:tcBorders>
              <w:left w:val="single" w:sz="18" w:space="0" w:color="FFC000"/>
              <w:right w:val="single" w:sz="4" w:space="0" w:color="FFC000"/>
            </w:tcBorders>
            <w:shd w:val="clear" w:color="auto" w:fill="auto"/>
            <w:vAlign w:val="center"/>
          </w:tcPr>
          <w:p w:rsidR="007E4699" w:rsidRPr="005744FA" w:rsidRDefault="007E4699" w:rsidP="00777DF0">
            <w:pPr>
              <w:tabs>
                <w:tab w:val="left" w:pos="284"/>
              </w:tabs>
              <w:spacing w:after="0"/>
              <w:jc w:val="right"/>
              <w:rPr>
                <w:rFonts w:eastAsiaTheme="minorEastAsia" w:cs="Calibri"/>
                <w:color w:val="003C96" w:themeColor="text2"/>
                <w:sz w:val="4"/>
                <w:szCs w:val="4"/>
                <w:lang w:val="en-US"/>
              </w:rPr>
            </w:pPr>
          </w:p>
        </w:tc>
        <w:tc>
          <w:tcPr>
            <w:tcW w:w="487" w:type="pct"/>
            <w:tcBorders>
              <w:left w:val="single" w:sz="4" w:space="0" w:color="FFC000"/>
              <w:right w:val="single" w:sz="4" w:space="0" w:color="FFC000"/>
            </w:tcBorders>
            <w:shd w:val="clear" w:color="auto" w:fill="auto"/>
            <w:vAlign w:val="center"/>
          </w:tcPr>
          <w:p w:rsidR="007E4699" w:rsidRPr="005744FA" w:rsidRDefault="007E4699" w:rsidP="00777DF0">
            <w:pPr>
              <w:tabs>
                <w:tab w:val="left" w:pos="284"/>
              </w:tabs>
              <w:spacing w:after="0"/>
              <w:jc w:val="right"/>
              <w:rPr>
                <w:rFonts w:eastAsiaTheme="minorEastAsia" w:cs="Calibri"/>
                <w:color w:val="003C96" w:themeColor="text2"/>
                <w:sz w:val="4"/>
                <w:szCs w:val="4"/>
                <w:lang w:val="en-US"/>
              </w:rPr>
            </w:pPr>
          </w:p>
        </w:tc>
        <w:tc>
          <w:tcPr>
            <w:tcW w:w="482" w:type="pct"/>
            <w:tcBorders>
              <w:left w:val="single" w:sz="4" w:space="0" w:color="FFC000"/>
              <w:right w:val="single" w:sz="4" w:space="0" w:color="FFC000"/>
            </w:tcBorders>
          </w:tcPr>
          <w:p w:rsidR="007E4699" w:rsidRPr="00744269" w:rsidRDefault="007E4699" w:rsidP="00777DF0">
            <w:pPr>
              <w:tabs>
                <w:tab w:val="left" w:pos="284"/>
              </w:tabs>
              <w:spacing w:after="0"/>
              <w:jc w:val="right"/>
              <w:rPr>
                <w:rFonts w:eastAsiaTheme="minorEastAsia" w:cs="Calibri"/>
                <w:color w:val="003C96" w:themeColor="text2"/>
                <w:sz w:val="4"/>
                <w:szCs w:val="4"/>
                <w:lang w:val="en-US"/>
              </w:rPr>
            </w:pPr>
          </w:p>
        </w:tc>
      </w:tr>
      <w:tr w:rsidR="007E4699" w:rsidRPr="005744FA" w:rsidTr="009A7861">
        <w:trPr>
          <w:trHeight w:val="63"/>
        </w:trPr>
        <w:tc>
          <w:tcPr>
            <w:tcW w:w="2084" w:type="pct"/>
            <w:tcBorders>
              <w:left w:val="single" w:sz="4" w:space="0" w:color="FFC000"/>
              <w:right w:val="single" w:sz="4" w:space="0" w:color="FFC000"/>
            </w:tcBorders>
            <w:shd w:val="clear" w:color="auto" w:fill="auto"/>
            <w:tcMar>
              <w:right w:w="113" w:type="dxa"/>
            </w:tcMar>
            <w:vAlign w:val="center"/>
          </w:tcPr>
          <w:p w:rsidR="007E4699" w:rsidRPr="005744FA" w:rsidRDefault="007E4699" w:rsidP="00777DF0">
            <w:pPr>
              <w:tabs>
                <w:tab w:val="left" w:pos="284"/>
              </w:tabs>
              <w:spacing w:after="0"/>
              <w:rPr>
                <w:rFonts w:ascii="Calibri" w:eastAsiaTheme="minorEastAsia" w:hAnsi="Calibri" w:cs="Calibri"/>
                <w:sz w:val="4"/>
                <w:szCs w:val="4"/>
                <w:lang w:val="en-US"/>
              </w:rPr>
            </w:pPr>
          </w:p>
        </w:tc>
        <w:tc>
          <w:tcPr>
            <w:tcW w:w="487" w:type="pct"/>
            <w:tcBorders>
              <w:left w:val="single" w:sz="4" w:space="0" w:color="FFC000"/>
              <w:right w:val="single" w:sz="4" w:space="0" w:color="FFC000"/>
            </w:tcBorders>
            <w:shd w:val="clear" w:color="auto" w:fill="auto"/>
            <w:vAlign w:val="center"/>
          </w:tcPr>
          <w:p w:rsidR="007E4699" w:rsidRPr="005744FA" w:rsidRDefault="007E4699" w:rsidP="00777DF0">
            <w:pPr>
              <w:tabs>
                <w:tab w:val="left" w:pos="284"/>
              </w:tabs>
              <w:spacing w:after="0"/>
              <w:jc w:val="right"/>
              <w:rPr>
                <w:rFonts w:eastAsiaTheme="minorEastAsia" w:cs="Calibri"/>
                <w:sz w:val="4"/>
                <w:szCs w:val="4"/>
                <w:lang w:val="en-US"/>
              </w:rPr>
            </w:pPr>
          </w:p>
        </w:tc>
        <w:tc>
          <w:tcPr>
            <w:tcW w:w="487" w:type="pct"/>
            <w:tcBorders>
              <w:left w:val="single" w:sz="4" w:space="0" w:color="FFC000"/>
              <w:right w:val="single" w:sz="4" w:space="0" w:color="FFC000"/>
            </w:tcBorders>
            <w:shd w:val="clear" w:color="auto" w:fill="auto"/>
            <w:vAlign w:val="center"/>
          </w:tcPr>
          <w:p w:rsidR="007E4699" w:rsidRPr="005744FA" w:rsidRDefault="007E4699" w:rsidP="00777DF0">
            <w:pPr>
              <w:tabs>
                <w:tab w:val="left" w:pos="284"/>
              </w:tabs>
              <w:spacing w:after="0"/>
              <w:jc w:val="right"/>
              <w:rPr>
                <w:rFonts w:eastAsiaTheme="minorEastAsia" w:cs="Calibri"/>
                <w:color w:val="000000" w:themeColor="text1"/>
                <w:sz w:val="4"/>
                <w:szCs w:val="4"/>
                <w:lang w:val="en-US"/>
              </w:rPr>
            </w:pPr>
          </w:p>
        </w:tc>
        <w:tc>
          <w:tcPr>
            <w:tcW w:w="520" w:type="pct"/>
            <w:tcBorders>
              <w:left w:val="single" w:sz="2" w:space="0" w:color="FFC000"/>
              <w:right w:val="single" w:sz="4" w:space="0" w:color="FFC000"/>
            </w:tcBorders>
            <w:shd w:val="clear" w:color="auto" w:fill="auto"/>
            <w:vAlign w:val="center"/>
          </w:tcPr>
          <w:p w:rsidR="007E4699" w:rsidRPr="00744269" w:rsidRDefault="007E4699" w:rsidP="00777DF0">
            <w:pPr>
              <w:tabs>
                <w:tab w:val="left" w:pos="284"/>
              </w:tabs>
              <w:spacing w:after="0"/>
              <w:jc w:val="right"/>
              <w:rPr>
                <w:rFonts w:eastAsiaTheme="minorEastAsia" w:cs="Calibri"/>
                <w:sz w:val="4"/>
                <w:szCs w:val="4"/>
                <w:lang w:val="en-US"/>
              </w:rPr>
            </w:pPr>
          </w:p>
        </w:tc>
        <w:tc>
          <w:tcPr>
            <w:tcW w:w="454" w:type="pct"/>
            <w:tcBorders>
              <w:left w:val="single" w:sz="18" w:space="0" w:color="FFC000"/>
              <w:right w:val="single" w:sz="4" w:space="0" w:color="FFC000"/>
            </w:tcBorders>
            <w:shd w:val="clear" w:color="auto" w:fill="auto"/>
            <w:vAlign w:val="center"/>
          </w:tcPr>
          <w:p w:rsidR="007E4699" w:rsidRPr="005744FA" w:rsidRDefault="007E4699" w:rsidP="00777DF0">
            <w:pPr>
              <w:tabs>
                <w:tab w:val="left" w:pos="284"/>
              </w:tabs>
              <w:spacing w:after="0"/>
              <w:jc w:val="right"/>
              <w:rPr>
                <w:rFonts w:eastAsiaTheme="minorEastAsia" w:cs="Calibri"/>
                <w:sz w:val="4"/>
                <w:szCs w:val="4"/>
                <w:lang w:val="en-US"/>
              </w:rPr>
            </w:pPr>
          </w:p>
        </w:tc>
        <w:tc>
          <w:tcPr>
            <w:tcW w:w="487" w:type="pct"/>
            <w:tcBorders>
              <w:left w:val="single" w:sz="4" w:space="0" w:color="FFC000"/>
              <w:right w:val="single" w:sz="4" w:space="0" w:color="FFC000"/>
            </w:tcBorders>
            <w:shd w:val="clear" w:color="auto" w:fill="auto"/>
            <w:vAlign w:val="center"/>
          </w:tcPr>
          <w:p w:rsidR="007E4699" w:rsidRPr="005744FA" w:rsidRDefault="007E4699" w:rsidP="00777DF0">
            <w:pPr>
              <w:tabs>
                <w:tab w:val="left" w:pos="284"/>
              </w:tabs>
              <w:spacing w:after="0"/>
              <w:jc w:val="right"/>
              <w:rPr>
                <w:rFonts w:eastAsiaTheme="minorEastAsia" w:cs="Calibri"/>
                <w:sz w:val="4"/>
                <w:szCs w:val="4"/>
                <w:lang w:val="en-US"/>
              </w:rPr>
            </w:pPr>
          </w:p>
        </w:tc>
        <w:tc>
          <w:tcPr>
            <w:tcW w:w="482" w:type="pct"/>
            <w:tcBorders>
              <w:left w:val="single" w:sz="4" w:space="0" w:color="FFC000"/>
              <w:right w:val="single" w:sz="4" w:space="0" w:color="FFC000"/>
            </w:tcBorders>
          </w:tcPr>
          <w:p w:rsidR="007E4699" w:rsidRPr="00744269" w:rsidRDefault="007E4699" w:rsidP="00777DF0">
            <w:pPr>
              <w:tabs>
                <w:tab w:val="left" w:pos="284"/>
              </w:tabs>
              <w:spacing w:after="0"/>
              <w:jc w:val="right"/>
              <w:rPr>
                <w:rFonts w:eastAsiaTheme="minorEastAsia" w:cs="Calibri"/>
                <w:sz w:val="4"/>
                <w:szCs w:val="4"/>
                <w:lang w:val="en-US"/>
              </w:rPr>
            </w:pPr>
          </w:p>
        </w:tc>
      </w:tr>
      <w:tr w:rsidR="007E4699" w:rsidRPr="005744FA" w:rsidTr="009A7861">
        <w:trPr>
          <w:trHeight w:val="252"/>
        </w:trPr>
        <w:tc>
          <w:tcPr>
            <w:tcW w:w="2084" w:type="pct"/>
            <w:tcBorders>
              <w:left w:val="single" w:sz="4" w:space="0" w:color="FFC000"/>
              <w:right w:val="single" w:sz="4" w:space="0" w:color="FFC000"/>
            </w:tcBorders>
            <w:shd w:val="clear" w:color="auto" w:fill="auto"/>
            <w:tcMar>
              <w:right w:w="113" w:type="dxa"/>
            </w:tcMar>
            <w:vAlign w:val="center"/>
          </w:tcPr>
          <w:p w:rsidR="007E4699" w:rsidRPr="005744FA" w:rsidRDefault="00D837BC" w:rsidP="00777DF0">
            <w:pPr>
              <w:tabs>
                <w:tab w:val="left" w:pos="284"/>
              </w:tabs>
              <w:spacing w:after="0"/>
              <w:rPr>
                <w:rFonts w:eastAsiaTheme="minorEastAsia" w:cs="Calibri"/>
                <w:sz w:val="16"/>
                <w:szCs w:val="16"/>
                <w:lang w:val="en-US"/>
              </w:rPr>
            </w:pPr>
            <w:r w:rsidRPr="007316DD">
              <w:rPr>
                <w:rFonts w:ascii="Calibri" w:eastAsiaTheme="minorEastAsia" w:hAnsi="Calibri" w:cs="Calibri"/>
                <w:sz w:val="16"/>
                <w:szCs w:val="16"/>
              </w:rPr>
              <w:t>Σύνολο Λειτουργικών Εσόδων</w:t>
            </w:r>
          </w:p>
        </w:tc>
        <w:tc>
          <w:tcPr>
            <w:tcW w:w="487" w:type="pct"/>
            <w:tcBorders>
              <w:left w:val="single" w:sz="4" w:space="0" w:color="FFC000"/>
              <w:right w:val="single" w:sz="4" w:space="0" w:color="FFC000"/>
            </w:tcBorders>
            <w:shd w:val="clear" w:color="auto" w:fill="auto"/>
            <w:vAlign w:val="center"/>
          </w:tcPr>
          <w:p w:rsidR="007E4699" w:rsidRPr="00CB7934" w:rsidRDefault="007E4699" w:rsidP="00777DF0">
            <w:pPr>
              <w:tabs>
                <w:tab w:val="left" w:pos="284"/>
              </w:tabs>
              <w:spacing w:after="0"/>
              <w:jc w:val="right"/>
              <w:rPr>
                <w:rFonts w:eastAsiaTheme="minorEastAsia" w:cs="Calibri"/>
                <w:sz w:val="16"/>
                <w:szCs w:val="16"/>
                <w:lang w:val="en-US"/>
              </w:rPr>
            </w:pPr>
            <w:r>
              <w:rPr>
                <w:rFonts w:eastAsiaTheme="minorEastAsia" w:cs="Calibri"/>
                <w:sz w:val="16"/>
                <w:szCs w:val="16"/>
                <w:lang w:val="en-US"/>
              </w:rPr>
              <w:t>496</w:t>
            </w:r>
          </w:p>
        </w:tc>
        <w:tc>
          <w:tcPr>
            <w:tcW w:w="487" w:type="pct"/>
            <w:tcBorders>
              <w:left w:val="single" w:sz="4" w:space="0" w:color="FFC000"/>
              <w:right w:val="single" w:sz="4" w:space="0" w:color="FFC000"/>
            </w:tcBorders>
            <w:shd w:val="clear" w:color="auto" w:fill="auto"/>
            <w:vAlign w:val="center"/>
          </w:tcPr>
          <w:p w:rsidR="007E4699" w:rsidRPr="00DF379A" w:rsidRDefault="007E4699" w:rsidP="00777DF0">
            <w:pPr>
              <w:tabs>
                <w:tab w:val="left" w:pos="284"/>
              </w:tabs>
              <w:spacing w:after="0"/>
              <w:jc w:val="right"/>
              <w:rPr>
                <w:rFonts w:eastAsiaTheme="minorEastAsia" w:cs="Calibri"/>
                <w:color w:val="000000" w:themeColor="text1"/>
                <w:sz w:val="16"/>
                <w:szCs w:val="16"/>
                <w:lang w:val="en-US"/>
              </w:rPr>
            </w:pPr>
            <w:r>
              <w:rPr>
                <w:rFonts w:eastAsiaTheme="minorEastAsia" w:cs="Calibri"/>
                <w:sz w:val="16"/>
                <w:szCs w:val="16"/>
                <w:lang w:val="en-US"/>
              </w:rPr>
              <w:t>510</w:t>
            </w:r>
          </w:p>
        </w:tc>
        <w:tc>
          <w:tcPr>
            <w:tcW w:w="520" w:type="pct"/>
            <w:tcBorders>
              <w:left w:val="single" w:sz="2" w:space="0" w:color="FFC000"/>
              <w:right w:val="single" w:sz="4" w:space="0" w:color="FFC000"/>
            </w:tcBorders>
            <w:shd w:val="clear" w:color="auto" w:fill="auto"/>
            <w:vAlign w:val="center"/>
          </w:tcPr>
          <w:p w:rsidR="007E4699" w:rsidRPr="00744269" w:rsidRDefault="007E4699" w:rsidP="00777DF0">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-3%</w:t>
            </w:r>
          </w:p>
        </w:tc>
        <w:tc>
          <w:tcPr>
            <w:tcW w:w="454" w:type="pct"/>
            <w:tcBorders>
              <w:left w:val="single" w:sz="18" w:space="0" w:color="FFC000"/>
              <w:right w:val="single" w:sz="4" w:space="0" w:color="FFC000"/>
            </w:tcBorders>
            <w:shd w:val="clear" w:color="auto" w:fill="auto"/>
            <w:vAlign w:val="center"/>
          </w:tcPr>
          <w:p w:rsidR="007E4699" w:rsidRPr="005744FA" w:rsidRDefault="007E4699" w:rsidP="00BA3578">
            <w:pPr>
              <w:tabs>
                <w:tab w:val="left" w:pos="284"/>
              </w:tabs>
              <w:spacing w:after="0"/>
              <w:jc w:val="right"/>
              <w:rPr>
                <w:rFonts w:eastAsiaTheme="minorEastAsia" w:cs="Calibri"/>
                <w:sz w:val="16"/>
                <w:szCs w:val="16"/>
                <w:lang w:val="en-US"/>
              </w:rPr>
            </w:pPr>
            <w:r>
              <w:rPr>
                <w:rFonts w:eastAsiaTheme="minorEastAsia" w:cs="Calibri"/>
                <w:sz w:val="16"/>
                <w:szCs w:val="16"/>
                <w:lang w:val="en-US"/>
              </w:rPr>
              <w:t>1</w:t>
            </w:r>
            <w:r w:rsidR="00BA3578">
              <w:rPr>
                <w:rFonts w:eastAsiaTheme="minorEastAsia" w:cs="Calibri"/>
                <w:sz w:val="16"/>
                <w:szCs w:val="16"/>
              </w:rPr>
              <w:t>.</w:t>
            </w:r>
            <w:r>
              <w:rPr>
                <w:rFonts w:eastAsiaTheme="minorEastAsia" w:cs="Calibri"/>
                <w:sz w:val="16"/>
                <w:szCs w:val="16"/>
                <w:lang w:val="en-US"/>
              </w:rPr>
              <w:t>417</w:t>
            </w:r>
          </w:p>
        </w:tc>
        <w:tc>
          <w:tcPr>
            <w:tcW w:w="487" w:type="pct"/>
            <w:tcBorders>
              <w:left w:val="single" w:sz="4" w:space="0" w:color="FFC000"/>
              <w:right w:val="single" w:sz="4" w:space="0" w:color="FFC000"/>
            </w:tcBorders>
            <w:shd w:val="clear" w:color="auto" w:fill="auto"/>
            <w:vAlign w:val="center"/>
          </w:tcPr>
          <w:p w:rsidR="007E4699" w:rsidRPr="005744FA" w:rsidRDefault="007E4699" w:rsidP="00BA3578">
            <w:pPr>
              <w:tabs>
                <w:tab w:val="left" w:pos="284"/>
              </w:tabs>
              <w:spacing w:after="0"/>
              <w:jc w:val="right"/>
              <w:rPr>
                <w:rFonts w:eastAsiaTheme="minorEastAsia" w:cs="Calibri"/>
                <w:sz w:val="16"/>
                <w:szCs w:val="16"/>
                <w:lang w:val="en-US"/>
              </w:rPr>
            </w:pPr>
            <w:r>
              <w:rPr>
                <w:rFonts w:eastAsiaTheme="minorEastAsia" w:cs="Calibri"/>
                <w:sz w:val="16"/>
                <w:szCs w:val="16"/>
                <w:lang w:val="en-US"/>
              </w:rPr>
              <w:t>1</w:t>
            </w:r>
            <w:r w:rsidR="00BA3578">
              <w:rPr>
                <w:rFonts w:eastAsiaTheme="minorEastAsia" w:cs="Calibri"/>
                <w:sz w:val="16"/>
                <w:szCs w:val="16"/>
              </w:rPr>
              <w:t>.</w:t>
            </w:r>
            <w:r>
              <w:rPr>
                <w:rFonts w:eastAsiaTheme="minorEastAsia" w:cs="Calibri"/>
                <w:sz w:val="16"/>
                <w:szCs w:val="16"/>
                <w:lang w:val="en-US"/>
              </w:rPr>
              <w:t>361</w:t>
            </w:r>
          </w:p>
        </w:tc>
        <w:tc>
          <w:tcPr>
            <w:tcW w:w="482" w:type="pct"/>
            <w:tcBorders>
              <w:left w:val="single" w:sz="4" w:space="0" w:color="FFC000"/>
              <w:right w:val="single" w:sz="4" w:space="0" w:color="FFC000"/>
            </w:tcBorders>
          </w:tcPr>
          <w:p w:rsidR="007E4699" w:rsidRPr="00744269" w:rsidRDefault="007E4699" w:rsidP="00777DF0">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4%</w:t>
            </w:r>
          </w:p>
        </w:tc>
      </w:tr>
      <w:tr w:rsidR="007E4699" w:rsidRPr="005744FA" w:rsidTr="009A7861">
        <w:trPr>
          <w:trHeight w:val="63"/>
        </w:trPr>
        <w:tc>
          <w:tcPr>
            <w:tcW w:w="2084" w:type="pct"/>
            <w:tcBorders>
              <w:left w:val="single" w:sz="4" w:space="0" w:color="FFC000"/>
              <w:right w:val="single" w:sz="4" w:space="0" w:color="FFC000"/>
            </w:tcBorders>
            <w:shd w:val="clear" w:color="auto" w:fill="auto"/>
            <w:tcMar>
              <w:right w:w="113" w:type="dxa"/>
            </w:tcMar>
            <w:vAlign w:val="center"/>
          </w:tcPr>
          <w:p w:rsidR="007E4699" w:rsidRPr="005744FA" w:rsidRDefault="007E4699" w:rsidP="00777DF0">
            <w:pPr>
              <w:tabs>
                <w:tab w:val="left" w:pos="284"/>
              </w:tabs>
              <w:spacing w:after="0"/>
              <w:rPr>
                <w:rFonts w:eastAsiaTheme="minorEastAsia" w:cs="Calibri"/>
                <w:sz w:val="16"/>
                <w:szCs w:val="16"/>
                <w:lang w:val="en-US"/>
              </w:rPr>
            </w:pPr>
          </w:p>
        </w:tc>
        <w:tc>
          <w:tcPr>
            <w:tcW w:w="487" w:type="pct"/>
            <w:tcBorders>
              <w:left w:val="single" w:sz="4" w:space="0" w:color="FFC000"/>
              <w:right w:val="single" w:sz="4" w:space="0" w:color="FFC000"/>
            </w:tcBorders>
            <w:shd w:val="clear" w:color="auto" w:fill="auto"/>
            <w:vAlign w:val="center"/>
          </w:tcPr>
          <w:p w:rsidR="007E4699" w:rsidRPr="005744FA" w:rsidRDefault="007E4699" w:rsidP="00777DF0">
            <w:pPr>
              <w:tabs>
                <w:tab w:val="left" w:pos="284"/>
              </w:tabs>
              <w:spacing w:after="0"/>
              <w:jc w:val="right"/>
              <w:rPr>
                <w:rFonts w:eastAsiaTheme="minorEastAsia" w:cs="Calibri"/>
                <w:sz w:val="16"/>
                <w:szCs w:val="16"/>
                <w:lang w:val="en-US"/>
              </w:rPr>
            </w:pPr>
          </w:p>
        </w:tc>
        <w:tc>
          <w:tcPr>
            <w:tcW w:w="487" w:type="pct"/>
            <w:tcBorders>
              <w:left w:val="single" w:sz="4" w:space="0" w:color="FFC000"/>
              <w:right w:val="single" w:sz="4" w:space="0" w:color="FFC000"/>
            </w:tcBorders>
            <w:shd w:val="clear" w:color="auto" w:fill="auto"/>
            <w:vAlign w:val="center"/>
          </w:tcPr>
          <w:p w:rsidR="007E4699" w:rsidRPr="005744FA" w:rsidRDefault="007E4699" w:rsidP="00777DF0">
            <w:pPr>
              <w:tabs>
                <w:tab w:val="left" w:pos="284"/>
              </w:tabs>
              <w:spacing w:after="0"/>
              <w:jc w:val="right"/>
              <w:rPr>
                <w:rFonts w:eastAsiaTheme="minorEastAsia" w:cs="Calibri"/>
                <w:color w:val="000000" w:themeColor="text1"/>
                <w:sz w:val="16"/>
                <w:szCs w:val="16"/>
                <w:lang w:val="en-US"/>
              </w:rPr>
            </w:pPr>
          </w:p>
        </w:tc>
        <w:tc>
          <w:tcPr>
            <w:tcW w:w="520" w:type="pct"/>
            <w:tcBorders>
              <w:left w:val="single" w:sz="2" w:space="0" w:color="FFC000"/>
              <w:right w:val="single" w:sz="4" w:space="0" w:color="FFC000"/>
            </w:tcBorders>
            <w:shd w:val="clear" w:color="auto" w:fill="auto"/>
            <w:vAlign w:val="center"/>
          </w:tcPr>
          <w:p w:rsidR="007E4699" w:rsidRPr="00744269" w:rsidRDefault="007E4699" w:rsidP="00777DF0">
            <w:pPr>
              <w:tabs>
                <w:tab w:val="left" w:pos="284"/>
              </w:tabs>
              <w:spacing w:after="0"/>
              <w:jc w:val="right"/>
              <w:rPr>
                <w:rFonts w:eastAsiaTheme="minorEastAsia" w:cs="Calibri"/>
                <w:sz w:val="16"/>
                <w:szCs w:val="16"/>
                <w:lang w:val="en-US"/>
              </w:rPr>
            </w:pPr>
          </w:p>
        </w:tc>
        <w:tc>
          <w:tcPr>
            <w:tcW w:w="454" w:type="pct"/>
            <w:tcBorders>
              <w:left w:val="single" w:sz="18" w:space="0" w:color="FFC000"/>
              <w:right w:val="single" w:sz="4" w:space="0" w:color="FFC000"/>
            </w:tcBorders>
            <w:shd w:val="clear" w:color="auto" w:fill="auto"/>
            <w:vAlign w:val="center"/>
          </w:tcPr>
          <w:p w:rsidR="007E4699" w:rsidRPr="005744FA" w:rsidRDefault="007E4699" w:rsidP="00777DF0">
            <w:pPr>
              <w:tabs>
                <w:tab w:val="left" w:pos="284"/>
              </w:tabs>
              <w:spacing w:after="0"/>
              <w:jc w:val="right"/>
              <w:rPr>
                <w:rFonts w:eastAsiaTheme="minorEastAsia" w:cs="Calibri"/>
                <w:sz w:val="16"/>
                <w:szCs w:val="16"/>
                <w:lang w:val="en-US"/>
              </w:rPr>
            </w:pPr>
          </w:p>
        </w:tc>
        <w:tc>
          <w:tcPr>
            <w:tcW w:w="487" w:type="pct"/>
            <w:tcBorders>
              <w:left w:val="single" w:sz="4" w:space="0" w:color="FFC000"/>
              <w:right w:val="single" w:sz="4" w:space="0" w:color="FFC000"/>
            </w:tcBorders>
            <w:shd w:val="clear" w:color="auto" w:fill="auto"/>
            <w:vAlign w:val="center"/>
          </w:tcPr>
          <w:p w:rsidR="007E4699" w:rsidRPr="005744FA" w:rsidRDefault="007E4699" w:rsidP="00777DF0">
            <w:pPr>
              <w:tabs>
                <w:tab w:val="left" w:pos="284"/>
              </w:tabs>
              <w:spacing w:after="0"/>
              <w:jc w:val="right"/>
              <w:rPr>
                <w:rFonts w:eastAsiaTheme="minorEastAsia" w:cs="Calibri"/>
                <w:sz w:val="16"/>
                <w:szCs w:val="16"/>
                <w:lang w:val="en-US"/>
              </w:rPr>
            </w:pPr>
          </w:p>
        </w:tc>
        <w:tc>
          <w:tcPr>
            <w:tcW w:w="482" w:type="pct"/>
            <w:tcBorders>
              <w:left w:val="single" w:sz="4" w:space="0" w:color="FFC000"/>
              <w:right w:val="single" w:sz="4" w:space="0" w:color="FFC000"/>
            </w:tcBorders>
          </w:tcPr>
          <w:p w:rsidR="007E4699" w:rsidRPr="00744269" w:rsidRDefault="007E4699" w:rsidP="00777DF0">
            <w:pPr>
              <w:tabs>
                <w:tab w:val="left" w:pos="284"/>
              </w:tabs>
              <w:spacing w:after="0"/>
              <w:jc w:val="right"/>
              <w:rPr>
                <w:rFonts w:eastAsiaTheme="minorEastAsia" w:cs="Calibri"/>
                <w:sz w:val="16"/>
                <w:szCs w:val="16"/>
                <w:lang w:val="en-US"/>
              </w:rPr>
            </w:pPr>
          </w:p>
        </w:tc>
      </w:tr>
      <w:tr w:rsidR="00D837BC" w:rsidRPr="005744FA" w:rsidTr="009A7861">
        <w:trPr>
          <w:trHeight w:val="264"/>
        </w:trPr>
        <w:tc>
          <w:tcPr>
            <w:tcW w:w="2084" w:type="pct"/>
            <w:tcBorders>
              <w:left w:val="single" w:sz="4" w:space="0" w:color="FFC000"/>
              <w:right w:val="single" w:sz="4" w:space="0" w:color="FFC000"/>
            </w:tcBorders>
            <w:shd w:val="clear" w:color="auto" w:fill="auto"/>
            <w:tcMar>
              <w:right w:w="113" w:type="dxa"/>
            </w:tcMar>
            <w:vAlign w:val="center"/>
          </w:tcPr>
          <w:p w:rsidR="00D837BC" w:rsidRPr="005744FA" w:rsidRDefault="00D837BC" w:rsidP="00D837BC">
            <w:pPr>
              <w:tabs>
                <w:tab w:val="left" w:pos="284"/>
              </w:tabs>
              <w:spacing w:after="0"/>
              <w:rPr>
                <w:rFonts w:eastAsiaTheme="minorEastAsia" w:cs="Calibri"/>
                <w:sz w:val="16"/>
                <w:szCs w:val="16"/>
                <w:lang w:val="en-US"/>
              </w:rPr>
            </w:pPr>
            <w:r w:rsidRPr="007316DD">
              <w:rPr>
                <w:rFonts w:ascii="Calibri" w:eastAsiaTheme="minorEastAsia" w:hAnsi="Calibri" w:cs="Calibri"/>
                <w:sz w:val="16"/>
                <w:szCs w:val="16"/>
              </w:rPr>
              <w:t>Δαπάνες Προσωπικού</w:t>
            </w:r>
          </w:p>
        </w:tc>
        <w:tc>
          <w:tcPr>
            <w:tcW w:w="487" w:type="pct"/>
            <w:tcBorders>
              <w:left w:val="single" w:sz="4" w:space="0" w:color="FFC000"/>
              <w:right w:val="single" w:sz="4" w:space="0" w:color="FFC000"/>
            </w:tcBorders>
            <w:shd w:val="clear" w:color="auto" w:fill="auto"/>
            <w:vAlign w:val="center"/>
          </w:tcPr>
          <w:p w:rsidR="00D837BC" w:rsidRPr="00882EC1"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(107)</w:t>
            </w:r>
          </w:p>
        </w:tc>
        <w:tc>
          <w:tcPr>
            <w:tcW w:w="487" w:type="pct"/>
            <w:tcBorders>
              <w:left w:val="single" w:sz="4"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color w:val="000000" w:themeColor="text1"/>
                <w:sz w:val="16"/>
                <w:szCs w:val="16"/>
                <w:lang w:val="en-US"/>
              </w:rPr>
            </w:pPr>
            <w:r>
              <w:rPr>
                <w:rFonts w:eastAsiaTheme="minorEastAsia" w:cs="Calibri"/>
                <w:sz w:val="16"/>
                <w:szCs w:val="16"/>
                <w:lang w:val="en-US"/>
              </w:rPr>
              <w:t>(105</w:t>
            </w:r>
            <w:r>
              <w:rPr>
                <w:rFonts w:eastAsiaTheme="minorEastAsia" w:cs="Calibri"/>
                <w:sz w:val="16"/>
                <w:szCs w:val="16"/>
              </w:rPr>
              <w:t>)</w:t>
            </w:r>
          </w:p>
        </w:tc>
        <w:tc>
          <w:tcPr>
            <w:tcW w:w="520" w:type="pct"/>
            <w:tcBorders>
              <w:left w:val="single" w:sz="2" w:space="0" w:color="FFC000"/>
              <w:right w:val="single" w:sz="4" w:space="0" w:color="FFC000"/>
            </w:tcBorders>
            <w:shd w:val="clear" w:color="auto" w:fill="auto"/>
            <w:vAlign w:val="center"/>
          </w:tcPr>
          <w:p w:rsidR="00D837BC" w:rsidRPr="00744269" w:rsidRDefault="00D837BC" w:rsidP="00D837BC">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2%</w:t>
            </w:r>
          </w:p>
        </w:tc>
        <w:tc>
          <w:tcPr>
            <w:tcW w:w="454" w:type="pct"/>
            <w:tcBorders>
              <w:left w:val="single" w:sz="18"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(319)</w:t>
            </w:r>
          </w:p>
        </w:tc>
        <w:tc>
          <w:tcPr>
            <w:tcW w:w="487" w:type="pct"/>
            <w:tcBorders>
              <w:left w:val="single" w:sz="4"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(394)</w:t>
            </w:r>
          </w:p>
        </w:tc>
        <w:tc>
          <w:tcPr>
            <w:tcW w:w="482" w:type="pct"/>
            <w:tcBorders>
              <w:left w:val="single" w:sz="4" w:space="0" w:color="FFC000"/>
              <w:right w:val="single" w:sz="4" w:space="0" w:color="FFC000"/>
            </w:tcBorders>
          </w:tcPr>
          <w:p w:rsidR="00D837BC" w:rsidRPr="00744269" w:rsidRDefault="00D837BC" w:rsidP="00D837BC">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-19%</w:t>
            </w:r>
          </w:p>
        </w:tc>
      </w:tr>
      <w:tr w:rsidR="00D837BC" w:rsidRPr="005744FA" w:rsidTr="009A7861">
        <w:trPr>
          <w:trHeight w:val="264"/>
        </w:trPr>
        <w:tc>
          <w:tcPr>
            <w:tcW w:w="2084" w:type="pct"/>
            <w:tcBorders>
              <w:left w:val="single" w:sz="4" w:space="0" w:color="FFC000"/>
              <w:right w:val="single" w:sz="4" w:space="0" w:color="FFC000"/>
            </w:tcBorders>
            <w:shd w:val="clear" w:color="auto" w:fill="auto"/>
            <w:tcMar>
              <w:right w:w="113" w:type="dxa"/>
            </w:tcMar>
            <w:vAlign w:val="center"/>
          </w:tcPr>
          <w:p w:rsidR="00D837BC" w:rsidRPr="008E0EBD" w:rsidRDefault="00D837BC" w:rsidP="00D837BC">
            <w:pPr>
              <w:tabs>
                <w:tab w:val="left" w:pos="284"/>
              </w:tabs>
              <w:spacing w:after="0"/>
              <w:rPr>
                <w:rFonts w:ascii="Calibri" w:eastAsiaTheme="minorEastAsia" w:hAnsi="Calibri" w:cs="Calibri"/>
                <w:color w:val="003C96" w:themeColor="text2"/>
                <w:sz w:val="16"/>
                <w:szCs w:val="16"/>
                <w:lang w:val="en-US"/>
              </w:rPr>
            </w:pPr>
            <w:r w:rsidRPr="007316DD">
              <w:rPr>
                <w:rFonts w:eastAsiaTheme="minorEastAsia" w:cs="Calibri"/>
                <w:color w:val="003C96" w:themeColor="text2"/>
                <w:sz w:val="16"/>
                <w:szCs w:val="16"/>
                <w:lang w:val="en-US"/>
              </w:rPr>
              <w:t>-</w:t>
            </w:r>
            <w:r w:rsidRPr="007316DD">
              <w:rPr>
                <w:rFonts w:cs="Calibri"/>
                <w:color w:val="003C96" w:themeColor="text2"/>
                <w:sz w:val="16"/>
                <w:szCs w:val="16"/>
              </w:rPr>
              <w:t xml:space="preserve"> εξαιρουμένων εκτάκτων εξόδων </w:t>
            </w:r>
            <w:r w:rsidRPr="007316DD">
              <w:rPr>
                <w:rFonts w:cs="Calibri"/>
                <w:color w:val="003C96" w:themeColor="text2"/>
                <w:sz w:val="16"/>
                <w:szCs w:val="16"/>
                <w:vertAlign w:val="superscript"/>
              </w:rPr>
              <w:t>1</w:t>
            </w:r>
          </w:p>
        </w:tc>
        <w:tc>
          <w:tcPr>
            <w:tcW w:w="487" w:type="pct"/>
            <w:tcBorders>
              <w:left w:val="single" w:sz="4" w:space="0" w:color="FFC000"/>
              <w:right w:val="single" w:sz="4" w:space="0" w:color="FFC000"/>
            </w:tcBorders>
            <w:shd w:val="clear" w:color="auto" w:fill="auto"/>
            <w:vAlign w:val="center"/>
          </w:tcPr>
          <w:p w:rsidR="00D837BC" w:rsidRPr="008E0EBD" w:rsidRDefault="00D837BC" w:rsidP="00D837BC">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(107)</w:t>
            </w:r>
          </w:p>
        </w:tc>
        <w:tc>
          <w:tcPr>
            <w:tcW w:w="487" w:type="pct"/>
            <w:tcBorders>
              <w:left w:val="single" w:sz="4" w:space="0" w:color="FFC000"/>
              <w:right w:val="single" w:sz="4" w:space="0" w:color="FFC000"/>
            </w:tcBorders>
            <w:shd w:val="clear" w:color="auto" w:fill="auto"/>
            <w:vAlign w:val="center"/>
          </w:tcPr>
          <w:p w:rsidR="00D837BC" w:rsidRPr="008E0EBD" w:rsidRDefault="00D837BC" w:rsidP="00D837BC">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(105</w:t>
            </w:r>
            <w:r w:rsidRPr="008E0EBD">
              <w:rPr>
                <w:rFonts w:eastAsiaTheme="minorEastAsia" w:cs="Calibri"/>
                <w:color w:val="003C96" w:themeColor="text2"/>
                <w:sz w:val="16"/>
                <w:szCs w:val="16"/>
                <w:lang w:val="en-US"/>
              </w:rPr>
              <w:t>)</w:t>
            </w:r>
          </w:p>
        </w:tc>
        <w:tc>
          <w:tcPr>
            <w:tcW w:w="520" w:type="pct"/>
            <w:tcBorders>
              <w:left w:val="single" w:sz="2" w:space="0" w:color="FFC000"/>
              <w:right w:val="single" w:sz="4" w:space="0" w:color="FFC000"/>
            </w:tcBorders>
            <w:shd w:val="clear" w:color="auto" w:fill="auto"/>
            <w:vAlign w:val="center"/>
          </w:tcPr>
          <w:p w:rsidR="00D837BC" w:rsidRPr="00744269" w:rsidRDefault="00D837BC" w:rsidP="00D837BC">
            <w:pPr>
              <w:tabs>
                <w:tab w:val="left" w:pos="284"/>
              </w:tabs>
              <w:spacing w:after="0"/>
              <w:jc w:val="right"/>
              <w:rPr>
                <w:rFonts w:eastAsiaTheme="minorEastAsia" w:cs="Calibri"/>
                <w:color w:val="003C96" w:themeColor="text2"/>
                <w:sz w:val="16"/>
                <w:szCs w:val="16"/>
                <w:lang w:val="en-US"/>
              </w:rPr>
            </w:pPr>
            <w:r w:rsidRPr="00744269">
              <w:rPr>
                <w:rFonts w:eastAsiaTheme="minorEastAsia" w:cs="Calibri"/>
                <w:color w:val="003C96" w:themeColor="text2"/>
                <w:sz w:val="16"/>
                <w:szCs w:val="16"/>
                <w:lang w:val="en-US"/>
              </w:rPr>
              <w:t>2%</w:t>
            </w:r>
          </w:p>
        </w:tc>
        <w:tc>
          <w:tcPr>
            <w:tcW w:w="454" w:type="pct"/>
            <w:tcBorders>
              <w:left w:val="single" w:sz="18" w:space="0" w:color="FFC000"/>
              <w:right w:val="single" w:sz="4" w:space="0" w:color="FFC000"/>
            </w:tcBorders>
            <w:shd w:val="clear" w:color="auto" w:fill="auto"/>
            <w:vAlign w:val="center"/>
          </w:tcPr>
          <w:p w:rsidR="00D837BC" w:rsidRPr="008E0EBD" w:rsidRDefault="00D837BC" w:rsidP="00D837BC">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(319)</w:t>
            </w:r>
          </w:p>
        </w:tc>
        <w:tc>
          <w:tcPr>
            <w:tcW w:w="487" w:type="pct"/>
            <w:tcBorders>
              <w:left w:val="single" w:sz="4" w:space="0" w:color="FFC000"/>
              <w:right w:val="single" w:sz="4" w:space="0" w:color="FFC000"/>
            </w:tcBorders>
            <w:shd w:val="clear" w:color="auto" w:fill="auto"/>
            <w:vAlign w:val="center"/>
          </w:tcPr>
          <w:p w:rsidR="00D837BC" w:rsidRPr="008E0EBD" w:rsidRDefault="00D837BC" w:rsidP="00D837BC">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(358)</w:t>
            </w:r>
          </w:p>
        </w:tc>
        <w:tc>
          <w:tcPr>
            <w:tcW w:w="482" w:type="pct"/>
            <w:tcBorders>
              <w:left w:val="single" w:sz="4" w:space="0" w:color="FFC000"/>
              <w:right w:val="single" w:sz="4" w:space="0" w:color="FFC000"/>
            </w:tcBorders>
          </w:tcPr>
          <w:p w:rsidR="00D837BC" w:rsidRPr="00744269" w:rsidRDefault="00D837BC" w:rsidP="00D837BC">
            <w:pPr>
              <w:tabs>
                <w:tab w:val="left" w:pos="284"/>
              </w:tabs>
              <w:spacing w:after="0"/>
              <w:jc w:val="right"/>
              <w:rPr>
                <w:rFonts w:eastAsiaTheme="minorEastAsia" w:cs="Calibri"/>
                <w:color w:val="003C96" w:themeColor="text2"/>
                <w:sz w:val="16"/>
                <w:szCs w:val="16"/>
                <w:lang w:val="en-US"/>
              </w:rPr>
            </w:pPr>
            <w:r w:rsidRPr="00744269">
              <w:rPr>
                <w:rFonts w:eastAsiaTheme="minorEastAsia" w:cs="Calibri"/>
                <w:color w:val="003C96" w:themeColor="text2"/>
                <w:sz w:val="16"/>
                <w:szCs w:val="16"/>
                <w:lang w:val="en-US"/>
              </w:rPr>
              <w:t>-11%</w:t>
            </w:r>
          </w:p>
        </w:tc>
      </w:tr>
      <w:tr w:rsidR="00D837BC" w:rsidRPr="005744FA" w:rsidTr="009A7861">
        <w:trPr>
          <w:trHeight w:val="264"/>
        </w:trPr>
        <w:tc>
          <w:tcPr>
            <w:tcW w:w="2084" w:type="pct"/>
            <w:tcBorders>
              <w:left w:val="single" w:sz="4" w:space="0" w:color="FFC000"/>
              <w:right w:val="single" w:sz="4" w:space="0" w:color="FFC000"/>
            </w:tcBorders>
            <w:shd w:val="clear" w:color="auto" w:fill="auto"/>
            <w:tcMar>
              <w:right w:w="113" w:type="dxa"/>
            </w:tcMar>
            <w:vAlign w:val="center"/>
          </w:tcPr>
          <w:p w:rsidR="00D837BC" w:rsidRPr="005744FA" w:rsidRDefault="00D837BC" w:rsidP="00D837BC">
            <w:pPr>
              <w:tabs>
                <w:tab w:val="left" w:pos="284"/>
              </w:tabs>
              <w:spacing w:after="0"/>
              <w:rPr>
                <w:rFonts w:eastAsiaTheme="minorEastAsia" w:cs="Calibri"/>
                <w:sz w:val="16"/>
                <w:szCs w:val="16"/>
                <w:lang w:val="en-US"/>
              </w:rPr>
            </w:pPr>
            <w:r w:rsidRPr="007316DD">
              <w:rPr>
                <w:rFonts w:ascii="Calibri" w:eastAsiaTheme="minorEastAsia" w:hAnsi="Calibri" w:cs="Calibri"/>
                <w:sz w:val="16"/>
                <w:szCs w:val="16"/>
              </w:rPr>
              <w:t>Γενικά Διοικητικά Έξοδα</w:t>
            </w:r>
          </w:p>
        </w:tc>
        <w:tc>
          <w:tcPr>
            <w:tcW w:w="487" w:type="pct"/>
            <w:tcBorders>
              <w:left w:val="single" w:sz="4"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(98)</w:t>
            </w:r>
          </w:p>
        </w:tc>
        <w:tc>
          <w:tcPr>
            <w:tcW w:w="487" w:type="pct"/>
            <w:tcBorders>
              <w:left w:val="single" w:sz="4"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color w:val="000000" w:themeColor="text1"/>
                <w:sz w:val="16"/>
                <w:szCs w:val="16"/>
                <w:lang w:val="en-US"/>
              </w:rPr>
            </w:pPr>
            <w:r>
              <w:rPr>
                <w:rFonts w:eastAsiaTheme="minorEastAsia" w:cs="Calibri"/>
                <w:sz w:val="16"/>
                <w:szCs w:val="16"/>
                <w:lang w:val="en-US"/>
              </w:rPr>
              <w:t>(91</w:t>
            </w:r>
            <w:r w:rsidRPr="005744FA">
              <w:rPr>
                <w:rFonts w:eastAsiaTheme="minorEastAsia" w:cs="Calibri"/>
                <w:sz w:val="16"/>
                <w:szCs w:val="16"/>
                <w:lang w:val="en-US"/>
              </w:rPr>
              <w:t>)</w:t>
            </w:r>
          </w:p>
        </w:tc>
        <w:tc>
          <w:tcPr>
            <w:tcW w:w="520" w:type="pct"/>
            <w:tcBorders>
              <w:left w:val="single" w:sz="2" w:space="0" w:color="FFC000"/>
              <w:right w:val="single" w:sz="4" w:space="0" w:color="FFC000"/>
            </w:tcBorders>
            <w:shd w:val="clear" w:color="auto" w:fill="auto"/>
            <w:vAlign w:val="center"/>
          </w:tcPr>
          <w:p w:rsidR="00D837BC" w:rsidRPr="00744269" w:rsidRDefault="00D837BC" w:rsidP="00D837BC">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8%</w:t>
            </w:r>
          </w:p>
        </w:tc>
        <w:tc>
          <w:tcPr>
            <w:tcW w:w="454" w:type="pct"/>
            <w:tcBorders>
              <w:left w:val="single" w:sz="18" w:space="0" w:color="FFC000"/>
              <w:right w:val="single" w:sz="4" w:space="0" w:color="FFC000"/>
            </w:tcBorders>
            <w:shd w:val="clear" w:color="auto" w:fill="auto"/>
            <w:vAlign w:val="center"/>
          </w:tcPr>
          <w:p w:rsidR="00D837BC" w:rsidRPr="00B710C6" w:rsidRDefault="00D837BC" w:rsidP="00D837BC">
            <w:pPr>
              <w:tabs>
                <w:tab w:val="left" w:pos="284"/>
              </w:tabs>
              <w:spacing w:after="0"/>
              <w:jc w:val="right"/>
              <w:rPr>
                <w:rFonts w:eastAsiaTheme="minorEastAsia" w:cs="Calibri"/>
                <w:color w:val="000000" w:themeColor="text1"/>
                <w:sz w:val="16"/>
                <w:szCs w:val="16"/>
                <w:lang w:val="en-US"/>
              </w:rPr>
            </w:pPr>
            <w:r w:rsidRPr="00B710C6">
              <w:rPr>
                <w:rFonts w:eastAsiaTheme="minorEastAsia" w:cs="Calibri"/>
                <w:color w:val="000000" w:themeColor="text1"/>
                <w:sz w:val="16"/>
                <w:szCs w:val="16"/>
                <w:lang w:val="en-US"/>
              </w:rPr>
              <w:t>(280)</w:t>
            </w:r>
          </w:p>
        </w:tc>
        <w:tc>
          <w:tcPr>
            <w:tcW w:w="487" w:type="pct"/>
            <w:tcBorders>
              <w:left w:val="single" w:sz="4" w:space="0" w:color="FFC000"/>
              <w:right w:val="single" w:sz="4" w:space="0" w:color="FFC000"/>
            </w:tcBorders>
            <w:shd w:val="clear" w:color="auto" w:fill="auto"/>
            <w:vAlign w:val="center"/>
          </w:tcPr>
          <w:p w:rsidR="00D837BC" w:rsidRPr="00B710C6" w:rsidRDefault="00D837BC" w:rsidP="00D837BC">
            <w:pPr>
              <w:tabs>
                <w:tab w:val="left" w:pos="284"/>
              </w:tabs>
              <w:spacing w:after="0"/>
              <w:jc w:val="right"/>
              <w:rPr>
                <w:rFonts w:eastAsiaTheme="minorEastAsia" w:cs="Calibri"/>
                <w:color w:val="000000" w:themeColor="text1"/>
                <w:sz w:val="16"/>
                <w:szCs w:val="16"/>
                <w:lang w:val="en-US"/>
              </w:rPr>
            </w:pPr>
            <w:r w:rsidRPr="00B710C6">
              <w:rPr>
                <w:rFonts w:eastAsiaTheme="minorEastAsia" w:cs="Calibri"/>
                <w:color w:val="000000" w:themeColor="text1"/>
                <w:sz w:val="16"/>
                <w:szCs w:val="16"/>
                <w:lang w:val="en-US"/>
              </w:rPr>
              <w:t>(265)</w:t>
            </w:r>
          </w:p>
        </w:tc>
        <w:tc>
          <w:tcPr>
            <w:tcW w:w="482" w:type="pct"/>
            <w:tcBorders>
              <w:left w:val="single" w:sz="4" w:space="0" w:color="FFC000"/>
              <w:right w:val="single" w:sz="4" w:space="0" w:color="FFC000"/>
            </w:tcBorders>
          </w:tcPr>
          <w:p w:rsidR="00D837BC" w:rsidRPr="00744269" w:rsidRDefault="003A2901"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6</w:t>
            </w:r>
            <w:r w:rsidR="00D837BC" w:rsidRPr="00744269">
              <w:rPr>
                <w:rFonts w:eastAsiaTheme="minorEastAsia" w:cs="Calibri"/>
                <w:sz w:val="16"/>
                <w:szCs w:val="16"/>
                <w:lang w:val="en-US"/>
              </w:rPr>
              <w:t>%</w:t>
            </w:r>
          </w:p>
        </w:tc>
      </w:tr>
      <w:tr w:rsidR="00D837BC" w:rsidRPr="005744FA" w:rsidTr="009A7861">
        <w:trPr>
          <w:trHeight w:val="264"/>
        </w:trPr>
        <w:tc>
          <w:tcPr>
            <w:tcW w:w="2084" w:type="pct"/>
            <w:tcBorders>
              <w:left w:val="single" w:sz="4" w:space="0" w:color="FFC000"/>
              <w:right w:val="single" w:sz="4" w:space="0" w:color="FFC000"/>
            </w:tcBorders>
            <w:shd w:val="clear" w:color="auto" w:fill="auto"/>
            <w:tcMar>
              <w:right w:w="113" w:type="dxa"/>
            </w:tcMar>
            <w:vAlign w:val="center"/>
          </w:tcPr>
          <w:p w:rsidR="00D837BC" w:rsidRPr="005744FA" w:rsidRDefault="00D837BC" w:rsidP="00D837BC">
            <w:pPr>
              <w:tabs>
                <w:tab w:val="left" w:pos="284"/>
              </w:tabs>
              <w:spacing w:after="0"/>
              <w:rPr>
                <w:rFonts w:eastAsiaTheme="minorEastAsia" w:cs="Calibri"/>
                <w:sz w:val="16"/>
                <w:szCs w:val="16"/>
                <w:lang w:val="en-US"/>
              </w:rPr>
            </w:pPr>
            <w:r w:rsidRPr="007316DD">
              <w:rPr>
                <w:rFonts w:ascii="Calibri" w:eastAsiaTheme="minorEastAsia" w:hAnsi="Calibri" w:cs="Calibri"/>
                <w:sz w:val="16"/>
                <w:szCs w:val="16"/>
              </w:rPr>
              <w:t>Αποσβέσεις και Λοιπά Έξοδα</w:t>
            </w:r>
          </w:p>
        </w:tc>
        <w:tc>
          <w:tcPr>
            <w:tcW w:w="487" w:type="pct"/>
            <w:tcBorders>
              <w:left w:val="single" w:sz="4"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(28)</w:t>
            </w:r>
          </w:p>
        </w:tc>
        <w:tc>
          <w:tcPr>
            <w:tcW w:w="487" w:type="pct"/>
            <w:tcBorders>
              <w:left w:val="single" w:sz="4"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color w:val="000000" w:themeColor="text1"/>
                <w:sz w:val="16"/>
                <w:szCs w:val="16"/>
                <w:lang w:val="en-US"/>
              </w:rPr>
            </w:pPr>
            <w:r>
              <w:rPr>
                <w:rFonts w:eastAsiaTheme="minorEastAsia" w:cs="Calibri"/>
                <w:sz w:val="16"/>
                <w:szCs w:val="16"/>
                <w:lang w:val="en-US"/>
              </w:rPr>
              <w:t>(29</w:t>
            </w:r>
            <w:r w:rsidRPr="005744FA">
              <w:rPr>
                <w:rFonts w:eastAsiaTheme="minorEastAsia" w:cs="Calibri"/>
                <w:sz w:val="16"/>
                <w:szCs w:val="16"/>
                <w:lang w:val="en-US"/>
              </w:rPr>
              <w:t>)</w:t>
            </w:r>
          </w:p>
        </w:tc>
        <w:tc>
          <w:tcPr>
            <w:tcW w:w="520" w:type="pct"/>
            <w:tcBorders>
              <w:left w:val="single" w:sz="2" w:space="0" w:color="FFC000"/>
              <w:right w:val="single" w:sz="4" w:space="0" w:color="FFC000"/>
            </w:tcBorders>
            <w:shd w:val="clear" w:color="auto" w:fill="auto"/>
            <w:vAlign w:val="center"/>
          </w:tcPr>
          <w:p w:rsidR="00D837BC" w:rsidRPr="00744269" w:rsidRDefault="00D837BC" w:rsidP="00D837BC">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-3%</w:t>
            </w:r>
          </w:p>
        </w:tc>
        <w:tc>
          <w:tcPr>
            <w:tcW w:w="454" w:type="pct"/>
            <w:tcBorders>
              <w:left w:val="single" w:sz="18"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(86)</w:t>
            </w:r>
          </w:p>
        </w:tc>
        <w:tc>
          <w:tcPr>
            <w:tcW w:w="487" w:type="pct"/>
            <w:tcBorders>
              <w:left w:val="single" w:sz="4"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(91)</w:t>
            </w:r>
          </w:p>
        </w:tc>
        <w:tc>
          <w:tcPr>
            <w:tcW w:w="482" w:type="pct"/>
            <w:tcBorders>
              <w:left w:val="single" w:sz="4" w:space="0" w:color="FFC000"/>
              <w:right w:val="single" w:sz="4" w:space="0" w:color="FFC000"/>
            </w:tcBorders>
          </w:tcPr>
          <w:p w:rsidR="00D837BC" w:rsidRPr="00744269" w:rsidRDefault="00D837BC" w:rsidP="00D837BC">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-5%</w:t>
            </w:r>
          </w:p>
        </w:tc>
      </w:tr>
      <w:tr w:rsidR="00D837BC" w:rsidRPr="005744FA" w:rsidTr="009A7861">
        <w:trPr>
          <w:trHeight w:val="264"/>
        </w:trPr>
        <w:tc>
          <w:tcPr>
            <w:tcW w:w="2084" w:type="pct"/>
            <w:tcBorders>
              <w:left w:val="single" w:sz="4" w:space="0" w:color="FFC000"/>
              <w:right w:val="single" w:sz="4" w:space="0" w:color="FFC000"/>
            </w:tcBorders>
            <w:shd w:val="clear" w:color="auto" w:fill="auto"/>
            <w:tcMar>
              <w:right w:w="113" w:type="dxa"/>
            </w:tcMar>
            <w:vAlign w:val="center"/>
          </w:tcPr>
          <w:p w:rsidR="00D837BC" w:rsidRPr="005744FA" w:rsidRDefault="00D837BC" w:rsidP="00D837BC">
            <w:pPr>
              <w:tabs>
                <w:tab w:val="left" w:pos="284"/>
              </w:tabs>
              <w:spacing w:after="0"/>
              <w:rPr>
                <w:rFonts w:eastAsiaTheme="minorEastAsia" w:cs="Calibri"/>
                <w:sz w:val="16"/>
                <w:szCs w:val="16"/>
                <w:lang w:val="en-US"/>
              </w:rPr>
            </w:pPr>
            <w:r w:rsidRPr="007316DD">
              <w:rPr>
                <w:rFonts w:ascii="Calibri" w:eastAsiaTheme="minorEastAsia" w:hAnsi="Calibri" w:cs="Calibri"/>
                <w:sz w:val="16"/>
                <w:szCs w:val="16"/>
              </w:rPr>
              <w:t>Σύνολο Λειτουργικών Εξόδων</w:t>
            </w:r>
          </w:p>
        </w:tc>
        <w:tc>
          <w:tcPr>
            <w:tcW w:w="487" w:type="pct"/>
            <w:tcBorders>
              <w:left w:val="single" w:sz="4"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(234)</w:t>
            </w:r>
          </w:p>
        </w:tc>
        <w:tc>
          <w:tcPr>
            <w:tcW w:w="487" w:type="pct"/>
            <w:tcBorders>
              <w:left w:val="single" w:sz="4"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color w:val="000000" w:themeColor="text1"/>
                <w:sz w:val="16"/>
                <w:szCs w:val="16"/>
                <w:lang w:val="en-US"/>
              </w:rPr>
            </w:pPr>
            <w:r>
              <w:rPr>
                <w:rFonts w:eastAsiaTheme="minorEastAsia" w:cs="Calibri"/>
                <w:sz w:val="16"/>
                <w:szCs w:val="16"/>
                <w:lang w:val="en-US"/>
              </w:rPr>
              <w:t>(225</w:t>
            </w:r>
            <w:r w:rsidRPr="005744FA">
              <w:rPr>
                <w:rFonts w:eastAsiaTheme="minorEastAsia" w:cs="Calibri"/>
                <w:sz w:val="16"/>
                <w:szCs w:val="16"/>
                <w:lang w:val="en-US"/>
              </w:rPr>
              <w:t>)</w:t>
            </w:r>
          </w:p>
        </w:tc>
        <w:tc>
          <w:tcPr>
            <w:tcW w:w="520" w:type="pct"/>
            <w:tcBorders>
              <w:left w:val="single" w:sz="2" w:space="0" w:color="FFC000"/>
              <w:right w:val="single" w:sz="4" w:space="0" w:color="FFC000"/>
            </w:tcBorders>
            <w:shd w:val="clear" w:color="auto" w:fill="auto"/>
            <w:vAlign w:val="center"/>
          </w:tcPr>
          <w:p w:rsidR="00D837BC" w:rsidRPr="00744269" w:rsidRDefault="00D837BC" w:rsidP="00D837BC">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4%</w:t>
            </w:r>
          </w:p>
        </w:tc>
        <w:tc>
          <w:tcPr>
            <w:tcW w:w="454" w:type="pct"/>
            <w:tcBorders>
              <w:left w:val="single" w:sz="18"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(686)</w:t>
            </w:r>
          </w:p>
        </w:tc>
        <w:tc>
          <w:tcPr>
            <w:tcW w:w="487" w:type="pct"/>
            <w:tcBorders>
              <w:left w:val="single" w:sz="4"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(749)</w:t>
            </w:r>
          </w:p>
        </w:tc>
        <w:tc>
          <w:tcPr>
            <w:tcW w:w="482" w:type="pct"/>
            <w:tcBorders>
              <w:left w:val="single" w:sz="4" w:space="0" w:color="FFC000"/>
              <w:right w:val="single" w:sz="4" w:space="0" w:color="FFC000"/>
            </w:tcBorders>
          </w:tcPr>
          <w:p w:rsidR="00D837BC" w:rsidRPr="00744269" w:rsidRDefault="00D837BC" w:rsidP="00D837BC">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-8%</w:t>
            </w:r>
          </w:p>
        </w:tc>
      </w:tr>
      <w:tr w:rsidR="00D837BC" w:rsidRPr="005744FA" w:rsidTr="009A7861">
        <w:trPr>
          <w:trHeight w:val="264"/>
        </w:trPr>
        <w:tc>
          <w:tcPr>
            <w:tcW w:w="2084" w:type="pct"/>
            <w:tcBorders>
              <w:left w:val="single" w:sz="4" w:space="0" w:color="FFC000"/>
              <w:right w:val="single" w:sz="4" w:space="0" w:color="FFC000"/>
            </w:tcBorders>
            <w:shd w:val="clear" w:color="auto" w:fill="auto"/>
            <w:tcMar>
              <w:right w:w="113" w:type="dxa"/>
            </w:tcMar>
            <w:vAlign w:val="center"/>
          </w:tcPr>
          <w:p w:rsidR="00D837BC" w:rsidRPr="005744FA" w:rsidRDefault="00D837BC" w:rsidP="00D837BC">
            <w:pPr>
              <w:tabs>
                <w:tab w:val="left" w:pos="284"/>
              </w:tabs>
              <w:spacing w:after="0"/>
              <w:rPr>
                <w:rFonts w:eastAsiaTheme="minorEastAsia" w:cs="Calibri"/>
                <w:sz w:val="16"/>
                <w:szCs w:val="16"/>
              </w:rPr>
            </w:pPr>
            <w:r w:rsidRPr="007316DD">
              <w:rPr>
                <w:rFonts w:eastAsiaTheme="minorEastAsia" w:cs="Calibri"/>
                <w:color w:val="003C96" w:themeColor="text2"/>
                <w:sz w:val="16"/>
                <w:szCs w:val="16"/>
                <w:lang w:val="en-US"/>
              </w:rPr>
              <w:t xml:space="preserve">- </w:t>
            </w:r>
            <w:r w:rsidRPr="007316DD">
              <w:rPr>
                <w:rFonts w:eastAsiaTheme="minorEastAsia" w:cs="Calibri"/>
                <w:color w:val="003C96" w:themeColor="text2"/>
                <w:sz w:val="16"/>
                <w:szCs w:val="16"/>
              </w:rPr>
              <w:t xml:space="preserve">εξαιρουμένωνεκτάκτωνεξόδων </w:t>
            </w:r>
            <w:r w:rsidRPr="007316DD">
              <w:rPr>
                <w:rFonts w:eastAsiaTheme="minorEastAsia" w:cs="Calibri"/>
                <w:color w:val="003C96" w:themeColor="text2"/>
                <w:sz w:val="16"/>
                <w:szCs w:val="16"/>
                <w:vertAlign w:val="superscript"/>
              </w:rPr>
              <w:t>1</w:t>
            </w:r>
          </w:p>
        </w:tc>
        <w:tc>
          <w:tcPr>
            <w:tcW w:w="487" w:type="pct"/>
            <w:tcBorders>
              <w:left w:val="single" w:sz="4" w:space="0" w:color="FFC000"/>
              <w:right w:val="single" w:sz="4" w:space="0" w:color="FFC000"/>
            </w:tcBorders>
            <w:shd w:val="clear" w:color="auto" w:fill="auto"/>
            <w:vAlign w:val="center"/>
          </w:tcPr>
          <w:p w:rsidR="00D837BC" w:rsidRPr="00882EC1" w:rsidRDefault="00D837BC" w:rsidP="00D837BC">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(234)</w:t>
            </w:r>
          </w:p>
        </w:tc>
        <w:tc>
          <w:tcPr>
            <w:tcW w:w="487" w:type="pct"/>
            <w:tcBorders>
              <w:left w:val="single" w:sz="4"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rPr>
              <w:t>(</w:t>
            </w:r>
            <w:r>
              <w:rPr>
                <w:rFonts w:eastAsiaTheme="minorEastAsia" w:cs="Calibri"/>
                <w:color w:val="003C96" w:themeColor="text2"/>
                <w:sz w:val="16"/>
                <w:szCs w:val="16"/>
                <w:lang w:val="en-US"/>
              </w:rPr>
              <w:t>225</w:t>
            </w:r>
            <w:r w:rsidRPr="005744FA">
              <w:rPr>
                <w:rFonts w:eastAsiaTheme="minorEastAsia" w:cs="Calibri"/>
                <w:color w:val="003C96" w:themeColor="text2"/>
                <w:sz w:val="16"/>
                <w:szCs w:val="16"/>
              </w:rPr>
              <w:t>)</w:t>
            </w:r>
          </w:p>
        </w:tc>
        <w:tc>
          <w:tcPr>
            <w:tcW w:w="520" w:type="pct"/>
            <w:tcBorders>
              <w:left w:val="single" w:sz="2" w:space="0" w:color="FFC000"/>
              <w:right w:val="single" w:sz="4" w:space="0" w:color="FFC000"/>
            </w:tcBorders>
            <w:shd w:val="clear" w:color="auto" w:fill="auto"/>
            <w:vAlign w:val="center"/>
          </w:tcPr>
          <w:p w:rsidR="00D837BC" w:rsidRPr="00744269" w:rsidRDefault="00D837BC" w:rsidP="00D837BC">
            <w:pPr>
              <w:tabs>
                <w:tab w:val="left" w:pos="284"/>
              </w:tabs>
              <w:spacing w:after="0"/>
              <w:jc w:val="right"/>
              <w:rPr>
                <w:rFonts w:eastAsiaTheme="minorEastAsia" w:cs="Calibri"/>
                <w:color w:val="003C96" w:themeColor="text2"/>
                <w:sz w:val="16"/>
                <w:szCs w:val="16"/>
                <w:lang w:val="en-US"/>
              </w:rPr>
            </w:pPr>
            <w:r w:rsidRPr="00744269">
              <w:rPr>
                <w:rFonts w:eastAsiaTheme="minorEastAsia" w:cs="Calibri"/>
                <w:color w:val="003C96" w:themeColor="text2"/>
                <w:sz w:val="16"/>
                <w:szCs w:val="16"/>
                <w:lang w:val="en-US"/>
              </w:rPr>
              <w:t>4%</w:t>
            </w:r>
          </w:p>
        </w:tc>
        <w:tc>
          <w:tcPr>
            <w:tcW w:w="454" w:type="pct"/>
            <w:tcBorders>
              <w:left w:val="single" w:sz="18"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(686)</w:t>
            </w:r>
          </w:p>
        </w:tc>
        <w:tc>
          <w:tcPr>
            <w:tcW w:w="487" w:type="pct"/>
            <w:tcBorders>
              <w:left w:val="single" w:sz="4" w:space="0" w:color="FFC000"/>
              <w:right w:val="single" w:sz="4" w:space="0" w:color="FFC000"/>
            </w:tcBorders>
            <w:shd w:val="clear" w:color="auto" w:fill="auto"/>
            <w:vAlign w:val="center"/>
          </w:tcPr>
          <w:p w:rsidR="00D837BC" w:rsidRPr="005744FA" w:rsidRDefault="00D837BC" w:rsidP="00D837BC">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(713)</w:t>
            </w:r>
          </w:p>
        </w:tc>
        <w:tc>
          <w:tcPr>
            <w:tcW w:w="482" w:type="pct"/>
            <w:tcBorders>
              <w:left w:val="single" w:sz="4" w:space="0" w:color="FFC000"/>
              <w:right w:val="single" w:sz="4" w:space="0" w:color="FFC000"/>
            </w:tcBorders>
          </w:tcPr>
          <w:p w:rsidR="00D837BC" w:rsidRPr="00744269" w:rsidRDefault="00D837BC" w:rsidP="00D837BC">
            <w:pPr>
              <w:tabs>
                <w:tab w:val="left" w:pos="284"/>
              </w:tabs>
              <w:spacing w:after="0"/>
              <w:jc w:val="right"/>
              <w:rPr>
                <w:rFonts w:eastAsiaTheme="minorEastAsia" w:cs="Calibri"/>
                <w:color w:val="003C96" w:themeColor="text2"/>
                <w:sz w:val="16"/>
                <w:szCs w:val="16"/>
                <w:lang w:val="en-US"/>
              </w:rPr>
            </w:pPr>
            <w:r w:rsidRPr="00744269">
              <w:rPr>
                <w:rFonts w:eastAsiaTheme="minorEastAsia" w:cs="Calibri"/>
                <w:color w:val="003C96" w:themeColor="text2"/>
                <w:sz w:val="16"/>
                <w:szCs w:val="16"/>
                <w:lang w:val="en-US"/>
              </w:rPr>
              <w:t>-4%</w:t>
            </w:r>
          </w:p>
        </w:tc>
      </w:tr>
      <w:tr w:rsidR="007E4699" w:rsidRPr="005744FA" w:rsidTr="009A7861">
        <w:trPr>
          <w:trHeight w:val="63"/>
        </w:trPr>
        <w:tc>
          <w:tcPr>
            <w:tcW w:w="2084" w:type="pct"/>
            <w:tcBorders>
              <w:left w:val="single" w:sz="4" w:space="0" w:color="FFC000"/>
              <w:right w:val="single" w:sz="4" w:space="0" w:color="FFC000"/>
            </w:tcBorders>
            <w:shd w:val="clear" w:color="auto" w:fill="auto"/>
            <w:tcMar>
              <w:right w:w="113" w:type="dxa"/>
            </w:tcMar>
            <w:vAlign w:val="center"/>
          </w:tcPr>
          <w:p w:rsidR="007E4699" w:rsidRPr="005744FA" w:rsidRDefault="007E4699" w:rsidP="00777DF0">
            <w:pPr>
              <w:tabs>
                <w:tab w:val="left" w:pos="284"/>
              </w:tabs>
              <w:spacing w:after="0"/>
              <w:rPr>
                <w:rFonts w:eastAsiaTheme="minorEastAsia" w:cs="Calibri"/>
                <w:sz w:val="16"/>
                <w:szCs w:val="16"/>
                <w:lang w:val="en-US"/>
              </w:rPr>
            </w:pPr>
          </w:p>
        </w:tc>
        <w:tc>
          <w:tcPr>
            <w:tcW w:w="487" w:type="pct"/>
            <w:tcBorders>
              <w:left w:val="single" w:sz="4" w:space="0" w:color="FFC000"/>
              <w:right w:val="single" w:sz="4" w:space="0" w:color="FFC000"/>
            </w:tcBorders>
            <w:shd w:val="clear" w:color="auto" w:fill="auto"/>
            <w:vAlign w:val="center"/>
          </w:tcPr>
          <w:p w:rsidR="007E4699" w:rsidRPr="005744FA" w:rsidRDefault="007E4699" w:rsidP="00777DF0">
            <w:pPr>
              <w:tabs>
                <w:tab w:val="left" w:pos="284"/>
              </w:tabs>
              <w:spacing w:after="0"/>
              <w:jc w:val="right"/>
              <w:rPr>
                <w:rFonts w:eastAsiaTheme="minorEastAsia" w:cs="Calibri"/>
                <w:sz w:val="16"/>
                <w:szCs w:val="16"/>
                <w:highlight w:val="green"/>
                <w:lang w:val="en-US"/>
              </w:rPr>
            </w:pPr>
          </w:p>
        </w:tc>
        <w:tc>
          <w:tcPr>
            <w:tcW w:w="487" w:type="pct"/>
            <w:tcBorders>
              <w:left w:val="single" w:sz="4" w:space="0" w:color="FFC000"/>
              <w:right w:val="single" w:sz="4" w:space="0" w:color="FFC000"/>
            </w:tcBorders>
            <w:shd w:val="clear" w:color="auto" w:fill="auto"/>
            <w:vAlign w:val="center"/>
          </w:tcPr>
          <w:p w:rsidR="007E4699" w:rsidRPr="005744FA" w:rsidRDefault="007E4699" w:rsidP="00777DF0">
            <w:pPr>
              <w:tabs>
                <w:tab w:val="left" w:pos="284"/>
              </w:tabs>
              <w:spacing w:after="0"/>
              <w:jc w:val="right"/>
              <w:rPr>
                <w:rFonts w:eastAsiaTheme="minorEastAsia" w:cs="Calibri"/>
                <w:color w:val="003C96" w:themeColor="text2"/>
                <w:sz w:val="16"/>
                <w:szCs w:val="16"/>
                <w:highlight w:val="green"/>
                <w:lang w:val="en-US"/>
              </w:rPr>
            </w:pPr>
          </w:p>
        </w:tc>
        <w:tc>
          <w:tcPr>
            <w:tcW w:w="520" w:type="pct"/>
            <w:tcBorders>
              <w:left w:val="single" w:sz="2" w:space="0" w:color="FFC000"/>
              <w:right w:val="single" w:sz="4" w:space="0" w:color="FFC000"/>
            </w:tcBorders>
            <w:shd w:val="clear" w:color="auto" w:fill="auto"/>
            <w:vAlign w:val="center"/>
          </w:tcPr>
          <w:p w:rsidR="007E4699" w:rsidRPr="00744269" w:rsidRDefault="007E4699" w:rsidP="00777DF0">
            <w:pPr>
              <w:tabs>
                <w:tab w:val="left" w:pos="284"/>
              </w:tabs>
              <w:spacing w:after="0"/>
              <w:jc w:val="right"/>
              <w:rPr>
                <w:rFonts w:eastAsiaTheme="minorEastAsia" w:cs="Calibri"/>
                <w:color w:val="003C96" w:themeColor="text2"/>
                <w:sz w:val="16"/>
                <w:szCs w:val="16"/>
                <w:lang w:val="en-US"/>
              </w:rPr>
            </w:pPr>
          </w:p>
        </w:tc>
        <w:tc>
          <w:tcPr>
            <w:tcW w:w="454" w:type="pct"/>
            <w:tcBorders>
              <w:left w:val="single" w:sz="18" w:space="0" w:color="FFC000"/>
              <w:right w:val="single" w:sz="4" w:space="0" w:color="FFC000"/>
            </w:tcBorders>
            <w:shd w:val="clear" w:color="auto" w:fill="auto"/>
            <w:vAlign w:val="center"/>
          </w:tcPr>
          <w:p w:rsidR="007E4699" w:rsidRPr="005744FA" w:rsidRDefault="007E4699" w:rsidP="00777DF0">
            <w:pPr>
              <w:tabs>
                <w:tab w:val="left" w:pos="284"/>
              </w:tabs>
              <w:spacing w:after="0"/>
              <w:jc w:val="right"/>
              <w:rPr>
                <w:rFonts w:eastAsiaTheme="minorEastAsia" w:cs="Calibri"/>
                <w:color w:val="003C96" w:themeColor="text2"/>
                <w:sz w:val="16"/>
                <w:szCs w:val="16"/>
                <w:lang w:val="en-US"/>
              </w:rPr>
            </w:pPr>
          </w:p>
        </w:tc>
        <w:tc>
          <w:tcPr>
            <w:tcW w:w="487" w:type="pct"/>
            <w:tcBorders>
              <w:left w:val="single" w:sz="4" w:space="0" w:color="FFC000"/>
              <w:right w:val="single" w:sz="4" w:space="0" w:color="FFC000"/>
            </w:tcBorders>
            <w:shd w:val="clear" w:color="auto" w:fill="auto"/>
            <w:vAlign w:val="center"/>
          </w:tcPr>
          <w:p w:rsidR="007E4699" w:rsidRPr="005744FA" w:rsidRDefault="007E4699" w:rsidP="00777DF0">
            <w:pPr>
              <w:tabs>
                <w:tab w:val="left" w:pos="284"/>
              </w:tabs>
              <w:spacing w:after="0"/>
              <w:jc w:val="right"/>
              <w:rPr>
                <w:rFonts w:eastAsiaTheme="minorEastAsia" w:cs="Calibri"/>
                <w:color w:val="003C96" w:themeColor="text2"/>
                <w:sz w:val="16"/>
                <w:szCs w:val="16"/>
                <w:lang w:val="en-US"/>
              </w:rPr>
            </w:pPr>
          </w:p>
        </w:tc>
        <w:tc>
          <w:tcPr>
            <w:tcW w:w="482" w:type="pct"/>
            <w:tcBorders>
              <w:left w:val="single" w:sz="4" w:space="0" w:color="FFC000"/>
              <w:right w:val="single" w:sz="4" w:space="0" w:color="FFC000"/>
            </w:tcBorders>
          </w:tcPr>
          <w:p w:rsidR="007E4699" w:rsidRPr="00744269" w:rsidRDefault="007E4699" w:rsidP="00777DF0">
            <w:pPr>
              <w:tabs>
                <w:tab w:val="left" w:pos="284"/>
              </w:tabs>
              <w:spacing w:after="0"/>
              <w:jc w:val="right"/>
              <w:rPr>
                <w:rFonts w:eastAsiaTheme="minorEastAsia" w:cs="Calibri"/>
                <w:color w:val="003C96" w:themeColor="text2"/>
                <w:sz w:val="16"/>
                <w:szCs w:val="16"/>
                <w:lang w:val="en-US"/>
              </w:rPr>
            </w:pPr>
          </w:p>
        </w:tc>
      </w:tr>
      <w:tr w:rsidR="00D837BC" w:rsidRPr="005744FA" w:rsidTr="009A7861">
        <w:trPr>
          <w:trHeight w:val="252"/>
        </w:trPr>
        <w:tc>
          <w:tcPr>
            <w:tcW w:w="2084" w:type="pct"/>
            <w:tcBorders>
              <w:left w:val="single" w:sz="4" w:space="0" w:color="FFC000"/>
              <w:right w:val="single" w:sz="4" w:space="0" w:color="FFC000"/>
            </w:tcBorders>
            <w:shd w:val="clear" w:color="auto" w:fill="auto"/>
            <w:tcMar>
              <w:right w:w="113" w:type="dxa"/>
            </w:tcMar>
            <w:vAlign w:val="bottom"/>
          </w:tcPr>
          <w:p w:rsidR="00D837BC" w:rsidRPr="005744FA" w:rsidRDefault="00D837BC" w:rsidP="00D837BC">
            <w:pPr>
              <w:tabs>
                <w:tab w:val="left" w:pos="284"/>
              </w:tabs>
              <w:spacing w:after="0"/>
              <w:rPr>
                <w:rFonts w:eastAsiaTheme="minorEastAsia" w:cs="Calibri"/>
                <w:sz w:val="16"/>
                <w:szCs w:val="16"/>
                <w:lang w:val="en-US"/>
              </w:rPr>
            </w:pPr>
            <w:r w:rsidRPr="007316DD">
              <w:rPr>
                <w:rFonts w:ascii="Calibri" w:eastAsiaTheme="minorEastAsia" w:hAnsi="Calibri" w:cs="Calibri"/>
                <w:sz w:val="16"/>
                <w:szCs w:val="16"/>
              </w:rPr>
              <w:t>Κέρδη Προ Φόρων &amp; Προβλέψεων</w:t>
            </w:r>
          </w:p>
        </w:tc>
        <w:tc>
          <w:tcPr>
            <w:tcW w:w="487" w:type="pct"/>
            <w:tcBorders>
              <w:left w:val="single" w:sz="4" w:space="0" w:color="FFC000"/>
              <w:right w:val="single" w:sz="4" w:space="0" w:color="FFC000"/>
            </w:tcBorders>
            <w:shd w:val="clear" w:color="auto" w:fill="auto"/>
            <w:vAlign w:val="center"/>
          </w:tcPr>
          <w:p w:rsidR="00D837BC" w:rsidRPr="007116A1" w:rsidRDefault="00D837BC" w:rsidP="00D837BC">
            <w:pPr>
              <w:tabs>
                <w:tab w:val="left" w:pos="284"/>
              </w:tabs>
              <w:spacing w:after="0"/>
              <w:jc w:val="center"/>
              <w:rPr>
                <w:rFonts w:eastAsiaTheme="minorEastAsia" w:cs="Calibri"/>
                <w:sz w:val="16"/>
                <w:szCs w:val="16"/>
                <w:lang w:val="en-US"/>
              </w:rPr>
            </w:pPr>
            <w:r>
              <w:rPr>
                <w:rFonts w:eastAsiaTheme="minorEastAsia" w:cs="Calibri"/>
                <w:sz w:val="16"/>
                <w:szCs w:val="16"/>
                <w:lang w:val="en-US"/>
              </w:rPr>
              <w:t xml:space="preserve">           262</w:t>
            </w:r>
          </w:p>
        </w:tc>
        <w:tc>
          <w:tcPr>
            <w:tcW w:w="487" w:type="pct"/>
            <w:tcBorders>
              <w:left w:val="single" w:sz="4" w:space="0" w:color="FFC000"/>
              <w:right w:val="single" w:sz="4" w:space="0" w:color="FFC000"/>
            </w:tcBorders>
            <w:shd w:val="clear" w:color="auto" w:fill="auto"/>
            <w:vAlign w:val="center"/>
          </w:tcPr>
          <w:p w:rsidR="00D837BC" w:rsidRPr="007116A1"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285</w:t>
            </w:r>
          </w:p>
        </w:tc>
        <w:tc>
          <w:tcPr>
            <w:tcW w:w="520" w:type="pct"/>
            <w:tcBorders>
              <w:left w:val="single" w:sz="2" w:space="0" w:color="FFC000"/>
              <w:right w:val="single" w:sz="4" w:space="0" w:color="FFC000"/>
            </w:tcBorders>
            <w:shd w:val="clear" w:color="auto" w:fill="auto"/>
            <w:vAlign w:val="center"/>
          </w:tcPr>
          <w:p w:rsidR="00D837BC" w:rsidRPr="00744269" w:rsidRDefault="00D837BC" w:rsidP="00D837BC">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-8%</w:t>
            </w:r>
          </w:p>
        </w:tc>
        <w:tc>
          <w:tcPr>
            <w:tcW w:w="454" w:type="pct"/>
            <w:tcBorders>
              <w:left w:val="single" w:sz="18" w:space="0" w:color="FFC000"/>
              <w:right w:val="single" w:sz="4" w:space="0" w:color="FFC000"/>
            </w:tcBorders>
            <w:shd w:val="clear" w:color="auto" w:fill="auto"/>
            <w:vAlign w:val="center"/>
          </w:tcPr>
          <w:p w:rsidR="00D837BC" w:rsidRPr="007116A1"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732</w:t>
            </w:r>
          </w:p>
        </w:tc>
        <w:tc>
          <w:tcPr>
            <w:tcW w:w="487" w:type="pct"/>
            <w:tcBorders>
              <w:left w:val="single" w:sz="4" w:space="0" w:color="FFC000"/>
              <w:right w:val="single" w:sz="4" w:space="0" w:color="FFC000"/>
            </w:tcBorders>
            <w:shd w:val="clear" w:color="auto" w:fill="auto"/>
            <w:vAlign w:val="center"/>
          </w:tcPr>
          <w:p w:rsidR="00D837BC" w:rsidRPr="007116A1"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612</w:t>
            </w:r>
          </w:p>
        </w:tc>
        <w:tc>
          <w:tcPr>
            <w:tcW w:w="482" w:type="pct"/>
            <w:tcBorders>
              <w:left w:val="single" w:sz="4" w:space="0" w:color="FFC000"/>
              <w:right w:val="single" w:sz="4" w:space="0" w:color="FFC000"/>
            </w:tcBorders>
          </w:tcPr>
          <w:p w:rsidR="00D837BC" w:rsidRPr="00744269" w:rsidRDefault="00D837BC" w:rsidP="00D837BC">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20%</w:t>
            </w:r>
          </w:p>
        </w:tc>
      </w:tr>
      <w:tr w:rsidR="00D837BC" w:rsidRPr="005744FA" w:rsidTr="009A7861">
        <w:trPr>
          <w:trHeight w:val="252"/>
        </w:trPr>
        <w:tc>
          <w:tcPr>
            <w:tcW w:w="2084" w:type="pct"/>
            <w:tcBorders>
              <w:left w:val="single" w:sz="4" w:space="0" w:color="FFC000"/>
              <w:right w:val="single" w:sz="4" w:space="0" w:color="FFC000"/>
            </w:tcBorders>
            <w:shd w:val="clear" w:color="auto" w:fill="auto"/>
            <w:tcMar>
              <w:right w:w="113" w:type="dxa"/>
            </w:tcMar>
            <w:vAlign w:val="center"/>
          </w:tcPr>
          <w:p w:rsidR="00D837BC" w:rsidRPr="00D837BC" w:rsidRDefault="00D837BC" w:rsidP="00D837BC">
            <w:pPr>
              <w:tabs>
                <w:tab w:val="left" w:pos="284"/>
              </w:tabs>
              <w:spacing w:after="0"/>
              <w:rPr>
                <w:rFonts w:eastAsiaTheme="minorEastAsia" w:cs="Calibri"/>
                <w:sz w:val="16"/>
                <w:szCs w:val="16"/>
              </w:rPr>
            </w:pPr>
            <w:r w:rsidRPr="007316DD">
              <w:rPr>
                <w:rFonts w:cs="Calibri"/>
                <w:color w:val="003C96" w:themeColor="text2"/>
                <w:sz w:val="16"/>
                <w:szCs w:val="16"/>
              </w:rPr>
              <w:t>- εξαιρουμένων εκτάκτων εσόδων και εξόδων</w:t>
            </w:r>
          </w:p>
        </w:tc>
        <w:tc>
          <w:tcPr>
            <w:tcW w:w="487" w:type="pct"/>
            <w:tcBorders>
              <w:left w:val="single" w:sz="4" w:space="0" w:color="FFC000"/>
              <w:right w:val="single" w:sz="4" w:space="0" w:color="FFC000"/>
            </w:tcBorders>
            <w:shd w:val="clear" w:color="auto" w:fill="auto"/>
            <w:vAlign w:val="center"/>
          </w:tcPr>
          <w:p w:rsidR="00D837BC" w:rsidRPr="00E73EF8" w:rsidRDefault="00D837BC" w:rsidP="00D837BC">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262</w:t>
            </w:r>
          </w:p>
        </w:tc>
        <w:tc>
          <w:tcPr>
            <w:tcW w:w="487" w:type="pct"/>
            <w:tcBorders>
              <w:left w:val="single" w:sz="4" w:space="0" w:color="FFC000"/>
              <w:right w:val="single" w:sz="4" w:space="0" w:color="FFC000"/>
            </w:tcBorders>
            <w:shd w:val="clear" w:color="auto" w:fill="auto"/>
            <w:vAlign w:val="center"/>
          </w:tcPr>
          <w:p w:rsidR="00D837BC" w:rsidRPr="00E73EF8" w:rsidRDefault="00D837BC" w:rsidP="00D837BC">
            <w:pPr>
              <w:tabs>
                <w:tab w:val="left" w:pos="284"/>
              </w:tabs>
              <w:spacing w:after="0"/>
              <w:jc w:val="right"/>
              <w:rPr>
                <w:rFonts w:eastAsiaTheme="minorEastAsia" w:cs="Calibri"/>
                <w:color w:val="003C96" w:themeColor="text2"/>
                <w:sz w:val="16"/>
                <w:szCs w:val="16"/>
                <w:lang w:val="en-US"/>
              </w:rPr>
            </w:pPr>
            <w:r w:rsidRPr="007116A1">
              <w:rPr>
                <w:rFonts w:eastAsiaTheme="minorEastAsia" w:cs="Calibri"/>
                <w:color w:val="003C96" w:themeColor="text2"/>
                <w:sz w:val="16"/>
                <w:szCs w:val="16"/>
              </w:rPr>
              <w:t>2</w:t>
            </w:r>
            <w:r>
              <w:rPr>
                <w:rFonts w:eastAsiaTheme="minorEastAsia" w:cs="Calibri"/>
                <w:color w:val="003C96" w:themeColor="text2"/>
                <w:sz w:val="16"/>
                <w:szCs w:val="16"/>
                <w:lang w:val="en-US"/>
              </w:rPr>
              <w:t>85</w:t>
            </w:r>
          </w:p>
        </w:tc>
        <w:tc>
          <w:tcPr>
            <w:tcW w:w="520" w:type="pct"/>
            <w:tcBorders>
              <w:left w:val="single" w:sz="2" w:space="0" w:color="FFC000"/>
              <w:right w:val="single" w:sz="4" w:space="0" w:color="FFC000"/>
            </w:tcBorders>
            <w:shd w:val="clear" w:color="auto" w:fill="auto"/>
            <w:vAlign w:val="center"/>
          </w:tcPr>
          <w:p w:rsidR="00D837BC" w:rsidRPr="00744269" w:rsidRDefault="00D837BC" w:rsidP="00D837BC">
            <w:pPr>
              <w:tabs>
                <w:tab w:val="left" w:pos="284"/>
              </w:tabs>
              <w:spacing w:after="0"/>
              <w:jc w:val="right"/>
              <w:rPr>
                <w:rFonts w:eastAsiaTheme="minorEastAsia" w:cs="Calibri"/>
                <w:color w:val="003C96" w:themeColor="text2"/>
                <w:sz w:val="16"/>
                <w:szCs w:val="16"/>
              </w:rPr>
            </w:pPr>
            <w:r w:rsidRPr="00744269">
              <w:rPr>
                <w:rFonts w:eastAsiaTheme="minorEastAsia" w:cs="Calibri"/>
                <w:color w:val="003C96" w:themeColor="text2"/>
                <w:sz w:val="16"/>
                <w:szCs w:val="16"/>
                <w:lang w:val="en-US"/>
              </w:rPr>
              <w:t>-8</w:t>
            </w:r>
            <w:r w:rsidRPr="00744269">
              <w:rPr>
                <w:rFonts w:eastAsiaTheme="minorEastAsia" w:cs="Calibri"/>
                <w:color w:val="003C96" w:themeColor="text2"/>
                <w:sz w:val="16"/>
                <w:szCs w:val="16"/>
              </w:rPr>
              <w:t>%</w:t>
            </w:r>
          </w:p>
        </w:tc>
        <w:tc>
          <w:tcPr>
            <w:tcW w:w="454" w:type="pct"/>
            <w:tcBorders>
              <w:left w:val="single" w:sz="18" w:space="0" w:color="FFC000"/>
              <w:right w:val="single" w:sz="4" w:space="0" w:color="FFC000"/>
            </w:tcBorders>
            <w:shd w:val="clear" w:color="auto" w:fill="auto"/>
            <w:vAlign w:val="center"/>
          </w:tcPr>
          <w:p w:rsidR="00D837BC" w:rsidRPr="00AA7CE2" w:rsidRDefault="00D837BC" w:rsidP="00D837BC">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rPr>
              <w:t>7</w:t>
            </w:r>
            <w:r>
              <w:rPr>
                <w:rFonts w:eastAsiaTheme="minorEastAsia" w:cs="Calibri"/>
                <w:color w:val="003C96" w:themeColor="text2"/>
                <w:sz w:val="16"/>
                <w:szCs w:val="16"/>
                <w:lang w:val="en-US"/>
              </w:rPr>
              <w:t>32</w:t>
            </w:r>
          </w:p>
        </w:tc>
        <w:tc>
          <w:tcPr>
            <w:tcW w:w="487" w:type="pct"/>
            <w:tcBorders>
              <w:left w:val="single" w:sz="4" w:space="0" w:color="FFC000"/>
              <w:right w:val="single" w:sz="4" w:space="0" w:color="FFC000"/>
            </w:tcBorders>
            <w:shd w:val="clear" w:color="auto" w:fill="auto"/>
            <w:vAlign w:val="center"/>
          </w:tcPr>
          <w:p w:rsidR="00D837BC" w:rsidRPr="004045AC" w:rsidRDefault="00D837BC" w:rsidP="00D837BC">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648</w:t>
            </w:r>
          </w:p>
        </w:tc>
        <w:tc>
          <w:tcPr>
            <w:tcW w:w="482" w:type="pct"/>
            <w:tcBorders>
              <w:left w:val="single" w:sz="4" w:space="0" w:color="FFC000"/>
              <w:right w:val="single" w:sz="4" w:space="0" w:color="FFC000"/>
            </w:tcBorders>
          </w:tcPr>
          <w:p w:rsidR="00D837BC" w:rsidRPr="00744269" w:rsidRDefault="00D837BC" w:rsidP="00D837BC">
            <w:pPr>
              <w:tabs>
                <w:tab w:val="left" w:pos="284"/>
              </w:tabs>
              <w:spacing w:after="0"/>
              <w:jc w:val="right"/>
              <w:rPr>
                <w:rFonts w:eastAsiaTheme="minorEastAsia" w:cs="Calibri"/>
                <w:color w:val="003C96" w:themeColor="text2"/>
                <w:sz w:val="16"/>
                <w:szCs w:val="16"/>
                <w:lang w:val="en-US"/>
              </w:rPr>
            </w:pPr>
            <w:r w:rsidRPr="00744269">
              <w:rPr>
                <w:rFonts w:eastAsiaTheme="minorEastAsia" w:cs="Calibri"/>
                <w:color w:val="003C96" w:themeColor="text2"/>
                <w:sz w:val="16"/>
                <w:szCs w:val="16"/>
                <w:lang w:val="en-US"/>
              </w:rPr>
              <w:t>13%</w:t>
            </w:r>
          </w:p>
        </w:tc>
      </w:tr>
      <w:tr w:rsidR="007E4699" w:rsidRPr="005744FA" w:rsidTr="009A7861">
        <w:trPr>
          <w:trHeight w:val="87"/>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5744FA" w:rsidRDefault="007E4699" w:rsidP="00777DF0">
            <w:pPr>
              <w:tabs>
                <w:tab w:val="left" w:pos="284"/>
              </w:tabs>
              <w:spacing w:after="0"/>
              <w:rPr>
                <w:rFonts w:eastAsiaTheme="minorEastAsia" w:cs="Calibri"/>
                <w:sz w:val="10"/>
                <w:szCs w:val="16"/>
                <w:lang w:val="en-US"/>
              </w:rPr>
            </w:pPr>
          </w:p>
        </w:tc>
        <w:tc>
          <w:tcPr>
            <w:tcW w:w="487" w:type="pct"/>
            <w:tcBorders>
              <w:left w:val="single" w:sz="4"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10"/>
                <w:szCs w:val="16"/>
                <w:highlight w:val="green"/>
                <w:lang w:val="en-US"/>
              </w:rPr>
            </w:pPr>
          </w:p>
        </w:tc>
        <w:tc>
          <w:tcPr>
            <w:tcW w:w="487" w:type="pct"/>
            <w:tcBorders>
              <w:left w:val="single" w:sz="4"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10"/>
                <w:szCs w:val="16"/>
                <w:highlight w:val="green"/>
                <w:lang w:val="en-US"/>
              </w:rPr>
            </w:pPr>
          </w:p>
        </w:tc>
        <w:tc>
          <w:tcPr>
            <w:tcW w:w="520" w:type="pct"/>
            <w:tcBorders>
              <w:left w:val="single" w:sz="2"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10"/>
                <w:szCs w:val="16"/>
                <w:lang w:val="en-US"/>
              </w:rPr>
            </w:pPr>
          </w:p>
        </w:tc>
        <w:tc>
          <w:tcPr>
            <w:tcW w:w="454" w:type="pct"/>
            <w:tcBorders>
              <w:left w:val="single" w:sz="18"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10"/>
                <w:szCs w:val="16"/>
                <w:lang w:val="en-US"/>
              </w:rPr>
            </w:pPr>
          </w:p>
        </w:tc>
        <w:tc>
          <w:tcPr>
            <w:tcW w:w="487" w:type="pct"/>
            <w:tcBorders>
              <w:left w:val="single" w:sz="4"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10"/>
                <w:szCs w:val="16"/>
                <w:lang w:val="en-US"/>
              </w:rPr>
            </w:pPr>
          </w:p>
        </w:tc>
        <w:tc>
          <w:tcPr>
            <w:tcW w:w="482" w:type="pct"/>
            <w:tcBorders>
              <w:left w:val="single" w:sz="4" w:space="0" w:color="FFC000"/>
              <w:right w:val="single" w:sz="4" w:space="0" w:color="FFC000"/>
            </w:tcBorders>
            <w:shd w:val="clear" w:color="auto" w:fill="FFFFFF" w:themeFill="background1"/>
          </w:tcPr>
          <w:p w:rsidR="007E4699" w:rsidRPr="00744269" w:rsidRDefault="007E4699" w:rsidP="00777DF0">
            <w:pPr>
              <w:tabs>
                <w:tab w:val="left" w:pos="284"/>
              </w:tabs>
              <w:spacing w:after="0"/>
              <w:jc w:val="right"/>
              <w:rPr>
                <w:rFonts w:eastAsiaTheme="minorEastAsia" w:cs="Calibri"/>
                <w:color w:val="FF0000"/>
                <w:sz w:val="10"/>
                <w:szCs w:val="16"/>
                <w:lang w:val="en-US"/>
              </w:rPr>
            </w:pPr>
          </w:p>
        </w:tc>
      </w:tr>
      <w:tr w:rsidR="007E4699" w:rsidRPr="005744FA" w:rsidTr="009A7861">
        <w:trPr>
          <w:trHeight w:val="280"/>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5744FA" w:rsidRDefault="00D837BC" w:rsidP="00777DF0">
            <w:pPr>
              <w:tabs>
                <w:tab w:val="left" w:pos="284"/>
              </w:tabs>
              <w:spacing w:after="0"/>
              <w:rPr>
                <w:rFonts w:eastAsiaTheme="minorEastAsia" w:cs="Calibri"/>
                <w:sz w:val="16"/>
                <w:szCs w:val="16"/>
                <w:lang w:val="en-US"/>
              </w:rPr>
            </w:pPr>
            <w:r>
              <w:rPr>
                <w:rFonts w:ascii="Calibri" w:eastAsiaTheme="minorEastAsia" w:hAnsi="Calibri" w:cs="Calibri"/>
                <w:sz w:val="16"/>
                <w:szCs w:val="16"/>
              </w:rPr>
              <w:t>Έξοδο Προβλέψεων</w:t>
            </w:r>
          </w:p>
        </w:tc>
        <w:tc>
          <w:tcPr>
            <w:tcW w:w="487" w:type="pct"/>
            <w:tcBorders>
              <w:left w:val="single" w:sz="4" w:space="0" w:color="FFC000"/>
              <w:right w:val="single" w:sz="4" w:space="0" w:color="FFC000"/>
            </w:tcBorders>
            <w:shd w:val="clear" w:color="auto" w:fill="FFFFFF" w:themeFill="background1"/>
            <w:vAlign w:val="center"/>
          </w:tcPr>
          <w:p w:rsidR="007E4699" w:rsidRPr="008A08D2" w:rsidRDefault="007E4699" w:rsidP="00BF551D">
            <w:pPr>
              <w:tabs>
                <w:tab w:val="left" w:pos="284"/>
              </w:tabs>
              <w:spacing w:after="0"/>
              <w:jc w:val="right"/>
              <w:rPr>
                <w:rFonts w:eastAsiaTheme="minorEastAsia" w:cs="Calibri"/>
                <w:sz w:val="16"/>
                <w:szCs w:val="16"/>
                <w:lang w:val="en-US"/>
              </w:rPr>
            </w:pPr>
            <w:r w:rsidRPr="008A08D2">
              <w:rPr>
                <w:rFonts w:eastAsiaTheme="minorEastAsia" w:cs="Calibri"/>
                <w:sz w:val="16"/>
                <w:szCs w:val="16"/>
                <w:lang w:val="en-US"/>
              </w:rPr>
              <w:t>(1</w:t>
            </w:r>
            <w:r>
              <w:rPr>
                <w:rFonts w:eastAsiaTheme="minorEastAsia" w:cs="Calibri"/>
                <w:sz w:val="16"/>
                <w:szCs w:val="16"/>
                <w:lang w:val="en-US"/>
              </w:rPr>
              <w:t>7</w:t>
            </w:r>
            <w:r w:rsidR="00BF551D">
              <w:rPr>
                <w:rFonts w:eastAsiaTheme="minorEastAsia" w:cs="Calibri"/>
                <w:sz w:val="16"/>
                <w:szCs w:val="16"/>
                <w:lang w:val="en-US"/>
              </w:rPr>
              <w:t>5</w:t>
            </w:r>
            <w:r w:rsidRPr="008A08D2">
              <w:rPr>
                <w:rFonts w:eastAsiaTheme="minorEastAsia" w:cs="Calibri"/>
                <w:sz w:val="16"/>
                <w:szCs w:val="16"/>
                <w:lang w:val="en-US"/>
              </w:rPr>
              <w:t>)</w:t>
            </w:r>
          </w:p>
        </w:tc>
        <w:tc>
          <w:tcPr>
            <w:tcW w:w="487" w:type="pct"/>
            <w:tcBorders>
              <w:left w:val="single" w:sz="4" w:space="0" w:color="FFC000"/>
              <w:right w:val="single" w:sz="4" w:space="0" w:color="FFC000"/>
            </w:tcBorders>
            <w:shd w:val="clear" w:color="auto" w:fill="FFFFFF" w:themeFill="background1"/>
            <w:vAlign w:val="center"/>
          </w:tcPr>
          <w:p w:rsidR="007E4699" w:rsidRPr="008A08D2" w:rsidRDefault="007E4699" w:rsidP="00777DF0">
            <w:pPr>
              <w:tabs>
                <w:tab w:val="left" w:pos="284"/>
              </w:tabs>
              <w:spacing w:after="0"/>
              <w:jc w:val="right"/>
              <w:rPr>
                <w:rFonts w:eastAsiaTheme="minorEastAsia" w:cs="Calibri"/>
                <w:sz w:val="16"/>
                <w:szCs w:val="16"/>
                <w:lang w:val="en-US"/>
              </w:rPr>
            </w:pPr>
            <w:r w:rsidRPr="008A08D2">
              <w:rPr>
                <w:rFonts w:eastAsiaTheme="minorEastAsia" w:cs="Calibri"/>
                <w:sz w:val="16"/>
                <w:szCs w:val="16"/>
                <w:lang w:val="en-US"/>
              </w:rPr>
              <w:t>(160)</w:t>
            </w:r>
          </w:p>
        </w:tc>
        <w:tc>
          <w:tcPr>
            <w:tcW w:w="520" w:type="pct"/>
            <w:tcBorders>
              <w:left w:val="single" w:sz="2" w:space="0" w:color="FFC000"/>
              <w:right w:val="single" w:sz="4" w:space="0" w:color="FFC000"/>
            </w:tcBorders>
            <w:shd w:val="clear" w:color="auto" w:fill="FFFFFF" w:themeFill="background1"/>
            <w:vAlign w:val="center"/>
          </w:tcPr>
          <w:p w:rsidR="007E4699" w:rsidRPr="008A08D2" w:rsidRDefault="007E4699" w:rsidP="00777DF0">
            <w:pPr>
              <w:tabs>
                <w:tab w:val="left" w:pos="284"/>
              </w:tabs>
              <w:spacing w:after="0"/>
              <w:jc w:val="right"/>
              <w:rPr>
                <w:rFonts w:eastAsiaTheme="minorEastAsia" w:cs="Calibri"/>
                <w:sz w:val="16"/>
                <w:szCs w:val="16"/>
                <w:lang w:val="en-US"/>
              </w:rPr>
            </w:pPr>
            <w:r>
              <w:rPr>
                <w:rFonts w:eastAsiaTheme="minorEastAsia" w:cs="Calibri"/>
                <w:sz w:val="16"/>
                <w:szCs w:val="16"/>
                <w:lang w:val="en-US"/>
              </w:rPr>
              <w:t>10%</w:t>
            </w:r>
          </w:p>
        </w:tc>
        <w:tc>
          <w:tcPr>
            <w:tcW w:w="454" w:type="pct"/>
            <w:tcBorders>
              <w:left w:val="single" w:sz="18" w:space="0" w:color="FFC000"/>
              <w:right w:val="single" w:sz="4" w:space="0" w:color="FFC000"/>
            </w:tcBorders>
            <w:shd w:val="clear" w:color="auto" w:fill="FFFFFF" w:themeFill="background1"/>
            <w:vAlign w:val="center"/>
          </w:tcPr>
          <w:p w:rsidR="007E4699" w:rsidRPr="00AE3C09" w:rsidRDefault="007E4699" w:rsidP="00777DF0">
            <w:pPr>
              <w:tabs>
                <w:tab w:val="left" w:pos="284"/>
              </w:tabs>
              <w:spacing w:after="0"/>
              <w:jc w:val="right"/>
              <w:rPr>
                <w:rFonts w:eastAsiaTheme="minorEastAsia" w:cs="Calibri"/>
                <w:sz w:val="16"/>
                <w:szCs w:val="16"/>
                <w:vertAlign w:val="superscript"/>
                <w:lang w:val="en-US"/>
              </w:rPr>
            </w:pPr>
            <w:r w:rsidRPr="008A08D2">
              <w:rPr>
                <w:rFonts w:eastAsiaTheme="minorEastAsia" w:cs="Calibri"/>
                <w:sz w:val="16"/>
                <w:szCs w:val="16"/>
                <w:lang w:val="en-US"/>
              </w:rPr>
              <w:t>(</w:t>
            </w:r>
            <w:r>
              <w:rPr>
                <w:rFonts w:eastAsiaTheme="minorEastAsia" w:cs="Calibri"/>
                <w:sz w:val="16"/>
                <w:szCs w:val="16"/>
                <w:lang w:val="en-US"/>
              </w:rPr>
              <w:t>845</w:t>
            </w:r>
            <w:r w:rsidRPr="008A08D2">
              <w:rPr>
                <w:rFonts w:eastAsiaTheme="minorEastAsia" w:cs="Calibri"/>
                <w:sz w:val="16"/>
                <w:szCs w:val="16"/>
                <w:lang w:val="en-US"/>
              </w:rPr>
              <w:t>)</w:t>
            </w:r>
            <w:r>
              <w:rPr>
                <w:rFonts w:eastAsiaTheme="minorEastAsia" w:cs="Calibri"/>
                <w:sz w:val="16"/>
                <w:szCs w:val="16"/>
                <w:vertAlign w:val="superscript"/>
                <w:lang w:val="en-US"/>
              </w:rPr>
              <w:t>2</w:t>
            </w:r>
          </w:p>
        </w:tc>
        <w:tc>
          <w:tcPr>
            <w:tcW w:w="487" w:type="pct"/>
            <w:tcBorders>
              <w:left w:val="single" w:sz="4" w:space="0" w:color="FFC000"/>
              <w:right w:val="single" w:sz="4" w:space="0" w:color="FFC000"/>
            </w:tcBorders>
            <w:shd w:val="clear" w:color="auto" w:fill="FFFFFF" w:themeFill="background1"/>
            <w:vAlign w:val="center"/>
          </w:tcPr>
          <w:p w:rsidR="007E4699" w:rsidRPr="008A08D2" w:rsidRDefault="007E4699" w:rsidP="00777DF0">
            <w:pPr>
              <w:tabs>
                <w:tab w:val="left" w:pos="284"/>
              </w:tabs>
              <w:spacing w:after="0"/>
              <w:jc w:val="right"/>
              <w:rPr>
                <w:rFonts w:eastAsiaTheme="minorEastAsia" w:cs="Calibri"/>
                <w:sz w:val="16"/>
                <w:szCs w:val="16"/>
                <w:lang w:val="en-US"/>
              </w:rPr>
            </w:pPr>
            <w:r w:rsidRPr="008A08D2">
              <w:rPr>
                <w:rFonts w:eastAsiaTheme="minorEastAsia" w:cs="Calibri"/>
                <w:sz w:val="16"/>
                <w:szCs w:val="16"/>
                <w:lang w:val="en-US"/>
              </w:rPr>
              <w:t>(</w:t>
            </w:r>
            <w:r>
              <w:rPr>
                <w:rFonts w:eastAsiaTheme="minorEastAsia" w:cs="Calibri"/>
                <w:sz w:val="16"/>
                <w:szCs w:val="16"/>
                <w:lang w:val="en-US"/>
              </w:rPr>
              <w:t>502</w:t>
            </w:r>
            <w:r w:rsidRPr="008A08D2">
              <w:rPr>
                <w:rFonts w:eastAsiaTheme="minorEastAsia" w:cs="Calibri"/>
                <w:sz w:val="16"/>
                <w:szCs w:val="16"/>
                <w:lang w:val="en-US"/>
              </w:rPr>
              <w:t>)</w:t>
            </w:r>
          </w:p>
        </w:tc>
        <w:tc>
          <w:tcPr>
            <w:tcW w:w="482" w:type="pct"/>
            <w:tcBorders>
              <w:left w:val="single" w:sz="4" w:space="0" w:color="FFC000"/>
              <w:right w:val="single" w:sz="4" w:space="0" w:color="FFC000"/>
            </w:tcBorders>
            <w:shd w:val="clear" w:color="auto" w:fill="FFFFFF" w:themeFill="background1"/>
          </w:tcPr>
          <w:p w:rsidR="007E4699" w:rsidRPr="00744269" w:rsidRDefault="007E4699" w:rsidP="00777DF0">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68%</w:t>
            </w:r>
          </w:p>
        </w:tc>
      </w:tr>
      <w:tr w:rsidR="007E4699" w:rsidRPr="005744FA" w:rsidTr="009A7861">
        <w:trPr>
          <w:trHeight w:val="224"/>
        </w:trPr>
        <w:tc>
          <w:tcPr>
            <w:tcW w:w="2084" w:type="pct"/>
            <w:tcBorders>
              <w:left w:val="single" w:sz="4" w:space="0" w:color="FFC000"/>
              <w:right w:val="single" w:sz="4" w:space="0" w:color="FFC000"/>
            </w:tcBorders>
            <w:shd w:val="clear" w:color="auto" w:fill="FFFFFF" w:themeFill="background1"/>
            <w:tcMar>
              <w:right w:w="113" w:type="dxa"/>
            </w:tcMar>
          </w:tcPr>
          <w:p w:rsidR="007E4699" w:rsidRPr="00D837BC" w:rsidRDefault="007E4699" w:rsidP="00777DF0">
            <w:pPr>
              <w:tabs>
                <w:tab w:val="left" w:pos="284"/>
              </w:tabs>
              <w:spacing w:after="0"/>
              <w:rPr>
                <w:rFonts w:cs="Calibri"/>
                <w:sz w:val="16"/>
                <w:szCs w:val="16"/>
              </w:rPr>
            </w:pPr>
            <w:r w:rsidRPr="00D837BC">
              <w:rPr>
                <w:rFonts w:cs="Calibri"/>
                <w:color w:val="003C96" w:themeColor="text2"/>
                <w:sz w:val="16"/>
                <w:szCs w:val="16"/>
              </w:rPr>
              <w:t>-</w:t>
            </w:r>
            <w:r w:rsidR="00D837BC" w:rsidRPr="00D837BC">
              <w:rPr>
                <w:rFonts w:cs="Calibri"/>
                <w:color w:val="003C96" w:themeColor="text2"/>
                <w:sz w:val="16"/>
                <w:szCs w:val="16"/>
              </w:rPr>
              <w:t xml:space="preserve">εκ των οποίων σχετιζόμενες με </w:t>
            </w:r>
            <w:r w:rsidR="00D837BC" w:rsidRPr="00D837BC">
              <w:rPr>
                <w:rFonts w:cs="Calibri"/>
                <w:color w:val="003C96" w:themeColor="text2"/>
                <w:sz w:val="16"/>
                <w:szCs w:val="16"/>
                <w:lang w:val="en-GB"/>
              </w:rPr>
              <w:t>Covid</w:t>
            </w:r>
            <w:r w:rsidR="00D837BC" w:rsidRPr="00D837BC">
              <w:rPr>
                <w:rFonts w:cs="Calibri"/>
                <w:color w:val="003C96" w:themeColor="text2"/>
                <w:sz w:val="16"/>
                <w:szCs w:val="16"/>
              </w:rPr>
              <w:t>-19</w:t>
            </w:r>
          </w:p>
        </w:tc>
        <w:tc>
          <w:tcPr>
            <w:tcW w:w="487" w:type="pct"/>
            <w:tcBorders>
              <w:left w:val="single" w:sz="4" w:space="0" w:color="FFC000"/>
              <w:right w:val="single" w:sz="4" w:space="0" w:color="FFC000"/>
            </w:tcBorders>
            <w:shd w:val="clear" w:color="auto" w:fill="FFFFFF" w:themeFill="background1"/>
          </w:tcPr>
          <w:p w:rsidR="007E4699" w:rsidRPr="008A08D2" w:rsidRDefault="007E4699" w:rsidP="00777DF0">
            <w:pPr>
              <w:tabs>
                <w:tab w:val="left" w:pos="284"/>
              </w:tabs>
              <w:spacing w:after="0"/>
              <w:jc w:val="right"/>
              <w:rPr>
                <w:rFonts w:eastAsiaTheme="minorEastAsia" w:cs="Calibri"/>
                <w:color w:val="003C96" w:themeColor="text2"/>
                <w:sz w:val="16"/>
                <w:szCs w:val="16"/>
                <w:lang w:val="en-US"/>
              </w:rPr>
            </w:pPr>
            <w:r w:rsidRPr="008A08D2">
              <w:rPr>
                <w:rFonts w:eastAsiaTheme="minorEastAsia" w:cs="Calibri"/>
                <w:color w:val="003C96" w:themeColor="text2"/>
                <w:sz w:val="16"/>
                <w:szCs w:val="16"/>
                <w:lang w:val="en-US"/>
              </w:rPr>
              <w:t>(</w:t>
            </w:r>
            <w:r>
              <w:rPr>
                <w:rFonts w:eastAsiaTheme="minorEastAsia" w:cs="Calibri"/>
                <w:color w:val="003C96" w:themeColor="text2"/>
                <w:sz w:val="16"/>
                <w:szCs w:val="16"/>
                <w:lang w:val="en-US"/>
              </w:rPr>
              <w:t>2</w:t>
            </w:r>
            <w:r w:rsidRPr="008A08D2">
              <w:rPr>
                <w:rFonts w:eastAsiaTheme="minorEastAsia" w:cs="Calibri"/>
                <w:color w:val="003C96" w:themeColor="text2"/>
                <w:sz w:val="16"/>
                <w:szCs w:val="16"/>
                <w:lang w:val="en-US"/>
              </w:rPr>
              <w:t>1)</w:t>
            </w:r>
          </w:p>
        </w:tc>
        <w:tc>
          <w:tcPr>
            <w:tcW w:w="487" w:type="pct"/>
            <w:tcBorders>
              <w:left w:val="single" w:sz="4" w:space="0" w:color="FFC000"/>
              <w:right w:val="single" w:sz="4" w:space="0" w:color="FFC000"/>
            </w:tcBorders>
            <w:shd w:val="clear" w:color="auto" w:fill="FFFFFF" w:themeFill="background1"/>
          </w:tcPr>
          <w:p w:rsidR="007E4699" w:rsidRPr="008A08D2" w:rsidRDefault="007E4699" w:rsidP="00777DF0">
            <w:pPr>
              <w:tabs>
                <w:tab w:val="left" w:pos="284"/>
              </w:tabs>
              <w:spacing w:after="0"/>
              <w:jc w:val="right"/>
              <w:rPr>
                <w:rFonts w:eastAsiaTheme="minorEastAsia" w:cs="Calibri"/>
                <w:color w:val="003C96" w:themeColor="text2"/>
                <w:sz w:val="16"/>
                <w:szCs w:val="16"/>
                <w:lang w:val="en-US"/>
              </w:rPr>
            </w:pPr>
            <w:r w:rsidRPr="008A08D2">
              <w:rPr>
                <w:rFonts w:eastAsiaTheme="minorEastAsia" w:cs="Calibri"/>
                <w:color w:val="003C96" w:themeColor="text2"/>
                <w:sz w:val="16"/>
                <w:szCs w:val="16"/>
                <w:lang w:val="en-US"/>
              </w:rPr>
              <w:t>(17)</w:t>
            </w:r>
          </w:p>
        </w:tc>
        <w:tc>
          <w:tcPr>
            <w:tcW w:w="520" w:type="pct"/>
            <w:tcBorders>
              <w:left w:val="single" w:sz="2" w:space="0" w:color="FFC000"/>
              <w:right w:val="single" w:sz="4" w:space="0" w:color="FFC000"/>
            </w:tcBorders>
            <w:shd w:val="clear" w:color="auto" w:fill="FFFFFF" w:themeFill="background1"/>
          </w:tcPr>
          <w:p w:rsidR="007E4699" w:rsidRPr="008A08D2" w:rsidRDefault="007E4699" w:rsidP="00777DF0">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24%</w:t>
            </w:r>
          </w:p>
        </w:tc>
        <w:tc>
          <w:tcPr>
            <w:tcW w:w="454" w:type="pct"/>
            <w:tcBorders>
              <w:left w:val="single" w:sz="18" w:space="0" w:color="FFC000"/>
              <w:right w:val="single" w:sz="4" w:space="0" w:color="FFC000"/>
            </w:tcBorders>
            <w:shd w:val="clear" w:color="auto" w:fill="FFFFFF" w:themeFill="background1"/>
          </w:tcPr>
          <w:p w:rsidR="007E4699" w:rsidRPr="008A08D2" w:rsidRDefault="007E4699" w:rsidP="00777DF0">
            <w:pPr>
              <w:tabs>
                <w:tab w:val="left" w:pos="284"/>
              </w:tabs>
              <w:spacing w:after="0"/>
              <w:jc w:val="right"/>
              <w:rPr>
                <w:rFonts w:eastAsiaTheme="minorEastAsia" w:cs="Calibri"/>
                <w:color w:val="003C96" w:themeColor="text2"/>
                <w:sz w:val="16"/>
                <w:szCs w:val="16"/>
                <w:lang w:val="en-US"/>
              </w:rPr>
            </w:pPr>
            <w:r w:rsidRPr="008A08D2">
              <w:rPr>
                <w:rFonts w:eastAsiaTheme="minorEastAsia" w:cs="Calibri"/>
                <w:color w:val="003C96" w:themeColor="text2"/>
                <w:sz w:val="16"/>
                <w:szCs w:val="16"/>
                <w:lang w:val="en-US"/>
              </w:rPr>
              <w:t>(</w:t>
            </w:r>
            <w:r>
              <w:rPr>
                <w:rFonts w:eastAsiaTheme="minorEastAsia" w:cs="Calibri"/>
                <w:color w:val="003C96" w:themeColor="text2"/>
                <w:sz w:val="16"/>
                <w:szCs w:val="16"/>
                <w:lang w:val="en-US"/>
              </w:rPr>
              <w:t>362</w:t>
            </w:r>
            <w:r w:rsidRPr="008A08D2">
              <w:rPr>
                <w:rFonts w:eastAsiaTheme="minorEastAsia" w:cs="Calibri"/>
                <w:color w:val="003C96" w:themeColor="text2"/>
                <w:sz w:val="16"/>
                <w:szCs w:val="16"/>
                <w:lang w:val="en-US"/>
              </w:rPr>
              <w:t>)</w:t>
            </w:r>
          </w:p>
        </w:tc>
        <w:tc>
          <w:tcPr>
            <w:tcW w:w="487" w:type="pct"/>
            <w:tcBorders>
              <w:left w:val="single" w:sz="4" w:space="0" w:color="FFC000"/>
              <w:right w:val="single" w:sz="4" w:space="0" w:color="FFC000"/>
            </w:tcBorders>
            <w:shd w:val="clear" w:color="auto" w:fill="FFFFFF" w:themeFill="background1"/>
          </w:tcPr>
          <w:p w:rsidR="007E4699" w:rsidRPr="008A08D2" w:rsidRDefault="007E4699" w:rsidP="00777DF0">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w:t>
            </w:r>
          </w:p>
        </w:tc>
        <w:tc>
          <w:tcPr>
            <w:tcW w:w="482" w:type="pct"/>
            <w:tcBorders>
              <w:left w:val="single" w:sz="4" w:space="0" w:color="FFC000"/>
              <w:right w:val="single" w:sz="4" w:space="0" w:color="FFC000"/>
            </w:tcBorders>
            <w:shd w:val="clear" w:color="auto" w:fill="FFFFFF" w:themeFill="background1"/>
          </w:tcPr>
          <w:p w:rsidR="007E4699" w:rsidRPr="00744269" w:rsidRDefault="007E4699" w:rsidP="00777DF0">
            <w:pPr>
              <w:tabs>
                <w:tab w:val="left" w:pos="284"/>
              </w:tabs>
              <w:spacing w:after="0"/>
              <w:jc w:val="right"/>
              <w:rPr>
                <w:rFonts w:eastAsiaTheme="minorEastAsia" w:cs="Calibri"/>
                <w:color w:val="003C96" w:themeColor="text2"/>
                <w:sz w:val="16"/>
                <w:szCs w:val="16"/>
                <w:lang w:val="en-US"/>
              </w:rPr>
            </w:pPr>
            <w:r w:rsidRPr="00744269">
              <w:rPr>
                <w:rFonts w:eastAsiaTheme="minorEastAsia" w:cs="Calibri"/>
                <w:color w:val="003C96" w:themeColor="text2"/>
                <w:sz w:val="16"/>
                <w:szCs w:val="16"/>
                <w:lang w:val="en-US"/>
              </w:rPr>
              <w:t>-</w:t>
            </w:r>
          </w:p>
        </w:tc>
      </w:tr>
      <w:tr w:rsidR="007E4699" w:rsidRPr="005744FA" w:rsidTr="009A7861">
        <w:trPr>
          <w:trHeight w:val="280"/>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5744FA" w:rsidRDefault="00D837BC" w:rsidP="00777DF0">
            <w:pPr>
              <w:tabs>
                <w:tab w:val="left" w:pos="284"/>
              </w:tabs>
              <w:spacing w:after="0"/>
              <w:rPr>
                <w:rFonts w:eastAsiaTheme="minorEastAsia" w:cs="Calibri"/>
                <w:sz w:val="16"/>
                <w:szCs w:val="16"/>
                <w:lang w:val="en-US"/>
              </w:rPr>
            </w:pPr>
            <w:r w:rsidRPr="007316DD">
              <w:rPr>
                <w:rFonts w:ascii="Calibri" w:eastAsiaTheme="minorEastAsia" w:hAnsi="Calibri" w:cs="Calibri"/>
                <w:sz w:val="16"/>
                <w:szCs w:val="16"/>
              </w:rPr>
              <w:t>Έσοδα Συμμετοχών σε Συγγενείς</w:t>
            </w:r>
          </w:p>
        </w:tc>
        <w:tc>
          <w:tcPr>
            <w:tcW w:w="487" w:type="pct"/>
            <w:tcBorders>
              <w:left w:val="single" w:sz="4" w:space="0" w:color="FFC000"/>
              <w:right w:val="single" w:sz="4" w:space="0" w:color="FFC000"/>
            </w:tcBorders>
            <w:shd w:val="clear" w:color="auto" w:fill="FFFFFF" w:themeFill="background1"/>
            <w:vAlign w:val="center"/>
          </w:tcPr>
          <w:p w:rsidR="007E4699" w:rsidRPr="007F25CC" w:rsidRDefault="00864FE8" w:rsidP="00777DF0">
            <w:pPr>
              <w:tabs>
                <w:tab w:val="left" w:pos="284"/>
              </w:tabs>
              <w:spacing w:after="0"/>
              <w:jc w:val="right"/>
              <w:rPr>
                <w:rFonts w:eastAsiaTheme="minorEastAsia" w:cs="Calibri"/>
                <w:sz w:val="16"/>
                <w:szCs w:val="16"/>
                <w:lang w:val="en-US"/>
              </w:rPr>
            </w:pPr>
            <w:r>
              <w:rPr>
                <w:rFonts w:eastAsiaTheme="minorEastAsia" w:cs="Calibri"/>
                <w:sz w:val="16"/>
                <w:szCs w:val="16"/>
              </w:rPr>
              <w:t>(</w:t>
            </w:r>
            <w:r w:rsidR="007E4699">
              <w:rPr>
                <w:rFonts w:eastAsiaTheme="minorEastAsia" w:cs="Calibri"/>
                <w:sz w:val="16"/>
                <w:szCs w:val="16"/>
              </w:rPr>
              <w:t>4</w:t>
            </w:r>
            <w:r w:rsidR="007E4699">
              <w:rPr>
                <w:rFonts w:eastAsiaTheme="minorEastAsia" w:cs="Calibri"/>
                <w:sz w:val="16"/>
                <w:szCs w:val="16"/>
                <w:lang w:val="en-US"/>
              </w:rPr>
              <w:t>)</w:t>
            </w:r>
          </w:p>
        </w:tc>
        <w:tc>
          <w:tcPr>
            <w:tcW w:w="487" w:type="pct"/>
            <w:tcBorders>
              <w:left w:val="single" w:sz="4" w:space="0" w:color="FFC000"/>
              <w:right w:val="single" w:sz="4" w:space="0" w:color="FFC000"/>
            </w:tcBorders>
            <w:shd w:val="clear" w:color="auto" w:fill="FFFFFF" w:themeFill="background1"/>
            <w:vAlign w:val="center"/>
          </w:tcPr>
          <w:p w:rsidR="007E4699" w:rsidRPr="004F4AFD" w:rsidRDefault="007E4699" w:rsidP="00777DF0">
            <w:pPr>
              <w:tabs>
                <w:tab w:val="left" w:pos="284"/>
              </w:tabs>
              <w:spacing w:after="0"/>
              <w:jc w:val="right"/>
              <w:rPr>
                <w:rFonts w:eastAsiaTheme="minorEastAsia" w:cs="Calibri"/>
                <w:sz w:val="16"/>
                <w:szCs w:val="16"/>
                <w:lang w:val="en-US"/>
              </w:rPr>
            </w:pPr>
            <w:r>
              <w:rPr>
                <w:rFonts w:eastAsiaTheme="minorEastAsia" w:cs="Calibri"/>
                <w:sz w:val="16"/>
                <w:szCs w:val="16"/>
                <w:lang w:val="en-US"/>
              </w:rPr>
              <w:t>0</w:t>
            </w:r>
          </w:p>
        </w:tc>
        <w:tc>
          <w:tcPr>
            <w:tcW w:w="520" w:type="pct"/>
            <w:tcBorders>
              <w:left w:val="single" w:sz="2" w:space="0" w:color="FFC000"/>
              <w:right w:val="single" w:sz="4" w:space="0" w:color="FFC000"/>
            </w:tcBorders>
            <w:shd w:val="clear" w:color="auto" w:fill="FFFFFF" w:themeFill="background1"/>
            <w:vAlign w:val="center"/>
          </w:tcPr>
          <w:p w:rsidR="007E4699" w:rsidRPr="007F0F77" w:rsidRDefault="007E4699" w:rsidP="00777DF0">
            <w:pPr>
              <w:tabs>
                <w:tab w:val="left" w:pos="284"/>
              </w:tabs>
              <w:spacing w:after="0"/>
              <w:jc w:val="right"/>
              <w:rPr>
                <w:rFonts w:eastAsiaTheme="minorEastAsia" w:cs="Calibri"/>
                <w:sz w:val="16"/>
                <w:szCs w:val="16"/>
                <w:lang w:val="en-US"/>
              </w:rPr>
            </w:pPr>
            <w:r>
              <w:rPr>
                <w:rFonts w:eastAsiaTheme="minorEastAsia" w:cs="Calibri"/>
                <w:sz w:val="16"/>
                <w:szCs w:val="16"/>
              </w:rPr>
              <w:t>-</w:t>
            </w:r>
          </w:p>
        </w:tc>
        <w:tc>
          <w:tcPr>
            <w:tcW w:w="454" w:type="pct"/>
            <w:tcBorders>
              <w:left w:val="single" w:sz="18" w:space="0" w:color="FFC000"/>
              <w:right w:val="single" w:sz="4" w:space="0" w:color="FFC000"/>
            </w:tcBorders>
            <w:shd w:val="clear" w:color="auto" w:fill="FFFFFF" w:themeFill="background1"/>
            <w:vAlign w:val="center"/>
          </w:tcPr>
          <w:p w:rsidR="007E4699" w:rsidRPr="007F0F77" w:rsidRDefault="007E4699" w:rsidP="00777DF0">
            <w:pPr>
              <w:tabs>
                <w:tab w:val="left" w:pos="284"/>
              </w:tabs>
              <w:spacing w:after="0"/>
              <w:jc w:val="right"/>
              <w:rPr>
                <w:rFonts w:eastAsiaTheme="minorEastAsia" w:cs="Calibri"/>
                <w:sz w:val="16"/>
                <w:szCs w:val="16"/>
                <w:lang w:val="en-US"/>
              </w:rPr>
            </w:pPr>
            <w:r>
              <w:rPr>
                <w:rFonts w:eastAsiaTheme="minorEastAsia" w:cs="Calibri"/>
                <w:sz w:val="16"/>
                <w:szCs w:val="16"/>
                <w:lang w:val="en-US"/>
              </w:rPr>
              <w:t>(19)</w:t>
            </w:r>
          </w:p>
        </w:tc>
        <w:tc>
          <w:tcPr>
            <w:tcW w:w="487" w:type="pct"/>
            <w:tcBorders>
              <w:left w:val="single" w:sz="4" w:space="0" w:color="FFC000"/>
              <w:right w:val="single" w:sz="4" w:space="0" w:color="FFC000"/>
            </w:tcBorders>
            <w:shd w:val="clear" w:color="auto" w:fill="FFFFFF" w:themeFill="background1"/>
            <w:vAlign w:val="center"/>
          </w:tcPr>
          <w:p w:rsidR="007E4699" w:rsidRPr="004F4AFD" w:rsidRDefault="007E4699" w:rsidP="00777DF0">
            <w:pPr>
              <w:tabs>
                <w:tab w:val="left" w:pos="284"/>
              </w:tabs>
              <w:spacing w:after="0"/>
              <w:jc w:val="right"/>
              <w:rPr>
                <w:rFonts w:eastAsiaTheme="minorEastAsia" w:cs="Calibri"/>
                <w:sz w:val="16"/>
                <w:szCs w:val="16"/>
                <w:lang w:val="en-US"/>
              </w:rPr>
            </w:pPr>
            <w:r>
              <w:rPr>
                <w:rFonts w:eastAsiaTheme="minorEastAsia" w:cs="Calibri"/>
                <w:sz w:val="16"/>
                <w:szCs w:val="16"/>
                <w:lang w:val="en-US"/>
              </w:rPr>
              <w:t>0</w:t>
            </w:r>
          </w:p>
        </w:tc>
        <w:tc>
          <w:tcPr>
            <w:tcW w:w="482" w:type="pct"/>
            <w:tcBorders>
              <w:left w:val="single" w:sz="4" w:space="0" w:color="FFC000"/>
              <w:right w:val="single" w:sz="4" w:space="0" w:color="FFC000"/>
            </w:tcBorders>
            <w:shd w:val="clear" w:color="auto" w:fill="FFFFFF" w:themeFill="background1"/>
          </w:tcPr>
          <w:p w:rsidR="007E4699" w:rsidRPr="00744269" w:rsidRDefault="007E4699" w:rsidP="00777DF0">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w:t>
            </w:r>
          </w:p>
        </w:tc>
      </w:tr>
      <w:tr w:rsidR="007E4699" w:rsidRPr="005744FA" w:rsidTr="009A7861">
        <w:trPr>
          <w:trHeight w:val="122"/>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5744FA" w:rsidRDefault="007E4699" w:rsidP="00777DF0">
            <w:pPr>
              <w:tabs>
                <w:tab w:val="left" w:pos="284"/>
              </w:tabs>
              <w:spacing w:after="0"/>
              <w:rPr>
                <w:rFonts w:eastAsiaTheme="minorEastAsia" w:cs="Calibri"/>
                <w:sz w:val="4"/>
                <w:szCs w:val="4"/>
              </w:rPr>
            </w:pPr>
          </w:p>
        </w:tc>
        <w:tc>
          <w:tcPr>
            <w:tcW w:w="487" w:type="pct"/>
            <w:tcBorders>
              <w:left w:val="single" w:sz="4" w:space="0" w:color="FFC000"/>
              <w:right w:val="single" w:sz="4" w:space="0" w:color="FFC000"/>
            </w:tcBorders>
            <w:shd w:val="clear" w:color="auto" w:fill="FFFFFF" w:themeFill="background1"/>
            <w:vAlign w:val="center"/>
          </w:tcPr>
          <w:p w:rsidR="007E4699" w:rsidRPr="006C7864" w:rsidDel="005B246A" w:rsidRDefault="007E4699" w:rsidP="00777DF0">
            <w:pPr>
              <w:tabs>
                <w:tab w:val="left" w:pos="284"/>
              </w:tabs>
              <w:spacing w:after="0"/>
              <w:jc w:val="right"/>
              <w:rPr>
                <w:rFonts w:eastAsiaTheme="minorEastAsia" w:cs="Calibri"/>
                <w:color w:val="FF0000"/>
                <w:sz w:val="4"/>
                <w:szCs w:val="4"/>
                <w:highlight w:val="green"/>
              </w:rPr>
            </w:pPr>
          </w:p>
        </w:tc>
        <w:tc>
          <w:tcPr>
            <w:tcW w:w="487" w:type="pct"/>
            <w:tcBorders>
              <w:left w:val="single" w:sz="4" w:space="0" w:color="FFC000"/>
              <w:right w:val="single" w:sz="4" w:space="0" w:color="FFC000"/>
            </w:tcBorders>
            <w:shd w:val="clear" w:color="auto" w:fill="FFFFFF" w:themeFill="background1"/>
            <w:vAlign w:val="center"/>
          </w:tcPr>
          <w:p w:rsidR="007E4699" w:rsidRPr="006C7864" w:rsidDel="005B246A" w:rsidRDefault="007E4699" w:rsidP="00777DF0">
            <w:pPr>
              <w:tabs>
                <w:tab w:val="left" w:pos="284"/>
              </w:tabs>
              <w:spacing w:after="0"/>
              <w:jc w:val="right"/>
              <w:rPr>
                <w:rFonts w:eastAsiaTheme="minorEastAsia" w:cs="Calibri"/>
                <w:color w:val="FF0000"/>
                <w:sz w:val="4"/>
                <w:szCs w:val="4"/>
                <w:highlight w:val="green"/>
              </w:rPr>
            </w:pPr>
          </w:p>
        </w:tc>
        <w:tc>
          <w:tcPr>
            <w:tcW w:w="520" w:type="pct"/>
            <w:tcBorders>
              <w:left w:val="single" w:sz="2" w:space="0" w:color="FFC000"/>
              <w:right w:val="single" w:sz="4" w:space="0" w:color="FFC000"/>
            </w:tcBorders>
            <w:shd w:val="clear" w:color="auto" w:fill="FFFFFF" w:themeFill="background1"/>
            <w:vAlign w:val="center"/>
          </w:tcPr>
          <w:p w:rsidR="007E4699" w:rsidRPr="006C7864" w:rsidDel="005B246A" w:rsidRDefault="007E4699" w:rsidP="00777DF0">
            <w:pPr>
              <w:tabs>
                <w:tab w:val="left" w:pos="284"/>
              </w:tabs>
              <w:spacing w:after="0"/>
              <w:jc w:val="right"/>
              <w:rPr>
                <w:rFonts w:eastAsiaTheme="minorEastAsia" w:cs="Calibri"/>
                <w:color w:val="FF0000"/>
                <w:sz w:val="4"/>
                <w:szCs w:val="4"/>
              </w:rPr>
            </w:pPr>
          </w:p>
        </w:tc>
        <w:tc>
          <w:tcPr>
            <w:tcW w:w="454" w:type="pct"/>
            <w:tcBorders>
              <w:left w:val="single" w:sz="18" w:space="0" w:color="FFC000"/>
              <w:right w:val="single" w:sz="4" w:space="0" w:color="FFC000"/>
            </w:tcBorders>
            <w:shd w:val="clear" w:color="auto" w:fill="FFFFFF" w:themeFill="background1"/>
            <w:vAlign w:val="center"/>
          </w:tcPr>
          <w:p w:rsidR="007E4699" w:rsidRPr="006C7864" w:rsidDel="005B246A" w:rsidRDefault="007E4699" w:rsidP="00777DF0">
            <w:pPr>
              <w:tabs>
                <w:tab w:val="left" w:pos="284"/>
              </w:tabs>
              <w:spacing w:after="0"/>
              <w:jc w:val="right"/>
              <w:rPr>
                <w:rFonts w:eastAsiaTheme="minorEastAsia" w:cs="Calibri"/>
                <w:color w:val="FF0000"/>
                <w:sz w:val="4"/>
                <w:szCs w:val="4"/>
              </w:rPr>
            </w:pPr>
          </w:p>
        </w:tc>
        <w:tc>
          <w:tcPr>
            <w:tcW w:w="487" w:type="pct"/>
            <w:tcBorders>
              <w:left w:val="single" w:sz="4" w:space="0" w:color="FFC000"/>
              <w:right w:val="single" w:sz="4" w:space="0" w:color="FFC000"/>
            </w:tcBorders>
            <w:shd w:val="clear" w:color="auto" w:fill="FFFFFF" w:themeFill="background1"/>
            <w:vAlign w:val="center"/>
          </w:tcPr>
          <w:p w:rsidR="007E4699" w:rsidRPr="006C7864" w:rsidDel="005B246A" w:rsidRDefault="007E4699" w:rsidP="00777DF0">
            <w:pPr>
              <w:tabs>
                <w:tab w:val="left" w:pos="284"/>
              </w:tabs>
              <w:spacing w:after="0"/>
              <w:jc w:val="right"/>
              <w:rPr>
                <w:rFonts w:eastAsiaTheme="minorEastAsia" w:cs="Calibri"/>
                <w:color w:val="FF0000"/>
                <w:sz w:val="4"/>
                <w:szCs w:val="4"/>
              </w:rPr>
            </w:pPr>
          </w:p>
        </w:tc>
        <w:tc>
          <w:tcPr>
            <w:tcW w:w="482" w:type="pct"/>
            <w:tcBorders>
              <w:left w:val="single" w:sz="4" w:space="0" w:color="FFC000"/>
              <w:right w:val="single" w:sz="4" w:space="0" w:color="FFC000"/>
            </w:tcBorders>
            <w:shd w:val="clear" w:color="auto" w:fill="FFFFFF" w:themeFill="background1"/>
          </w:tcPr>
          <w:p w:rsidR="007E4699" w:rsidRPr="00744269" w:rsidDel="005B246A" w:rsidRDefault="007E4699" w:rsidP="00777DF0">
            <w:pPr>
              <w:tabs>
                <w:tab w:val="left" w:pos="284"/>
              </w:tabs>
              <w:spacing w:after="0"/>
              <w:jc w:val="right"/>
              <w:rPr>
                <w:rFonts w:eastAsiaTheme="minorEastAsia" w:cs="Calibri"/>
                <w:color w:val="FF0000"/>
                <w:sz w:val="4"/>
                <w:szCs w:val="4"/>
              </w:rPr>
            </w:pPr>
          </w:p>
        </w:tc>
      </w:tr>
      <w:tr w:rsidR="007E4699" w:rsidRPr="005744FA" w:rsidTr="009A7861">
        <w:trPr>
          <w:trHeight w:val="280"/>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5744FA" w:rsidRDefault="00D837BC" w:rsidP="00777DF0">
            <w:pPr>
              <w:tabs>
                <w:tab w:val="left" w:pos="284"/>
              </w:tabs>
              <w:spacing w:after="0"/>
              <w:rPr>
                <w:rFonts w:eastAsiaTheme="minorEastAsia" w:cs="Calibri"/>
                <w:color w:val="003C96" w:themeColor="text2"/>
                <w:sz w:val="16"/>
                <w:szCs w:val="16"/>
                <w:lang w:val="en-US"/>
              </w:rPr>
            </w:pPr>
            <w:r w:rsidRPr="00F72352">
              <w:rPr>
                <w:rFonts w:eastAsiaTheme="minorEastAsia" w:cs="Calibri"/>
                <w:sz w:val="16"/>
                <w:szCs w:val="16"/>
              </w:rPr>
              <w:t>Αποτελέσματα Προ Φόρων</w:t>
            </w:r>
          </w:p>
        </w:tc>
        <w:tc>
          <w:tcPr>
            <w:tcW w:w="487" w:type="pct"/>
            <w:tcBorders>
              <w:left w:val="single" w:sz="4" w:space="0" w:color="FFC000"/>
              <w:right w:val="single" w:sz="4" w:space="0" w:color="FFC000"/>
            </w:tcBorders>
            <w:shd w:val="clear" w:color="auto" w:fill="FFFFFF" w:themeFill="background1"/>
            <w:vAlign w:val="center"/>
          </w:tcPr>
          <w:p w:rsidR="007E4699" w:rsidRPr="00820553" w:rsidRDefault="007E4699" w:rsidP="00777DF0">
            <w:pPr>
              <w:tabs>
                <w:tab w:val="left" w:pos="284"/>
              </w:tabs>
              <w:spacing w:after="0"/>
              <w:jc w:val="right"/>
              <w:rPr>
                <w:rFonts w:eastAsiaTheme="minorEastAsia" w:cs="Calibri"/>
                <w:sz w:val="16"/>
                <w:szCs w:val="16"/>
                <w:lang w:val="en-US"/>
              </w:rPr>
            </w:pPr>
            <w:r>
              <w:rPr>
                <w:rFonts w:eastAsiaTheme="minorEastAsia" w:cs="Calibri"/>
                <w:sz w:val="16"/>
                <w:szCs w:val="16"/>
                <w:lang w:val="en-US"/>
              </w:rPr>
              <w:t>82</w:t>
            </w:r>
          </w:p>
        </w:tc>
        <w:tc>
          <w:tcPr>
            <w:tcW w:w="487" w:type="pct"/>
            <w:tcBorders>
              <w:left w:val="single" w:sz="4" w:space="0" w:color="FFC000"/>
              <w:right w:val="single" w:sz="4" w:space="0" w:color="FFC000"/>
            </w:tcBorders>
            <w:shd w:val="clear" w:color="auto" w:fill="FFFFFF" w:themeFill="background1"/>
            <w:vAlign w:val="center"/>
          </w:tcPr>
          <w:p w:rsidR="007E4699" w:rsidRPr="00AE3C09" w:rsidRDefault="007E4699" w:rsidP="00777DF0">
            <w:pPr>
              <w:tabs>
                <w:tab w:val="left" w:pos="284"/>
              </w:tabs>
              <w:spacing w:after="0"/>
              <w:jc w:val="right"/>
              <w:rPr>
                <w:rFonts w:eastAsiaTheme="minorEastAsia" w:cs="Calibri"/>
                <w:sz w:val="16"/>
                <w:szCs w:val="16"/>
                <w:vertAlign w:val="superscript"/>
                <w:lang w:val="en-US"/>
              </w:rPr>
            </w:pPr>
            <w:r w:rsidRPr="00820553">
              <w:rPr>
                <w:rFonts w:eastAsiaTheme="minorEastAsia" w:cs="Calibri"/>
                <w:sz w:val="16"/>
                <w:szCs w:val="16"/>
                <w:lang w:val="en-US"/>
              </w:rPr>
              <w:t>125</w:t>
            </w:r>
          </w:p>
        </w:tc>
        <w:tc>
          <w:tcPr>
            <w:tcW w:w="520" w:type="pct"/>
            <w:tcBorders>
              <w:left w:val="single" w:sz="2" w:space="0" w:color="FFC000"/>
              <w:right w:val="single" w:sz="4" w:space="0" w:color="FFC000"/>
            </w:tcBorders>
            <w:shd w:val="clear" w:color="auto" w:fill="FFFFFF" w:themeFill="background1"/>
            <w:vAlign w:val="center"/>
          </w:tcPr>
          <w:p w:rsidR="007E4699" w:rsidRPr="00820553" w:rsidRDefault="007E4699" w:rsidP="00777DF0">
            <w:pPr>
              <w:tabs>
                <w:tab w:val="left" w:pos="284"/>
              </w:tabs>
              <w:spacing w:after="0"/>
              <w:jc w:val="right"/>
              <w:rPr>
                <w:rFonts w:eastAsiaTheme="minorEastAsia" w:cs="Calibri"/>
                <w:sz w:val="16"/>
                <w:szCs w:val="16"/>
                <w:lang w:val="en-US"/>
              </w:rPr>
            </w:pPr>
            <w:r>
              <w:rPr>
                <w:rFonts w:eastAsiaTheme="minorEastAsia" w:cs="Calibri"/>
                <w:sz w:val="16"/>
                <w:szCs w:val="16"/>
                <w:lang w:val="en-US"/>
              </w:rPr>
              <w:t>-34%</w:t>
            </w:r>
          </w:p>
        </w:tc>
        <w:tc>
          <w:tcPr>
            <w:tcW w:w="454" w:type="pct"/>
            <w:tcBorders>
              <w:left w:val="single" w:sz="18" w:space="0" w:color="FFC000"/>
              <w:right w:val="single" w:sz="4" w:space="0" w:color="FFC000"/>
            </w:tcBorders>
            <w:shd w:val="clear" w:color="auto" w:fill="FFFFFF" w:themeFill="background1"/>
            <w:vAlign w:val="center"/>
          </w:tcPr>
          <w:p w:rsidR="007E4699" w:rsidRPr="00AE3C09" w:rsidRDefault="007E4699" w:rsidP="00777DF0">
            <w:pPr>
              <w:tabs>
                <w:tab w:val="left" w:pos="284"/>
              </w:tabs>
              <w:spacing w:after="0"/>
              <w:jc w:val="right"/>
              <w:rPr>
                <w:rFonts w:eastAsiaTheme="minorEastAsia" w:cs="Calibri"/>
                <w:sz w:val="16"/>
                <w:szCs w:val="16"/>
                <w:vertAlign w:val="superscript"/>
                <w:lang w:val="en-US"/>
              </w:rPr>
            </w:pPr>
            <w:r>
              <w:rPr>
                <w:rFonts w:eastAsiaTheme="minorEastAsia" w:cs="Calibri"/>
                <w:sz w:val="16"/>
                <w:szCs w:val="16"/>
                <w:lang w:val="en-US"/>
              </w:rPr>
              <w:t>(133)</w:t>
            </w:r>
            <w:r>
              <w:rPr>
                <w:rFonts w:eastAsiaTheme="minorEastAsia" w:cs="Calibri"/>
                <w:sz w:val="16"/>
                <w:szCs w:val="16"/>
                <w:vertAlign w:val="superscript"/>
                <w:lang w:val="en-US"/>
              </w:rPr>
              <w:t>2</w:t>
            </w:r>
          </w:p>
        </w:tc>
        <w:tc>
          <w:tcPr>
            <w:tcW w:w="487" w:type="pct"/>
            <w:tcBorders>
              <w:left w:val="single" w:sz="4" w:space="0" w:color="FFC000"/>
              <w:right w:val="single" w:sz="4" w:space="0" w:color="FFC000"/>
            </w:tcBorders>
            <w:shd w:val="clear" w:color="auto" w:fill="FFFFFF" w:themeFill="background1"/>
            <w:vAlign w:val="center"/>
          </w:tcPr>
          <w:p w:rsidR="007E4699" w:rsidRPr="00820553" w:rsidRDefault="007E4699" w:rsidP="00777DF0">
            <w:pPr>
              <w:tabs>
                <w:tab w:val="left" w:pos="284"/>
              </w:tabs>
              <w:spacing w:after="0"/>
              <w:jc w:val="right"/>
              <w:rPr>
                <w:rFonts w:eastAsiaTheme="minorEastAsia" w:cs="Calibri"/>
                <w:sz w:val="16"/>
                <w:szCs w:val="16"/>
                <w:lang w:val="en-US"/>
              </w:rPr>
            </w:pPr>
            <w:r>
              <w:rPr>
                <w:rFonts w:eastAsiaTheme="minorEastAsia" w:cs="Calibri"/>
                <w:sz w:val="16"/>
                <w:szCs w:val="16"/>
                <w:lang w:val="en-US"/>
              </w:rPr>
              <w:t>110</w:t>
            </w:r>
          </w:p>
        </w:tc>
        <w:tc>
          <w:tcPr>
            <w:tcW w:w="482" w:type="pct"/>
            <w:tcBorders>
              <w:left w:val="single" w:sz="4" w:space="0" w:color="FFC000"/>
              <w:right w:val="single" w:sz="4" w:space="0" w:color="FFC000"/>
            </w:tcBorders>
            <w:shd w:val="clear" w:color="auto" w:fill="FFFFFF" w:themeFill="background1"/>
          </w:tcPr>
          <w:p w:rsidR="007E4699" w:rsidRPr="00744269" w:rsidRDefault="007E4699" w:rsidP="00777DF0">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w:t>
            </w:r>
          </w:p>
        </w:tc>
      </w:tr>
      <w:tr w:rsidR="007E4699" w:rsidRPr="005744FA" w:rsidTr="009A7861">
        <w:trPr>
          <w:trHeight w:val="280"/>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D837BC" w:rsidRDefault="007E4699" w:rsidP="00DF52A0">
            <w:pPr>
              <w:tabs>
                <w:tab w:val="left" w:pos="284"/>
              </w:tabs>
              <w:spacing w:after="0"/>
              <w:rPr>
                <w:rFonts w:eastAsiaTheme="minorEastAsia" w:cs="Calibri"/>
                <w:color w:val="003C96" w:themeColor="text2"/>
                <w:sz w:val="16"/>
                <w:szCs w:val="16"/>
              </w:rPr>
            </w:pPr>
            <w:r w:rsidRPr="00D837BC">
              <w:rPr>
                <w:rFonts w:eastAsiaTheme="minorEastAsia" w:cs="Calibri"/>
                <w:color w:val="003C96" w:themeColor="text2"/>
                <w:sz w:val="16"/>
                <w:szCs w:val="16"/>
              </w:rPr>
              <w:t xml:space="preserve">- </w:t>
            </w:r>
            <w:r w:rsidR="00D837BC" w:rsidRPr="00D837BC">
              <w:rPr>
                <w:rFonts w:eastAsiaTheme="minorEastAsia" w:cs="Calibri"/>
                <w:color w:val="003C96" w:themeColor="text2"/>
                <w:spacing w:val="-2"/>
                <w:sz w:val="16"/>
                <w:szCs w:val="16"/>
              </w:rPr>
              <w:t xml:space="preserve">εξαιρουμένων προβλέψεων σχετιζόμενων με </w:t>
            </w:r>
            <w:r w:rsidRPr="00D837BC">
              <w:rPr>
                <w:rFonts w:eastAsiaTheme="minorEastAsia" w:cs="Calibri"/>
                <w:color w:val="003C96" w:themeColor="text2"/>
                <w:spacing w:val="-2"/>
                <w:sz w:val="16"/>
                <w:szCs w:val="16"/>
                <w:lang w:val="en-US"/>
              </w:rPr>
              <w:t>Covid</w:t>
            </w:r>
            <w:r w:rsidRPr="00D837BC">
              <w:rPr>
                <w:rFonts w:eastAsiaTheme="minorEastAsia" w:cs="Calibri"/>
                <w:color w:val="003C96" w:themeColor="text2"/>
                <w:spacing w:val="-2"/>
                <w:sz w:val="16"/>
                <w:szCs w:val="16"/>
              </w:rPr>
              <w:t>-19</w:t>
            </w:r>
            <w:r w:rsidR="00D837BC" w:rsidRPr="00D837BC">
              <w:rPr>
                <w:rFonts w:eastAsiaTheme="minorEastAsia" w:cs="Calibri"/>
                <w:color w:val="003C96" w:themeColor="text2"/>
                <w:spacing w:val="-2"/>
                <w:sz w:val="16"/>
                <w:szCs w:val="16"/>
              </w:rPr>
              <w:t xml:space="preserve"> το </w:t>
            </w:r>
            <w:r w:rsidRPr="00D837BC">
              <w:rPr>
                <w:rFonts w:eastAsiaTheme="minorEastAsia" w:cs="Calibri"/>
                <w:color w:val="003C96" w:themeColor="text2"/>
                <w:spacing w:val="-2"/>
                <w:sz w:val="16"/>
                <w:szCs w:val="16"/>
              </w:rPr>
              <w:t>2020 &amp;</w:t>
            </w:r>
            <w:r w:rsidR="00D837BC" w:rsidRPr="00D837BC">
              <w:rPr>
                <w:rFonts w:eastAsiaTheme="minorEastAsia" w:cs="Calibri"/>
                <w:color w:val="003C96" w:themeColor="text2"/>
                <w:spacing w:val="-2"/>
                <w:sz w:val="16"/>
                <w:szCs w:val="16"/>
              </w:rPr>
              <w:t xml:space="preserve">εξόδων προγράμματος αποχώρησης το </w:t>
            </w:r>
            <w:r w:rsidRPr="00D837BC">
              <w:rPr>
                <w:rFonts w:eastAsiaTheme="minorEastAsia" w:cs="Calibri"/>
                <w:color w:val="003C96" w:themeColor="text2"/>
                <w:spacing w:val="-2"/>
                <w:sz w:val="16"/>
                <w:szCs w:val="16"/>
              </w:rPr>
              <w:t>2019</w:t>
            </w:r>
          </w:p>
        </w:tc>
        <w:tc>
          <w:tcPr>
            <w:tcW w:w="487" w:type="pct"/>
            <w:tcBorders>
              <w:left w:val="single" w:sz="4" w:space="0" w:color="FFC000"/>
              <w:right w:val="single" w:sz="4" w:space="0" w:color="FFC000"/>
            </w:tcBorders>
            <w:shd w:val="clear" w:color="auto" w:fill="FFFFFF" w:themeFill="background1"/>
            <w:vAlign w:val="center"/>
          </w:tcPr>
          <w:p w:rsidR="007E4699" w:rsidRPr="007F0F77" w:rsidRDefault="007E4699" w:rsidP="00777DF0">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103</w:t>
            </w:r>
          </w:p>
        </w:tc>
        <w:tc>
          <w:tcPr>
            <w:tcW w:w="487" w:type="pct"/>
            <w:tcBorders>
              <w:left w:val="single" w:sz="4" w:space="0" w:color="FFC000"/>
              <w:right w:val="single" w:sz="4" w:space="0" w:color="FFC000"/>
            </w:tcBorders>
            <w:shd w:val="clear" w:color="auto" w:fill="FFFFFF" w:themeFill="background1"/>
            <w:vAlign w:val="center"/>
          </w:tcPr>
          <w:p w:rsidR="007E4699" w:rsidRPr="00914A62" w:rsidRDefault="007E4699" w:rsidP="00777DF0">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142</w:t>
            </w:r>
          </w:p>
        </w:tc>
        <w:tc>
          <w:tcPr>
            <w:tcW w:w="520" w:type="pct"/>
            <w:tcBorders>
              <w:left w:val="single" w:sz="2" w:space="0" w:color="FFC000"/>
              <w:right w:val="single" w:sz="4" w:space="0" w:color="FFC000"/>
            </w:tcBorders>
            <w:shd w:val="clear" w:color="auto" w:fill="FFFFFF" w:themeFill="background1"/>
            <w:vAlign w:val="center"/>
          </w:tcPr>
          <w:p w:rsidR="007E4699" w:rsidRPr="004F4AFD" w:rsidDel="005B246A" w:rsidRDefault="007E4699" w:rsidP="00777DF0">
            <w:pPr>
              <w:tabs>
                <w:tab w:val="left" w:pos="284"/>
              </w:tabs>
              <w:spacing w:after="0"/>
              <w:jc w:val="right"/>
              <w:rPr>
                <w:rFonts w:eastAsiaTheme="minorEastAsia" w:cs="Calibri"/>
                <w:color w:val="003C96" w:themeColor="text2"/>
                <w:sz w:val="16"/>
                <w:szCs w:val="16"/>
              </w:rPr>
            </w:pPr>
            <w:r>
              <w:rPr>
                <w:rFonts w:eastAsiaTheme="minorEastAsia" w:cs="Calibri"/>
                <w:color w:val="003C96" w:themeColor="text2"/>
                <w:sz w:val="16"/>
                <w:szCs w:val="16"/>
              </w:rPr>
              <w:t>-27%</w:t>
            </w:r>
          </w:p>
        </w:tc>
        <w:tc>
          <w:tcPr>
            <w:tcW w:w="454" w:type="pct"/>
            <w:tcBorders>
              <w:left w:val="single" w:sz="18" w:space="0" w:color="FFC000"/>
              <w:right w:val="single" w:sz="4" w:space="0" w:color="FFC000"/>
            </w:tcBorders>
            <w:shd w:val="clear" w:color="auto" w:fill="FFFFFF" w:themeFill="background1"/>
            <w:vAlign w:val="center"/>
          </w:tcPr>
          <w:p w:rsidR="007E4699" w:rsidRPr="004F4AFD" w:rsidDel="005B246A" w:rsidRDefault="007E4699" w:rsidP="00777DF0">
            <w:pPr>
              <w:tabs>
                <w:tab w:val="left" w:pos="284"/>
              </w:tabs>
              <w:spacing w:after="0"/>
              <w:jc w:val="right"/>
              <w:rPr>
                <w:rFonts w:eastAsiaTheme="minorEastAsia" w:cs="Calibri"/>
                <w:color w:val="003C96" w:themeColor="text2"/>
                <w:sz w:val="16"/>
                <w:szCs w:val="16"/>
              </w:rPr>
            </w:pPr>
            <w:r>
              <w:rPr>
                <w:rFonts w:eastAsiaTheme="minorEastAsia" w:cs="Calibri"/>
                <w:color w:val="003C96" w:themeColor="text2"/>
                <w:sz w:val="16"/>
                <w:szCs w:val="16"/>
                <w:lang w:val="en-US"/>
              </w:rPr>
              <w:t>229</w:t>
            </w:r>
          </w:p>
        </w:tc>
        <w:tc>
          <w:tcPr>
            <w:tcW w:w="487" w:type="pct"/>
            <w:tcBorders>
              <w:left w:val="single" w:sz="4" w:space="0" w:color="FFC000"/>
              <w:right w:val="single" w:sz="4" w:space="0" w:color="FFC000"/>
            </w:tcBorders>
            <w:shd w:val="clear" w:color="auto" w:fill="FFFFFF" w:themeFill="background1"/>
            <w:vAlign w:val="center"/>
          </w:tcPr>
          <w:p w:rsidR="007E4699" w:rsidRPr="004045AC" w:rsidDel="005B246A" w:rsidRDefault="007E4699" w:rsidP="00777DF0">
            <w:pPr>
              <w:tabs>
                <w:tab w:val="left" w:pos="284"/>
              </w:tabs>
              <w:spacing w:after="0"/>
              <w:jc w:val="center"/>
              <w:rPr>
                <w:rFonts w:eastAsiaTheme="minorEastAsia" w:cs="Calibri"/>
                <w:color w:val="003C96" w:themeColor="text2"/>
                <w:sz w:val="16"/>
                <w:szCs w:val="16"/>
                <w:lang w:val="en-US"/>
              </w:rPr>
            </w:pPr>
            <w:r>
              <w:rPr>
                <w:rFonts w:eastAsiaTheme="minorEastAsia" w:cs="Calibri"/>
                <w:color w:val="003C96" w:themeColor="text2"/>
                <w:sz w:val="16"/>
                <w:szCs w:val="16"/>
                <w:lang w:val="en-US"/>
              </w:rPr>
              <w:t xml:space="preserve">          146</w:t>
            </w:r>
          </w:p>
        </w:tc>
        <w:tc>
          <w:tcPr>
            <w:tcW w:w="482" w:type="pct"/>
            <w:tcBorders>
              <w:left w:val="single" w:sz="4" w:space="0" w:color="FFC000"/>
              <w:right w:val="single" w:sz="4" w:space="0" w:color="FFC000"/>
            </w:tcBorders>
            <w:shd w:val="clear" w:color="auto" w:fill="FFFFFF" w:themeFill="background1"/>
            <w:vAlign w:val="center"/>
          </w:tcPr>
          <w:p w:rsidR="007E4699" w:rsidRPr="00744269" w:rsidRDefault="007E4699" w:rsidP="00D837BC">
            <w:pPr>
              <w:tabs>
                <w:tab w:val="left" w:pos="284"/>
              </w:tabs>
              <w:spacing w:after="0"/>
              <w:jc w:val="right"/>
              <w:rPr>
                <w:rFonts w:eastAsiaTheme="minorEastAsia" w:cs="Calibri"/>
                <w:color w:val="003C96" w:themeColor="text2"/>
                <w:sz w:val="16"/>
                <w:szCs w:val="16"/>
                <w:lang w:val="en-US"/>
              </w:rPr>
            </w:pPr>
            <w:r w:rsidRPr="00744269">
              <w:rPr>
                <w:rFonts w:eastAsiaTheme="minorEastAsia" w:cs="Calibri"/>
                <w:color w:val="003C96" w:themeColor="text2"/>
                <w:sz w:val="16"/>
                <w:szCs w:val="16"/>
                <w:lang w:val="en-US"/>
              </w:rPr>
              <w:t>57%</w:t>
            </w:r>
          </w:p>
        </w:tc>
      </w:tr>
      <w:tr w:rsidR="007E4699" w:rsidRPr="00727E7D" w:rsidTr="009A7861">
        <w:trPr>
          <w:trHeight w:val="127"/>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5744FA" w:rsidRDefault="007E4699" w:rsidP="00777DF0">
            <w:pPr>
              <w:tabs>
                <w:tab w:val="left" w:pos="284"/>
              </w:tabs>
              <w:spacing w:after="0"/>
              <w:rPr>
                <w:rFonts w:eastAsiaTheme="minorEastAsia" w:cs="Calibri"/>
                <w:sz w:val="4"/>
                <w:szCs w:val="4"/>
                <w:lang w:val="en-US"/>
              </w:rPr>
            </w:pPr>
          </w:p>
        </w:tc>
        <w:tc>
          <w:tcPr>
            <w:tcW w:w="487" w:type="pct"/>
            <w:tcBorders>
              <w:left w:val="single" w:sz="4"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4"/>
                <w:szCs w:val="4"/>
                <w:lang w:val="en-US"/>
              </w:rPr>
            </w:pPr>
          </w:p>
        </w:tc>
        <w:tc>
          <w:tcPr>
            <w:tcW w:w="487" w:type="pct"/>
            <w:tcBorders>
              <w:left w:val="single" w:sz="4"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4"/>
                <w:szCs w:val="4"/>
                <w:lang w:val="en-US"/>
              </w:rPr>
            </w:pPr>
          </w:p>
        </w:tc>
        <w:tc>
          <w:tcPr>
            <w:tcW w:w="520" w:type="pct"/>
            <w:tcBorders>
              <w:left w:val="single" w:sz="2"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4"/>
                <w:szCs w:val="4"/>
                <w:lang w:val="en-US"/>
              </w:rPr>
            </w:pPr>
          </w:p>
        </w:tc>
        <w:tc>
          <w:tcPr>
            <w:tcW w:w="454" w:type="pct"/>
            <w:tcBorders>
              <w:left w:val="single" w:sz="18"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4"/>
                <w:szCs w:val="4"/>
                <w:lang w:val="en-US"/>
              </w:rPr>
            </w:pPr>
          </w:p>
        </w:tc>
        <w:tc>
          <w:tcPr>
            <w:tcW w:w="487" w:type="pct"/>
            <w:tcBorders>
              <w:left w:val="single" w:sz="4"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4"/>
                <w:szCs w:val="4"/>
                <w:lang w:val="en-US"/>
              </w:rPr>
            </w:pPr>
          </w:p>
        </w:tc>
        <w:tc>
          <w:tcPr>
            <w:tcW w:w="482" w:type="pct"/>
            <w:tcBorders>
              <w:left w:val="single" w:sz="4" w:space="0" w:color="FFC000"/>
              <w:right w:val="single" w:sz="4" w:space="0" w:color="FFC000"/>
            </w:tcBorders>
            <w:shd w:val="clear" w:color="auto" w:fill="FFFFFF" w:themeFill="background1"/>
          </w:tcPr>
          <w:p w:rsidR="007E4699" w:rsidRPr="0052694F" w:rsidRDefault="007E4699" w:rsidP="00777DF0">
            <w:pPr>
              <w:tabs>
                <w:tab w:val="left" w:pos="284"/>
              </w:tabs>
              <w:spacing w:after="0"/>
              <w:jc w:val="right"/>
              <w:rPr>
                <w:rFonts w:eastAsiaTheme="minorEastAsia" w:cs="Calibri"/>
                <w:color w:val="FF0000"/>
                <w:sz w:val="4"/>
                <w:szCs w:val="4"/>
                <w:lang w:val="en-US"/>
              </w:rPr>
            </w:pPr>
          </w:p>
        </w:tc>
      </w:tr>
      <w:tr w:rsidR="007E4699" w:rsidRPr="00727E7D" w:rsidTr="009A7861">
        <w:trPr>
          <w:trHeight w:val="280"/>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5744FA" w:rsidRDefault="00D837BC" w:rsidP="00777DF0">
            <w:pPr>
              <w:tabs>
                <w:tab w:val="left" w:pos="284"/>
              </w:tabs>
              <w:spacing w:after="0"/>
              <w:rPr>
                <w:rFonts w:eastAsiaTheme="minorEastAsia" w:cs="Calibri"/>
                <w:sz w:val="16"/>
                <w:szCs w:val="16"/>
                <w:lang w:val="en-US"/>
              </w:rPr>
            </w:pPr>
            <w:r w:rsidRPr="007316DD">
              <w:rPr>
                <w:rFonts w:eastAsiaTheme="minorEastAsia" w:cs="Calibri"/>
                <w:sz w:val="16"/>
                <w:szCs w:val="16"/>
              </w:rPr>
              <w:t>Φόρος Εισοδήματος</w:t>
            </w:r>
          </w:p>
        </w:tc>
        <w:tc>
          <w:tcPr>
            <w:tcW w:w="487" w:type="pct"/>
            <w:tcBorders>
              <w:left w:val="single" w:sz="4" w:space="0" w:color="FFC000"/>
              <w:right w:val="single" w:sz="4" w:space="0" w:color="FFC000"/>
            </w:tcBorders>
            <w:shd w:val="clear" w:color="auto" w:fill="FFFFFF" w:themeFill="background1"/>
            <w:vAlign w:val="center"/>
          </w:tcPr>
          <w:p w:rsidR="007E4699" w:rsidRPr="004F4AFD" w:rsidRDefault="007E4699" w:rsidP="00777DF0">
            <w:pPr>
              <w:tabs>
                <w:tab w:val="left" w:pos="284"/>
              </w:tabs>
              <w:spacing w:after="0"/>
              <w:jc w:val="right"/>
              <w:rPr>
                <w:rFonts w:eastAsiaTheme="minorEastAsia" w:cs="Calibri"/>
                <w:sz w:val="16"/>
                <w:szCs w:val="16"/>
                <w:lang w:val="en-US"/>
              </w:rPr>
            </w:pPr>
            <w:r w:rsidRPr="004F4AFD">
              <w:rPr>
                <w:rFonts w:eastAsiaTheme="minorEastAsia" w:cs="Calibri"/>
                <w:sz w:val="16"/>
                <w:szCs w:val="16"/>
                <w:lang w:val="en-US"/>
              </w:rPr>
              <w:t>(</w:t>
            </w:r>
            <w:r>
              <w:rPr>
                <w:rFonts w:eastAsiaTheme="minorEastAsia" w:cs="Calibri"/>
                <w:sz w:val="16"/>
                <w:szCs w:val="16"/>
                <w:lang w:val="en-US"/>
              </w:rPr>
              <w:t>79</w:t>
            </w:r>
            <w:r w:rsidRPr="004F4AFD">
              <w:rPr>
                <w:rFonts w:eastAsiaTheme="minorEastAsia" w:cs="Calibri"/>
                <w:sz w:val="16"/>
                <w:szCs w:val="16"/>
                <w:lang w:val="en-US"/>
              </w:rPr>
              <w:t>)</w:t>
            </w:r>
          </w:p>
        </w:tc>
        <w:tc>
          <w:tcPr>
            <w:tcW w:w="487" w:type="pct"/>
            <w:tcBorders>
              <w:left w:val="single" w:sz="4" w:space="0" w:color="FFC000"/>
              <w:right w:val="single" w:sz="4" w:space="0" w:color="FFC000"/>
            </w:tcBorders>
            <w:shd w:val="clear" w:color="auto" w:fill="FFFFFF" w:themeFill="background1"/>
            <w:vAlign w:val="center"/>
          </w:tcPr>
          <w:p w:rsidR="007E4699" w:rsidRPr="004F4AFD" w:rsidRDefault="007E4699" w:rsidP="00777DF0">
            <w:pPr>
              <w:tabs>
                <w:tab w:val="left" w:pos="284"/>
              </w:tabs>
              <w:spacing w:after="0"/>
              <w:jc w:val="right"/>
              <w:rPr>
                <w:rFonts w:eastAsiaTheme="minorEastAsia" w:cs="Calibri"/>
                <w:sz w:val="16"/>
                <w:szCs w:val="16"/>
                <w:lang w:val="en-US"/>
              </w:rPr>
            </w:pPr>
            <w:r w:rsidRPr="004F4AFD">
              <w:rPr>
                <w:rFonts w:eastAsiaTheme="minorEastAsia" w:cs="Calibri"/>
                <w:sz w:val="16"/>
                <w:szCs w:val="16"/>
                <w:lang w:val="en-US"/>
              </w:rPr>
              <w:t>(</w:t>
            </w:r>
            <w:r>
              <w:rPr>
                <w:rFonts w:eastAsiaTheme="minorEastAsia" w:cs="Calibri"/>
                <w:sz w:val="16"/>
                <w:szCs w:val="16"/>
                <w:lang w:val="en-US"/>
              </w:rPr>
              <w:t>41</w:t>
            </w:r>
            <w:r w:rsidRPr="004F4AFD">
              <w:rPr>
                <w:rFonts w:eastAsiaTheme="minorEastAsia" w:cs="Calibri"/>
                <w:sz w:val="16"/>
                <w:szCs w:val="16"/>
                <w:lang w:val="en-US"/>
              </w:rPr>
              <w:t>)</w:t>
            </w:r>
          </w:p>
        </w:tc>
        <w:tc>
          <w:tcPr>
            <w:tcW w:w="520" w:type="pct"/>
            <w:tcBorders>
              <w:left w:val="single" w:sz="2" w:space="0" w:color="FFC000"/>
              <w:right w:val="single" w:sz="4" w:space="0" w:color="FFC000"/>
            </w:tcBorders>
            <w:shd w:val="clear" w:color="auto" w:fill="FFFFFF" w:themeFill="background1"/>
            <w:vAlign w:val="center"/>
          </w:tcPr>
          <w:p w:rsidR="007E4699" w:rsidRPr="004F4AFD" w:rsidRDefault="007E4699" w:rsidP="00777DF0">
            <w:pPr>
              <w:tabs>
                <w:tab w:val="left" w:pos="284"/>
              </w:tabs>
              <w:spacing w:after="0"/>
              <w:jc w:val="right"/>
              <w:rPr>
                <w:rFonts w:eastAsiaTheme="minorEastAsia" w:cs="Calibri"/>
                <w:sz w:val="16"/>
                <w:szCs w:val="16"/>
                <w:lang w:val="en-US"/>
              </w:rPr>
            </w:pPr>
            <w:r>
              <w:rPr>
                <w:rFonts w:eastAsiaTheme="minorEastAsia" w:cs="Calibri"/>
                <w:sz w:val="16"/>
                <w:szCs w:val="16"/>
                <w:lang w:val="en-US"/>
              </w:rPr>
              <w:t>93%</w:t>
            </w:r>
          </w:p>
        </w:tc>
        <w:tc>
          <w:tcPr>
            <w:tcW w:w="454" w:type="pct"/>
            <w:tcBorders>
              <w:left w:val="single" w:sz="18" w:space="0" w:color="FFC000"/>
              <w:right w:val="single" w:sz="4" w:space="0" w:color="FFC000"/>
            </w:tcBorders>
            <w:shd w:val="clear" w:color="auto" w:fill="FFFFFF" w:themeFill="background1"/>
            <w:vAlign w:val="center"/>
          </w:tcPr>
          <w:p w:rsidR="007E4699" w:rsidRPr="004F4AFD" w:rsidRDefault="007E4699" w:rsidP="00777DF0">
            <w:pPr>
              <w:tabs>
                <w:tab w:val="left" w:pos="284"/>
              </w:tabs>
              <w:spacing w:after="0"/>
              <w:jc w:val="right"/>
              <w:rPr>
                <w:rFonts w:eastAsiaTheme="minorEastAsia" w:cs="Calibri"/>
                <w:sz w:val="16"/>
                <w:szCs w:val="16"/>
                <w:lang w:val="en-US"/>
              </w:rPr>
            </w:pPr>
            <w:r>
              <w:rPr>
                <w:rFonts w:eastAsiaTheme="minorEastAsia" w:cs="Calibri"/>
                <w:sz w:val="16"/>
                <w:szCs w:val="16"/>
                <w:lang w:val="en-US"/>
              </w:rPr>
              <w:t>(10)</w:t>
            </w:r>
          </w:p>
        </w:tc>
        <w:tc>
          <w:tcPr>
            <w:tcW w:w="487" w:type="pct"/>
            <w:tcBorders>
              <w:left w:val="single" w:sz="4" w:space="0" w:color="FFC000"/>
              <w:right w:val="single" w:sz="4" w:space="0" w:color="FFC000"/>
            </w:tcBorders>
            <w:shd w:val="clear" w:color="auto" w:fill="FFFFFF" w:themeFill="background1"/>
            <w:vAlign w:val="center"/>
          </w:tcPr>
          <w:p w:rsidR="007E4699" w:rsidRPr="004F4AFD" w:rsidRDefault="007E4699" w:rsidP="00777DF0">
            <w:pPr>
              <w:tabs>
                <w:tab w:val="left" w:pos="284"/>
              </w:tabs>
              <w:spacing w:after="0"/>
              <w:jc w:val="right"/>
              <w:rPr>
                <w:rFonts w:eastAsiaTheme="minorEastAsia" w:cs="Calibri"/>
                <w:sz w:val="16"/>
                <w:szCs w:val="16"/>
                <w:lang w:val="en-US"/>
              </w:rPr>
            </w:pPr>
            <w:r>
              <w:rPr>
                <w:rFonts w:eastAsiaTheme="minorEastAsia" w:cs="Calibri"/>
                <w:sz w:val="16"/>
                <w:szCs w:val="16"/>
                <w:lang w:val="en-US"/>
              </w:rPr>
              <w:t>(35)</w:t>
            </w:r>
          </w:p>
        </w:tc>
        <w:tc>
          <w:tcPr>
            <w:tcW w:w="482" w:type="pct"/>
            <w:tcBorders>
              <w:left w:val="single" w:sz="4" w:space="0" w:color="FFC000"/>
              <w:right w:val="single" w:sz="4" w:space="0" w:color="FFC000"/>
            </w:tcBorders>
            <w:shd w:val="clear" w:color="auto" w:fill="FFFFFF" w:themeFill="background1"/>
          </w:tcPr>
          <w:p w:rsidR="007E4699" w:rsidRPr="0052694F" w:rsidRDefault="007E4699" w:rsidP="00777DF0">
            <w:pPr>
              <w:tabs>
                <w:tab w:val="left" w:pos="284"/>
              </w:tabs>
              <w:spacing w:after="0"/>
              <w:jc w:val="right"/>
              <w:rPr>
                <w:rFonts w:eastAsiaTheme="minorEastAsia" w:cs="Calibri"/>
                <w:color w:val="FF0000"/>
                <w:sz w:val="16"/>
                <w:szCs w:val="16"/>
                <w:lang w:val="en-US"/>
              </w:rPr>
            </w:pPr>
            <w:r w:rsidRPr="00B710C6">
              <w:rPr>
                <w:rFonts w:eastAsiaTheme="minorEastAsia" w:cs="Calibri"/>
                <w:color w:val="000000" w:themeColor="text1"/>
                <w:sz w:val="16"/>
                <w:szCs w:val="16"/>
                <w:lang w:val="en-US"/>
              </w:rPr>
              <w:t>-71%</w:t>
            </w:r>
          </w:p>
        </w:tc>
      </w:tr>
      <w:tr w:rsidR="007E4699" w:rsidRPr="00727E7D" w:rsidTr="009A7861">
        <w:trPr>
          <w:trHeight w:val="147"/>
        </w:trPr>
        <w:tc>
          <w:tcPr>
            <w:tcW w:w="2084" w:type="pct"/>
            <w:tcBorders>
              <w:left w:val="single" w:sz="4" w:space="0" w:color="FFC000"/>
              <w:right w:val="single" w:sz="4" w:space="0" w:color="FFC000"/>
            </w:tcBorders>
            <w:shd w:val="clear" w:color="auto" w:fill="FFFFFF" w:themeFill="background1"/>
            <w:tcMar>
              <w:right w:w="113" w:type="dxa"/>
            </w:tcMar>
            <w:vAlign w:val="center"/>
          </w:tcPr>
          <w:p w:rsidR="007E4699" w:rsidRPr="005744FA" w:rsidRDefault="007E4699" w:rsidP="00777DF0">
            <w:pPr>
              <w:tabs>
                <w:tab w:val="left" w:pos="284"/>
              </w:tabs>
              <w:spacing w:after="0"/>
              <w:rPr>
                <w:rFonts w:eastAsiaTheme="minorEastAsia" w:cs="Calibri"/>
                <w:color w:val="003C96" w:themeColor="text2"/>
                <w:sz w:val="4"/>
                <w:szCs w:val="4"/>
                <w:lang w:val="en-US"/>
              </w:rPr>
            </w:pPr>
          </w:p>
        </w:tc>
        <w:tc>
          <w:tcPr>
            <w:tcW w:w="487" w:type="pct"/>
            <w:tcBorders>
              <w:left w:val="single" w:sz="4"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4"/>
                <w:szCs w:val="4"/>
                <w:highlight w:val="green"/>
                <w:lang w:val="en-US"/>
              </w:rPr>
            </w:pPr>
          </w:p>
        </w:tc>
        <w:tc>
          <w:tcPr>
            <w:tcW w:w="487" w:type="pct"/>
            <w:tcBorders>
              <w:left w:val="single" w:sz="4"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4"/>
                <w:szCs w:val="4"/>
                <w:highlight w:val="green"/>
                <w:lang w:val="en-US"/>
              </w:rPr>
            </w:pPr>
          </w:p>
        </w:tc>
        <w:tc>
          <w:tcPr>
            <w:tcW w:w="520" w:type="pct"/>
            <w:tcBorders>
              <w:left w:val="single" w:sz="2"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4"/>
                <w:szCs w:val="4"/>
                <w:lang w:val="en-US"/>
              </w:rPr>
            </w:pPr>
          </w:p>
        </w:tc>
        <w:tc>
          <w:tcPr>
            <w:tcW w:w="454" w:type="pct"/>
            <w:tcBorders>
              <w:left w:val="single" w:sz="18"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4"/>
                <w:szCs w:val="4"/>
                <w:lang w:val="en-US"/>
              </w:rPr>
            </w:pPr>
          </w:p>
        </w:tc>
        <w:tc>
          <w:tcPr>
            <w:tcW w:w="487" w:type="pct"/>
            <w:tcBorders>
              <w:left w:val="single" w:sz="4"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4"/>
                <w:szCs w:val="4"/>
                <w:lang w:val="en-US"/>
              </w:rPr>
            </w:pPr>
          </w:p>
        </w:tc>
        <w:tc>
          <w:tcPr>
            <w:tcW w:w="482" w:type="pct"/>
            <w:tcBorders>
              <w:left w:val="single" w:sz="4" w:space="0" w:color="FFC000"/>
              <w:right w:val="single" w:sz="4" w:space="0" w:color="FFC000"/>
            </w:tcBorders>
            <w:shd w:val="clear" w:color="auto" w:fill="FFFFFF" w:themeFill="background1"/>
          </w:tcPr>
          <w:p w:rsidR="007E4699" w:rsidRPr="00744269" w:rsidRDefault="007E4699" w:rsidP="00777DF0">
            <w:pPr>
              <w:tabs>
                <w:tab w:val="left" w:pos="284"/>
              </w:tabs>
              <w:spacing w:after="0"/>
              <w:jc w:val="right"/>
              <w:rPr>
                <w:rFonts w:eastAsiaTheme="minorEastAsia" w:cs="Calibri"/>
                <w:color w:val="FF0000"/>
                <w:sz w:val="4"/>
                <w:szCs w:val="4"/>
                <w:lang w:val="en-US"/>
              </w:rPr>
            </w:pPr>
          </w:p>
        </w:tc>
      </w:tr>
      <w:tr w:rsidR="00D837BC" w:rsidRPr="00037376" w:rsidTr="009A7861">
        <w:trPr>
          <w:trHeight w:val="280"/>
        </w:trPr>
        <w:tc>
          <w:tcPr>
            <w:tcW w:w="2084" w:type="pct"/>
            <w:tcBorders>
              <w:left w:val="single" w:sz="4" w:space="0" w:color="FFC000"/>
              <w:right w:val="single" w:sz="4" w:space="0" w:color="FFC000"/>
            </w:tcBorders>
            <w:shd w:val="clear" w:color="auto" w:fill="FFFFFF" w:themeFill="background1"/>
            <w:tcMar>
              <w:right w:w="113" w:type="dxa"/>
            </w:tcMar>
            <w:vAlign w:val="center"/>
          </w:tcPr>
          <w:p w:rsidR="00D837BC" w:rsidRPr="005744FA" w:rsidRDefault="00D837BC" w:rsidP="00D837BC">
            <w:pPr>
              <w:tabs>
                <w:tab w:val="left" w:pos="284"/>
              </w:tabs>
              <w:spacing w:after="0"/>
              <w:rPr>
                <w:rFonts w:eastAsiaTheme="minorEastAsia" w:cs="Calibri"/>
                <w:color w:val="003C96" w:themeColor="text2"/>
                <w:sz w:val="16"/>
                <w:szCs w:val="16"/>
                <w:lang w:val="en-US"/>
              </w:rPr>
            </w:pPr>
            <w:r w:rsidRPr="007316DD">
              <w:rPr>
                <w:rFonts w:eastAsiaTheme="minorEastAsia" w:cs="Calibri"/>
                <w:color w:val="003C96" w:themeColor="text2"/>
                <w:sz w:val="16"/>
                <w:szCs w:val="16"/>
              </w:rPr>
              <w:t>Καθαρά Αποτελέσματα</w:t>
            </w:r>
          </w:p>
        </w:tc>
        <w:tc>
          <w:tcPr>
            <w:tcW w:w="487" w:type="pct"/>
            <w:tcBorders>
              <w:left w:val="single" w:sz="4" w:space="0" w:color="FFC000"/>
              <w:right w:val="single" w:sz="4" w:space="0" w:color="FFC000"/>
            </w:tcBorders>
            <w:shd w:val="clear" w:color="auto" w:fill="FFFFFF" w:themeFill="background1"/>
            <w:vAlign w:val="center"/>
          </w:tcPr>
          <w:p w:rsidR="00D837BC" w:rsidRPr="00037376" w:rsidRDefault="00D837BC" w:rsidP="00D837BC">
            <w:pPr>
              <w:tabs>
                <w:tab w:val="left" w:pos="284"/>
              </w:tabs>
              <w:spacing w:after="0"/>
              <w:jc w:val="right"/>
              <w:rPr>
                <w:rFonts w:eastAsiaTheme="minorEastAsia" w:cs="Calibri"/>
                <w:color w:val="003C96" w:themeColor="text2"/>
                <w:sz w:val="16"/>
                <w:szCs w:val="16"/>
                <w:lang w:val="en-GB"/>
              </w:rPr>
            </w:pPr>
            <w:r w:rsidRPr="00B710C6">
              <w:rPr>
                <w:rFonts w:eastAsiaTheme="minorEastAsia" w:cs="Calibri"/>
                <w:color w:val="003C96" w:themeColor="text2"/>
                <w:sz w:val="16"/>
                <w:szCs w:val="16"/>
                <w:lang w:val="en-GB"/>
              </w:rPr>
              <w:t>1</w:t>
            </w:r>
          </w:p>
        </w:tc>
        <w:tc>
          <w:tcPr>
            <w:tcW w:w="487" w:type="pct"/>
            <w:tcBorders>
              <w:left w:val="single" w:sz="4" w:space="0" w:color="FFC000"/>
              <w:right w:val="single" w:sz="4" w:space="0" w:color="FFC000"/>
            </w:tcBorders>
            <w:shd w:val="clear" w:color="auto" w:fill="FFFFFF" w:themeFill="background1"/>
            <w:vAlign w:val="center"/>
          </w:tcPr>
          <w:p w:rsidR="00D837BC" w:rsidRPr="00AE3C09" w:rsidRDefault="00D837BC" w:rsidP="00D837BC">
            <w:pPr>
              <w:tabs>
                <w:tab w:val="left" w:pos="284"/>
              </w:tabs>
              <w:spacing w:after="0"/>
              <w:jc w:val="right"/>
              <w:rPr>
                <w:rFonts w:eastAsiaTheme="minorEastAsia" w:cs="Calibri"/>
                <w:color w:val="003C96" w:themeColor="text2"/>
                <w:sz w:val="16"/>
                <w:szCs w:val="16"/>
                <w:vertAlign w:val="superscript"/>
                <w:lang w:val="en-GB"/>
              </w:rPr>
            </w:pPr>
            <w:r>
              <w:rPr>
                <w:rFonts w:eastAsiaTheme="minorEastAsia" w:cs="Calibri"/>
                <w:color w:val="003C96" w:themeColor="text2"/>
                <w:sz w:val="16"/>
                <w:szCs w:val="16"/>
                <w:lang w:val="en-GB"/>
              </w:rPr>
              <w:t>82</w:t>
            </w:r>
          </w:p>
        </w:tc>
        <w:tc>
          <w:tcPr>
            <w:tcW w:w="520" w:type="pct"/>
            <w:tcBorders>
              <w:left w:val="single" w:sz="2" w:space="0" w:color="FFC000"/>
              <w:right w:val="single" w:sz="4" w:space="0" w:color="FFC000"/>
            </w:tcBorders>
            <w:shd w:val="clear" w:color="auto" w:fill="FFFFFF" w:themeFill="background1"/>
            <w:vAlign w:val="center"/>
          </w:tcPr>
          <w:p w:rsidR="00D837BC" w:rsidRPr="00B710C6" w:rsidRDefault="00D837BC" w:rsidP="00D837BC">
            <w:pPr>
              <w:tabs>
                <w:tab w:val="left" w:pos="284"/>
              </w:tabs>
              <w:spacing w:after="0"/>
              <w:jc w:val="right"/>
              <w:rPr>
                <w:rFonts w:eastAsiaTheme="minorEastAsia" w:cs="Calibri"/>
                <w:color w:val="003C96" w:themeColor="text2"/>
                <w:sz w:val="16"/>
                <w:szCs w:val="16"/>
                <w:lang w:val="en-GB"/>
              </w:rPr>
            </w:pPr>
            <w:r w:rsidRPr="00B710C6">
              <w:rPr>
                <w:rFonts w:eastAsiaTheme="minorEastAsia" w:cs="Calibri"/>
                <w:color w:val="003C96" w:themeColor="text2"/>
                <w:sz w:val="16"/>
                <w:szCs w:val="16"/>
                <w:lang w:val="en-GB"/>
              </w:rPr>
              <w:t>-99%</w:t>
            </w:r>
          </w:p>
        </w:tc>
        <w:tc>
          <w:tcPr>
            <w:tcW w:w="454" w:type="pct"/>
            <w:tcBorders>
              <w:left w:val="single" w:sz="18" w:space="0" w:color="FFC000"/>
              <w:right w:val="single" w:sz="4" w:space="0" w:color="FFC000"/>
            </w:tcBorders>
            <w:shd w:val="clear" w:color="auto" w:fill="FFFFFF" w:themeFill="background1"/>
            <w:vAlign w:val="center"/>
          </w:tcPr>
          <w:p w:rsidR="00D837BC" w:rsidRPr="00AE3C09" w:rsidRDefault="00D837BC" w:rsidP="00D837BC">
            <w:pPr>
              <w:tabs>
                <w:tab w:val="left" w:pos="284"/>
              </w:tabs>
              <w:spacing w:after="0"/>
              <w:jc w:val="right"/>
              <w:rPr>
                <w:rFonts w:eastAsiaTheme="minorEastAsia" w:cs="Calibri"/>
                <w:color w:val="003C96" w:themeColor="text2"/>
                <w:sz w:val="16"/>
                <w:szCs w:val="16"/>
                <w:vertAlign w:val="superscript"/>
                <w:lang w:val="en-GB"/>
              </w:rPr>
            </w:pPr>
            <w:r>
              <w:rPr>
                <w:rFonts w:eastAsiaTheme="minorEastAsia" w:cs="Calibri"/>
                <w:color w:val="003C96" w:themeColor="text2"/>
                <w:sz w:val="16"/>
                <w:szCs w:val="16"/>
                <w:lang w:val="en-GB"/>
              </w:rPr>
              <w:t>(150)</w:t>
            </w:r>
            <w:r>
              <w:rPr>
                <w:rFonts w:eastAsiaTheme="minorEastAsia" w:cs="Calibri"/>
                <w:color w:val="003C96" w:themeColor="text2"/>
                <w:sz w:val="16"/>
                <w:szCs w:val="16"/>
                <w:vertAlign w:val="superscript"/>
                <w:lang w:val="en-GB"/>
              </w:rPr>
              <w:t>2</w:t>
            </w:r>
          </w:p>
        </w:tc>
        <w:tc>
          <w:tcPr>
            <w:tcW w:w="487" w:type="pct"/>
            <w:tcBorders>
              <w:left w:val="single" w:sz="4" w:space="0" w:color="FFC000"/>
              <w:right w:val="single" w:sz="4" w:space="0" w:color="FFC000"/>
            </w:tcBorders>
            <w:shd w:val="clear" w:color="auto" w:fill="FFFFFF" w:themeFill="background1"/>
            <w:vAlign w:val="center"/>
          </w:tcPr>
          <w:p w:rsidR="00D837BC" w:rsidRPr="00037376" w:rsidRDefault="00D837BC" w:rsidP="00D837BC">
            <w:pPr>
              <w:tabs>
                <w:tab w:val="left" w:pos="284"/>
              </w:tabs>
              <w:spacing w:after="0"/>
              <w:jc w:val="right"/>
              <w:rPr>
                <w:rFonts w:eastAsiaTheme="minorEastAsia" w:cs="Calibri"/>
                <w:color w:val="003C96" w:themeColor="text2"/>
                <w:sz w:val="16"/>
                <w:szCs w:val="16"/>
                <w:lang w:val="en-GB"/>
              </w:rPr>
            </w:pPr>
            <w:r w:rsidRPr="00B710C6">
              <w:rPr>
                <w:rFonts w:eastAsiaTheme="minorEastAsia" w:cs="Calibri"/>
                <w:color w:val="003C96" w:themeColor="text2"/>
                <w:sz w:val="16"/>
                <w:szCs w:val="16"/>
                <w:lang w:val="en-GB"/>
              </w:rPr>
              <w:t>87</w:t>
            </w:r>
          </w:p>
        </w:tc>
        <w:tc>
          <w:tcPr>
            <w:tcW w:w="482" w:type="pct"/>
            <w:tcBorders>
              <w:left w:val="single" w:sz="4" w:space="0" w:color="FFC000"/>
              <w:right w:val="single" w:sz="4" w:space="0" w:color="FFC000"/>
            </w:tcBorders>
            <w:shd w:val="clear" w:color="auto" w:fill="FFFFFF" w:themeFill="background1"/>
          </w:tcPr>
          <w:p w:rsidR="00D837BC" w:rsidRPr="00744269" w:rsidRDefault="00D837BC" w:rsidP="00D837BC">
            <w:pPr>
              <w:tabs>
                <w:tab w:val="left" w:pos="284"/>
              </w:tabs>
              <w:spacing w:after="0"/>
              <w:jc w:val="right"/>
              <w:rPr>
                <w:rFonts w:eastAsiaTheme="minorEastAsia" w:cs="Calibri"/>
                <w:color w:val="003C96" w:themeColor="text2"/>
                <w:sz w:val="16"/>
                <w:szCs w:val="16"/>
                <w:lang w:val="en-GB"/>
              </w:rPr>
            </w:pPr>
            <w:r w:rsidRPr="00744269">
              <w:rPr>
                <w:rFonts w:eastAsiaTheme="minorEastAsia" w:cs="Calibri"/>
                <w:color w:val="003C96" w:themeColor="text2"/>
                <w:sz w:val="16"/>
                <w:szCs w:val="16"/>
                <w:lang w:val="en-GB"/>
              </w:rPr>
              <w:t>-</w:t>
            </w:r>
          </w:p>
        </w:tc>
      </w:tr>
      <w:tr w:rsidR="00D837BC" w:rsidRPr="00037376" w:rsidTr="009A7861">
        <w:trPr>
          <w:trHeight w:val="280"/>
        </w:trPr>
        <w:tc>
          <w:tcPr>
            <w:tcW w:w="2084" w:type="pct"/>
            <w:tcBorders>
              <w:left w:val="single" w:sz="4" w:space="0" w:color="FFC000"/>
              <w:right w:val="single" w:sz="4" w:space="0" w:color="FFC000"/>
            </w:tcBorders>
            <w:shd w:val="clear" w:color="auto" w:fill="FFFFFF" w:themeFill="background1"/>
            <w:tcMar>
              <w:right w:w="113" w:type="dxa"/>
            </w:tcMar>
            <w:vAlign w:val="center"/>
          </w:tcPr>
          <w:p w:rsidR="00D837BC" w:rsidRPr="00D837BC" w:rsidRDefault="00D837BC" w:rsidP="00D837BC">
            <w:pPr>
              <w:tabs>
                <w:tab w:val="left" w:pos="284"/>
              </w:tabs>
              <w:spacing w:after="0"/>
              <w:rPr>
                <w:rFonts w:eastAsiaTheme="minorEastAsia" w:cs="Calibri"/>
                <w:color w:val="003C96" w:themeColor="text2"/>
                <w:sz w:val="16"/>
                <w:szCs w:val="16"/>
              </w:rPr>
            </w:pPr>
            <w:r w:rsidRPr="007316DD">
              <w:rPr>
                <w:rFonts w:eastAsiaTheme="minorEastAsia" w:cs="Calibri"/>
                <w:color w:val="003C96" w:themeColor="text2"/>
                <w:sz w:val="16"/>
                <w:szCs w:val="16"/>
              </w:rPr>
              <w:t>Αποτελέσματα Μετόχων από Συνεχ. Δραστ/τες</w:t>
            </w:r>
          </w:p>
        </w:tc>
        <w:tc>
          <w:tcPr>
            <w:tcW w:w="487" w:type="pct"/>
            <w:tcBorders>
              <w:left w:val="single" w:sz="4" w:space="0" w:color="FFC000"/>
              <w:right w:val="single" w:sz="4" w:space="0" w:color="FFC000"/>
            </w:tcBorders>
            <w:shd w:val="clear" w:color="auto" w:fill="FFFFFF" w:themeFill="background1"/>
            <w:vAlign w:val="center"/>
          </w:tcPr>
          <w:p w:rsidR="00D837BC" w:rsidRPr="00037376" w:rsidRDefault="00D837BC" w:rsidP="00D837BC">
            <w:pPr>
              <w:tabs>
                <w:tab w:val="left" w:pos="284"/>
              </w:tabs>
              <w:spacing w:after="0"/>
              <w:jc w:val="right"/>
              <w:rPr>
                <w:rFonts w:eastAsiaTheme="minorEastAsia" w:cs="Calibri"/>
                <w:color w:val="003C96" w:themeColor="text2"/>
                <w:sz w:val="16"/>
                <w:szCs w:val="16"/>
                <w:lang w:val="en-GB"/>
              </w:rPr>
            </w:pPr>
            <w:r>
              <w:rPr>
                <w:rFonts w:eastAsiaTheme="minorEastAsia" w:cs="Calibri"/>
                <w:color w:val="003C96" w:themeColor="text2"/>
                <w:sz w:val="16"/>
                <w:szCs w:val="16"/>
                <w:lang w:val="en-GB"/>
              </w:rPr>
              <w:t>3</w:t>
            </w:r>
          </w:p>
        </w:tc>
        <w:tc>
          <w:tcPr>
            <w:tcW w:w="487" w:type="pct"/>
            <w:tcBorders>
              <w:left w:val="single" w:sz="4" w:space="0" w:color="FFC000"/>
              <w:right w:val="single" w:sz="4" w:space="0" w:color="FFC000"/>
            </w:tcBorders>
            <w:shd w:val="clear" w:color="auto" w:fill="FFFFFF" w:themeFill="background1"/>
            <w:vAlign w:val="center"/>
          </w:tcPr>
          <w:p w:rsidR="00D837BC" w:rsidRPr="00AE3C09" w:rsidRDefault="00D837BC" w:rsidP="00D837BC">
            <w:pPr>
              <w:tabs>
                <w:tab w:val="left" w:pos="284"/>
              </w:tabs>
              <w:spacing w:after="0"/>
              <w:jc w:val="right"/>
              <w:rPr>
                <w:rFonts w:eastAsiaTheme="minorEastAsia" w:cs="Calibri"/>
                <w:color w:val="003C96" w:themeColor="text2"/>
                <w:sz w:val="16"/>
                <w:szCs w:val="16"/>
                <w:vertAlign w:val="superscript"/>
                <w:lang w:val="en-GB"/>
              </w:rPr>
            </w:pPr>
            <w:r>
              <w:rPr>
                <w:rFonts w:eastAsiaTheme="minorEastAsia" w:cs="Calibri"/>
                <w:color w:val="003C96" w:themeColor="text2"/>
                <w:sz w:val="16"/>
                <w:szCs w:val="16"/>
                <w:lang w:val="en-GB"/>
              </w:rPr>
              <w:t>85</w:t>
            </w:r>
          </w:p>
        </w:tc>
        <w:tc>
          <w:tcPr>
            <w:tcW w:w="520" w:type="pct"/>
            <w:tcBorders>
              <w:left w:val="single" w:sz="2" w:space="0" w:color="FFC000"/>
              <w:right w:val="single" w:sz="4" w:space="0" w:color="FFC000"/>
            </w:tcBorders>
            <w:shd w:val="clear" w:color="auto" w:fill="FFFFFF" w:themeFill="background1"/>
            <w:vAlign w:val="center"/>
          </w:tcPr>
          <w:p w:rsidR="00D837BC" w:rsidRPr="00B710C6" w:rsidRDefault="00D837BC" w:rsidP="00D837BC">
            <w:pPr>
              <w:tabs>
                <w:tab w:val="left" w:pos="284"/>
              </w:tabs>
              <w:spacing w:after="0"/>
              <w:jc w:val="right"/>
              <w:rPr>
                <w:rFonts w:eastAsiaTheme="minorEastAsia" w:cs="Calibri"/>
                <w:color w:val="003C96" w:themeColor="text2"/>
                <w:sz w:val="16"/>
                <w:szCs w:val="16"/>
                <w:lang w:val="en-GB"/>
              </w:rPr>
            </w:pPr>
            <w:r w:rsidRPr="00B710C6">
              <w:rPr>
                <w:rFonts w:eastAsiaTheme="minorEastAsia" w:cs="Calibri"/>
                <w:color w:val="003C96" w:themeColor="text2"/>
                <w:sz w:val="16"/>
                <w:szCs w:val="16"/>
                <w:lang w:val="en-GB"/>
              </w:rPr>
              <w:t>-96%</w:t>
            </w:r>
          </w:p>
        </w:tc>
        <w:tc>
          <w:tcPr>
            <w:tcW w:w="454" w:type="pct"/>
            <w:tcBorders>
              <w:left w:val="single" w:sz="18" w:space="0" w:color="FFC000"/>
              <w:right w:val="single" w:sz="4" w:space="0" w:color="FFC000"/>
            </w:tcBorders>
            <w:shd w:val="clear" w:color="auto" w:fill="FFFFFF" w:themeFill="background1"/>
            <w:vAlign w:val="center"/>
          </w:tcPr>
          <w:p w:rsidR="00D837BC" w:rsidRPr="00AE3C09" w:rsidRDefault="00D837BC" w:rsidP="00BF551D">
            <w:pPr>
              <w:tabs>
                <w:tab w:val="left" w:pos="284"/>
              </w:tabs>
              <w:spacing w:after="0"/>
              <w:jc w:val="right"/>
              <w:rPr>
                <w:rFonts w:eastAsiaTheme="minorEastAsia" w:cs="Calibri"/>
                <w:color w:val="003C96" w:themeColor="text2"/>
                <w:sz w:val="16"/>
                <w:szCs w:val="16"/>
                <w:vertAlign w:val="superscript"/>
                <w:lang w:val="en-GB"/>
              </w:rPr>
            </w:pPr>
            <w:r>
              <w:rPr>
                <w:rFonts w:eastAsiaTheme="minorEastAsia" w:cs="Calibri"/>
                <w:color w:val="003C96" w:themeColor="text2"/>
                <w:sz w:val="16"/>
                <w:szCs w:val="16"/>
                <w:lang w:val="en-GB"/>
              </w:rPr>
              <w:t>(14</w:t>
            </w:r>
            <w:r w:rsidR="00BF551D">
              <w:rPr>
                <w:rFonts w:eastAsiaTheme="minorEastAsia" w:cs="Calibri"/>
                <w:color w:val="003C96" w:themeColor="text2"/>
                <w:sz w:val="16"/>
                <w:szCs w:val="16"/>
                <w:lang w:val="en-GB"/>
              </w:rPr>
              <w:t>2</w:t>
            </w:r>
            <w:r>
              <w:rPr>
                <w:rFonts w:eastAsiaTheme="minorEastAsia" w:cs="Calibri"/>
                <w:color w:val="003C96" w:themeColor="text2"/>
                <w:sz w:val="16"/>
                <w:szCs w:val="16"/>
                <w:lang w:val="en-GB"/>
              </w:rPr>
              <w:t>)</w:t>
            </w:r>
            <w:r>
              <w:rPr>
                <w:rFonts w:eastAsiaTheme="minorEastAsia" w:cs="Calibri"/>
                <w:color w:val="003C96" w:themeColor="text2"/>
                <w:sz w:val="16"/>
                <w:szCs w:val="16"/>
                <w:vertAlign w:val="superscript"/>
                <w:lang w:val="en-GB"/>
              </w:rPr>
              <w:t>2</w:t>
            </w:r>
          </w:p>
        </w:tc>
        <w:tc>
          <w:tcPr>
            <w:tcW w:w="487" w:type="pct"/>
            <w:tcBorders>
              <w:left w:val="single" w:sz="4" w:space="0" w:color="FFC000"/>
              <w:right w:val="single" w:sz="4" w:space="0" w:color="FFC000"/>
            </w:tcBorders>
            <w:shd w:val="clear" w:color="auto" w:fill="FFFFFF" w:themeFill="background1"/>
            <w:vAlign w:val="center"/>
          </w:tcPr>
          <w:p w:rsidR="00D837BC" w:rsidRPr="00037376" w:rsidRDefault="00D837BC" w:rsidP="00D837BC">
            <w:pPr>
              <w:tabs>
                <w:tab w:val="left" w:pos="284"/>
              </w:tabs>
              <w:spacing w:after="0"/>
              <w:jc w:val="right"/>
              <w:rPr>
                <w:rFonts w:eastAsiaTheme="minorEastAsia" w:cs="Calibri"/>
                <w:color w:val="003C96" w:themeColor="text2"/>
                <w:sz w:val="16"/>
                <w:szCs w:val="16"/>
                <w:lang w:val="en-GB"/>
              </w:rPr>
            </w:pPr>
            <w:r w:rsidRPr="00B710C6">
              <w:rPr>
                <w:rFonts w:eastAsiaTheme="minorEastAsia" w:cs="Calibri"/>
                <w:color w:val="003C96" w:themeColor="text2"/>
                <w:sz w:val="16"/>
                <w:szCs w:val="16"/>
                <w:lang w:val="en-GB"/>
              </w:rPr>
              <w:t>78</w:t>
            </w:r>
          </w:p>
        </w:tc>
        <w:tc>
          <w:tcPr>
            <w:tcW w:w="482" w:type="pct"/>
            <w:tcBorders>
              <w:left w:val="single" w:sz="4" w:space="0" w:color="FFC000"/>
              <w:right w:val="single" w:sz="4" w:space="0" w:color="FFC000"/>
            </w:tcBorders>
            <w:shd w:val="clear" w:color="auto" w:fill="FFFFFF" w:themeFill="background1"/>
          </w:tcPr>
          <w:p w:rsidR="00D837BC" w:rsidRPr="00744269" w:rsidRDefault="00D837BC" w:rsidP="00D837BC">
            <w:pPr>
              <w:tabs>
                <w:tab w:val="left" w:pos="284"/>
              </w:tabs>
              <w:spacing w:after="0"/>
              <w:jc w:val="right"/>
              <w:rPr>
                <w:rFonts w:eastAsiaTheme="minorEastAsia" w:cs="Calibri"/>
                <w:color w:val="003C96" w:themeColor="text2"/>
                <w:sz w:val="16"/>
                <w:szCs w:val="16"/>
                <w:lang w:val="en-GB"/>
              </w:rPr>
            </w:pPr>
            <w:r w:rsidRPr="00744269">
              <w:rPr>
                <w:rFonts w:eastAsiaTheme="minorEastAsia" w:cs="Calibri"/>
                <w:color w:val="003C96" w:themeColor="text2"/>
                <w:sz w:val="16"/>
                <w:szCs w:val="16"/>
                <w:lang w:val="en-GB"/>
              </w:rPr>
              <w:t>-</w:t>
            </w:r>
          </w:p>
        </w:tc>
      </w:tr>
      <w:tr w:rsidR="007E4699" w:rsidRPr="00037376" w:rsidTr="009A7861">
        <w:trPr>
          <w:trHeight w:val="280"/>
        </w:trPr>
        <w:tc>
          <w:tcPr>
            <w:tcW w:w="2084" w:type="pct"/>
            <w:tcBorders>
              <w:left w:val="single" w:sz="4" w:space="0" w:color="FFC000"/>
              <w:right w:val="single" w:sz="4" w:space="0" w:color="FFC000"/>
            </w:tcBorders>
            <w:shd w:val="clear" w:color="auto" w:fill="FFFFFF" w:themeFill="background1"/>
            <w:tcMar>
              <w:right w:w="113" w:type="dxa"/>
            </w:tcMar>
          </w:tcPr>
          <w:p w:rsidR="007E4699" w:rsidRPr="005744FA" w:rsidRDefault="007E4699" w:rsidP="00777DF0">
            <w:pPr>
              <w:tabs>
                <w:tab w:val="left" w:pos="284"/>
              </w:tabs>
              <w:spacing w:after="0"/>
              <w:rPr>
                <w:rFonts w:ascii="Calibri" w:eastAsiaTheme="minorEastAsia" w:hAnsi="Calibri" w:cs="Calibri"/>
                <w:sz w:val="16"/>
                <w:szCs w:val="16"/>
                <w:lang w:val="en-US"/>
              </w:rPr>
            </w:pPr>
          </w:p>
        </w:tc>
        <w:tc>
          <w:tcPr>
            <w:tcW w:w="487" w:type="pct"/>
            <w:tcBorders>
              <w:left w:val="single" w:sz="4"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16"/>
                <w:szCs w:val="16"/>
                <w:lang w:val="en-US"/>
              </w:rPr>
            </w:pPr>
          </w:p>
        </w:tc>
        <w:tc>
          <w:tcPr>
            <w:tcW w:w="487" w:type="pct"/>
            <w:tcBorders>
              <w:left w:val="single" w:sz="4"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16"/>
                <w:szCs w:val="16"/>
                <w:lang w:val="en-US"/>
              </w:rPr>
            </w:pPr>
          </w:p>
        </w:tc>
        <w:tc>
          <w:tcPr>
            <w:tcW w:w="520" w:type="pct"/>
            <w:tcBorders>
              <w:left w:val="single" w:sz="2"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16"/>
                <w:szCs w:val="16"/>
                <w:lang w:val="en-US"/>
              </w:rPr>
            </w:pPr>
          </w:p>
        </w:tc>
        <w:tc>
          <w:tcPr>
            <w:tcW w:w="454" w:type="pct"/>
            <w:tcBorders>
              <w:left w:val="single" w:sz="18"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16"/>
                <w:szCs w:val="16"/>
                <w:lang w:val="en-US"/>
              </w:rPr>
            </w:pPr>
          </w:p>
        </w:tc>
        <w:tc>
          <w:tcPr>
            <w:tcW w:w="487" w:type="pct"/>
            <w:tcBorders>
              <w:left w:val="single" w:sz="4" w:space="0" w:color="FFC000"/>
              <w:right w:val="single" w:sz="4" w:space="0" w:color="FFC000"/>
            </w:tcBorders>
            <w:shd w:val="clear" w:color="auto" w:fill="FFFFFF" w:themeFill="background1"/>
            <w:vAlign w:val="center"/>
          </w:tcPr>
          <w:p w:rsidR="007E4699" w:rsidRPr="006C7864" w:rsidRDefault="007E4699" w:rsidP="00777DF0">
            <w:pPr>
              <w:tabs>
                <w:tab w:val="left" w:pos="284"/>
              </w:tabs>
              <w:spacing w:after="0"/>
              <w:jc w:val="right"/>
              <w:rPr>
                <w:rFonts w:eastAsiaTheme="minorEastAsia" w:cs="Calibri"/>
                <w:color w:val="FF0000"/>
                <w:sz w:val="16"/>
                <w:szCs w:val="16"/>
                <w:lang w:val="en-US"/>
              </w:rPr>
            </w:pPr>
          </w:p>
        </w:tc>
        <w:tc>
          <w:tcPr>
            <w:tcW w:w="482" w:type="pct"/>
            <w:tcBorders>
              <w:left w:val="single" w:sz="4" w:space="0" w:color="FFC000"/>
              <w:right w:val="single" w:sz="4" w:space="0" w:color="FFC000"/>
            </w:tcBorders>
            <w:shd w:val="clear" w:color="auto" w:fill="FFFFFF" w:themeFill="background1"/>
          </w:tcPr>
          <w:p w:rsidR="007E4699" w:rsidRPr="00744269" w:rsidRDefault="007E4699" w:rsidP="00777DF0">
            <w:pPr>
              <w:tabs>
                <w:tab w:val="left" w:pos="284"/>
              </w:tabs>
              <w:spacing w:after="0"/>
              <w:jc w:val="right"/>
              <w:rPr>
                <w:rFonts w:eastAsiaTheme="minorEastAsia" w:cs="Calibri"/>
                <w:color w:val="FF0000"/>
                <w:sz w:val="16"/>
                <w:szCs w:val="16"/>
                <w:lang w:val="en-US"/>
              </w:rPr>
            </w:pPr>
          </w:p>
        </w:tc>
      </w:tr>
      <w:tr w:rsidR="00D837BC" w:rsidRPr="004825F8" w:rsidTr="009A7861">
        <w:trPr>
          <w:trHeight w:val="280"/>
        </w:trPr>
        <w:tc>
          <w:tcPr>
            <w:tcW w:w="2084" w:type="pct"/>
            <w:tcBorders>
              <w:left w:val="single" w:sz="4" w:space="0" w:color="FFC000"/>
              <w:right w:val="single" w:sz="4" w:space="0" w:color="FFC000"/>
            </w:tcBorders>
            <w:shd w:val="clear" w:color="auto" w:fill="FFFFFF" w:themeFill="background1"/>
            <w:tcMar>
              <w:right w:w="113" w:type="dxa"/>
            </w:tcMar>
          </w:tcPr>
          <w:p w:rsidR="00D837BC" w:rsidRPr="00D837BC" w:rsidRDefault="00D837BC" w:rsidP="00D837BC">
            <w:pPr>
              <w:tabs>
                <w:tab w:val="left" w:pos="284"/>
              </w:tabs>
              <w:spacing w:after="0"/>
              <w:rPr>
                <w:rFonts w:ascii="Calibri" w:eastAsiaTheme="minorEastAsia" w:hAnsi="Calibri" w:cs="Calibri"/>
                <w:sz w:val="16"/>
                <w:szCs w:val="16"/>
              </w:rPr>
            </w:pPr>
            <w:r w:rsidRPr="003844B2">
              <w:rPr>
                <w:rFonts w:ascii="Calibri" w:eastAsiaTheme="minorEastAsia" w:hAnsi="Calibri" w:cs="Calibri"/>
                <w:sz w:val="16"/>
                <w:szCs w:val="16"/>
              </w:rPr>
              <w:t>Δικαιώματα Μειοψηφίας από Συνεχ. Δραστ/τες</w:t>
            </w:r>
          </w:p>
        </w:tc>
        <w:tc>
          <w:tcPr>
            <w:tcW w:w="487" w:type="pct"/>
            <w:tcBorders>
              <w:left w:val="single" w:sz="4" w:space="0" w:color="FFC000"/>
              <w:right w:val="single" w:sz="4" w:space="0" w:color="FFC000"/>
            </w:tcBorders>
            <w:shd w:val="clear" w:color="auto" w:fill="FFFFFF" w:themeFill="background1"/>
            <w:vAlign w:val="center"/>
          </w:tcPr>
          <w:p w:rsidR="00D837BC" w:rsidRPr="00B710C6" w:rsidRDefault="00D837BC" w:rsidP="00D837BC">
            <w:pPr>
              <w:tabs>
                <w:tab w:val="left" w:pos="284"/>
              </w:tabs>
              <w:spacing w:after="0"/>
              <w:jc w:val="right"/>
              <w:rPr>
                <w:rFonts w:eastAsiaTheme="minorEastAsia" w:cs="Calibri"/>
                <w:sz w:val="16"/>
                <w:szCs w:val="16"/>
                <w:lang w:val="en-US"/>
              </w:rPr>
            </w:pPr>
            <w:r w:rsidRPr="00B710C6">
              <w:rPr>
                <w:rFonts w:eastAsiaTheme="minorEastAsia" w:cs="Calibri"/>
                <w:sz w:val="16"/>
                <w:szCs w:val="16"/>
                <w:lang w:val="en-US"/>
              </w:rPr>
              <w:t>0</w:t>
            </w:r>
          </w:p>
        </w:tc>
        <w:tc>
          <w:tcPr>
            <w:tcW w:w="487" w:type="pct"/>
            <w:tcBorders>
              <w:left w:val="single" w:sz="4" w:space="0" w:color="FFC000"/>
              <w:right w:val="single" w:sz="4" w:space="0" w:color="FFC000"/>
            </w:tcBorders>
            <w:shd w:val="clear" w:color="auto" w:fill="FFFFFF" w:themeFill="background1"/>
            <w:vAlign w:val="center"/>
          </w:tcPr>
          <w:p w:rsidR="00D837BC" w:rsidRPr="00B710C6" w:rsidRDefault="00D837BC" w:rsidP="00D837BC">
            <w:pPr>
              <w:tabs>
                <w:tab w:val="left" w:pos="284"/>
              </w:tabs>
              <w:spacing w:after="0"/>
              <w:jc w:val="right"/>
              <w:rPr>
                <w:rFonts w:eastAsiaTheme="minorEastAsia" w:cs="Calibri"/>
                <w:sz w:val="16"/>
                <w:szCs w:val="16"/>
                <w:lang w:val="en-US"/>
              </w:rPr>
            </w:pPr>
            <w:r w:rsidRPr="00B710C6">
              <w:rPr>
                <w:rFonts w:eastAsiaTheme="minorEastAsia" w:cs="Calibri"/>
                <w:sz w:val="16"/>
                <w:szCs w:val="16"/>
                <w:lang w:val="en-US"/>
              </w:rPr>
              <w:t>(1)</w:t>
            </w:r>
          </w:p>
        </w:tc>
        <w:tc>
          <w:tcPr>
            <w:tcW w:w="520" w:type="pct"/>
            <w:tcBorders>
              <w:left w:val="single" w:sz="2" w:space="0" w:color="FFC000"/>
              <w:right w:val="single" w:sz="4" w:space="0" w:color="FFC000"/>
            </w:tcBorders>
            <w:shd w:val="clear" w:color="auto" w:fill="FFFFFF" w:themeFill="background1"/>
            <w:vAlign w:val="center"/>
          </w:tcPr>
          <w:p w:rsidR="00D837BC" w:rsidRPr="004F4AFD" w:rsidRDefault="00D837BC" w:rsidP="00D837BC">
            <w:pPr>
              <w:tabs>
                <w:tab w:val="left" w:pos="284"/>
              </w:tabs>
              <w:spacing w:after="0"/>
              <w:jc w:val="right"/>
              <w:rPr>
                <w:rFonts w:eastAsiaTheme="minorEastAsia" w:cs="Calibri"/>
                <w:sz w:val="16"/>
                <w:szCs w:val="16"/>
                <w:lang w:val="en-US"/>
              </w:rPr>
            </w:pPr>
            <w:r w:rsidRPr="004F4AFD">
              <w:rPr>
                <w:rFonts w:eastAsiaTheme="minorEastAsia" w:cs="Calibri"/>
                <w:sz w:val="16"/>
                <w:szCs w:val="16"/>
                <w:lang w:val="en-US"/>
              </w:rPr>
              <w:t>-</w:t>
            </w:r>
          </w:p>
        </w:tc>
        <w:tc>
          <w:tcPr>
            <w:tcW w:w="454" w:type="pct"/>
            <w:tcBorders>
              <w:left w:val="single" w:sz="18" w:space="0" w:color="FFC000"/>
              <w:right w:val="single" w:sz="4" w:space="0" w:color="FFC000"/>
            </w:tcBorders>
            <w:shd w:val="clear" w:color="auto" w:fill="FFFFFF" w:themeFill="background1"/>
            <w:vAlign w:val="center"/>
          </w:tcPr>
          <w:p w:rsidR="00D837BC" w:rsidRPr="004F4AFD"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(1)</w:t>
            </w:r>
          </w:p>
        </w:tc>
        <w:tc>
          <w:tcPr>
            <w:tcW w:w="487" w:type="pct"/>
            <w:tcBorders>
              <w:left w:val="single" w:sz="4" w:space="0" w:color="FFC000"/>
              <w:right w:val="single" w:sz="4" w:space="0" w:color="FFC000"/>
            </w:tcBorders>
            <w:shd w:val="clear" w:color="auto" w:fill="FFFFFF" w:themeFill="background1"/>
            <w:vAlign w:val="center"/>
          </w:tcPr>
          <w:p w:rsidR="00D837BC" w:rsidRPr="004F4AFD"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(2)</w:t>
            </w:r>
          </w:p>
        </w:tc>
        <w:tc>
          <w:tcPr>
            <w:tcW w:w="482" w:type="pct"/>
            <w:tcBorders>
              <w:left w:val="single" w:sz="4" w:space="0" w:color="FFC000"/>
              <w:right w:val="single" w:sz="4" w:space="0" w:color="FFC000"/>
            </w:tcBorders>
            <w:shd w:val="clear" w:color="auto" w:fill="FFFFFF" w:themeFill="background1"/>
          </w:tcPr>
          <w:p w:rsidR="00D837BC" w:rsidRPr="00744269"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w:t>
            </w:r>
          </w:p>
        </w:tc>
      </w:tr>
      <w:tr w:rsidR="00D837BC" w:rsidRPr="005744FA" w:rsidTr="009A7861">
        <w:trPr>
          <w:trHeight w:val="280"/>
        </w:trPr>
        <w:tc>
          <w:tcPr>
            <w:tcW w:w="2084" w:type="pct"/>
            <w:tcBorders>
              <w:left w:val="single" w:sz="4" w:space="0" w:color="FFC000"/>
              <w:bottom w:val="single" w:sz="18" w:space="0" w:color="3A73AE" w:themeColor="accent1"/>
              <w:right w:val="single" w:sz="4" w:space="0" w:color="FFC000"/>
            </w:tcBorders>
            <w:shd w:val="clear" w:color="auto" w:fill="FFFFFF" w:themeFill="background1"/>
            <w:tcMar>
              <w:right w:w="113" w:type="dxa"/>
            </w:tcMar>
          </w:tcPr>
          <w:p w:rsidR="00D837BC" w:rsidRPr="005744FA" w:rsidRDefault="00D837BC" w:rsidP="00D837BC">
            <w:pPr>
              <w:tabs>
                <w:tab w:val="left" w:pos="284"/>
              </w:tabs>
              <w:spacing w:after="0"/>
              <w:rPr>
                <w:rFonts w:eastAsiaTheme="minorEastAsia" w:cs="Calibri"/>
                <w:sz w:val="16"/>
                <w:szCs w:val="16"/>
                <w:lang w:val="en-US"/>
              </w:rPr>
            </w:pPr>
            <w:r w:rsidRPr="003844B2">
              <w:rPr>
                <w:rFonts w:ascii="Calibri" w:eastAsiaTheme="minorEastAsia" w:hAnsi="Calibri" w:cs="Calibri"/>
                <w:sz w:val="16"/>
                <w:szCs w:val="16"/>
                <w:lang w:val="en-US"/>
              </w:rPr>
              <w:t>Αποτελέσματα Διακοπτόμενων Δραστηριοτήτων</w:t>
            </w:r>
          </w:p>
        </w:tc>
        <w:tc>
          <w:tcPr>
            <w:tcW w:w="487" w:type="pct"/>
            <w:tcBorders>
              <w:left w:val="single" w:sz="4" w:space="0" w:color="FFC000"/>
              <w:bottom w:val="single" w:sz="18" w:space="0" w:color="3A73AE" w:themeColor="accent1"/>
              <w:right w:val="single" w:sz="4" w:space="0" w:color="FFC000"/>
            </w:tcBorders>
            <w:shd w:val="clear" w:color="auto" w:fill="FFFFFF" w:themeFill="background1"/>
            <w:vAlign w:val="center"/>
          </w:tcPr>
          <w:p w:rsidR="00D837BC" w:rsidRPr="004F4AFD"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(2)</w:t>
            </w:r>
          </w:p>
        </w:tc>
        <w:tc>
          <w:tcPr>
            <w:tcW w:w="487" w:type="pct"/>
            <w:tcBorders>
              <w:left w:val="single" w:sz="4" w:space="0" w:color="FFC000"/>
              <w:bottom w:val="single" w:sz="18" w:space="0" w:color="3A73AE" w:themeColor="accent1"/>
              <w:right w:val="single" w:sz="4" w:space="0" w:color="FFC000"/>
            </w:tcBorders>
            <w:shd w:val="clear" w:color="auto" w:fill="FFFFFF" w:themeFill="background1"/>
            <w:vAlign w:val="center"/>
          </w:tcPr>
          <w:p w:rsidR="00D837BC" w:rsidRPr="004F4AFD"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(2)</w:t>
            </w:r>
          </w:p>
        </w:tc>
        <w:tc>
          <w:tcPr>
            <w:tcW w:w="520" w:type="pct"/>
            <w:tcBorders>
              <w:left w:val="single" w:sz="2" w:space="0" w:color="FFC000"/>
              <w:bottom w:val="single" w:sz="18" w:space="0" w:color="3A73AE" w:themeColor="accent1"/>
              <w:right w:val="single" w:sz="4" w:space="0" w:color="FFC000"/>
            </w:tcBorders>
            <w:shd w:val="clear" w:color="auto" w:fill="FFFFFF" w:themeFill="background1"/>
            <w:vAlign w:val="center"/>
          </w:tcPr>
          <w:p w:rsidR="00D837BC" w:rsidRPr="004F4AFD" w:rsidRDefault="00D837BC" w:rsidP="00D837BC">
            <w:pPr>
              <w:tabs>
                <w:tab w:val="left" w:pos="284"/>
              </w:tabs>
              <w:spacing w:after="0"/>
              <w:jc w:val="right"/>
              <w:rPr>
                <w:rFonts w:eastAsiaTheme="minorEastAsia" w:cs="Calibri"/>
                <w:sz w:val="16"/>
                <w:szCs w:val="16"/>
                <w:lang w:val="en-US"/>
              </w:rPr>
            </w:pPr>
            <w:r w:rsidRPr="00B710C6">
              <w:rPr>
                <w:rFonts w:eastAsiaTheme="minorEastAsia" w:cs="Calibri"/>
                <w:sz w:val="16"/>
                <w:szCs w:val="16"/>
                <w:lang w:val="en-US"/>
              </w:rPr>
              <w:t>0%</w:t>
            </w:r>
          </w:p>
        </w:tc>
        <w:tc>
          <w:tcPr>
            <w:tcW w:w="454" w:type="pct"/>
            <w:tcBorders>
              <w:left w:val="single" w:sz="18" w:space="0" w:color="FFC000"/>
              <w:bottom w:val="single" w:sz="18" w:space="0" w:color="3A73AE" w:themeColor="accent1"/>
              <w:right w:val="single" w:sz="4" w:space="0" w:color="FFC000"/>
            </w:tcBorders>
            <w:shd w:val="clear" w:color="auto" w:fill="FFFFFF" w:themeFill="background1"/>
            <w:vAlign w:val="center"/>
          </w:tcPr>
          <w:p w:rsidR="00D837BC" w:rsidRPr="004F4AFD"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(7)</w:t>
            </w:r>
          </w:p>
        </w:tc>
        <w:tc>
          <w:tcPr>
            <w:tcW w:w="487" w:type="pct"/>
            <w:tcBorders>
              <w:left w:val="single" w:sz="4" w:space="0" w:color="FFC000"/>
              <w:bottom w:val="single" w:sz="18" w:space="0" w:color="3A73AE" w:themeColor="accent1"/>
              <w:right w:val="single" w:sz="4" w:space="0" w:color="FFC000"/>
            </w:tcBorders>
            <w:shd w:val="clear" w:color="auto" w:fill="FFFFFF" w:themeFill="background1"/>
            <w:vAlign w:val="center"/>
          </w:tcPr>
          <w:p w:rsidR="00D837BC" w:rsidRPr="004F4AFD" w:rsidRDefault="00D837BC" w:rsidP="00D837BC">
            <w:pPr>
              <w:tabs>
                <w:tab w:val="left" w:pos="284"/>
              </w:tabs>
              <w:spacing w:after="0"/>
              <w:jc w:val="right"/>
              <w:rPr>
                <w:rFonts w:eastAsiaTheme="minorEastAsia" w:cs="Calibri"/>
                <w:sz w:val="16"/>
                <w:szCs w:val="16"/>
                <w:lang w:val="en-US"/>
              </w:rPr>
            </w:pPr>
            <w:r>
              <w:rPr>
                <w:rFonts w:eastAsiaTheme="minorEastAsia" w:cs="Calibri"/>
                <w:sz w:val="16"/>
                <w:szCs w:val="16"/>
                <w:lang w:val="en-US"/>
              </w:rPr>
              <w:t>12</w:t>
            </w:r>
          </w:p>
        </w:tc>
        <w:tc>
          <w:tcPr>
            <w:tcW w:w="482" w:type="pct"/>
            <w:tcBorders>
              <w:left w:val="single" w:sz="4" w:space="0" w:color="FFC000"/>
              <w:bottom w:val="single" w:sz="18" w:space="0" w:color="3A73AE" w:themeColor="accent1"/>
              <w:right w:val="single" w:sz="4" w:space="0" w:color="FFC000"/>
            </w:tcBorders>
            <w:shd w:val="clear" w:color="auto" w:fill="FFFFFF" w:themeFill="background1"/>
          </w:tcPr>
          <w:p w:rsidR="00D837BC" w:rsidRPr="00744269" w:rsidRDefault="00D837BC" w:rsidP="00D837BC">
            <w:pPr>
              <w:tabs>
                <w:tab w:val="left" w:pos="284"/>
              </w:tabs>
              <w:spacing w:after="0"/>
              <w:jc w:val="right"/>
              <w:rPr>
                <w:rFonts w:eastAsiaTheme="minorEastAsia" w:cs="Calibri"/>
                <w:sz w:val="16"/>
                <w:szCs w:val="16"/>
                <w:lang w:val="en-US"/>
              </w:rPr>
            </w:pPr>
            <w:r w:rsidRPr="00744269">
              <w:rPr>
                <w:rFonts w:eastAsiaTheme="minorEastAsia" w:cs="Calibri"/>
                <w:sz w:val="16"/>
                <w:szCs w:val="16"/>
                <w:lang w:val="en-US"/>
              </w:rPr>
              <w:t>-</w:t>
            </w:r>
          </w:p>
        </w:tc>
      </w:tr>
    </w:tbl>
    <w:p w:rsidR="005C2FB3" w:rsidRDefault="005C2FB3">
      <w:pPr>
        <w:rPr>
          <w:rFonts w:eastAsiaTheme="minorEastAsia" w:cs="Calibri"/>
          <w:color w:val="FF0000"/>
          <w:sz w:val="28"/>
          <w:szCs w:val="28"/>
          <w:lang w:val="en-US"/>
        </w:rPr>
      </w:pPr>
    </w:p>
    <w:p w:rsidR="007E4699" w:rsidRPr="007E4699" w:rsidRDefault="007E4699" w:rsidP="007E4699">
      <w:pPr>
        <w:numPr>
          <w:ilvl w:val="0"/>
          <w:numId w:val="9"/>
        </w:numPr>
        <w:tabs>
          <w:tab w:val="left" w:pos="426"/>
          <w:tab w:val="left" w:pos="8262"/>
        </w:tabs>
        <w:spacing w:before="160" w:after="0" w:line="264" w:lineRule="auto"/>
        <w:ind w:left="-1560" w:right="424" w:hanging="283"/>
        <w:contextualSpacing/>
        <w:jc w:val="both"/>
        <w:rPr>
          <w:rFonts w:eastAsiaTheme="minorEastAsia" w:cstheme="majorHAnsi"/>
          <w:sz w:val="12"/>
          <w:szCs w:val="14"/>
        </w:rPr>
      </w:pPr>
      <w:r w:rsidRPr="007E4699">
        <w:rPr>
          <w:rFonts w:eastAsiaTheme="minorEastAsia" w:cstheme="majorHAnsi"/>
          <w:sz w:val="12"/>
          <w:szCs w:val="14"/>
        </w:rPr>
        <w:t>Τα έκτακτα αποτελέσματα αφορούν έξοδα του προγράμματος αποχώρησης το 2019</w:t>
      </w:r>
    </w:p>
    <w:p w:rsidR="007E4699" w:rsidRPr="007E4699" w:rsidRDefault="007E4699" w:rsidP="007E4699">
      <w:pPr>
        <w:numPr>
          <w:ilvl w:val="0"/>
          <w:numId w:val="9"/>
        </w:numPr>
        <w:tabs>
          <w:tab w:val="left" w:pos="8262"/>
        </w:tabs>
        <w:spacing w:before="160" w:after="0" w:line="264" w:lineRule="auto"/>
        <w:ind w:left="-1560" w:right="424" w:hanging="283"/>
        <w:contextualSpacing/>
        <w:jc w:val="both"/>
        <w:rPr>
          <w:rFonts w:eastAsiaTheme="minorEastAsia" w:cstheme="majorHAnsi"/>
          <w:sz w:val="12"/>
          <w:szCs w:val="14"/>
        </w:rPr>
      </w:pPr>
      <w:r w:rsidRPr="007E4699">
        <w:rPr>
          <w:rFonts w:eastAsiaTheme="minorEastAsia" w:cstheme="majorHAnsi"/>
          <w:sz w:val="12"/>
          <w:szCs w:val="14"/>
        </w:rPr>
        <w:t>Περιλαμβάνεται η ε</w:t>
      </w:r>
      <w:r w:rsidR="00DF52A0">
        <w:rPr>
          <w:rFonts w:eastAsiaTheme="minorEastAsia" w:cstheme="majorHAnsi"/>
          <w:sz w:val="12"/>
          <w:szCs w:val="14"/>
        </w:rPr>
        <w:t xml:space="preserve">πίπτωση </w:t>
      </w:r>
      <w:r w:rsidRPr="007E4699">
        <w:rPr>
          <w:rFonts w:eastAsiaTheme="minorEastAsia" w:cstheme="majorHAnsi"/>
          <w:sz w:val="12"/>
          <w:szCs w:val="14"/>
        </w:rPr>
        <w:t xml:space="preserve"> του </w:t>
      </w:r>
      <w:r w:rsidRPr="007E4699">
        <w:rPr>
          <w:rFonts w:eastAsiaTheme="minorEastAsia" w:cstheme="majorHAnsi"/>
          <w:sz w:val="12"/>
          <w:szCs w:val="14"/>
          <w:lang w:val="en-US"/>
        </w:rPr>
        <w:t>Covid</w:t>
      </w:r>
      <w:r w:rsidRPr="007E4699">
        <w:rPr>
          <w:rFonts w:eastAsiaTheme="minorEastAsia" w:cstheme="majorHAnsi"/>
          <w:sz w:val="12"/>
          <w:szCs w:val="14"/>
        </w:rPr>
        <w:t>-19 στις απομειώσεις αξίας δανείων και άλλων στοιχείων ενεργητικού</w:t>
      </w:r>
    </w:p>
    <w:p w:rsidR="006878C9" w:rsidRPr="007E4699" w:rsidRDefault="006878C9" w:rsidP="00E67719">
      <w:pPr>
        <w:rPr>
          <w:rFonts w:eastAsiaTheme="minorEastAsia" w:cs="Calibri"/>
          <w:color w:val="FF0000"/>
          <w:sz w:val="28"/>
          <w:szCs w:val="28"/>
        </w:rPr>
      </w:pPr>
    </w:p>
    <w:p w:rsidR="00D5010E" w:rsidRPr="007E4699" w:rsidRDefault="00D5010E" w:rsidP="00D5010E">
      <w:pPr>
        <w:ind w:left="-851"/>
        <w:rPr>
          <w:rFonts w:eastAsiaTheme="minorEastAsia" w:cs="Calibri"/>
          <w:color w:val="000000" w:themeColor="text1"/>
          <w:sz w:val="28"/>
          <w:szCs w:val="28"/>
        </w:rPr>
      </w:pPr>
    </w:p>
    <w:p w:rsidR="00FB5E4C" w:rsidRPr="00D837BC" w:rsidRDefault="00D837BC" w:rsidP="00D5010E">
      <w:pPr>
        <w:ind w:left="-993"/>
        <w:rPr>
          <w:rFonts w:eastAsiaTheme="minorEastAsia" w:cs="Calibri"/>
          <w:color w:val="000000" w:themeColor="text1"/>
          <w:spacing w:val="-16"/>
          <w:sz w:val="28"/>
          <w:szCs w:val="28"/>
        </w:rPr>
      </w:pPr>
      <w:r w:rsidRPr="00D837BC">
        <w:rPr>
          <w:rFonts w:eastAsiaTheme="minorEastAsia" w:cs="Calibri"/>
          <w:color w:val="000000" w:themeColor="text1"/>
          <w:spacing w:val="-16"/>
          <w:sz w:val="28"/>
          <w:szCs w:val="28"/>
        </w:rPr>
        <w:t>ΓΛΩΣΣΑΡΙ / ΕΝΑΛΛΑΚΤΙΚ</w:t>
      </w:r>
      <w:r w:rsidRPr="00D837BC">
        <w:rPr>
          <w:rFonts w:eastAsiaTheme="minorEastAsia" w:cs="Calibri"/>
          <w:color w:val="000000" w:themeColor="text1"/>
          <w:spacing w:val="-16"/>
          <w:sz w:val="28"/>
          <w:szCs w:val="28"/>
          <w:lang w:val="en-US"/>
        </w:rPr>
        <w:t>OI</w:t>
      </w:r>
      <w:r w:rsidRPr="00D837BC">
        <w:rPr>
          <w:rFonts w:eastAsiaTheme="minorEastAsia" w:cs="Calibri"/>
          <w:color w:val="000000" w:themeColor="text1"/>
          <w:spacing w:val="-16"/>
          <w:sz w:val="28"/>
          <w:szCs w:val="28"/>
        </w:rPr>
        <w:t xml:space="preserve"> ΔΕΙΚΤΕΣ ΜΕΤΡΗΣΗΣ ΑΠΟΔΟΣΗΣ (ΕΔΜΑ) ΣΕ ΕΠΙΠΕΔΟ ΟΜΙΛΟΥ</w:t>
      </w:r>
    </w:p>
    <w:tbl>
      <w:tblPr>
        <w:tblW w:w="9340" w:type="dxa"/>
        <w:tblInd w:w="-1005" w:type="dxa"/>
        <w:tblBorders>
          <w:top w:val="outset" w:sz="6" w:space="0" w:color="auto"/>
          <w:left w:val="outset" w:sz="6" w:space="0" w:color="auto"/>
          <w:bottom w:val="outset" w:sz="6" w:space="0" w:color="auto"/>
          <w:right w:val="outset" w:sz="6" w:space="0" w:color="auto"/>
        </w:tblBorders>
        <w:tblLayout w:type="fixed"/>
        <w:tblCellMar>
          <w:top w:w="57" w:type="dxa"/>
          <w:left w:w="57" w:type="dxa"/>
          <w:right w:w="0" w:type="dxa"/>
        </w:tblCellMar>
        <w:tblLook w:val="04A0"/>
      </w:tblPr>
      <w:tblGrid>
        <w:gridCol w:w="399"/>
        <w:gridCol w:w="2398"/>
        <w:gridCol w:w="6543"/>
      </w:tblGrid>
      <w:tr w:rsidR="00944528" w:rsidRPr="000455E0" w:rsidTr="000455E0">
        <w:trPr>
          <w:trHeight w:val="236"/>
          <w:tblHeader/>
        </w:trPr>
        <w:tc>
          <w:tcPr>
            <w:tcW w:w="399" w:type="dxa"/>
            <w:tcBorders>
              <w:top w:val="single" w:sz="6" w:space="0" w:color="3A73AE"/>
              <w:left w:val="single" w:sz="6" w:space="0" w:color="3A73AE"/>
              <w:bottom w:val="single" w:sz="6" w:space="0" w:color="3A73AE"/>
              <w:right w:val="single" w:sz="6" w:space="0" w:color="3A73AE"/>
            </w:tcBorders>
            <w:shd w:val="clear" w:color="auto" w:fill="D9D9D9" w:themeFill="background2"/>
            <w:vAlign w:val="center"/>
            <w:hideMark/>
          </w:tcPr>
          <w:p w:rsidR="00944528" w:rsidRPr="000455E0" w:rsidRDefault="00944528" w:rsidP="00A84565">
            <w:pPr>
              <w:jc w:val="center"/>
              <w:rPr>
                <w:sz w:val="14"/>
                <w:szCs w:val="16"/>
              </w:rPr>
            </w:pPr>
            <w:r w:rsidRPr="000455E0">
              <w:rPr>
                <w:b/>
                <w:bCs/>
                <w:sz w:val="14"/>
                <w:szCs w:val="16"/>
                <w:lang w:val="en-US"/>
              </w:rPr>
              <w:t>#</w:t>
            </w:r>
          </w:p>
        </w:tc>
        <w:tc>
          <w:tcPr>
            <w:tcW w:w="2398" w:type="dxa"/>
            <w:tcBorders>
              <w:top w:val="single" w:sz="6" w:space="0" w:color="3A73AE"/>
              <w:left w:val="nil"/>
              <w:bottom w:val="single" w:sz="6" w:space="0" w:color="3A73AE"/>
              <w:right w:val="single" w:sz="6" w:space="0" w:color="3A73AE"/>
            </w:tcBorders>
            <w:shd w:val="clear" w:color="auto" w:fill="D9D9D9" w:themeFill="background2"/>
            <w:vAlign w:val="bottom"/>
            <w:hideMark/>
          </w:tcPr>
          <w:p w:rsidR="00944528" w:rsidRPr="000455E0" w:rsidRDefault="00944528" w:rsidP="00A84565">
            <w:pPr>
              <w:rPr>
                <w:sz w:val="14"/>
                <w:szCs w:val="16"/>
              </w:rPr>
            </w:pPr>
            <w:r w:rsidRPr="000455E0">
              <w:rPr>
                <w:b/>
                <w:bCs/>
                <w:sz w:val="14"/>
                <w:szCs w:val="16"/>
              </w:rPr>
              <w:t>Δείκτες Μέτρησης Απόδοσης</w:t>
            </w:r>
            <w:r w:rsidRPr="000455E0">
              <w:rPr>
                <w:sz w:val="14"/>
                <w:szCs w:val="16"/>
              </w:rPr>
              <w:t> </w:t>
            </w:r>
          </w:p>
        </w:tc>
        <w:tc>
          <w:tcPr>
            <w:tcW w:w="6543" w:type="dxa"/>
            <w:tcBorders>
              <w:top w:val="single" w:sz="6" w:space="0" w:color="3A73AE"/>
              <w:left w:val="nil"/>
              <w:bottom w:val="single" w:sz="6" w:space="0" w:color="3A73AE"/>
              <w:right w:val="single" w:sz="6" w:space="0" w:color="3A73AE"/>
            </w:tcBorders>
            <w:shd w:val="clear" w:color="auto" w:fill="D9D9D9" w:themeFill="background2"/>
            <w:vAlign w:val="bottom"/>
            <w:hideMark/>
          </w:tcPr>
          <w:p w:rsidR="00944528" w:rsidRPr="000455E0" w:rsidRDefault="00944528" w:rsidP="00A84565">
            <w:pPr>
              <w:rPr>
                <w:sz w:val="14"/>
                <w:szCs w:val="16"/>
              </w:rPr>
            </w:pPr>
            <w:r w:rsidRPr="000455E0">
              <w:rPr>
                <w:b/>
                <w:bCs/>
                <w:sz w:val="14"/>
                <w:szCs w:val="16"/>
              </w:rPr>
              <w:t>Επεξήγηση</w:t>
            </w:r>
            <w:r w:rsidRPr="000455E0">
              <w:rPr>
                <w:sz w:val="14"/>
                <w:szCs w:val="16"/>
              </w:rPr>
              <w:t> </w:t>
            </w:r>
          </w:p>
        </w:tc>
      </w:tr>
      <w:tr w:rsidR="00944528" w:rsidRPr="000455E0" w:rsidTr="00944528">
        <w:trPr>
          <w:trHeight w:val="1007"/>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lang w:val="en-US"/>
              </w:rPr>
              <w:t>1</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rStyle w:val="13"/>
                <w:rFonts w:eastAsia="Times New Roman" w:cs="Calibri"/>
                <w:sz w:val="14"/>
                <w:szCs w:val="16"/>
                <w:lang w:eastAsia="el-GR"/>
              </w:rPr>
            </w:pPr>
            <w:r w:rsidRPr="000455E0">
              <w:rPr>
                <w:rStyle w:val="13"/>
                <w:rFonts w:eastAsia="Times New Roman" w:cs="Calibri"/>
                <w:sz w:val="14"/>
                <w:szCs w:val="16"/>
                <w:lang w:eastAsia="el-GR"/>
              </w:rPr>
              <w:t>Μη επαναλαμβανόμενα  (εφάπαξ) στοιχεία αποτελεσμάτων </w:t>
            </w:r>
          </w:p>
        </w:tc>
        <w:tc>
          <w:tcPr>
            <w:tcW w:w="6543"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rStyle w:val="13"/>
                <w:rFonts w:eastAsia="Times New Roman" w:cs="Calibri"/>
                <w:sz w:val="14"/>
                <w:szCs w:val="16"/>
                <w:lang w:eastAsia="el-GR"/>
              </w:rPr>
            </w:pPr>
            <w:r w:rsidRPr="000455E0">
              <w:rPr>
                <w:rStyle w:val="13"/>
                <w:rFonts w:eastAsia="Times New Roman" w:cs="Calibri"/>
                <w:sz w:val="14"/>
                <w:szCs w:val="16"/>
                <w:lang w:eastAsia="el-GR"/>
              </w:rPr>
              <w:t xml:space="preserve">Τα μη επαναλαμβανόμενα στοιχεία για το 3ο 3μηνο 2019 περιλαμβάνουν €20εκατ. δαπάνες προγράμματος εθελούσιας εξόδου VES, για το 2018 περιλαμβάνουν €154εκατ. δαπάνες VES και €34εκατ. άλλες αντισταθμιστικές προσαρμογές δαπανών και για το 2019 περιλαμβάνουν €36εκατ. δαπάνες VES και €5εκατ. άλλες αντισταθμιστικές προσαρμογές δαπανών </w:t>
            </w:r>
          </w:p>
        </w:tc>
      </w:tr>
      <w:tr w:rsidR="00944528" w:rsidRPr="000455E0" w:rsidTr="00944528">
        <w:trPr>
          <w:trHeight w:val="375"/>
        </w:trPr>
        <w:tc>
          <w:tcPr>
            <w:tcW w:w="399" w:type="dxa"/>
            <w:tcBorders>
              <w:top w:val="nil"/>
              <w:left w:val="single" w:sz="6" w:space="0" w:color="3A73AE"/>
              <w:bottom w:val="single" w:sz="6" w:space="0" w:color="3A73AE"/>
              <w:right w:val="single" w:sz="6" w:space="0" w:color="3A73AE"/>
            </w:tcBorders>
            <w:shd w:val="clear" w:color="auto" w:fill="auto"/>
            <w:vAlign w:val="center"/>
            <w:hideMark/>
          </w:tcPr>
          <w:p w:rsidR="00944528" w:rsidRPr="000455E0" w:rsidRDefault="00944528" w:rsidP="00A84565">
            <w:pPr>
              <w:jc w:val="center"/>
              <w:rPr>
                <w:sz w:val="14"/>
                <w:szCs w:val="16"/>
              </w:rPr>
            </w:pPr>
            <w:r w:rsidRPr="000455E0">
              <w:rPr>
                <w:sz w:val="14"/>
                <w:szCs w:val="16"/>
              </w:rPr>
              <w:t>2</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lang w:val="en-US"/>
              </w:rPr>
            </w:pPr>
            <w:r w:rsidRPr="000455E0">
              <w:rPr>
                <w:rStyle w:val="13"/>
                <w:rFonts w:eastAsia="Times New Roman" w:cs="Calibri"/>
                <w:sz w:val="14"/>
                <w:szCs w:val="16"/>
                <w:lang w:eastAsia="el-GR"/>
              </w:rPr>
              <w:t>Συνολικό Προσαρμοσμένο Ενεργητικό  </w:t>
            </w:r>
          </w:p>
        </w:tc>
        <w:tc>
          <w:tcPr>
            <w:tcW w:w="6543" w:type="dxa"/>
            <w:tcBorders>
              <w:top w:val="nil"/>
              <w:left w:val="nil"/>
              <w:bottom w:val="single" w:sz="6" w:space="0" w:color="3A73AE"/>
              <w:right w:val="single" w:sz="6" w:space="0" w:color="3A73AE"/>
            </w:tcBorders>
            <w:shd w:val="clear" w:color="auto" w:fill="auto"/>
          </w:tcPr>
          <w:p w:rsidR="00944528" w:rsidRPr="000455E0" w:rsidRDefault="00944528" w:rsidP="00A84565">
            <w:pPr>
              <w:rPr>
                <w:sz w:val="14"/>
                <w:szCs w:val="16"/>
              </w:rPr>
            </w:pPr>
            <w:r w:rsidRPr="000455E0">
              <w:rPr>
                <w:rStyle w:val="13"/>
                <w:rFonts w:eastAsia="Times New Roman" w:cs="Calibri"/>
                <w:sz w:val="14"/>
                <w:szCs w:val="16"/>
                <w:lang w:eastAsia="el-GR"/>
              </w:rPr>
              <w:t>Σύνολο ενεργητικού εξαιρουμένων €0,1δισ. διακοπτόμενων δραστηριοτήτων στις 30 Σεπτεμβρίου 2019, 31 Ιουνίου 2020 και 30 Σεπτεμβρίου 2020  </w:t>
            </w:r>
          </w:p>
        </w:tc>
      </w:tr>
      <w:tr w:rsidR="00944528" w:rsidRPr="000455E0" w:rsidTr="00944528">
        <w:trPr>
          <w:trHeight w:val="660"/>
        </w:trPr>
        <w:tc>
          <w:tcPr>
            <w:tcW w:w="399" w:type="dxa"/>
            <w:tcBorders>
              <w:top w:val="nil"/>
              <w:left w:val="single" w:sz="6" w:space="0" w:color="3A73AE"/>
              <w:bottom w:val="single" w:sz="6" w:space="0" w:color="3A73AE"/>
              <w:right w:val="single" w:sz="6" w:space="0" w:color="3A73AE"/>
            </w:tcBorders>
            <w:shd w:val="clear" w:color="auto" w:fill="auto"/>
            <w:vAlign w:val="center"/>
            <w:hideMark/>
          </w:tcPr>
          <w:p w:rsidR="00944528" w:rsidRPr="000455E0" w:rsidRDefault="00944528" w:rsidP="00A84565">
            <w:pPr>
              <w:jc w:val="center"/>
              <w:rPr>
                <w:sz w:val="14"/>
                <w:szCs w:val="16"/>
              </w:rPr>
            </w:pPr>
            <w:r w:rsidRPr="000455E0">
              <w:rPr>
                <w:sz w:val="14"/>
                <w:szCs w:val="16"/>
              </w:rPr>
              <w:t>3</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Επίπτωση του COVID-19 </w:t>
            </w:r>
          </w:p>
        </w:tc>
        <w:tc>
          <w:tcPr>
            <w:tcW w:w="6543" w:type="dxa"/>
            <w:tcBorders>
              <w:top w:val="nil"/>
              <w:left w:val="nil"/>
              <w:bottom w:val="single" w:sz="6" w:space="0" w:color="3A73AE"/>
              <w:right w:val="single" w:sz="6" w:space="0" w:color="3A73AE"/>
            </w:tcBorders>
            <w:shd w:val="clear" w:color="auto" w:fill="auto"/>
          </w:tcPr>
          <w:p w:rsidR="00944528" w:rsidRPr="000455E0" w:rsidRDefault="00944528" w:rsidP="00944528">
            <w:pPr>
              <w:rPr>
                <w:sz w:val="14"/>
                <w:szCs w:val="16"/>
              </w:rPr>
            </w:pPr>
            <w:r w:rsidRPr="000455E0">
              <w:rPr>
                <w:rStyle w:val="13"/>
                <w:rFonts w:eastAsia="Times New Roman" w:cs="Calibri"/>
                <w:sz w:val="14"/>
                <w:szCs w:val="16"/>
                <w:lang w:eastAsia="el-GR"/>
              </w:rPr>
              <w:t xml:space="preserve">Η επίπτωση του COVID-19 περιλαμβάνει €324εκατ. </w:t>
            </w:r>
            <w:r w:rsidRPr="000455E0">
              <w:rPr>
                <w:rFonts w:eastAsia="Times New Roman" w:cs="Calibri"/>
                <w:sz w:val="14"/>
                <w:szCs w:val="16"/>
                <w:lang w:eastAsia="el-GR"/>
              </w:rPr>
              <w:t>το 1ο 3μηνο 2020, €17εκατ. το 2ο 3μηνο 2020 και €21εκατ. το 3ο 3μηνο 2020 </w:t>
            </w:r>
            <w:r w:rsidRPr="000455E0">
              <w:rPr>
                <w:rStyle w:val="13"/>
                <w:rFonts w:eastAsia="Times New Roman" w:cs="Calibri"/>
                <w:sz w:val="14"/>
                <w:szCs w:val="16"/>
                <w:lang w:eastAsia="el-GR"/>
              </w:rPr>
              <w:t>από επιπλέον αναμενόμενες ζημίες απομείωσης δανείων και άλλων στοιχείων ενεργητικού ώστε να αντικατοπτρίζουν τις επιδεινούμενες οικονομικές προοπτικές ως αποτέλεσμα του COVID-19</w:t>
            </w:r>
          </w:p>
        </w:tc>
      </w:tr>
      <w:tr w:rsidR="00944528" w:rsidRPr="000455E0" w:rsidTr="00944528">
        <w:trPr>
          <w:trHeight w:val="705"/>
        </w:trPr>
        <w:tc>
          <w:tcPr>
            <w:tcW w:w="399" w:type="dxa"/>
            <w:tcBorders>
              <w:top w:val="nil"/>
              <w:left w:val="single" w:sz="6" w:space="0" w:color="3A73AE"/>
              <w:bottom w:val="single" w:sz="6" w:space="0" w:color="3A73AE"/>
              <w:right w:val="single" w:sz="6" w:space="0" w:color="3A73AE"/>
            </w:tcBorders>
            <w:shd w:val="clear" w:color="auto" w:fill="auto"/>
            <w:vAlign w:val="center"/>
            <w:hideMark/>
          </w:tcPr>
          <w:p w:rsidR="00944528" w:rsidRPr="000455E0" w:rsidRDefault="00944528" w:rsidP="00A84565">
            <w:pPr>
              <w:jc w:val="center"/>
              <w:rPr>
                <w:sz w:val="14"/>
                <w:szCs w:val="16"/>
              </w:rPr>
            </w:pPr>
            <w:r w:rsidRPr="000455E0">
              <w:rPr>
                <w:sz w:val="14"/>
                <w:szCs w:val="16"/>
              </w:rPr>
              <w:t>4</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lang w:val="en-US"/>
              </w:rPr>
            </w:pPr>
            <w:r w:rsidRPr="000455E0">
              <w:rPr>
                <w:rStyle w:val="13"/>
                <w:rFonts w:eastAsia="Times New Roman" w:cs="Calibri"/>
                <w:sz w:val="14"/>
                <w:szCs w:val="16"/>
                <w:lang w:eastAsia="el-GR"/>
              </w:rPr>
              <w:t>Απομειώσεις ή Προβλέψεις </w:t>
            </w:r>
          </w:p>
        </w:tc>
        <w:tc>
          <w:tcPr>
            <w:tcW w:w="6543"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Αναμενόμενες ζημίες απομείωσης δανείων και απαιτήσεων κατά πελατών στο αποσβέσιμο κόστος συν (+) Ζημίες απομείωσης λοιπών στοιχείων ενεργητικού συν (+) Ζημίες απομειώσεων χρηματοοικονομικών μέσων στην εύλογη αξία μέσω λοιπών συνολικών εσόδων συν (+) Απομείωση αξίας θυγατρικών και συγγενών εταιρειών συν (+) Απομείωση αξίας ενσώματων παγίων και άυλων στοιχείων ενεργητικού συν (+) Λοιπές ζημίες απομειώσεων </w:t>
            </w:r>
          </w:p>
        </w:tc>
      </w:tr>
      <w:tr w:rsidR="00944528" w:rsidRPr="000455E0" w:rsidTr="00944528">
        <w:trPr>
          <w:trHeight w:val="643"/>
        </w:trPr>
        <w:tc>
          <w:tcPr>
            <w:tcW w:w="399" w:type="dxa"/>
            <w:tcBorders>
              <w:top w:val="nil"/>
              <w:left w:val="single" w:sz="6" w:space="0" w:color="3A73AE"/>
              <w:bottom w:val="single" w:sz="6" w:space="0" w:color="3A73AE"/>
              <w:right w:val="single" w:sz="6" w:space="0" w:color="3A73AE"/>
            </w:tcBorders>
            <w:shd w:val="clear" w:color="auto" w:fill="auto"/>
            <w:vAlign w:val="center"/>
            <w:hideMark/>
          </w:tcPr>
          <w:p w:rsidR="00944528" w:rsidRPr="000455E0" w:rsidRDefault="00944528" w:rsidP="00A84565">
            <w:pPr>
              <w:jc w:val="center"/>
              <w:rPr>
                <w:sz w:val="14"/>
                <w:szCs w:val="16"/>
              </w:rPr>
            </w:pPr>
            <w:r w:rsidRPr="000455E0">
              <w:rPr>
                <w:sz w:val="14"/>
                <w:szCs w:val="16"/>
              </w:rPr>
              <w:t>5</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Απομειώσεις (Έξοδο προβλέψεων) Δανείων  </w:t>
            </w:r>
          </w:p>
        </w:tc>
        <w:tc>
          <w:tcPr>
            <w:tcW w:w="6543" w:type="dxa"/>
            <w:tcBorders>
              <w:top w:val="nil"/>
              <w:left w:val="nil"/>
              <w:bottom w:val="single" w:sz="6" w:space="0" w:color="3A73AE"/>
              <w:right w:val="single" w:sz="6" w:space="0" w:color="3A73AE"/>
            </w:tcBorders>
            <w:shd w:val="clear" w:color="auto" w:fill="FFFFFF"/>
            <w:vAlign w:val="center"/>
          </w:tcPr>
          <w:p w:rsidR="00944528" w:rsidRPr="000455E0" w:rsidRDefault="00944528" w:rsidP="00A84565">
            <w:pPr>
              <w:rPr>
                <w:sz w:val="14"/>
                <w:szCs w:val="16"/>
              </w:rPr>
            </w:pPr>
            <w:r w:rsidRPr="000455E0">
              <w:rPr>
                <w:rStyle w:val="13"/>
                <w:rFonts w:eastAsia="Times New Roman" w:cs="Calibri"/>
                <w:sz w:val="14"/>
                <w:szCs w:val="16"/>
                <w:lang w:eastAsia="el-GR"/>
              </w:rPr>
              <w:t>Αναμενόμενες ζημίες απομείωσης δανείων και απαιτήσεων κατά πελατών στο αποσβέσιμο κόστος  </w:t>
            </w:r>
          </w:p>
        </w:tc>
      </w:tr>
      <w:tr w:rsidR="00944528" w:rsidRPr="000455E0" w:rsidTr="00944528">
        <w:trPr>
          <w:trHeight w:val="540"/>
        </w:trPr>
        <w:tc>
          <w:tcPr>
            <w:tcW w:w="399" w:type="dxa"/>
            <w:tcBorders>
              <w:top w:val="nil"/>
              <w:left w:val="single" w:sz="6" w:space="0" w:color="3A73AE"/>
              <w:bottom w:val="single" w:sz="6" w:space="0" w:color="3A73AE"/>
              <w:right w:val="single" w:sz="6" w:space="0" w:color="3A73AE"/>
            </w:tcBorders>
            <w:shd w:val="clear" w:color="auto" w:fill="auto"/>
            <w:vAlign w:val="center"/>
            <w:hideMark/>
          </w:tcPr>
          <w:p w:rsidR="00944528" w:rsidRPr="000455E0" w:rsidRDefault="00944528" w:rsidP="00A84565">
            <w:pPr>
              <w:jc w:val="center"/>
              <w:rPr>
                <w:sz w:val="14"/>
                <w:szCs w:val="16"/>
              </w:rPr>
            </w:pPr>
            <w:r w:rsidRPr="000455E0">
              <w:rPr>
                <w:sz w:val="14"/>
                <w:szCs w:val="16"/>
              </w:rPr>
              <w:t>6</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Απομειώσεις (Έξοδο προβλέψεων) Δανείων προς Δάνεια μετά από Προβλέψεις  </w:t>
            </w:r>
          </w:p>
        </w:tc>
        <w:tc>
          <w:tcPr>
            <w:tcW w:w="6543"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Αναμενόμενες ζημίες απομείωσης δανείων και απαιτήσεων κατά πελατών στο αποσβέσιμο κόστος που σχετίζονται με την αντίστοιχη περίοδο σε ετησιοποιημένη βάση - εξαιρουμένης της επίπτωσης του Covid-19 που δεν ετησιοποιείται - προς (/) Δάνεια μετά από προβλέψεις  </w:t>
            </w:r>
          </w:p>
        </w:tc>
      </w:tr>
      <w:tr w:rsidR="00944528" w:rsidRPr="000455E0" w:rsidTr="00944528">
        <w:trPr>
          <w:trHeight w:val="442"/>
        </w:trPr>
        <w:tc>
          <w:tcPr>
            <w:tcW w:w="399" w:type="dxa"/>
            <w:tcBorders>
              <w:top w:val="nil"/>
              <w:left w:val="single" w:sz="6" w:space="0" w:color="3A73AE"/>
              <w:bottom w:val="single" w:sz="6" w:space="0" w:color="3A73AE"/>
              <w:right w:val="single" w:sz="6" w:space="0" w:color="3A73AE"/>
            </w:tcBorders>
            <w:shd w:val="clear" w:color="auto" w:fill="auto"/>
            <w:vAlign w:val="center"/>
            <w:hideMark/>
          </w:tcPr>
          <w:p w:rsidR="00944528" w:rsidRPr="000455E0" w:rsidRDefault="00944528" w:rsidP="00A84565">
            <w:pPr>
              <w:jc w:val="center"/>
              <w:rPr>
                <w:sz w:val="14"/>
                <w:szCs w:val="16"/>
              </w:rPr>
            </w:pPr>
            <w:r w:rsidRPr="000455E0">
              <w:rPr>
                <w:sz w:val="14"/>
                <w:szCs w:val="16"/>
              </w:rPr>
              <w:t>7</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Αποτέλεσμα προ (φόρων και) προβλέψεων </w:t>
            </w:r>
          </w:p>
        </w:tc>
        <w:tc>
          <w:tcPr>
            <w:tcW w:w="6543"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Κέρδη προ προβλέψεων, απομειώσεων και φόρου εισοδήματος </w:t>
            </w:r>
          </w:p>
        </w:tc>
      </w:tr>
      <w:tr w:rsidR="00944528" w:rsidRPr="000455E0" w:rsidTr="00944528">
        <w:trPr>
          <w:trHeight w:val="476"/>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rPr>
              <w:t>8</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rStyle w:val="13"/>
                <w:rFonts w:eastAsia="Times New Roman" w:cs="Calibri"/>
                <w:sz w:val="14"/>
                <w:szCs w:val="16"/>
                <w:lang w:eastAsia="el-GR"/>
              </w:rPr>
            </w:pPr>
            <w:r w:rsidRPr="000455E0">
              <w:rPr>
                <w:rStyle w:val="13"/>
                <w:rFonts w:eastAsia="Times New Roman" w:cs="Calibri"/>
                <w:sz w:val="14"/>
                <w:szCs w:val="16"/>
                <w:lang w:eastAsia="el-GR"/>
              </w:rPr>
              <w:t>Αποτέλεσμα (κέρδη) προ φόρων</w:t>
            </w:r>
          </w:p>
        </w:tc>
        <w:tc>
          <w:tcPr>
            <w:tcW w:w="6543" w:type="dxa"/>
            <w:tcBorders>
              <w:top w:val="nil"/>
              <w:left w:val="nil"/>
              <w:bottom w:val="single" w:sz="6" w:space="0" w:color="3A73AE"/>
              <w:right w:val="single" w:sz="6" w:space="0" w:color="3A73AE"/>
            </w:tcBorders>
            <w:shd w:val="clear" w:color="auto" w:fill="FFFFFF"/>
            <w:vAlign w:val="center"/>
          </w:tcPr>
          <w:p w:rsidR="00944528" w:rsidRPr="000455E0" w:rsidRDefault="00944528" w:rsidP="00A84565">
            <w:pPr>
              <w:rPr>
                <w:rStyle w:val="13"/>
                <w:rFonts w:eastAsia="Times New Roman" w:cs="Calibri"/>
                <w:sz w:val="14"/>
                <w:szCs w:val="16"/>
                <w:lang w:eastAsia="el-GR"/>
              </w:rPr>
            </w:pPr>
            <w:r w:rsidRPr="000455E0">
              <w:rPr>
                <w:rFonts w:eastAsia="Times New Roman" w:cs="Calibri"/>
                <w:sz w:val="14"/>
                <w:szCs w:val="16"/>
                <w:lang w:eastAsia="el-GR"/>
              </w:rPr>
              <w:t>Κέρδη / ζημία προ φόρου εισοδήματος</w:t>
            </w:r>
          </w:p>
        </w:tc>
      </w:tr>
      <w:tr w:rsidR="00944528" w:rsidRPr="000455E0" w:rsidTr="00944528">
        <w:trPr>
          <w:trHeight w:val="755"/>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rPr>
              <w:t>9</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Αποτέλεσμα (κέρδη) προ φόρων, εξαιρουμένης της επίπτωσης του COVID-19  </w:t>
            </w:r>
          </w:p>
        </w:tc>
        <w:tc>
          <w:tcPr>
            <w:tcW w:w="6543" w:type="dxa"/>
            <w:tcBorders>
              <w:top w:val="nil"/>
              <w:left w:val="nil"/>
              <w:bottom w:val="single" w:sz="6" w:space="0" w:color="3A73AE"/>
              <w:right w:val="single" w:sz="6" w:space="0" w:color="3A73AE"/>
            </w:tcBorders>
            <w:shd w:val="clear" w:color="auto" w:fill="FFFFFF"/>
            <w:vAlign w:val="center"/>
          </w:tcPr>
          <w:p w:rsidR="00944528" w:rsidRPr="000455E0" w:rsidRDefault="00944528" w:rsidP="00A84565">
            <w:pPr>
              <w:rPr>
                <w:sz w:val="14"/>
                <w:szCs w:val="16"/>
              </w:rPr>
            </w:pPr>
            <w:r w:rsidRPr="000455E0">
              <w:rPr>
                <w:rStyle w:val="13"/>
                <w:rFonts w:eastAsia="Times New Roman" w:cs="Calibri"/>
                <w:sz w:val="14"/>
                <w:szCs w:val="16"/>
                <w:lang w:eastAsia="el-GR"/>
              </w:rPr>
              <w:t>Κέρδη / ζημία προ φόρου εισοδήματος, εξαιρουμένης της επίπτωσης από τον COVID-19 σύμφωνα με το στοιχείο #3 </w:t>
            </w:r>
          </w:p>
        </w:tc>
      </w:tr>
      <w:tr w:rsidR="00944528" w:rsidRPr="000455E0" w:rsidTr="00944528">
        <w:trPr>
          <w:trHeight w:val="375"/>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lang w:val="en-US"/>
              </w:rPr>
              <w:t>1</w:t>
            </w:r>
            <w:r w:rsidRPr="000455E0">
              <w:rPr>
                <w:sz w:val="14"/>
                <w:szCs w:val="16"/>
              </w:rPr>
              <w:t>0</w:t>
            </w:r>
          </w:p>
        </w:tc>
        <w:tc>
          <w:tcPr>
            <w:tcW w:w="2398" w:type="dxa"/>
            <w:tcBorders>
              <w:top w:val="nil"/>
              <w:left w:val="single" w:sz="6" w:space="0" w:color="FFC000"/>
              <w:bottom w:val="single" w:sz="6" w:space="0" w:color="3A73AE"/>
              <w:right w:val="single" w:sz="4" w:space="0" w:color="auto"/>
            </w:tcBorders>
            <w:shd w:val="clear" w:color="auto" w:fill="FFFFFF"/>
            <w:vAlign w:val="center"/>
          </w:tcPr>
          <w:p w:rsidR="00944528" w:rsidRPr="000455E0" w:rsidRDefault="00944528" w:rsidP="00A84565">
            <w:pPr>
              <w:rPr>
                <w:sz w:val="14"/>
                <w:szCs w:val="16"/>
              </w:rPr>
            </w:pPr>
            <w:r w:rsidRPr="000455E0">
              <w:rPr>
                <w:rStyle w:val="13"/>
                <w:rFonts w:eastAsia="Times New Roman" w:cs="Calibri"/>
                <w:sz w:val="14"/>
                <w:szCs w:val="16"/>
                <w:lang w:eastAsia="el-GR"/>
              </w:rPr>
              <w:t>Βασικά τραπεζικά έσοδα μείον  Επαναλαμβανόμενα Λειτουργικά Έξοδα </w:t>
            </w:r>
          </w:p>
        </w:tc>
        <w:tc>
          <w:tcPr>
            <w:tcW w:w="6543" w:type="dxa"/>
            <w:tcBorders>
              <w:top w:val="nil"/>
              <w:left w:val="single" w:sz="4" w:space="0" w:color="auto"/>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Καθαρά έσοδα τόκων συν (+) καθαρά έσοδα προμηθειών μείον (-) λειτουργικά έξοδα εξαιρουμένων των μη επαναλαμβανόμενων στοιχείων σύμφωνα με το στοιχείο #1   </w:t>
            </w:r>
          </w:p>
        </w:tc>
      </w:tr>
      <w:tr w:rsidR="00944528" w:rsidRPr="000455E0" w:rsidTr="00944528">
        <w:trPr>
          <w:trHeight w:val="375"/>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lang w:val="en-US"/>
              </w:rPr>
              <w:t>1</w:t>
            </w:r>
            <w:r w:rsidRPr="000455E0">
              <w:rPr>
                <w:sz w:val="14"/>
                <w:szCs w:val="16"/>
              </w:rPr>
              <w:t>1</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Δάνεια προ Προβλέψεων </w:t>
            </w:r>
          </w:p>
        </w:tc>
        <w:tc>
          <w:tcPr>
            <w:tcW w:w="6543"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Δάνεια και απαιτήσεις κατά πελατών στο αποσβέσιμο κόστος προ αναμενόμενων πιστωτικών ζημιών </w:t>
            </w:r>
          </w:p>
        </w:tc>
      </w:tr>
      <w:tr w:rsidR="00944528" w:rsidRPr="000455E0" w:rsidTr="00944528">
        <w:trPr>
          <w:trHeight w:val="375"/>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lang w:val="en-US"/>
              </w:rPr>
              <w:t>1</w:t>
            </w:r>
            <w:r w:rsidRPr="000455E0">
              <w:rPr>
                <w:sz w:val="14"/>
                <w:szCs w:val="16"/>
              </w:rPr>
              <w:t>2</w:t>
            </w:r>
          </w:p>
        </w:tc>
        <w:tc>
          <w:tcPr>
            <w:tcW w:w="2398" w:type="dxa"/>
            <w:tcBorders>
              <w:top w:val="nil"/>
              <w:left w:val="nil"/>
              <w:bottom w:val="single" w:sz="6" w:space="0" w:color="3A73AE"/>
              <w:right w:val="single" w:sz="6" w:space="0" w:color="3A73AE"/>
            </w:tcBorders>
            <w:shd w:val="clear" w:color="auto" w:fill="auto"/>
          </w:tcPr>
          <w:p w:rsidR="00944528" w:rsidRPr="000455E0" w:rsidRDefault="00944528" w:rsidP="00A84565">
            <w:pPr>
              <w:rPr>
                <w:b/>
                <w:bCs/>
                <w:sz w:val="14"/>
                <w:szCs w:val="16"/>
                <w:lang w:val="en-US"/>
              </w:rPr>
            </w:pPr>
            <w:r w:rsidRPr="000455E0">
              <w:rPr>
                <w:rStyle w:val="13"/>
                <w:rFonts w:eastAsia="Times New Roman" w:cs="Calibri"/>
                <w:sz w:val="14"/>
                <w:szCs w:val="16"/>
                <w:lang w:eastAsia="el-GR"/>
              </w:rPr>
              <w:t>Δάνεια μετά από Προβλέψεις  </w:t>
            </w:r>
          </w:p>
        </w:tc>
        <w:tc>
          <w:tcPr>
            <w:tcW w:w="6543" w:type="dxa"/>
            <w:tcBorders>
              <w:top w:val="nil"/>
              <w:left w:val="nil"/>
              <w:bottom w:val="single" w:sz="6" w:space="0" w:color="3A73AE"/>
              <w:right w:val="single" w:sz="6" w:space="0" w:color="3A73AE"/>
            </w:tcBorders>
            <w:shd w:val="clear" w:color="auto" w:fill="auto"/>
          </w:tcPr>
          <w:p w:rsidR="00944528" w:rsidRPr="000455E0" w:rsidRDefault="00944528" w:rsidP="00A84565">
            <w:pPr>
              <w:rPr>
                <w:sz w:val="14"/>
                <w:szCs w:val="16"/>
              </w:rPr>
            </w:pPr>
            <w:r w:rsidRPr="000455E0">
              <w:rPr>
                <w:rStyle w:val="13"/>
                <w:rFonts w:eastAsia="Times New Roman" w:cs="Calibri"/>
                <w:sz w:val="14"/>
                <w:szCs w:val="16"/>
                <w:lang w:eastAsia="el-GR"/>
              </w:rPr>
              <w:t>Δάνεια μετά από προβλέψεις στο αποσβέσιμο κόστος  </w:t>
            </w:r>
          </w:p>
        </w:tc>
      </w:tr>
      <w:tr w:rsidR="00944528" w:rsidRPr="000455E0" w:rsidTr="00944528">
        <w:trPr>
          <w:trHeight w:val="326"/>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lang w:val="en-US"/>
              </w:rPr>
              <w:t>1</w:t>
            </w:r>
            <w:r w:rsidRPr="000455E0">
              <w:rPr>
                <w:sz w:val="14"/>
                <w:szCs w:val="16"/>
              </w:rPr>
              <w:t>3</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Δείκτης δανείων προς καταθέσεις </w:t>
            </w:r>
          </w:p>
        </w:tc>
        <w:tc>
          <w:tcPr>
            <w:tcW w:w="6543"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Δάνεια μετά από προβλέψεις προς (/) Καταθέσεις   </w:t>
            </w:r>
          </w:p>
        </w:tc>
      </w:tr>
      <w:tr w:rsidR="00944528" w:rsidRPr="000455E0" w:rsidTr="00944528">
        <w:trPr>
          <w:trHeight w:val="570"/>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lang w:val="en-US"/>
              </w:rPr>
              <w:t>1</w:t>
            </w:r>
            <w:r w:rsidRPr="000455E0">
              <w:rPr>
                <w:sz w:val="14"/>
                <w:szCs w:val="16"/>
              </w:rPr>
              <w:t>4</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Δείκτης Κάλυψης ΜΕΑ από αναμενόμενες πιστωτικές ζημίες (σωρευτικές προβλέψεις)</w:t>
            </w:r>
          </w:p>
        </w:tc>
        <w:tc>
          <w:tcPr>
            <w:tcW w:w="6543" w:type="dxa"/>
            <w:tcBorders>
              <w:top w:val="nil"/>
              <w:left w:val="nil"/>
              <w:bottom w:val="single" w:sz="6" w:space="0" w:color="3A73AE"/>
              <w:right w:val="single" w:sz="6" w:space="0" w:color="3A73AE"/>
            </w:tcBorders>
            <w:shd w:val="clear" w:color="auto" w:fill="FFFFFF"/>
            <w:vAlign w:val="center"/>
          </w:tcPr>
          <w:p w:rsidR="00944528" w:rsidRPr="000455E0" w:rsidRDefault="00944528" w:rsidP="00A84565">
            <w:pPr>
              <w:rPr>
                <w:sz w:val="14"/>
                <w:szCs w:val="16"/>
              </w:rPr>
            </w:pPr>
            <w:r w:rsidRPr="000455E0">
              <w:rPr>
                <w:rStyle w:val="13"/>
                <w:rFonts w:eastAsia="Times New Roman" w:cs="Calibri"/>
                <w:sz w:val="14"/>
                <w:szCs w:val="16"/>
                <w:lang w:eastAsia="el-GR"/>
              </w:rPr>
              <w:t>Αναμενόμενες πιστωτικές ζημιές προς (/) ΜΕΑ </w:t>
            </w:r>
          </w:p>
        </w:tc>
      </w:tr>
      <w:tr w:rsidR="00944528" w:rsidRPr="000455E0" w:rsidTr="00944528">
        <w:trPr>
          <w:trHeight w:val="315"/>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rPr>
              <w:t>15</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Δείκτης κάλυψης ρευστότητας (LCR) </w:t>
            </w:r>
          </w:p>
        </w:tc>
        <w:tc>
          <w:tcPr>
            <w:tcW w:w="6543" w:type="dxa"/>
            <w:tcBorders>
              <w:top w:val="nil"/>
              <w:left w:val="nil"/>
              <w:bottom w:val="single" w:sz="6" w:space="0" w:color="3A73AE"/>
              <w:right w:val="single" w:sz="6" w:space="0" w:color="3A73AE"/>
            </w:tcBorders>
            <w:shd w:val="clear" w:color="auto" w:fill="auto"/>
          </w:tcPr>
          <w:p w:rsidR="00944528" w:rsidRPr="000455E0" w:rsidRDefault="00944528" w:rsidP="00A84565">
            <w:pPr>
              <w:rPr>
                <w:sz w:val="14"/>
                <w:szCs w:val="16"/>
              </w:rPr>
            </w:pPr>
            <w:r w:rsidRPr="000455E0">
              <w:rPr>
                <w:rStyle w:val="13"/>
                <w:rFonts w:eastAsia="Times New Roman" w:cs="Calibri"/>
                <w:sz w:val="14"/>
                <w:szCs w:val="16"/>
                <w:lang w:eastAsia="el-GR"/>
              </w:rPr>
              <w:t>Ο δείκτης κάλυψης ρευστότητας είναι το ποσό του επαρκούς αποθέματος ασφαλείας ρευστότητας ώστε μια τράπεζα να επιβιώσει από ένα σημαντικό σενάριο ακραίων καταστάσεων που διαρκεί έναν μήνα </w:t>
            </w:r>
          </w:p>
        </w:tc>
      </w:tr>
      <w:tr w:rsidR="00944528" w:rsidRPr="000455E0" w:rsidTr="00944528">
        <w:trPr>
          <w:trHeight w:val="405"/>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lang w:val="en-US"/>
              </w:rPr>
            </w:pPr>
            <w:r w:rsidRPr="000455E0">
              <w:rPr>
                <w:sz w:val="14"/>
                <w:szCs w:val="16"/>
                <w:lang w:val="en-US"/>
              </w:rPr>
              <w:t>1</w:t>
            </w:r>
            <w:r w:rsidRPr="000455E0">
              <w:rPr>
                <w:sz w:val="14"/>
                <w:szCs w:val="16"/>
              </w:rPr>
              <w:t>6</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rStyle w:val="13"/>
                <w:rFonts w:eastAsia="Times New Roman" w:cs="Calibri"/>
                <w:sz w:val="14"/>
                <w:szCs w:val="16"/>
                <w:lang w:eastAsia="el-GR"/>
              </w:rPr>
            </w:pPr>
            <w:r w:rsidRPr="000455E0">
              <w:rPr>
                <w:rStyle w:val="13"/>
                <w:rFonts w:eastAsia="Times New Roman" w:cs="Calibri"/>
                <w:sz w:val="14"/>
                <w:szCs w:val="16"/>
                <w:lang w:eastAsia="el-GR"/>
              </w:rPr>
              <w:t xml:space="preserve">Δείκτης κόστους προς έσοδα </w:t>
            </w:r>
          </w:p>
        </w:tc>
        <w:tc>
          <w:tcPr>
            <w:tcW w:w="6543"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rStyle w:val="13"/>
                <w:rFonts w:eastAsia="Times New Roman" w:cs="Calibri"/>
                <w:sz w:val="14"/>
                <w:szCs w:val="16"/>
                <w:lang w:eastAsia="el-GR"/>
              </w:rPr>
            </w:pPr>
            <w:r w:rsidRPr="000455E0">
              <w:rPr>
                <w:rFonts w:eastAsia="Times New Roman" w:cs="Calibri"/>
                <w:sz w:val="14"/>
                <w:szCs w:val="16"/>
                <w:lang w:eastAsia="el-GR"/>
              </w:rPr>
              <w:t>Σύνολο λειτουργικών εξόδων πριν από προβλέψεις προς (/) Συνολικά καθαρά έσοδα</w:t>
            </w:r>
          </w:p>
        </w:tc>
      </w:tr>
      <w:tr w:rsidR="00944528" w:rsidRPr="000455E0" w:rsidTr="00944528">
        <w:trPr>
          <w:trHeight w:val="405"/>
        </w:trPr>
        <w:tc>
          <w:tcPr>
            <w:tcW w:w="399" w:type="dxa"/>
            <w:tcBorders>
              <w:top w:val="nil"/>
              <w:left w:val="single" w:sz="6" w:space="0" w:color="3A73AE"/>
              <w:bottom w:val="single" w:sz="6" w:space="0" w:color="3A73AE"/>
              <w:right w:val="single" w:sz="6" w:space="0" w:color="3A73AE"/>
            </w:tcBorders>
            <w:shd w:val="clear" w:color="auto" w:fill="auto"/>
            <w:vAlign w:val="center"/>
            <w:hideMark/>
          </w:tcPr>
          <w:p w:rsidR="00944528" w:rsidRPr="000455E0" w:rsidRDefault="00944528" w:rsidP="00A84565">
            <w:pPr>
              <w:jc w:val="center"/>
              <w:rPr>
                <w:sz w:val="14"/>
                <w:szCs w:val="16"/>
              </w:rPr>
            </w:pPr>
            <w:r w:rsidRPr="000455E0">
              <w:rPr>
                <w:sz w:val="14"/>
                <w:szCs w:val="16"/>
                <w:lang w:val="en-US"/>
              </w:rPr>
              <w:t>1</w:t>
            </w:r>
            <w:r w:rsidRPr="000455E0">
              <w:rPr>
                <w:sz w:val="14"/>
                <w:szCs w:val="16"/>
              </w:rPr>
              <w:t>7</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Δείκτης κόστους προς έσοδα (Επαναλαμβανόμενος) </w:t>
            </w:r>
          </w:p>
        </w:tc>
        <w:tc>
          <w:tcPr>
            <w:tcW w:w="6543"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Σύνολο λειτουργικών εξόδων πριν από προβλέψεις προς (/) Συνολικά καθαρά έσοδα, εξαιρουμένων των εφάπαξ στοιχείων που σχετίζονται με την αντίστοιχη περίοδο, σύμφωνα με το στοιχείο #1 </w:t>
            </w:r>
          </w:p>
        </w:tc>
      </w:tr>
      <w:tr w:rsidR="00944528" w:rsidRPr="000455E0" w:rsidTr="00944528">
        <w:trPr>
          <w:trHeight w:val="300"/>
        </w:trPr>
        <w:tc>
          <w:tcPr>
            <w:tcW w:w="399" w:type="dxa"/>
            <w:tcBorders>
              <w:top w:val="nil"/>
              <w:left w:val="single" w:sz="6" w:space="0" w:color="3A73AE"/>
              <w:bottom w:val="single" w:sz="6" w:space="0" w:color="3A73AE"/>
              <w:right w:val="single" w:sz="6" w:space="0" w:color="3A73AE"/>
            </w:tcBorders>
            <w:shd w:val="clear" w:color="auto" w:fill="auto"/>
            <w:vAlign w:val="center"/>
            <w:hideMark/>
          </w:tcPr>
          <w:p w:rsidR="00944528" w:rsidRPr="000455E0" w:rsidRDefault="00944528" w:rsidP="00A84565">
            <w:pPr>
              <w:jc w:val="center"/>
              <w:rPr>
                <w:sz w:val="14"/>
                <w:szCs w:val="16"/>
              </w:rPr>
            </w:pPr>
            <w:r w:rsidRPr="000455E0">
              <w:rPr>
                <w:sz w:val="14"/>
                <w:szCs w:val="16"/>
                <w:lang w:val="en-US"/>
              </w:rPr>
              <w:t>1</w:t>
            </w:r>
            <w:r w:rsidRPr="000455E0">
              <w:rPr>
                <w:sz w:val="14"/>
                <w:szCs w:val="16"/>
              </w:rPr>
              <w:t>8</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lang w:val="en-US"/>
              </w:rPr>
            </w:pPr>
            <w:r w:rsidRPr="000455E0">
              <w:rPr>
                <w:rStyle w:val="13"/>
                <w:rFonts w:eastAsia="Times New Roman" w:cs="Calibri"/>
                <w:sz w:val="14"/>
                <w:szCs w:val="16"/>
                <w:lang w:eastAsia="el-GR"/>
              </w:rPr>
              <w:t>Δείκτης ΜΕΑ </w:t>
            </w:r>
          </w:p>
        </w:tc>
        <w:tc>
          <w:tcPr>
            <w:tcW w:w="6543"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Μη εξυπηρετούμενα ανοίγματα προς (/) Δάνεια προ προβλέψεων   </w:t>
            </w:r>
          </w:p>
        </w:tc>
      </w:tr>
      <w:tr w:rsidR="00944528" w:rsidRPr="000455E0" w:rsidTr="00944528">
        <w:trPr>
          <w:trHeight w:val="375"/>
        </w:trPr>
        <w:tc>
          <w:tcPr>
            <w:tcW w:w="399" w:type="dxa"/>
            <w:tcBorders>
              <w:top w:val="nil"/>
              <w:left w:val="single" w:sz="6" w:space="0" w:color="3A73AE"/>
              <w:bottom w:val="single" w:sz="6" w:space="0" w:color="3A73AE"/>
              <w:right w:val="single" w:sz="6" w:space="0" w:color="3A73AE"/>
            </w:tcBorders>
            <w:shd w:val="clear" w:color="auto" w:fill="auto"/>
            <w:vAlign w:val="center"/>
            <w:hideMark/>
          </w:tcPr>
          <w:p w:rsidR="00944528" w:rsidRPr="000455E0" w:rsidRDefault="00944528" w:rsidP="00A84565">
            <w:pPr>
              <w:jc w:val="center"/>
              <w:rPr>
                <w:sz w:val="14"/>
                <w:szCs w:val="16"/>
              </w:rPr>
            </w:pPr>
            <w:r w:rsidRPr="000455E0">
              <w:rPr>
                <w:sz w:val="14"/>
                <w:szCs w:val="16"/>
              </w:rPr>
              <w:t>19</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Εξυπηρετούμενα Δάνεια </w:t>
            </w:r>
          </w:p>
        </w:tc>
        <w:tc>
          <w:tcPr>
            <w:tcW w:w="6543"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Δάνεια προ προβλέψεων μείον (-) ΜΕΑ </w:t>
            </w:r>
          </w:p>
        </w:tc>
      </w:tr>
      <w:tr w:rsidR="00944528" w:rsidRPr="000455E0" w:rsidTr="00944528">
        <w:trPr>
          <w:trHeight w:val="375"/>
        </w:trPr>
        <w:tc>
          <w:tcPr>
            <w:tcW w:w="399" w:type="dxa"/>
            <w:tcBorders>
              <w:top w:val="nil"/>
              <w:left w:val="single" w:sz="6" w:space="0" w:color="3A73AE"/>
              <w:bottom w:val="single" w:sz="6" w:space="0" w:color="3A73AE"/>
              <w:right w:val="single" w:sz="6" w:space="0" w:color="3A73AE"/>
            </w:tcBorders>
            <w:shd w:val="clear" w:color="auto" w:fill="auto"/>
            <w:vAlign w:val="center"/>
            <w:hideMark/>
          </w:tcPr>
          <w:p w:rsidR="00944528" w:rsidRPr="000455E0" w:rsidRDefault="00944528" w:rsidP="00A84565">
            <w:pPr>
              <w:jc w:val="center"/>
              <w:rPr>
                <w:sz w:val="14"/>
                <w:szCs w:val="16"/>
              </w:rPr>
            </w:pPr>
            <w:r w:rsidRPr="000455E0">
              <w:rPr>
                <w:sz w:val="14"/>
                <w:szCs w:val="16"/>
              </w:rPr>
              <w:t>20</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Έσοδα (κέρδη) προ προβλέψεων σε επαναλαμβανόμενη βάση </w:t>
            </w:r>
          </w:p>
        </w:tc>
        <w:tc>
          <w:tcPr>
            <w:tcW w:w="6543" w:type="dxa"/>
            <w:tcBorders>
              <w:top w:val="nil"/>
              <w:left w:val="nil"/>
              <w:bottom w:val="single" w:sz="6" w:space="0" w:color="3A73AE"/>
              <w:right w:val="single" w:sz="6" w:space="0" w:color="3A73AE"/>
            </w:tcBorders>
            <w:shd w:val="clear" w:color="auto" w:fill="FFFFFF"/>
            <w:vAlign w:val="center"/>
          </w:tcPr>
          <w:p w:rsidR="00944528" w:rsidRPr="000455E0" w:rsidRDefault="00944528" w:rsidP="00A84565">
            <w:pPr>
              <w:rPr>
                <w:sz w:val="14"/>
                <w:szCs w:val="16"/>
              </w:rPr>
            </w:pPr>
            <w:r w:rsidRPr="000455E0">
              <w:rPr>
                <w:rStyle w:val="13"/>
                <w:rFonts w:eastAsia="Times New Roman" w:cs="Calibri"/>
                <w:sz w:val="14"/>
                <w:szCs w:val="16"/>
                <w:lang w:eastAsia="el-GR"/>
              </w:rPr>
              <w:t>Αποτελέσματα προ προβλέψεων, απομειώσεων και φόρου εισοδήματος, εξαιρουμένων των έκτακτων στοιχείων που σχετίζονται με την αντίστοιχη περίοδο, σύμφωνα με το στοιχείο #1 </w:t>
            </w:r>
          </w:p>
        </w:tc>
      </w:tr>
      <w:tr w:rsidR="00944528" w:rsidRPr="000455E0" w:rsidTr="00944528">
        <w:trPr>
          <w:trHeight w:val="375"/>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rPr>
              <w:t>21</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Έσοδα προ προβλέψεων σε συγκρίσιμη βάση </w:t>
            </w:r>
          </w:p>
        </w:tc>
        <w:tc>
          <w:tcPr>
            <w:tcW w:w="6543" w:type="dxa"/>
            <w:tcBorders>
              <w:top w:val="nil"/>
              <w:left w:val="nil"/>
              <w:bottom w:val="single" w:sz="6" w:space="0" w:color="3A73AE"/>
              <w:right w:val="single" w:sz="6" w:space="0" w:color="3A73AE"/>
            </w:tcBorders>
            <w:shd w:val="clear" w:color="auto" w:fill="FFFFFF"/>
            <w:vAlign w:val="center"/>
          </w:tcPr>
          <w:p w:rsidR="00944528" w:rsidRPr="000455E0" w:rsidRDefault="00944528" w:rsidP="00A84565">
            <w:pPr>
              <w:rPr>
                <w:sz w:val="14"/>
                <w:szCs w:val="16"/>
              </w:rPr>
            </w:pPr>
            <w:r w:rsidRPr="000455E0">
              <w:rPr>
                <w:rStyle w:val="13"/>
                <w:rFonts w:eastAsia="Times New Roman" w:cs="Calibri"/>
                <w:sz w:val="14"/>
                <w:szCs w:val="16"/>
                <w:lang w:eastAsia="el-GR"/>
              </w:rPr>
              <w:t>Αποτελέσματα προ προβλέψεων, απομειώσεων και φόρου εισοδήματος, εξαιρουμένης της επίπτωσης του COVID-19 σύμφωνα με το στοιχείο #3 και στα λειτουργικά έξοδα της προμήθειες διαχείρισης προς τον διαχειριστή των ΜΕΑ σύμφωνα με το στοιχείο #29</w:t>
            </w:r>
          </w:p>
        </w:tc>
      </w:tr>
      <w:tr w:rsidR="00944528" w:rsidRPr="000455E0" w:rsidTr="00944528">
        <w:trPr>
          <w:trHeight w:val="375"/>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rPr>
              <w:t>22</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Καθαρό περιθώριο επιτοκίου (NIM) </w:t>
            </w:r>
          </w:p>
        </w:tc>
        <w:tc>
          <w:tcPr>
            <w:tcW w:w="6543" w:type="dxa"/>
            <w:tcBorders>
              <w:top w:val="nil"/>
              <w:left w:val="nil"/>
              <w:bottom w:val="single" w:sz="6" w:space="0" w:color="3A73AE"/>
              <w:right w:val="single" w:sz="6" w:space="0" w:color="3A73AE"/>
            </w:tcBorders>
            <w:shd w:val="clear" w:color="auto" w:fill="FFFFFF"/>
          </w:tcPr>
          <w:p w:rsidR="00944528" w:rsidRPr="000455E0" w:rsidRDefault="00944528" w:rsidP="00A84565">
            <w:pPr>
              <w:rPr>
                <w:sz w:val="14"/>
                <w:szCs w:val="16"/>
              </w:rPr>
            </w:pPr>
            <w:r w:rsidRPr="000455E0">
              <w:rPr>
                <w:rStyle w:val="13"/>
                <w:rFonts w:eastAsia="Times New Roman" w:cs="Calibri"/>
                <w:sz w:val="14"/>
                <w:szCs w:val="16"/>
                <w:lang w:eastAsia="el-GR"/>
              </w:rPr>
              <w:t>Καθαρά έσοδα τόκων σε ετησιοποιημένη βάση προς (/) Συνολικό προσαρμοσμένο ενεργητικό σύμφωνα με το στοιχείο #2  </w:t>
            </w:r>
          </w:p>
        </w:tc>
      </w:tr>
      <w:tr w:rsidR="00944528" w:rsidRPr="000455E0" w:rsidTr="000455E0">
        <w:trPr>
          <w:trHeight w:val="278"/>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rPr>
              <w:t>23</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Καθαρά έσοδα </w:t>
            </w:r>
          </w:p>
        </w:tc>
        <w:tc>
          <w:tcPr>
            <w:tcW w:w="6543" w:type="dxa"/>
            <w:tcBorders>
              <w:top w:val="nil"/>
              <w:left w:val="nil"/>
              <w:bottom w:val="single" w:sz="6" w:space="0" w:color="3A73AE"/>
              <w:right w:val="single" w:sz="6" w:space="0" w:color="3A73AE"/>
            </w:tcBorders>
            <w:shd w:val="clear" w:color="auto" w:fill="FFFFFF"/>
            <w:vAlign w:val="center"/>
          </w:tcPr>
          <w:p w:rsidR="00944528" w:rsidRPr="000455E0" w:rsidRDefault="00944528" w:rsidP="00A84565">
            <w:pPr>
              <w:rPr>
                <w:sz w:val="14"/>
                <w:szCs w:val="16"/>
                <w:lang w:val="en-US"/>
              </w:rPr>
            </w:pPr>
            <w:r w:rsidRPr="000455E0">
              <w:rPr>
                <w:rStyle w:val="13"/>
                <w:rFonts w:eastAsia="Times New Roman" w:cs="Calibri"/>
                <w:sz w:val="14"/>
                <w:szCs w:val="16"/>
                <w:lang w:eastAsia="el-GR"/>
              </w:rPr>
              <w:t>Σύνολο καθαρών εσόδων </w:t>
            </w:r>
          </w:p>
        </w:tc>
      </w:tr>
      <w:tr w:rsidR="00944528" w:rsidRPr="000455E0" w:rsidTr="00944528">
        <w:trPr>
          <w:trHeight w:val="375"/>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rPr>
              <w:t>24</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rStyle w:val="13"/>
                <w:rFonts w:eastAsia="Times New Roman" w:cs="Calibri"/>
                <w:sz w:val="14"/>
                <w:szCs w:val="16"/>
                <w:lang w:eastAsia="el-GR"/>
              </w:rPr>
            </w:pPr>
            <w:r w:rsidRPr="000455E0">
              <w:rPr>
                <w:rStyle w:val="13"/>
                <w:rFonts w:eastAsia="Times New Roman" w:cs="Calibri"/>
                <w:sz w:val="14"/>
                <w:szCs w:val="16"/>
                <w:lang w:eastAsia="el-GR"/>
              </w:rPr>
              <w:t>Καθαρά έσοδα προμηθειών προς ενεργητικό</w:t>
            </w:r>
          </w:p>
        </w:tc>
        <w:tc>
          <w:tcPr>
            <w:tcW w:w="6543" w:type="dxa"/>
            <w:tcBorders>
              <w:top w:val="nil"/>
              <w:left w:val="nil"/>
              <w:bottom w:val="single" w:sz="6" w:space="0" w:color="3A73AE"/>
              <w:right w:val="single" w:sz="6" w:space="0" w:color="3A73AE"/>
            </w:tcBorders>
            <w:shd w:val="clear" w:color="auto" w:fill="FFFFFF"/>
            <w:vAlign w:val="center"/>
          </w:tcPr>
          <w:p w:rsidR="00944528" w:rsidRPr="000455E0" w:rsidRDefault="00944528" w:rsidP="00A84565">
            <w:pPr>
              <w:rPr>
                <w:rStyle w:val="13"/>
                <w:rFonts w:eastAsia="Times New Roman" w:cs="Calibri"/>
                <w:sz w:val="14"/>
                <w:szCs w:val="16"/>
                <w:lang w:eastAsia="el-GR"/>
              </w:rPr>
            </w:pPr>
            <w:r w:rsidRPr="000455E0">
              <w:rPr>
                <w:rStyle w:val="13"/>
                <w:rFonts w:eastAsia="Times New Roman" w:cs="Calibri"/>
                <w:sz w:val="14"/>
                <w:szCs w:val="16"/>
                <w:lang w:eastAsia="el-GR"/>
              </w:rPr>
              <w:t>Καθαρά έσοδα προμηθειών προ προσαρμοσμένο ενεργητικό σύμφωνα με το στοιχείο #2</w:t>
            </w:r>
          </w:p>
        </w:tc>
      </w:tr>
      <w:tr w:rsidR="00944528" w:rsidRPr="000455E0" w:rsidTr="000455E0">
        <w:trPr>
          <w:trHeight w:val="260"/>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rPr>
              <w:t>25</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Καθαρό κέρδος  </w:t>
            </w:r>
          </w:p>
        </w:tc>
        <w:tc>
          <w:tcPr>
            <w:tcW w:w="6543" w:type="dxa"/>
            <w:tcBorders>
              <w:top w:val="nil"/>
              <w:left w:val="nil"/>
              <w:bottom w:val="single" w:sz="6" w:space="0" w:color="3A73AE"/>
              <w:right w:val="single" w:sz="6" w:space="0" w:color="3A73AE"/>
            </w:tcBorders>
            <w:shd w:val="clear" w:color="auto" w:fill="FFFFFF"/>
            <w:vAlign w:val="center"/>
          </w:tcPr>
          <w:p w:rsidR="00944528" w:rsidRPr="000455E0" w:rsidRDefault="00944528" w:rsidP="00A84565">
            <w:pPr>
              <w:rPr>
                <w:sz w:val="14"/>
                <w:szCs w:val="16"/>
              </w:rPr>
            </w:pPr>
            <w:r w:rsidRPr="000455E0">
              <w:rPr>
                <w:rStyle w:val="13"/>
                <w:rFonts w:eastAsia="Times New Roman" w:cs="Calibri"/>
                <w:sz w:val="14"/>
                <w:szCs w:val="16"/>
                <w:lang w:eastAsia="el-GR"/>
              </w:rPr>
              <w:t>Κέρδη/(Ζημίες) από συνεχιζόμενες δραστηριότητες αναλογούντα στους μετόχους της Τράπεζας </w:t>
            </w:r>
          </w:p>
        </w:tc>
      </w:tr>
      <w:tr w:rsidR="00944528" w:rsidRPr="000455E0" w:rsidTr="000455E0">
        <w:trPr>
          <w:trHeight w:val="314"/>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rPr>
              <w:t>26</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Καταθέσεις ή Καταθέσεις Πελατών </w:t>
            </w:r>
          </w:p>
        </w:tc>
        <w:tc>
          <w:tcPr>
            <w:tcW w:w="6543" w:type="dxa"/>
            <w:tcBorders>
              <w:top w:val="nil"/>
              <w:left w:val="nil"/>
              <w:bottom w:val="single" w:sz="6" w:space="0" w:color="3A73AE"/>
              <w:right w:val="single" w:sz="6" w:space="0" w:color="3A73AE"/>
            </w:tcBorders>
            <w:shd w:val="clear" w:color="auto" w:fill="FFFFFF"/>
            <w:vAlign w:val="center"/>
          </w:tcPr>
          <w:p w:rsidR="00944528" w:rsidRPr="000455E0" w:rsidRDefault="00944528" w:rsidP="00A84565">
            <w:pPr>
              <w:rPr>
                <w:sz w:val="14"/>
                <w:szCs w:val="16"/>
                <w:lang w:val="en-US"/>
              </w:rPr>
            </w:pPr>
            <w:r w:rsidRPr="000455E0">
              <w:rPr>
                <w:rStyle w:val="13"/>
                <w:rFonts w:eastAsia="Times New Roman" w:cs="Calibri"/>
                <w:sz w:val="14"/>
                <w:szCs w:val="16"/>
                <w:lang w:eastAsia="el-GR"/>
              </w:rPr>
              <w:t>Υποχρεώσεις προς πελάτες  </w:t>
            </w:r>
          </w:p>
        </w:tc>
      </w:tr>
      <w:tr w:rsidR="00944528" w:rsidRPr="000455E0" w:rsidTr="00944528">
        <w:trPr>
          <w:trHeight w:val="375"/>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rPr>
              <w:t>27</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Καταθέσεις Ιδιωτικού Τομέα  </w:t>
            </w:r>
          </w:p>
        </w:tc>
        <w:tc>
          <w:tcPr>
            <w:tcW w:w="6543" w:type="dxa"/>
            <w:tcBorders>
              <w:top w:val="nil"/>
              <w:left w:val="nil"/>
              <w:bottom w:val="single" w:sz="6" w:space="0" w:color="3A73AE"/>
              <w:right w:val="single" w:sz="6" w:space="0" w:color="3A73AE"/>
            </w:tcBorders>
            <w:shd w:val="clear" w:color="auto" w:fill="FFFFFF"/>
            <w:vAlign w:val="center"/>
          </w:tcPr>
          <w:p w:rsidR="00944528" w:rsidRPr="000455E0" w:rsidRDefault="00944528" w:rsidP="000455E0">
            <w:pPr>
              <w:rPr>
                <w:sz w:val="14"/>
                <w:szCs w:val="16"/>
              </w:rPr>
            </w:pPr>
            <w:r w:rsidRPr="000455E0">
              <w:rPr>
                <w:rStyle w:val="13"/>
                <w:rFonts w:eastAsia="Times New Roman" w:cs="Calibri"/>
                <w:sz w:val="14"/>
                <w:szCs w:val="16"/>
                <w:lang w:eastAsia="el-GR"/>
              </w:rPr>
              <w:t>Καταθέσεις πελατών εξαιρουμένων των καταθέσεων του Ελληνικού Δημοσίου στην Τράπεζα Πειραιώς</w:t>
            </w:r>
          </w:p>
        </w:tc>
      </w:tr>
      <w:tr w:rsidR="00944528" w:rsidRPr="000455E0" w:rsidTr="00944528">
        <w:trPr>
          <w:trHeight w:val="305"/>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rPr>
              <w:t>28</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Λειτουργικά Έξοδα (κόστος) </w:t>
            </w:r>
          </w:p>
        </w:tc>
        <w:tc>
          <w:tcPr>
            <w:tcW w:w="6543" w:type="dxa"/>
            <w:tcBorders>
              <w:top w:val="nil"/>
              <w:left w:val="nil"/>
              <w:bottom w:val="single" w:sz="6" w:space="0" w:color="3A73AE"/>
              <w:right w:val="single" w:sz="6" w:space="0" w:color="3A73AE"/>
            </w:tcBorders>
            <w:shd w:val="clear" w:color="auto" w:fill="FFFFFF"/>
            <w:vAlign w:val="center"/>
          </w:tcPr>
          <w:p w:rsidR="00944528" w:rsidRPr="000455E0" w:rsidRDefault="00944528" w:rsidP="00A84565">
            <w:pPr>
              <w:rPr>
                <w:sz w:val="14"/>
                <w:szCs w:val="16"/>
              </w:rPr>
            </w:pPr>
            <w:r w:rsidRPr="000455E0">
              <w:rPr>
                <w:rStyle w:val="13"/>
                <w:rFonts w:eastAsia="Times New Roman" w:cs="Calibri"/>
                <w:sz w:val="14"/>
                <w:szCs w:val="16"/>
                <w:lang w:eastAsia="el-GR"/>
              </w:rPr>
              <w:t>Σύνολο λειτουργικών εξόδων πριν από τις προβλέψεις  </w:t>
            </w:r>
          </w:p>
        </w:tc>
      </w:tr>
      <w:tr w:rsidR="00944528" w:rsidRPr="000455E0" w:rsidTr="000455E0">
        <w:trPr>
          <w:trHeight w:val="926"/>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rPr>
              <w:t>29</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Λειτουργικά Έξοδα (κόστος) σε συγκρίσιμη βάση </w:t>
            </w:r>
          </w:p>
        </w:tc>
        <w:tc>
          <w:tcPr>
            <w:tcW w:w="6543" w:type="dxa"/>
            <w:tcBorders>
              <w:top w:val="nil"/>
              <w:left w:val="nil"/>
              <w:bottom w:val="single" w:sz="6" w:space="0" w:color="3A73AE"/>
              <w:right w:val="single" w:sz="6" w:space="0" w:color="3A73AE"/>
            </w:tcBorders>
            <w:shd w:val="clear" w:color="auto" w:fill="FFFFFF"/>
            <w:vAlign w:val="center"/>
          </w:tcPr>
          <w:p w:rsidR="00944528" w:rsidRPr="000455E0" w:rsidRDefault="00944528" w:rsidP="000455E0">
            <w:pPr>
              <w:rPr>
                <w:sz w:val="14"/>
                <w:szCs w:val="16"/>
              </w:rPr>
            </w:pPr>
            <w:r w:rsidRPr="000455E0">
              <w:rPr>
                <w:rStyle w:val="13"/>
                <w:rFonts w:eastAsia="Times New Roman" w:cs="Calibri"/>
                <w:sz w:val="14"/>
                <w:szCs w:val="16"/>
                <w:lang w:eastAsia="el-GR"/>
              </w:rPr>
              <w:t>Σύνολο λειτουργικών εξόδων πριν από τις προβλέψεις, εξαιρουμένης της προμήθειας διαχείρισης στον διαχειριστή ΜΕΑ ύψους €14 εκατ. το 4ο 3μηνο 2019, €12εκατ. το 1ο 3μηνο 2020 και το 3ο 3μηνο 2020 και €11 εκατ. 2ο 3μηνο του 2020 που καταγράφηκε στα έξοδα διοικητικής λειτουργίας</w:t>
            </w:r>
          </w:p>
        </w:tc>
      </w:tr>
      <w:tr w:rsidR="00944528" w:rsidRPr="000455E0" w:rsidTr="00944528">
        <w:trPr>
          <w:trHeight w:val="602"/>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rPr>
              <w:t>30</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rStyle w:val="13"/>
                <w:rFonts w:eastAsia="Times New Roman" w:cs="Calibri"/>
                <w:sz w:val="14"/>
                <w:szCs w:val="16"/>
                <w:lang w:eastAsia="el-GR"/>
              </w:rPr>
              <w:t>Λειτουργικά Έξοδα (Επαναλαμβανόμενα) </w:t>
            </w:r>
          </w:p>
        </w:tc>
        <w:tc>
          <w:tcPr>
            <w:tcW w:w="6543" w:type="dxa"/>
            <w:tcBorders>
              <w:top w:val="nil"/>
              <w:left w:val="nil"/>
              <w:bottom w:val="single" w:sz="6" w:space="0" w:color="3A73AE"/>
              <w:right w:val="single" w:sz="6" w:space="0" w:color="3A73AE"/>
            </w:tcBorders>
            <w:shd w:val="clear" w:color="auto" w:fill="FFFFFF"/>
            <w:vAlign w:val="center"/>
          </w:tcPr>
          <w:p w:rsidR="00944528" w:rsidRPr="000455E0" w:rsidRDefault="00944528" w:rsidP="00A84565">
            <w:pPr>
              <w:rPr>
                <w:sz w:val="14"/>
                <w:szCs w:val="16"/>
              </w:rPr>
            </w:pPr>
            <w:r w:rsidRPr="000455E0">
              <w:rPr>
                <w:rStyle w:val="13"/>
                <w:rFonts w:eastAsia="Times New Roman" w:cs="Calibri"/>
                <w:sz w:val="14"/>
                <w:szCs w:val="16"/>
                <w:lang w:eastAsia="el-GR"/>
              </w:rPr>
              <w:t>Λειτουργικά έξοδα εξαιρουμένων των εφάπαξ στοιχείων σύμφωνα με το στοιχείο #1 </w:t>
            </w:r>
          </w:p>
        </w:tc>
      </w:tr>
      <w:tr w:rsidR="00944528" w:rsidRPr="000455E0" w:rsidTr="00944528">
        <w:trPr>
          <w:trHeight w:val="375"/>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rPr>
                <w:sz w:val="14"/>
                <w:szCs w:val="16"/>
              </w:rPr>
            </w:pPr>
            <w:r w:rsidRPr="000455E0">
              <w:rPr>
                <w:sz w:val="14"/>
                <w:szCs w:val="16"/>
              </w:rPr>
              <w:t>31</w:t>
            </w:r>
          </w:p>
        </w:tc>
        <w:tc>
          <w:tcPr>
            <w:tcW w:w="2398" w:type="dxa"/>
            <w:tcBorders>
              <w:top w:val="nil"/>
              <w:left w:val="nil"/>
              <w:bottom w:val="single" w:sz="6" w:space="0" w:color="3A73AE"/>
              <w:right w:val="single" w:sz="6" w:space="0" w:color="3A73AE"/>
            </w:tcBorders>
            <w:shd w:val="clear" w:color="auto" w:fill="auto"/>
            <w:vAlign w:val="center"/>
          </w:tcPr>
          <w:p w:rsidR="00944528" w:rsidRPr="000455E0" w:rsidRDefault="00944528" w:rsidP="00A84565">
            <w:pPr>
              <w:rPr>
                <w:rStyle w:val="Char0"/>
                <w:rFonts w:eastAsia="Times New Roman" w:cs="Calibri"/>
                <w:sz w:val="14"/>
                <w:szCs w:val="16"/>
                <w:lang w:eastAsia="el-GR"/>
              </w:rPr>
            </w:pPr>
            <w:r w:rsidRPr="000455E0">
              <w:rPr>
                <w:rStyle w:val="13"/>
                <w:rFonts w:eastAsia="Times New Roman" w:cs="Calibri"/>
                <w:sz w:val="14"/>
                <w:szCs w:val="16"/>
                <w:lang w:eastAsia="el-GR"/>
              </w:rPr>
              <w:t>Μη Εξυπηρετούμενα Ανοίγματα (MEA - NPE) </w:t>
            </w:r>
          </w:p>
        </w:tc>
        <w:tc>
          <w:tcPr>
            <w:tcW w:w="6543" w:type="dxa"/>
            <w:tcBorders>
              <w:top w:val="nil"/>
              <w:left w:val="nil"/>
              <w:bottom w:val="single" w:sz="6" w:space="0" w:color="3A73AE"/>
              <w:right w:val="single" w:sz="6" w:space="0" w:color="3A73AE"/>
            </w:tcBorders>
            <w:shd w:val="clear" w:color="auto" w:fill="FFFFFF"/>
            <w:vAlign w:val="center"/>
          </w:tcPr>
          <w:p w:rsidR="00944528" w:rsidRPr="000455E0" w:rsidRDefault="00944528" w:rsidP="000455E0">
            <w:pPr>
              <w:rPr>
                <w:rStyle w:val="Char0"/>
                <w:rFonts w:eastAsia="Times New Roman" w:cs="Calibri"/>
                <w:sz w:val="14"/>
                <w:szCs w:val="16"/>
                <w:lang w:eastAsia="el-GR"/>
              </w:rPr>
            </w:pPr>
            <w:r w:rsidRPr="000455E0">
              <w:rPr>
                <w:rStyle w:val="13"/>
                <w:rFonts w:eastAsia="Times New Roman" w:cs="Calibri"/>
                <w:sz w:val="14"/>
                <w:szCs w:val="16"/>
                <w:lang w:eastAsia="el-GR"/>
              </w:rPr>
              <w:t>Πιστοδοτικά ανοίγματα εντός ισολογισμού προ προβλέψεων, τα οποία: (α) έχουν καθυστέρηση άνω των 90 ημερών (β) έχουν υποστεί απομείωση ή ο οφειλέτης κρίνεται απίθανο να αποπληρώσει τις υποχρεώσεις (UTP) του πλήρως χωρίς τη ρευστοποίηση καλυμμάτων, ανεξάρτητα από την ύπαρξη ποσού σε καθυστέρηση ή του αριθμού των ημερών καθυστέρησης (γ) έχουν υποστεί ρύθμιση και δεν έχει εκπνεύσει η περίοδος παρακολούθησης κατά τις προδιαγραφές της Ευρωπαϊκής Τραπεζικής Αρχής (δ) έχουν επιμόλυνση από τα (α) ποσά, κατά τις προδιαγραφές της Ευρωπαϊκής Τραπεζικής Αρχής ή UTP.</w:t>
            </w:r>
          </w:p>
        </w:tc>
      </w:tr>
      <w:tr w:rsidR="00944528" w:rsidRPr="000455E0" w:rsidTr="000455E0">
        <w:trPr>
          <w:trHeight w:val="260"/>
        </w:trPr>
        <w:tc>
          <w:tcPr>
            <w:tcW w:w="399" w:type="dxa"/>
            <w:tcBorders>
              <w:top w:val="nil"/>
              <w:left w:val="single" w:sz="6" w:space="0" w:color="3A73AE"/>
              <w:bottom w:val="single" w:sz="6" w:space="0" w:color="3A73AE"/>
              <w:right w:val="single" w:sz="6" w:space="0" w:color="3A73AE"/>
            </w:tcBorders>
            <w:shd w:val="clear" w:color="auto" w:fill="auto"/>
            <w:vAlign w:val="center"/>
          </w:tcPr>
          <w:p w:rsidR="00944528" w:rsidRPr="000455E0" w:rsidRDefault="00944528" w:rsidP="00A84565">
            <w:pPr>
              <w:jc w:val="center"/>
              <w:rPr>
                <w:sz w:val="14"/>
                <w:szCs w:val="16"/>
              </w:rPr>
            </w:pPr>
            <w:r w:rsidRPr="000455E0">
              <w:rPr>
                <w:sz w:val="14"/>
                <w:szCs w:val="16"/>
              </w:rPr>
              <w:t>32</w:t>
            </w:r>
          </w:p>
        </w:tc>
        <w:tc>
          <w:tcPr>
            <w:tcW w:w="2398" w:type="dxa"/>
            <w:tcBorders>
              <w:top w:val="nil"/>
              <w:left w:val="nil"/>
              <w:bottom w:val="single" w:sz="6" w:space="0" w:color="3A73AE"/>
              <w:right w:val="single" w:sz="6" w:space="0" w:color="3A73AE"/>
            </w:tcBorders>
            <w:shd w:val="clear" w:color="auto" w:fill="auto"/>
          </w:tcPr>
          <w:p w:rsidR="00944528" w:rsidRPr="000455E0" w:rsidRDefault="00944528" w:rsidP="00A84565">
            <w:pPr>
              <w:rPr>
                <w:rStyle w:val="Char0"/>
                <w:rFonts w:eastAsia="Times New Roman" w:cs="Calibri"/>
                <w:sz w:val="14"/>
                <w:szCs w:val="16"/>
                <w:lang w:eastAsia="el-GR"/>
              </w:rPr>
            </w:pPr>
            <w:r w:rsidRPr="000455E0">
              <w:rPr>
                <w:rStyle w:val="13"/>
                <w:rFonts w:eastAsia="Times New Roman" w:cs="Calibri"/>
                <w:sz w:val="14"/>
                <w:szCs w:val="16"/>
                <w:lang w:eastAsia="el-GR"/>
              </w:rPr>
              <w:t>Σωρευμένες Προβλέψεις </w:t>
            </w:r>
          </w:p>
        </w:tc>
        <w:tc>
          <w:tcPr>
            <w:tcW w:w="6543" w:type="dxa"/>
            <w:tcBorders>
              <w:top w:val="nil"/>
              <w:left w:val="nil"/>
              <w:bottom w:val="single" w:sz="6" w:space="0" w:color="3A73AE"/>
              <w:right w:val="single" w:sz="6" w:space="0" w:color="3A73AE"/>
            </w:tcBorders>
            <w:shd w:val="clear" w:color="auto" w:fill="FFFFFF"/>
          </w:tcPr>
          <w:p w:rsidR="00944528" w:rsidRPr="000455E0" w:rsidRDefault="00944528" w:rsidP="00A84565">
            <w:pPr>
              <w:rPr>
                <w:rStyle w:val="Char0"/>
                <w:rFonts w:eastAsia="Times New Roman" w:cs="Calibri"/>
                <w:sz w:val="14"/>
                <w:szCs w:val="16"/>
                <w:lang w:eastAsia="el-GR"/>
              </w:rPr>
            </w:pPr>
            <w:r w:rsidRPr="000455E0">
              <w:rPr>
                <w:rStyle w:val="13"/>
                <w:rFonts w:eastAsia="Times New Roman" w:cs="Calibri"/>
                <w:sz w:val="14"/>
                <w:szCs w:val="16"/>
                <w:lang w:eastAsia="el-GR"/>
              </w:rPr>
              <w:t>Αναμενόμενες πιστωτικές ζημίες</w:t>
            </w:r>
          </w:p>
        </w:tc>
      </w:tr>
    </w:tbl>
    <w:p w:rsidR="00E5750E" w:rsidRDefault="00E5750E">
      <w:pPr>
        <w:rPr>
          <w:rFonts w:ascii="Calibri" w:eastAsia="Calibri" w:hAnsi="Calibri"/>
          <w:color w:val="FF0000"/>
          <w:kern w:val="24"/>
          <w:sz w:val="15"/>
          <w:szCs w:val="15"/>
          <w:lang w:val="en-US"/>
        </w:rPr>
      </w:pPr>
    </w:p>
    <w:p w:rsidR="00B6575E" w:rsidRDefault="00B6575E">
      <w:pPr>
        <w:rPr>
          <w:rFonts w:ascii="Calibri" w:eastAsia="Calibri" w:hAnsi="Calibri"/>
          <w:color w:val="FF0000"/>
          <w:kern w:val="24"/>
          <w:sz w:val="15"/>
          <w:szCs w:val="15"/>
          <w:lang w:val="en-US"/>
        </w:rPr>
      </w:pPr>
    </w:p>
    <w:p w:rsidR="00B6575E" w:rsidRDefault="00B6575E">
      <w:pPr>
        <w:rPr>
          <w:rFonts w:ascii="Calibri" w:eastAsia="Calibri" w:hAnsi="Calibri"/>
          <w:color w:val="FF0000"/>
          <w:kern w:val="24"/>
          <w:sz w:val="15"/>
          <w:szCs w:val="15"/>
          <w:lang w:val="en-US"/>
        </w:rPr>
      </w:pPr>
    </w:p>
    <w:p w:rsidR="000455E0" w:rsidRDefault="000455E0" w:rsidP="00EE54EF">
      <w:pPr>
        <w:spacing w:line="300" w:lineRule="exact"/>
        <w:ind w:left="-142"/>
        <w:jc w:val="both"/>
        <w:rPr>
          <w:rFonts w:ascii="Calibri" w:eastAsia="Calibri" w:hAnsi="Calibri"/>
          <w:kern w:val="24"/>
          <w:sz w:val="15"/>
          <w:szCs w:val="15"/>
        </w:rPr>
      </w:pPr>
    </w:p>
    <w:p w:rsidR="000455E0" w:rsidRDefault="000455E0" w:rsidP="00EE54EF">
      <w:pPr>
        <w:spacing w:line="300" w:lineRule="exact"/>
        <w:ind w:left="-142"/>
        <w:jc w:val="both"/>
        <w:rPr>
          <w:rFonts w:ascii="Calibri" w:eastAsia="Calibri" w:hAnsi="Calibri"/>
          <w:kern w:val="24"/>
          <w:sz w:val="15"/>
          <w:szCs w:val="15"/>
        </w:rPr>
      </w:pPr>
    </w:p>
    <w:p w:rsidR="000455E0" w:rsidRDefault="000455E0" w:rsidP="00EE54EF">
      <w:pPr>
        <w:spacing w:line="300" w:lineRule="exact"/>
        <w:ind w:left="-142"/>
        <w:jc w:val="both"/>
        <w:rPr>
          <w:rFonts w:ascii="Calibri" w:eastAsia="Calibri" w:hAnsi="Calibri"/>
          <w:kern w:val="24"/>
          <w:sz w:val="15"/>
          <w:szCs w:val="15"/>
        </w:rPr>
      </w:pPr>
    </w:p>
    <w:p w:rsidR="00EE54EF" w:rsidRPr="00FA0F02" w:rsidRDefault="00EE54EF" w:rsidP="00EE54EF">
      <w:pPr>
        <w:spacing w:line="300" w:lineRule="exact"/>
        <w:ind w:left="-142"/>
        <w:jc w:val="both"/>
        <w:rPr>
          <w:rFonts w:ascii="Calibri" w:eastAsia="Calibri" w:hAnsi="Calibri"/>
          <w:kern w:val="24"/>
          <w:sz w:val="15"/>
          <w:szCs w:val="15"/>
        </w:rPr>
      </w:pPr>
      <w:r w:rsidRPr="00FA0F02">
        <w:rPr>
          <w:rFonts w:ascii="Calibri" w:eastAsia="Calibri" w:hAnsi="Calibri"/>
          <w:kern w:val="24"/>
          <w:sz w:val="15"/>
          <w:szCs w:val="15"/>
        </w:rPr>
        <w:t>Η παρούσα ανακοίνωση έχει συνταχθεί αποκλειστικά για ενημερωτικούς σκοπούς. Οποιεσδήποτε προβλέψεις ή άλλες εκτιμήσεις στην παρούσα ανακοίνωση, συμπεριλαμβανομένων εκτιμήσεων αναφορικά με την απόδοση και την επίδοσή μας και παρατηρήσεων αναφορικά με τους στόχους και τη στρατηγική μας ή τα αποτελέσματα των δραστηριοτήτων και επιχειρήσεών μας, υπερισχύουν τυχόν προηγούμενων σχετικών προβλέψεων ή άλλων εκτιμήσεων και αποτελούν δηλώσεις για μελλοντικές εκτιμήσεις βασισμένες σε υποθέσεις και πεποιθήσεις, σε συνάρτηση με πληροφόρηση που είναι διαθέσιμη προς το παρόν στην Τράπεζα, η οποία μπορεί να μην είναι η ορθή. Αυτές οι υποθέσεις και πεποιθήσεις μπορεί να επηρεάζονται από παράγοντες που βρίσκονται εντός ή εκτός του ελέγχου μας και τα πραγματικά αποτελέσματα μπορεί να αποκλίνουν σημαντικά από οποιεσδήποτε εκτιμήσεις και προβλέψεις. Παράγοντες που επηρεάζουν τα πραγματικά αποτελέσματα περιλαμβάνουν, μεταξύ άλλων, διακυμάνσεις των επιτοκίων και των χρηματιστηριακών δεικτών, τις επιπτώσεις του ανταγωνισμού στους τομείς στους οποίους δραστηριοποιούμαστε και τις αλλαγές στις οικονομικές συνθήκες και στο κανονιστικό πλαίσιο.</w:t>
      </w:r>
    </w:p>
    <w:p w:rsidR="00EE54EF" w:rsidRPr="00FA0F02" w:rsidRDefault="00EE54EF" w:rsidP="00EE54EF">
      <w:pPr>
        <w:spacing w:after="120" w:line="300" w:lineRule="exact"/>
        <w:ind w:left="-142"/>
        <w:jc w:val="both"/>
        <w:rPr>
          <w:rFonts w:ascii="Calibri" w:eastAsia="Calibri" w:hAnsi="Calibri"/>
          <w:kern w:val="24"/>
          <w:sz w:val="15"/>
          <w:szCs w:val="15"/>
        </w:rPr>
      </w:pPr>
      <w:r w:rsidRPr="00FA0F02">
        <w:rPr>
          <w:rFonts w:ascii="Calibri" w:eastAsia="Calibri" w:hAnsi="Calibri"/>
          <w:kern w:val="24"/>
          <w:sz w:val="15"/>
          <w:szCs w:val="15"/>
        </w:rPr>
        <w:t>Αυτό το δελτίο τύπου δεν αποτελεί προσφορά αγοράς ή πώλησης ή διαμεσολάβηση προσφοράς για αγορά ή πώληση οποιουδήποτε χρεογράφου ή μέσου ή για συμμετοχή σε οποιαδήποτε επενδυτική στρατηγική. Κανένα μέρος αυτού του δελτίου τύπου δεν μπορεί να θεωρηθεί ως επενδυτική συμβουλή ή σύσταση για πραγματοποίηση οποιασδήποτε συναλλαγής. Δεν παρέχεται καμία δήλωση ή εγγύηση σχετικά με την ακρίβεια ή την πληρότητα των πληροφοριών που περιέχονται σε αυτό το δελτίο τύπου και κανένας ισχυρισμός δεν γίνεται ότι οποιαδήποτε μελλοντική προσφορά για συναλλαγή οποιωνδήποτε χρεογράφων θα συμμορφώνεται με τυχόν όρους που πιθανόν να περιλαμβάνονται στο παρόν. Πριν από οποιαδήποτε συναλλαγή, οι επενδυτές θα πρέπει να προσδιορίσουν τους οικονομικούς κινδύνους και τα οφέλη, καθώς και τις νομικές, φορολογικές και λογιστικές συνέπειες, καθώς και την ικανότητά τους να αναλάβουν τέτοιους κινδύνους, χωρίς να βασίζονται στις πληροφορίες που περιέχονται στ</w:t>
      </w:r>
      <w:r>
        <w:rPr>
          <w:rFonts w:ascii="Calibri" w:eastAsia="Calibri" w:hAnsi="Calibri"/>
          <w:kern w:val="24"/>
          <w:sz w:val="15"/>
          <w:szCs w:val="15"/>
        </w:rPr>
        <w:t>ο</w:t>
      </w:r>
      <w:r w:rsidRPr="00FA0F02">
        <w:rPr>
          <w:rFonts w:ascii="Calibri" w:eastAsia="Calibri" w:hAnsi="Calibri"/>
          <w:kern w:val="24"/>
          <w:sz w:val="15"/>
          <w:szCs w:val="15"/>
        </w:rPr>
        <w:t xml:space="preserve"> παρ</w:t>
      </w:r>
      <w:r>
        <w:rPr>
          <w:rFonts w:ascii="Calibri" w:eastAsia="Calibri" w:hAnsi="Calibri"/>
          <w:kern w:val="24"/>
          <w:sz w:val="15"/>
          <w:szCs w:val="15"/>
        </w:rPr>
        <w:t>όνδελτίο τύπου.</w:t>
      </w:r>
    </w:p>
    <w:p w:rsidR="00EE54EF" w:rsidRPr="00FA0F02" w:rsidRDefault="00EE54EF" w:rsidP="00EE54EF">
      <w:pPr>
        <w:spacing w:after="120"/>
        <w:ind w:left="-142"/>
        <w:jc w:val="both"/>
        <w:rPr>
          <w:rFonts w:ascii="Calibri" w:eastAsia="Calibri" w:hAnsi="Calibri"/>
          <w:b/>
          <w:kern w:val="24"/>
          <w:sz w:val="18"/>
          <w:szCs w:val="18"/>
        </w:rPr>
      </w:pPr>
    </w:p>
    <w:p w:rsidR="00EE54EF" w:rsidRDefault="00EE54EF" w:rsidP="00EE54EF">
      <w:pPr>
        <w:spacing w:after="120"/>
        <w:ind w:left="-142"/>
        <w:jc w:val="both"/>
        <w:rPr>
          <w:rFonts w:ascii="Calibri" w:eastAsia="Calibri" w:hAnsi="Calibri"/>
          <w:b/>
          <w:kern w:val="24"/>
          <w:sz w:val="18"/>
          <w:szCs w:val="18"/>
        </w:rPr>
      </w:pPr>
    </w:p>
    <w:p w:rsidR="00EE54EF" w:rsidRPr="000455E0" w:rsidRDefault="000455E0" w:rsidP="00EE54EF">
      <w:pPr>
        <w:spacing w:after="120"/>
        <w:ind w:left="-142"/>
        <w:jc w:val="both"/>
        <w:rPr>
          <w:rFonts w:ascii="Calibri" w:eastAsia="Calibri" w:hAnsi="Calibri"/>
          <w:b/>
          <w:kern w:val="24"/>
          <w:sz w:val="18"/>
          <w:szCs w:val="18"/>
        </w:rPr>
      </w:pPr>
      <w:r>
        <w:rPr>
          <w:rFonts w:ascii="Calibri" w:eastAsia="Calibri" w:hAnsi="Calibri"/>
          <w:b/>
          <w:kern w:val="24"/>
          <w:sz w:val="18"/>
          <w:szCs w:val="18"/>
        </w:rPr>
        <w:t>Ενημέρωση Επενδυτών</w:t>
      </w:r>
    </w:p>
    <w:p w:rsidR="00EE54EF" w:rsidRPr="00FA0F02" w:rsidRDefault="00EE54EF" w:rsidP="00EE54EF">
      <w:pPr>
        <w:spacing w:after="120"/>
        <w:ind w:left="-142"/>
        <w:jc w:val="both"/>
        <w:rPr>
          <w:rFonts w:ascii="Calibri" w:eastAsia="Calibri" w:hAnsi="Calibri"/>
          <w:kern w:val="24"/>
          <w:sz w:val="15"/>
          <w:szCs w:val="15"/>
          <w:lang w:val="en-US"/>
        </w:rPr>
      </w:pPr>
      <w:r w:rsidRPr="00FA0F02">
        <w:rPr>
          <w:rFonts w:ascii="Calibri" w:eastAsia="Calibri" w:hAnsi="Calibri"/>
          <w:kern w:val="24"/>
          <w:sz w:val="15"/>
          <w:szCs w:val="15"/>
        </w:rPr>
        <w:t>Αμερικής</w:t>
      </w:r>
      <w:r w:rsidRPr="00FA0F02">
        <w:rPr>
          <w:rFonts w:ascii="Calibri" w:eastAsia="Calibri" w:hAnsi="Calibri"/>
          <w:kern w:val="24"/>
          <w:sz w:val="15"/>
          <w:szCs w:val="15"/>
          <w:lang w:val="en-US"/>
        </w:rPr>
        <w:t xml:space="preserve"> 4, 105 64 Αθ</w:t>
      </w:r>
      <w:r w:rsidRPr="00FA0F02">
        <w:rPr>
          <w:rFonts w:ascii="Calibri" w:eastAsia="Calibri" w:hAnsi="Calibri"/>
          <w:kern w:val="24"/>
          <w:sz w:val="15"/>
          <w:szCs w:val="15"/>
        </w:rPr>
        <w:t>ήνα</w:t>
      </w:r>
    </w:p>
    <w:p w:rsidR="00EE54EF" w:rsidRPr="000455E0" w:rsidRDefault="00EE54EF" w:rsidP="00EE54EF">
      <w:pPr>
        <w:spacing w:after="120"/>
        <w:ind w:left="-142"/>
        <w:jc w:val="both"/>
        <w:rPr>
          <w:rFonts w:ascii="Calibri" w:eastAsia="Calibri" w:hAnsi="Calibri"/>
          <w:kern w:val="24"/>
          <w:sz w:val="15"/>
          <w:szCs w:val="15"/>
        </w:rPr>
      </w:pPr>
      <w:r w:rsidRPr="00FA0F02">
        <w:rPr>
          <w:rFonts w:ascii="Calibri" w:eastAsia="Calibri" w:hAnsi="Calibri"/>
          <w:kern w:val="24"/>
          <w:sz w:val="15"/>
          <w:szCs w:val="15"/>
          <w:lang w:val="en-US"/>
        </w:rPr>
        <w:t xml:space="preserve">Τηλ. : (+30 ) 210 </w:t>
      </w:r>
      <w:r w:rsidR="000455E0">
        <w:rPr>
          <w:rFonts w:ascii="Calibri" w:eastAsia="Calibri" w:hAnsi="Calibri"/>
          <w:kern w:val="24"/>
          <w:sz w:val="15"/>
          <w:szCs w:val="15"/>
        </w:rPr>
        <w:t>3335818</w:t>
      </w:r>
    </w:p>
    <w:p w:rsidR="00EE54EF" w:rsidRPr="00FA0F02" w:rsidRDefault="00EE54EF" w:rsidP="00EE54EF">
      <w:pPr>
        <w:spacing w:after="120"/>
        <w:ind w:left="-142"/>
        <w:jc w:val="both"/>
        <w:rPr>
          <w:rFonts w:ascii="Calibri" w:eastAsia="Calibri" w:hAnsi="Calibri"/>
          <w:kern w:val="24"/>
          <w:sz w:val="15"/>
          <w:szCs w:val="15"/>
          <w:lang w:val="en-US"/>
        </w:rPr>
      </w:pPr>
      <w:r w:rsidRPr="00FA0F02">
        <w:rPr>
          <w:rFonts w:ascii="Calibri" w:eastAsia="Calibri" w:hAnsi="Calibri"/>
          <w:kern w:val="24"/>
          <w:sz w:val="15"/>
          <w:szCs w:val="15"/>
          <w:lang w:val="en-US"/>
        </w:rPr>
        <w:t xml:space="preserve">Bloomberg: TPEIR GA | Reuters: BOPr.AT </w:t>
      </w:r>
    </w:p>
    <w:p w:rsidR="00EE54EF" w:rsidRPr="00FA0F02" w:rsidRDefault="00EE54EF" w:rsidP="00EE54EF">
      <w:pPr>
        <w:spacing w:after="120"/>
        <w:ind w:left="-142"/>
        <w:jc w:val="both"/>
        <w:rPr>
          <w:rFonts w:ascii="Calibri" w:eastAsia="Calibri" w:hAnsi="Calibri"/>
          <w:kern w:val="24"/>
          <w:sz w:val="15"/>
          <w:szCs w:val="15"/>
          <w:lang w:val="en-US"/>
        </w:rPr>
      </w:pPr>
      <w:r w:rsidRPr="00FA0F02">
        <w:rPr>
          <w:rFonts w:ascii="Calibri" w:eastAsia="Calibri" w:hAnsi="Calibri"/>
          <w:kern w:val="24"/>
          <w:sz w:val="15"/>
          <w:szCs w:val="15"/>
          <w:lang w:val="en-US"/>
        </w:rPr>
        <w:t xml:space="preserve">ISIN: GRS014003024  </w:t>
      </w:r>
    </w:p>
    <w:p w:rsidR="00EE54EF" w:rsidRPr="00FA0F02" w:rsidRDefault="00EE54EF" w:rsidP="00EE54EF">
      <w:pPr>
        <w:spacing w:after="120"/>
        <w:ind w:left="-142"/>
        <w:jc w:val="both"/>
        <w:rPr>
          <w:rFonts w:ascii="Calibri" w:eastAsia="Calibri" w:hAnsi="Calibri"/>
          <w:kern w:val="24"/>
          <w:sz w:val="15"/>
          <w:szCs w:val="15"/>
          <w:lang w:val="en-US"/>
        </w:rPr>
      </w:pPr>
      <w:r w:rsidRPr="00FA0F02">
        <w:rPr>
          <w:rFonts w:ascii="Calibri" w:eastAsia="Calibri" w:hAnsi="Calibri"/>
          <w:kern w:val="24"/>
          <w:sz w:val="15"/>
          <w:szCs w:val="15"/>
          <w:lang w:val="en-US"/>
        </w:rPr>
        <w:t>investor_relations@piraeusbank.gr</w:t>
      </w:r>
    </w:p>
    <w:p w:rsidR="00EE54EF" w:rsidRPr="001F017C" w:rsidRDefault="00EE54EF" w:rsidP="00EE54EF">
      <w:pPr>
        <w:spacing w:after="120"/>
        <w:ind w:left="-142"/>
        <w:jc w:val="both"/>
        <w:rPr>
          <w:rFonts w:ascii="Calibri" w:eastAsia="Calibri" w:hAnsi="Calibri"/>
          <w:kern w:val="24"/>
          <w:sz w:val="15"/>
          <w:szCs w:val="15"/>
          <w:lang w:val="en-US"/>
        </w:rPr>
      </w:pPr>
      <w:r w:rsidRPr="00FA0F02">
        <w:rPr>
          <w:rFonts w:ascii="Calibri" w:eastAsia="Calibri" w:hAnsi="Calibri"/>
          <w:kern w:val="24"/>
          <w:sz w:val="15"/>
          <w:szCs w:val="15"/>
          <w:lang w:val="en-US"/>
        </w:rPr>
        <w:t>www.piraeusbankgroup.com</w:t>
      </w:r>
    </w:p>
    <w:p w:rsidR="00CA0A30" w:rsidRPr="00BB245A" w:rsidRDefault="00CA0A30" w:rsidP="00EE54EF">
      <w:pPr>
        <w:spacing w:line="300" w:lineRule="exact"/>
        <w:ind w:left="-142" w:right="282"/>
        <w:jc w:val="both"/>
        <w:rPr>
          <w:rFonts w:ascii="Calibri" w:eastAsia="Calibri" w:hAnsi="Calibri"/>
          <w:color w:val="000000" w:themeColor="text1"/>
          <w:kern w:val="24"/>
          <w:sz w:val="15"/>
          <w:szCs w:val="15"/>
          <w:lang w:val="en-US"/>
        </w:rPr>
      </w:pPr>
    </w:p>
    <w:sectPr w:rsidR="00CA0A30" w:rsidRPr="00BB245A" w:rsidSect="005828D6">
      <w:headerReference w:type="default" r:id="rId19"/>
      <w:footerReference w:type="default" r:id="rId20"/>
      <w:headerReference w:type="first" r:id="rId21"/>
      <w:footerReference w:type="first" r:id="rId22"/>
      <w:pgSz w:w="11906" w:h="16838" w:code="9"/>
      <w:pgMar w:top="2410" w:right="849" w:bottom="1134" w:left="2977" w:header="70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8C0" w:rsidRDefault="002D08C0" w:rsidP="00A14E18">
      <w:pPr>
        <w:spacing w:after="0" w:line="240" w:lineRule="auto"/>
      </w:pPr>
      <w:r>
        <w:separator/>
      </w:r>
    </w:p>
  </w:endnote>
  <w:endnote w:type="continuationSeparator" w:id="1">
    <w:p w:rsidR="002D08C0" w:rsidRDefault="002D08C0" w:rsidP="00A14E18">
      <w:pPr>
        <w:spacing w:after="0" w:line="240" w:lineRule="auto"/>
      </w:pPr>
      <w:r>
        <w:continuationSeparator/>
      </w:r>
    </w:p>
  </w:endnote>
  <w:endnote w:type="continuationNotice" w:id="2">
    <w:p w:rsidR="002D08C0" w:rsidRDefault="002D08C0">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A1"/>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iraeus Sans">
    <w:altName w:val="Calibri"/>
    <w:charset w:val="00"/>
    <w:family w:val="swiss"/>
    <w:pitch w:val="variable"/>
    <w:sig w:usb0="00000083" w:usb1="4000205A" w:usb2="00000000" w:usb3="00000000" w:csb0="00000009"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D3" w:rsidRDefault="004C55D3" w:rsidP="006E0C7E">
    <w:pPr>
      <w:pStyle w:val="a4"/>
      <w:ind w:right="-427"/>
      <w:jc w:val="right"/>
    </w:pPr>
    <w:r w:rsidRPr="00570C53">
      <w:rPr>
        <w:noProof/>
        <w:lang w:val="en-US"/>
      </w:rPr>
      <w:drawing>
        <wp:anchor distT="0" distB="0" distL="114300" distR="114300" simplePos="0" relativeHeight="251715584" behindDoc="0" locked="0" layoutInCell="1" allowOverlap="1">
          <wp:simplePos x="0" y="0"/>
          <wp:positionH relativeFrom="column">
            <wp:posOffset>4446905</wp:posOffset>
          </wp:positionH>
          <wp:positionV relativeFrom="paragraph">
            <wp:posOffset>133350</wp:posOffset>
          </wp:positionV>
          <wp:extent cx="791845" cy="334645"/>
          <wp:effectExtent l="0" t="0" r="8255" b="8255"/>
          <wp:wrapNone/>
          <wp:docPr id="93"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upakia.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1845" cy="334645"/>
                  </a:xfrm>
                  <a:prstGeom prst="rect">
                    <a:avLst/>
                  </a:prstGeom>
                </pic:spPr>
              </pic:pic>
            </a:graphicData>
          </a:graphic>
        </wp:anchor>
      </w:drawing>
    </w:r>
    <w:r w:rsidRPr="00570C53">
      <w:rPr>
        <w:noProof/>
        <w:lang w:val="en-US"/>
      </w:rPr>
      <w:drawing>
        <wp:anchor distT="0" distB="0" distL="114300" distR="114300" simplePos="0" relativeHeight="251696127" behindDoc="0" locked="0" layoutInCell="1" allowOverlap="1">
          <wp:simplePos x="0" y="0"/>
          <wp:positionH relativeFrom="column">
            <wp:posOffset>-1895475</wp:posOffset>
          </wp:positionH>
          <wp:positionV relativeFrom="paragraph">
            <wp:posOffset>269875</wp:posOffset>
          </wp:positionV>
          <wp:extent cx="7571740" cy="400050"/>
          <wp:effectExtent l="0" t="0" r="0" b="0"/>
          <wp:wrapSquare wrapText="bothSides"/>
          <wp:docPr id="9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71740" cy="400050"/>
                  </a:xfrm>
                  <a:prstGeom prst="rect">
                    <a:avLst/>
                  </a:prstGeom>
                  <a:noFill/>
                </pic:spPr>
              </pic:pic>
            </a:graphicData>
          </a:graphic>
        </wp:anchor>
      </w:drawing>
    </w:r>
    <w:r w:rsidR="00FE02A1" w:rsidRPr="00FE02A1">
      <w:rPr>
        <w:noProof/>
        <w:lang w:eastAsia="el-GR"/>
      </w:rPr>
      <w:pict>
        <v:group id="Group 15" o:spid="_x0000_s2052" style="position:absolute;left:0;text-align:left;margin-left:-88.95pt;margin-top:22.45pt;width:362.5pt;height:30.1pt;z-index:251697152;mso-position-horizontal-relative:text;mso-position-vertical-relative:text" coordorigin="2176,16133" coordsize="7196,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">
          <v:shapetype id="_x0000_t202" coordsize="21600,21600" o:spt="202" path="m,l,21600r21600,l21600,xe">
            <v:stroke joinstyle="miter"/>
            <v:path gradientshapeok="t" o:connecttype="rect"/>
          </v:shapetype>
          <v:shape id="Text Box 13" o:spid="_x0000_s2054" type="#_x0000_t202" style="position:absolute;left:2176;top:16133;width:686;height: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" filled="f" stroked="f">
            <v:textbox inset=",,0">
              <w:txbxContent>
                <w:p w:rsidR="004C55D3" w:rsidRPr="00867605" w:rsidRDefault="00FE02A1" w:rsidP="00C33762">
                  <w:pPr>
                    <w:jc w:val="right"/>
                    <w:rPr>
                      <w:color w:val="FFC000"/>
                    </w:rPr>
                  </w:pPr>
                  <w:r w:rsidRPr="00867605">
                    <w:rPr>
                      <w:color w:val="FFC000"/>
                    </w:rPr>
                    <w:fldChar w:fldCharType="begin"/>
                  </w:r>
                  <w:r w:rsidR="004C55D3" w:rsidRPr="00867605">
                    <w:rPr>
                      <w:color w:val="FFC000"/>
                    </w:rPr>
                    <w:instrText xml:space="preserve"> PAGE   \* MERGEFORMAT </w:instrText>
                  </w:r>
                  <w:r w:rsidRPr="00867605">
                    <w:rPr>
                      <w:color w:val="FFC000"/>
                    </w:rPr>
                    <w:fldChar w:fldCharType="separate"/>
                  </w:r>
                  <w:r w:rsidR="00B72407">
                    <w:rPr>
                      <w:noProof/>
                      <w:color w:val="FFC000"/>
                    </w:rPr>
                    <w:t>10</w:t>
                  </w:r>
                  <w:r w:rsidRPr="00867605">
                    <w:rPr>
                      <w:noProof/>
                      <w:color w:val="FFC000"/>
                    </w:rPr>
                    <w:fldChar w:fldCharType="end"/>
                  </w:r>
                </w:p>
              </w:txbxContent>
            </v:textbox>
          </v:shape>
          <v:shape id="Text Box 14" o:spid="_x0000_s2053" type="#_x0000_t202" style="position:absolute;left:2944;top:16136;width:6428;height: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" filled="f" stroked="f">
            <v:textbox inset="0">
              <w:txbxContent>
                <w:p w:rsidR="004C55D3" w:rsidRPr="00796D7D" w:rsidRDefault="004C55D3">
                  <w:pPr>
                    <w:rPr>
                      <w:color w:val="FFFFFF" w:themeColor="background1"/>
                      <w:lang w:val="en-US"/>
                    </w:rPr>
                  </w:pPr>
                  <w:r w:rsidRPr="00D87750">
                    <w:rPr>
                      <w:color w:val="FFFFFF" w:themeColor="background1"/>
                    </w:rPr>
                    <w:t>|</w:t>
                  </w:r>
                  <w:r>
                    <w:rPr>
                      <w:color w:val="FFFFFF" w:themeColor="background1"/>
                      <w:lang w:val="en-US"/>
                    </w:rPr>
                    <w:t xml:space="preserve"> 23</w:t>
                  </w:r>
                  <w:r>
                    <w:rPr>
                      <w:color w:val="FFFFFF" w:themeColor="background1"/>
                    </w:rPr>
                    <w:t xml:space="preserve"> Νοεμβρίου </w:t>
                  </w:r>
                  <w:r w:rsidRPr="00D87750">
                    <w:rPr>
                      <w:color w:val="FFFFFF" w:themeColor="background1"/>
                      <w:lang w:val="en-US"/>
                    </w:rPr>
                    <w:t>2</w:t>
                  </w:r>
                  <w:r w:rsidRPr="00D87750">
                    <w:rPr>
                      <w:color w:val="FFFFFF" w:themeColor="background1"/>
                    </w:rPr>
                    <w:t>0</w:t>
                  </w:r>
                  <w:r>
                    <w:rPr>
                      <w:color w:val="FFFFFF" w:themeColor="background1"/>
                      <w:lang w:val="en-US"/>
                    </w:rPr>
                    <w:t>20</w:t>
                  </w:r>
                </w:p>
              </w:txbxContent>
            </v:textbox>
          </v:shap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D3" w:rsidRDefault="004C55D3">
    <w:pPr>
      <w:pStyle w:val="a4"/>
    </w:pPr>
    <w:r>
      <w:rPr>
        <w:noProof/>
        <w:lang w:val="en-US"/>
      </w:rPr>
      <w:drawing>
        <wp:anchor distT="0" distB="0" distL="114300" distR="114300" simplePos="0" relativeHeight="251706367" behindDoc="0" locked="0" layoutInCell="1" allowOverlap="1">
          <wp:simplePos x="0" y="0"/>
          <wp:positionH relativeFrom="column">
            <wp:posOffset>-1899920</wp:posOffset>
          </wp:positionH>
          <wp:positionV relativeFrom="paragraph">
            <wp:posOffset>212725</wp:posOffset>
          </wp:positionV>
          <wp:extent cx="7571740" cy="400050"/>
          <wp:effectExtent l="0" t="0" r="0" b="0"/>
          <wp:wrapSquare wrapText="bothSides"/>
          <wp:docPr id="9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71740" cy="400050"/>
                  </a:xfrm>
                  <a:prstGeom prst="rect">
                    <a:avLst/>
                  </a:prstGeom>
                  <a:noFill/>
                </pic:spPr>
              </pic:pic>
            </a:graphicData>
          </a:graphic>
        </wp:anchor>
      </w:drawing>
    </w:r>
    <w:r>
      <w:rPr>
        <w:noProof/>
        <w:lang w:val="en-US"/>
      </w:rPr>
      <w:drawing>
        <wp:anchor distT="0" distB="0" distL="114300" distR="114300" simplePos="0" relativeHeight="251707392" behindDoc="0" locked="0" layoutInCell="1" allowOverlap="1">
          <wp:simplePos x="0" y="0"/>
          <wp:positionH relativeFrom="column">
            <wp:posOffset>4442460</wp:posOffset>
          </wp:positionH>
          <wp:positionV relativeFrom="paragraph">
            <wp:posOffset>114300</wp:posOffset>
          </wp:positionV>
          <wp:extent cx="791845" cy="334645"/>
          <wp:effectExtent l="0" t="0" r="8255" b="8255"/>
          <wp:wrapNone/>
          <wp:docPr id="97"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upakia.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1845" cy="33464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8C0" w:rsidRDefault="002D08C0" w:rsidP="00A14E18">
      <w:pPr>
        <w:spacing w:after="0" w:line="240" w:lineRule="auto"/>
      </w:pPr>
      <w:r>
        <w:separator/>
      </w:r>
    </w:p>
  </w:footnote>
  <w:footnote w:type="continuationSeparator" w:id="1">
    <w:p w:rsidR="002D08C0" w:rsidRDefault="002D08C0" w:rsidP="00A14E18">
      <w:pPr>
        <w:spacing w:after="0" w:line="240" w:lineRule="auto"/>
      </w:pPr>
      <w:r>
        <w:continuationSeparator/>
      </w:r>
    </w:p>
  </w:footnote>
  <w:footnote w:type="continuationNotice" w:id="2">
    <w:p w:rsidR="002D08C0" w:rsidRDefault="002D08C0">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D3" w:rsidRPr="00910B3C" w:rsidRDefault="00FE02A1" w:rsidP="00B23C31">
    <w:pPr>
      <w:pStyle w:val="a3"/>
      <w:ind w:right="-285"/>
      <w:rPr>
        <w:b/>
        <w:lang w:val="en-US"/>
      </w:rPr>
    </w:pPr>
    <w:r w:rsidRPr="00FE02A1">
      <w:rPr>
        <w:b/>
        <w:i/>
        <w:noProof/>
        <w:color w:val="FF0000"/>
        <w:sz w:val="24"/>
        <w:szCs w:val="24"/>
        <w:u w:val="single"/>
        <w:lang w:eastAsia="el-GR"/>
      </w:rPr>
      <w:pict>
        <v:group id="Group 5" o:spid="_x0000_s2055" style="position:absolute;margin-left:319.9pt;margin-top:-14.25pt;width:91.55pt;height:79pt;z-index:-251596800;mso-width-relative:margin;mso-height-relative:margin" coordorigin="-667" coordsize="11640,10039" wrapcoords="885 0 885 21394 20184 21394 20184 0 885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7" type="#_x0000_t75" alt="tetragono.png" style="position:absolute;width:10160;height:10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">
            <v:imagedata r:id="rId1" o:title="tetragono"/>
            <v:path arrowok="t"/>
          </v:shape>
          <v:shapetype id="_x0000_t202" coordsize="21600,21600" o:spt="202" path="m,l,21600r21600,l21600,xe">
            <v:stroke joinstyle="miter"/>
            <v:path gradientshapeok="t" o:connecttype="rect"/>
          </v:shapetype>
          <v:shape id="Τίτλος 9" o:spid="_x0000_s2056" type="#_x0000_t202" style="position:absolute;left:-667;top:2597;width:11640;height:57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" filled="f" stroked="f">
            <v:path arrowok="t"/>
            <v:textbox inset="2.04597mm,1.023mm,2.04597mm,1.023mm">
              <w:txbxContent>
                <w:p w:rsidR="004C55D3" w:rsidRDefault="004C55D3" w:rsidP="00AC21E2">
                  <w:pPr>
                    <w:pStyle w:val="Web"/>
                    <w:spacing w:after="0"/>
                    <w:jc w:val="center"/>
                  </w:pPr>
                  <w:r w:rsidRPr="00AC21E2">
                    <w:rPr>
                      <w:rFonts w:asciiTheme="minorHAnsi" w:hAnsi="Calibri" w:cstheme="minorBidi"/>
                      <w:b/>
                      <w:bCs/>
                      <w:color w:val="FFFFFF" w:themeColor="background1"/>
                      <w:kern w:val="24"/>
                      <w:sz w:val="21"/>
                      <w:szCs w:val="21"/>
                      <w:lang w:val="en-US"/>
                    </w:rPr>
                    <w:t>ΑΠΟΤΕΛΕΣΜΑΤΑ 9ΜΗΝΟΥ2020</w:t>
                  </w:r>
                </w:p>
              </w:txbxContent>
            </v:textbox>
          </v:shape>
          <w10:wrap type="tight"/>
        </v:group>
      </w:pict>
    </w:r>
    <w:r w:rsidR="004C55D3" w:rsidRPr="00A07456">
      <w:rPr>
        <w:b/>
        <w:i/>
        <w:noProof/>
        <w:color w:val="FF0000"/>
        <w:sz w:val="24"/>
        <w:szCs w:val="24"/>
        <w:u w:val="single"/>
        <w:lang w:val="en-US"/>
      </w:rPr>
      <w:drawing>
        <wp:anchor distT="0" distB="0" distL="114300" distR="114300" simplePos="0" relativeHeight="251721728" behindDoc="0" locked="0" layoutInCell="1" allowOverlap="1">
          <wp:simplePos x="0" y="0"/>
          <wp:positionH relativeFrom="column">
            <wp:posOffset>-1737995</wp:posOffset>
          </wp:positionH>
          <wp:positionV relativeFrom="paragraph">
            <wp:posOffset>9525</wp:posOffset>
          </wp:positionV>
          <wp:extent cx="2004695" cy="608330"/>
          <wp:effectExtent l="0" t="0" r="0" b="127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HORIZONTAL-GR.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4695" cy="60833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D3" w:rsidRPr="00910B3C" w:rsidRDefault="00FE02A1" w:rsidP="00910B3C">
    <w:pPr>
      <w:pStyle w:val="a3"/>
      <w:tabs>
        <w:tab w:val="left" w:pos="1843"/>
      </w:tabs>
      <w:ind w:right="-427"/>
      <w:rPr>
        <w:b/>
        <w:i/>
        <w:color w:val="FF0000"/>
        <w:sz w:val="24"/>
        <w:szCs w:val="24"/>
        <w:highlight w:val="yellow"/>
        <w:u w:val="single"/>
        <w:lang w:val="en-US"/>
      </w:rPr>
    </w:pPr>
    <w:r w:rsidRPr="00FE02A1">
      <w:rPr>
        <w:b/>
        <w:i/>
        <w:noProof/>
        <w:color w:val="FF0000"/>
        <w:sz w:val="24"/>
        <w:szCs w:val="24"/>
        <w:u w:val="single"/>
        <w:lang w:eastAsia="el-GR"/>
      </w:rPr>
      <w:pict>
        <v:group id="Group 4" o:spid="_x0000_s2049" style="position:absolute;margin-left:314.65pt;margin-top:-24.75pt;width:88.45pt;height:79.05pt;z-index:-251598848;mso-width-relative:margin;mso-height-relative:margin" coordorigin="-477" coordsize="11253,10039" wrapcoords="549 0 549 21394 20685 21394 20685 0 549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1" type="#_x0000_t75" alt="tetragono.png" style="position:absolute;width:10160;height:10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">
            <v:imagedata r:id="rId1" o:title="tetragono"/>
            <v:path arrowok="t"/>
          </v:shape>
          <v:shapetype id="_x0000_t202" coordsize="21600,21600" o:spt="202" path="m,l,21600r21600,l21600,xe">
            <v:stroke joinstyle="miter"/>
            <v:path gradientshapeok="t" o:connecttype="rect"/>
          </v:shapetype>
          <v:shape id="Τίτλος 9" o:spid="_x0000_s2050" type="#_x0000_t202" style="position:absolute;left:-477;top:3079;width:11253;height:52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" filled="f" stroked="f">
            <v:path arrowok="t"/>
            <v:textbox inset="2.04597mm,1.023mm,2.04597mm,1.023mm">
              <w:txbxContent>
                <w:p w:rsidR="004C55D3" w:rsidRDefault="004C55D3" w:rsidP="00AC21E2">
                  <w:pPr>
                    <w:pStyle w:val="Web"/>
                    <w:spacing w:before="0" w:beforeAutospacing="0" w:after="0" w:afterAutospacing="0"/>
                    <w:jc w:val="center"/>
                    <w:rPr>
                      <w:rFonts w:asciiTheme="minorHAnsi" w:hAnsi="Calibri" w:cstheme="minorBidi"/>
                      <w:b/>
                      <w:bCs/>
                      <w:color w:val="FFFFFF" w:themeColor="background1"/>
                      <w:kern w:val="24"/>
                      <w:sz w:val="21"/>
                      <w:szCs w:val="21"/>
                    </w:rPr>
                  </w:pPr>
                  <w:r w:rsidRPr="009C435D">
                    <w:rPr>
                      <w:rFonts w:ascii="Calibri" w:hAnsi="Calibri" w:cstheme="minorBidi"/>
                      <w:b/>
                      <w:bCs/>
                      <w:color w:val="FFFFFF" w:themeColor="background1"/>
                      <w:spacing w:val="-2"/>
                      <w:kern w:val="24"/>
                      <w:sz w:val="21"/>
                      <w:szCs w:val="21"/>
                    </w:rPr>
                    <w:t>ΑΠΟΤΕΛΕΣΜΑΤΑ</w:t>
                  </w:r>
                  <w:r>
                    <w:rPr>
                      <w:rFonts w:asciiTheme="minorHAnsi" w:hAnsi="Calibri" w:cstheme="minorBidi"/>
                      <w:b/>
                      <w:bCs/>
                      <w:color w:val="FFFFFF" w:themeColor="background1"/>
                      <w:kern w:val="24"/>
                      <w:sz w:val="21"/>
                      <w:szCs w:val="21"/>
                    </w:rPr>
                    <w:t xml:space="preserve"> 9ΜΗΝΟΥ</w:t>
                  </w:r>
                </w:p>
                <w:p w:rsidR="004C55D3" w:rsidRDefault="004C55D3" w:rsidP="00AC21E2">
                  <w:pPr>
                    <w:pStyle w:val="Web"/>
                    <w:spacing w:before="0" w:beforeAutospacing="0" w:after="0" w:afterAutospacing="0"/>
                    <w:jc w:val="center"/>
                  </w:pPr>
                  <w:r>
                    <w:rPr>
                      <w:rFonts w:asciiTheme="minorHAnsi" w:hAnsi="Calibri" w:cstheme="minorBidi"/>
                      <w:b/>
                      <w:bCs/>
                      <w:color w:val="FFFFFF" w:themeColor="background1"/>
                      <w:kern w:val="24"/>
                      <w:sz w:val="21"/>
                      <w:szCs w:val="21"/>
                    </w:rPr>
                    <w:t>2020</w:t>
                  </w:r>
                </w:p>
              </w:txbxContent>
            </v:textbox>
          </v:shape>
          <w10:wrap type="tight"/>
        </v:group>
      </w:pict>
    </w:r>
    <w:r w:rsidR="004C55D3" w:rsidRPr="00A07456">
      <w:rPr>
        <w:b/>
        <w:i/>
        <w:noProof/>
        <w:color w:val="FF0000"/>
        <w:sz w:val="24"/>
        <w:szCs w:val="24"/>
        <w:u w:val="single"/>
        <w:lang w:val="en-US"/>
      </w:rPr>
      <w:drawing>
        <wp:anchor distT="0" distB="0" distL="114300" distR="114300" simplePos="0" relativeHeight="251723776" behindDoc="0" locked="0" layoutInCell="1" allowOverlap="1">
          <wp:simplePos x="0" y="0"/>
          <wp:positionH relativeFrom="column">
            <wp:posOffset>-1628775</wp:posOffset>
          </wp:positionH>
          <wp:positionV relativeFrom="paragraph">
            <wp:posOffset>-105410</wp:posOffset>
          </wp:positionV>
          <wp:extent cx="2004695" cy="608330"/>
          <wp:effectExtent l="0" t="0" r="0" b="127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HORIZONTAL-GR.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4695" cy="608330"/>
                  </a:xfrm>
                  <a:prstGeom prst="rect">
                    <a:avLst/>
                  </a:prstGeom>
                </pic:spPr>
              </pic:pic>
            </a:graphicData>
          </a:graphic>
        </wp:anchor>
      </w:drawing>
    </w:r>
  </w:p>
  <w:p w:rsidR="004C55D3" w:rsidRDefault="004C55D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3pt;height:23pt" o:bullet="t">
        <v:imagedata r:id="rId1" o:title="BulletTick"/>
      </v:shape>
    </w:pict>
  </w:numPicBullet>
  <w:numPicBullet w:numPicBulletId="1">
    <w:pict>
      <v:shape id="_x0000_i1030" type="#_x0000_t75" style="width:17pt;height:17pt;visibility:visible;mso-wrap-style:square" o:bullet="t">
        <v:imagedata r:id="rId2" o:title=""/>
      </v:shape>
    </w:pict>
  </w:numPicBullet>
  <w:numPicBullet w:numPicBulletId="2">
    <w:pict>
      <v:shape id="_x0000_i1031" type="#_x0000_t75" style="width:21.5pt;height:15.5pt;visibility:visible;mso-wrap-style:square" o:bullet="t">
        <v:imagedata r:id="rId3" o:title=""/>
      </v:shape>
    </w:pict>
  </w:numPicBullet>
  <w:abstractNum w:abstractNumId="0">
    <w:nsid w:val="0BFD2BE2"/>
    <w:multiLevelType w:val="hybridMultilevel"/>
    <w:tmpl w:val="458EC884"/>
    <w:lvl w:ilvl="0" w:tplc="80384A9A">
      <w:start w:val="2"/>
      <w:numFmt w:val="bullet"/>
      <w:lvlText w:val=""/>
      <w:lvlJc w:val="left"/>
      <w:pPr>
        <w:ind w:left="720" w:hanging="360"/>
      </w:pPr>
      <w:rPr>
        <w:rFonts w:ascii="Wingdings" w:eastAsiaTheme="minorEastAsia" w:hAnsi="Wingdings"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0427779"/>
    <w:multiLevelType w:val="hybridMultilevel"/>
    <w:tmpl w:val="51B632D6"/>
    <w:lvl w:ilvl="0" w:tplc="465A8084">
      <w:start w:val="1"/>
      <w:numFmt w:val="bullet"/>
      <w:lvlText w:val=""/>
      <w:lvlJc w:val="left"/>
      <w:pPr>
        <w:ind w:left="1288" w:hanging="360"/>
      </w:pPr>
      <w:rPr>
        <w:rFonts w:ascii="Symbol" w:hAnsi="Symbol" w:hint="default"/>
        <w:color w:val="3A73AE" w:themeColor="accent1"/>
      </w:rPr>
    </w:lvl>
    <w:lvl w:ilvl="1" w:tplc="04080003" w:tentative="1">
      <w:start w:val="1"/>
      <w:numFmt w:val="bullet"/>
      <w:lvlText w:val="o"/>
      <w:lvlJc w:val="left"/>
      <w:pPr>
        <w:ind w:left="2008" w:hanging="360"/>
      </w:pPr>
      <w:rPr>
        <w:rFonts w:ascii="Courier New" w:hAnsi="Courier New" w:cs="Courier New" w:hint="default"/>
      </w:rPr>
    </w:lvl>
    <w:lvl w:ilvl="2" w:tplc="04080005" w:tentative="1">
      <w:start w:val="1"/>
      <w:numFmt w:val="bullet"/>
      <w:lvlText w:val=""/>
      <w:lvlJc w:val="left"/>
      <w:pPr>
        <w:ind w:left="2728" w:hanging="360"/>
      </w:pPr>
      <w:rPr>
        <w:rFonts w:ascii="Wingdings" w:hAnsi="Wingdings" w:hint="default"/>
      </w:rPr>
    </w:lvl>
    <w:lvl w:ilvl="3" w:tplc="04080001" w:tentative="1">
      <w:start w:val="1"/>
      <w:numFmt w:val="bullet"/>
      <w:lvlText w:val=""/>
      <w:lvlJc w:val="left"/>
      <w:pPr>
        <w:ind w:left="3448" w:hanging="360"/>
      </w:pPr>
      <w:rPr>
        <w:rFonts w:ascii="Symbol" w:hAnsi="Symbol" w:hint="default"/>
      </w:rPr>
    </w:lvl>
    <w:lvl w:ilvl="4" w:tplc="04080003" w:tentative="1">
      <w:start w:val="1"/>
      <w:numFmt w:val="bullet"/>
      <w:lvlText w:val="o"/>
      <w:lvlJc w:val="left"/>
      <w:pPr>
        <w:ind w:left="4168" w:hanging="360"/>
      </w:pPr>
      <w:rPr>
        <w:rFonts w:ascii="Courier New" w:hAnsi="Courier New" w:cs="Courier New" w:hint="default"/>
      </w:rPr>
    </w:lvl>
    <w:lvl w:ilvl="5" w:tplc="04080005" w:tentative="1">
      <w:start w:val="1"/>
      <w:numFmt w:val="bullet"/>
      <w:lvlText w:val=""/>
      <w:lvlJc w:val="left"/>
      <w:pPr>
        <w:ind w:left="4888" w:hanging="360"/>
      </w:pPr>
      <w:rPr>
        <w:rFonts w:ascii="Wingdings" w:hAnsi="Wingdings" w:hint="default"/>
      </w:rPr>
    </w:lvl>
    <w:lvl w:ilvl="6" w:tplc="04080001" w:tentative="1">
      <w:start w:val="1"/>
      <w:numFmt w:val="bullet"/>
      <w:lvlText w:val=""/>
      <w:lvlJc w:val="left"/>
      <w:pPr>
        <w:ind w:left="5608" w:hanging="360"/>
      </w:pPr>
      <w:rPr>
        <w:rFonts w:ascii="Symbol" w:hAnsi="Symbol" w:hint="default"/>
      </w:rPr>
    </w:lvl>
    <w:lvl w:ilvl="7" w:tplc="04080003" w:tentative="1">
      <w:start w:val="1"/>
      <w:numFmt w:val="bullet"/>
      <w:lvlText w:val="o"/>
      <w:lvlJc w:val="left"/>
      <w:pPr>
        <w:ind w:left="6328" w:hanging="360"/>
      </w:pPr>
      <w:rPr>
        <w:rFonts w:ascii="Courier New" w:hAnsi="Courier New" w:cs="Courier New" w:hint="default"/>
      </w:rPr>
    </w:lvl>
    <w:lvl w:ilvl="8" w:tplc="04080005" w:tentative="1">
      <w:start w:val="1"/>
      <w:numFmt w:val="bullet"/>
      <w:lvlText w:val=""/>
      <w:lvlJc w:val="left"/>
      <w:pPr>
        <w:ind w:left="7048" w:hanging="360"/>
      </w:pPr>
      <w:rPr>
        <w:rFonts w:ascii="Wingdings" w:hAnsi="Wingdings" w:hint="default"/>
      </w:rPr>
    </w:lvl>
  </w:abstractNum>
  <w:abstractNum w:abstractNumId="2">
    <w:nsid w:val="136407D0"/>
    <w:multiLevelType w:val="hybridMultilevel"/>
    <w:tmpl w:val="103C4E28"/>
    <w:lvl w:ilvl="0" w:tplc="AAF885EA">
      <w:start w:val="1"/>
      <w:numFmt w:val="bullet"/>
      <w:lvlText w:val=""/>
      <w:lvlPicBulletId w:val="0"/>
      <w:lvlJc w:val="left"/>
      <w:pPr>
        <w:ind w:left="720" w:hanging="360"/>
      </w:pPr>
      <w:rPr>
        <w:rFonts w:ascii="Symbol" w:hAnsi="Symbol" w:hint="default"/>
        <w:color w:val="auto"/>
        <w:sz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3E858EA"/>
    <w:multiLevelType w:val="hybridMultilevel"/>
    <w:tmpl w:val="A8CE7D00"/>
    <w:lvl w:ilvl="0" w:tplc="0408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C189C"/>
    <w:multiLevelType w:val="hybridMultilevel"/>
    <w:tmpl w:val="99C6DFD0"/>
    <w:lvl w:ilvl="0" w:tplc="465A8084">
      <w:start w:val="1"/>
      <w:numFmt w:val="bullet"/>
      <w:lvlText w:val=""/>
      <w:lvlJc w:val="left"/>
      <w:pPr>
        <w:ind w:left="720" w:hanging="360"/>
      </w:pPr>
      <w:rPr>
        <w:rFonts w:ascii="Symbol" w:hAnsi="Symbol" w:hint="default"/>
        <w:color w:val="3A73AE" w:themeColor="accen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F99769E"/>
    <w:multiLevelType w:val="hybridMultilevel"/>
    <w:tmpl w:val="709EFB7A"/>
    <w:lvl w:ilvl="0" w:tplc="30F0F338">
      <w:start w:val="1"/>
      <w:numFmt w:val="decimal"/>
      <w:lvlText w:val="%1."/>
      <w:lvlJc w:val="left"/>
      <w:pPr>
        <w:ind w:left="502" w:hanging="360"/>
      </w:pPr>
      <w:rPr>
        <w:b/>
        <w:color w:val="FFC000"/>
      </w:rPr>
    </w:lvl>
    <w:lvl w:ilvl="1" w:tplc="04080019">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6">
    <w:nsid w:val="26D1596D"/>
    <w:multiLevelType w:val="hybridMultilevel"/>
    <w:tmpl w:val="DA5E072A"/>
    <w:lvl w:ilvl="0" w:tplc="A3D48850">
      <w:numFmt w:val="bullet"/>
      <w:lvlText w:val="•"/>
      <w:lvlJc w:val="left"/>
      <w:pPr>
        <w:ind w:left="1080" w:hanging="720"/>
      </w:pPr>
      <w:rPr>
        <w:rFonts w:ascii="Calibri" w:eastAsiaTheme="minorHAnsi" w:hAnsi="Calibr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D234FF1"/>
    <w:multiLevelType w:val="hybridMultilevel"/>
    <w:tmpl w:val="4D506F0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nsid w:val="37C54981"/>
    <w:multiLevelType w:val="hybridMultilevel"/>
    <w:tmpl w:val="1BEE0378"/>
    <w:lvl w:ilvl="0" w:tplc="8F10FF4E">
      <w:start w:val="1"/>
      <w:numFmt w:val="bullet"/>
      <w:lvlText w:val=""/>
      <w:lvlPicBulletId w:val="2"/>
      <w:lvlJc w:val="left"/>
      <w:pPr>
        <w:tabs>
          <w:tab w:val="num" w:pos="720"/>
        </w:tabs>
        <w:ind w:left="720" w:hanging="360"/>
      </w:pPr>
      <w:rPr>
        <w:rFonts w:ascii="Symbol" w:hAnsi="Symbol" w:hint="default"/>
      </w:rPr>
    </w:lvl>
    <w:lvl w:ilvl="1" w:tplc="131EDA48" w:tentative="1">
      <w:start w:val="1"/>
      <w:numFmt w:val="bullet"/>
      <w:lvlText w:val=""/>
      <w:lvlJc w:val="left"/>
      <w:pPr>
        <w:tabs>
          <w:tab w:val="num" w:pos="1440"/>
        </w:tabs>
        <w:ind w:left="1440" w:hanging="360"/>
      </w:pPr>
      <w:rPr>
        <w:rFonts w:ascii="Symbol" w:hAnsi="Symbol" w:hint="default"/>
      </w:rPr>
    </w:lvl>
    <w:lvl w:ilvl="2" w:tplc="885237D6" w:tentative="1">
      <w:start w:val="1"/>
      <w:numFmt w:val="bullet"/>
      <w:lvlText w:val=""/>
      <w:lvlJc w:val="left"/>
      <w:pPr>
        <w:tabs>
          <w:tab w:val="num" w:pos="2160"/>
        </w:tabs>
        <w:ind w:left="2160" w:hanging="360"/>
      </w:pPr>
      <w:rPr>
        <w:rFonts w:ascii="Symbol" w:hAnsi="Symbol" w:hint="default"/>
      </w:rPr>
    </w:lvl>
    <w:lvl w:ilvl="3" w:tplc="8602A346" w:tentative="1">
      <w:start w:val="1"/>
      <w:numFmt w:val="bullet"/>
      <w:lvlText w:val=""/>
      <w:lvlJc w:val="left"/>
      <w:pPr>
        <w:tabs>
          <w:tab w:val="num" w:pos="2880"/>
        </w:tabs>
        <w:ind w:left="2880" w:hanging="360"/>
      </w:pPr>
      <w:rPr>
        <w:rFonts w:ascii="Symbol" w:hAnsi="Symbol" w:hint="default"/>
      </w:rPr>
    </w:lvl>
    <w:lvl w:ilvl="4" w:tplc="267E0538" w:tentative="1">
      <w:start w:val="1"/>
      <w:numFmt w:val="bullet"/>
      <w:lvlText w:val=""/>
      <w:lvlJc w:val="left"/>
      <w:pPr>
        <w:tabs>
          <w:tab w:val="num" w:pos="3600"/>
        </w:tabs>
        <w:ind w:left="3600" w:hanging="360"/>
      </w:pPr>
      <w:rPr>
        <w:rFonts w:ascii="Symbol" w:hAnsi="Symbol" w:hint="default"/>
      </w:rPr>
    </w:lvl>
    <w:lvl w:ilvl="5" w:tplc="A668941A" w:tentative="1">
      <w:start w:val="1"/>
      <w:numFmt w:val="bullet"/>
      <w:lvlText w:val=""/>
      <w:lvlJc w:val="left"/>
      <w:pPr>
        <w:tabs>
          <w:tab w:val="num" w:pos="4320"/>
        </w:tabs>
        <w:ind w:left="4320" w:hanging="360"/>
      </w:pPr>
      <w:rPr>
        <w:rFonts w:ascii="Symbol" w:hAnsi="Symbol" w:hint="default"/>
      </w:rPr>
    </w:lvl>
    <w:lvl w:ilvl="6" w:tplc="4B16EC44" w:tentative="1">
      <w:start w:val="1"/>
      <w:numFmt w:val="bullet"/>
      <w:lvlText w:val=""/>
      <w:lvlJc w:val="left"/>
      <w:pPr>
        <w:tabs>
          <w:tab w:val="num" w:pos="5040"/>
        </w:tabs>
        <w:ind w:left="5040" w:hanging="360"/>
      </w:pPr>
      <w:rPr>
        <w:rFonts w:ascii="Symbol" w:hAnsi="Symbol" w:hint="default"/>
      </w:rPr>
    </w:lvl>
    <w:lvl w:ilvl="7" w:tplc="87C4F5F4" w:tentative="1">
      <w:start w:val="1"/>
      <w:numFmt w:val="bullet"/>
      <w:lvlText w:val=""/>
      <w:lvlJc w:val="left"/>
      <w:pPr>
        <w:tabs>
          <w:tab w:val="num" w:pos="5760"/>
        </w:tabs>
        <w:ind w:left="5760" w:hanging="360"/>
      </w:pPr>
      <w:rPr>
        <w:rFonts w:ascii="Symbol" w:hAnsi="Symbol" w:hint="default"/>
      </w:rPr>
    </w:lvl>
    <w:lvl w:ilvl="8" w:tplc="33103EAE" w:tentative="1">
      <w:start w:val="1"/>
      <w:numFmt w:val="bullet"/>
      <w:lvlText w:val=""/>
      <w:lvlJc w:val="left"/>
      <w:pPr>
        <w:tabs>
          <w:tab w:val="num" w:pos="6480"/>
        </w:tabs>
        <w:ind w:left="6480" w:hanging="360"/>
      </w:pPr>
      <w:rPr>
        <w:rFonts w:ascii="Symbol" w:hAnsi="Symbol" w:hint="default"/>
      </w:rPr>
    </w:lvl>
  </w:abstractNum>
  <w:abstractNum w:abstractNumId="9">
    <w:nsid w:val="3A576187"/>
    <w:multiLevelType w:val="hybridMultilevel"/>
    <w:tmpl w:val="91A859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nsid w:val="3B4D3594"/>
    <w:multiLevelType w:val="hybridMultilevel"/>
    <w:tmpl w:val="C3EE1B5C"/>
    <w:lvl w:ilvl="0" w:tplc="4620A314">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nsid w:val="3FC06DAD"/>
    <w:multiLevelType w:val="multilevel"/>
    <w:tmpl w:val="B262057C"/>
    <w:lvl w:ilvl="0">
      <w:numFmt w:val="bullet"/>
      <w:lvlText w:val=""/>
      <w:lvlJc w:val="left"/>
      <w:pPr>
        <w:ind w:left="578" w:hanging="360"/>
      </w:pPr>
      <w:rPr>
        <w:rFonts w:ascii="Symbol" w:hAnsi="Symbol"/>
        <w:color w:val="auto"/>
        <w:sz w:val="20"/>
        <w:szCs w:val="20"/>
      </w:rPr>
    </w:lvl>
    <w:lvl w:ilvl="1">
      <w:numFmt w:val="bullet"/>
      <w:lvlText w:val="o"/>
      <w:lvlJc w:val="left"/>
      <w:pPr>
        <w:ind w:left="1298" w:hanging="360"/>
      </w:pPr>
      <w:rPr>
        <w:rFonts w:ascii="Courier New" w:hAnsi="Courier New" w:cs="Courier New"/>
      </w:rPr>
    </w:lvl>
    <w:lvl w:ilvl="2">
      <w:numFmt w:val="bullet"/>
      <w:lvlText w:val=""/>
      <w:lvlJc w:val="left"/>
      <w:pPr>
        <w:ind w:left="2018" w:hanging="360"/>
      </w:pPr>
      <w:rPr>
        <w:rFonts w:ascii="Wingdings" w:hAnsi="Wingdings"/>
      </w:rPr>
    </w:lvl>
    <w:lvl w:ilvl="3">
      <w:numFmt w:val="bullet"/>
      <w:lvlText w:val=""/>
      <w:lvlJc w:val="left"/>
      <w:pPr>
        <w:ind w:left="2738" w:hanging="360"/>
      </w:pPr>
      <w:rPr>
        <w:rFonts w:ascii="Symbol" w:hAnsi="Symbol"/>
      </w:rPr>
    </w:lvl>
    <w:lvl w:ilvl="4">
      <w:numFmt w:val="bullet"/>
      <w:lvlText w:val="o"/>
      <w:lvlJc w:val="left"/>
      <w:pPr>
        <w:ind w:left="3458" w:hanging="360"/>
      </w:pPr>
      <w:rPr>
        <w:rFonts w:ascii="Courier New" w:hAnsi="Courier New" w:cs="Courier New"/>
      </w:rPr>
    </w:lvl>
    <w:lvl w:ilvl="5">
      <w:numFmt w:val="bullet"/>
      <w:lvlText w:val=""/>
      <w:lvlJc w:val="left"/>
      <w:pPr>
        <w:ind w:left="4178" w:hanging="360"/>
      </w:pPr>
      <w:rPr>
        <w:rFonts w:ascii="Wingdings" w:hAnsi="Wingdings"/>
      </w:rPr>
    </w:lvl>
    <w:lvl w:ilvl="6">
      <w:numFmt w:val="bullet"/>
      <w:lvlText w:val=""/>
      <w:lvlJc w:val="left"/>
      <w:pPr>
        <w:ind w:left="4898" w:hanging="360"/>
      </w:pPr>
      <w:rPr>
        <w:rFonts w:ascii="Symbol" w:hAnsi="Symbol"/>
      </w:rPr>
    </w:lvl>
    <w:lvl w:ilvl="7">
      <w:numFmt w:val="bullet"/>
      <w:lvlText w:val="o"/>
      <w:lvlJc w:val="left"/>
      <w:pPr>
        <w:ind w:left="5618" w:hanging="360"/>
      </w:pPr>
      <w:rPr>
        <w:rFonts w:ascii="Courier New" w:hAnsi="Courier New" w:cs="Courier New"/>
      </w:rPr>
    </w:lvl>
    <w:lvl w:ilvl="8">
      <w:numFmt w:val="bullet"/>
      <w:lvlText w:val=""/>
      <w:lvlJc w:val="left"/>
      <w:pPr>
        <w:ind w:left="6338" w:hanging="360"/>
      </w:pPr>
      <w:rPr>
        <w:rFonts w:ascii="Wingdings" w:hAnsi="Wingdings"/>
      </w:rPr>
    </w:lvl>
  </w:abstractNum>
  <w:abstractNum w:abstractNumId="12">
    <w:nsid w:val="40413A68"/>
    <w:multiLevelType w:val="hybridMultilevel"/>
    <w:tmpl w:val="C1EC35EA"/>
    <w:lvl w:ilvl="0" w:tplc="50285DF2">
      <w:start w:val="1"/>
      <w:numFmt w:val="bullet"/>
      <w:lvlText w:val=""/>
      <w:lvlJc w:val="left"/>
      <w:pPr>
        <w:ind w:left="720" w:hanging="360"/>
      </w:pPr>
      <w:rPr>
        <w:rFonts w:ascii="Symbol" w:hAnsi="Symbol" w:hint="default"/>
        <w:color w:val="FFC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52720F6"/>
    <w:multiLevelType w:val="hybridMultilevel"/>
    <w:tmpl w:val="54E695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524200F5"/>
    <w:multiLevelType w:val="hybridMultilevel"/>
    <w:tmpl w:val="8BA48B6E"/>
    <w:lvl w:ilvl="0" w:tplc="900EE7D4">
      <w:start w:val="1"/>
      <w:numFmt w:val="bullet"/>
      <w:lvlText w:val=""/>
      <w:lvlPicBulletId w:val="0"/>
      <w:lvlJc w:val="left"/>
      <w:pPr>
        <w:ind w:left="720" w:hanging="360"/>
      </w:pPr>
      <w:rPr>
        <w:rFonts w:ascii="Symbol" w:hAnsi="Symbol" w:hint="default"/>
        <w:color w:val="auto"/>
        <w:sz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4492C81"/>
    <w:multiLevelType w:val="hybridMultilevel"/>
    <w:tmpl w:val="253855A0"/>
    <w:lvl w:ilvl="0" w:tplc="4080E5B8">
      <w:start w:val="1"/>
      <w:numFmt w:val="bullet"/>
      <w:lvlText w:val=""/>
      <w:lvlJc w:val="left"/>
      <w:pPr>
        <w:ind w:left="578" w:hanging="360"/>
      </w:pPr>
      <w:rPr>
        <w:rFonts w:ascii="Symbol" w:hAnsi="Symbol" w:hint="default"/>
        <w:color w:val="auto"/>
        <w:sz w:val="20"/>
        <w:szCs w:val="20"/>
        <w:lang w:val="el-GR"/>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nsid w:val="5A4A0C45"/>
    <w:multiLevelType w:val="hybridMultilevel"/>
    <w:tmpl w:val="FEACAAB6"/>
    <w:lvl w:ilvl="0" w:tplc="7B42F334">
      <w:start w:val="1"/>
      <w:numFmt w:val="bullet"/>
      <w:lvlText w:val=""/>
      <w:lvlJc w:val="left"/>
      <w:pPr>
        <w:ind w:left="720" w:hanging="360"/>
      </w:pPr>
      <w:rPr>
        <w:rFonts w:ascii="Wingdings" w:hAnsi="Wingdings" w:hint="default"/>
        <w:lang w:val="el-GR"/>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C991070"/>
    <w:multiLevelType w:val="hybridMultilevel"/>
    <w:tmpl w:val="9C3AFD44"/>
    <w:lvl w:ilvl="0" w:tplc="E3442374">
      <w:start w:val="23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4C10099"/>
    <w:multiLevelType w:val="hybridMultilevel"/>
    <w:tmpl w:val="33A6B04A"/>
    <w:lvl w:ilvl="0" w:tplc="0408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2505C1"/>
    <w:multiLevelType w:val="hybridMultilevel"/>
    <w:tmpl w:val="C33C81B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892046E"/>
    <w:multiLevelType w:val="hybridMultilevel"/>
    <w:tmpl w:val="1B04D692"/>
    <w:lvl w:ilvl="0" w:tplc="50E01FD0">
      <w:start w:val="1"/>
      <w:numFmt w:val="decimal"/>
      <w:lvlText w:val="(%1)"/>
      <w:lvlJc w:val="left"/>
      <w:pPr>
        <w:ind w:left="360" w:hanging="360"/>
      </w:pPr>
      <w:rPr>
        <w:rFonts w:asciiTheme="minorHAnsi" w:eastAsiaTheme="minorHAnsi" w:hAnsiTheme="minorHAnsi" w:cstheme="majorHAnsi"/>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6E032BE8"/>
    <w:multiLevelType w:val="hybridMultilevel"/>
    <w:tmpl w:val="5FB885AC"/>
    <w:lvl w:ilvl="0" w:tplc="6C3E16C0">
      <w:start w:val="1"/>
      <w:numFmt w:val="bullet"/>
      <w:lvlText w:val=""/>
      <w:lvlJc w:val="left"/>
      <w:pPr>
        <w:ind w:left="720" w:hanging="360"/>
      </w:pPr>
      <w:rPr>
        <w:rFonts w:ascii="Symbol" w:hAnsi="Symbol" w:hint="default"/>
        <w:color w:val="0070C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F9F7C09"/>
    <w:multiLevelType w:val="hybridMultilevel"/>
    <w:tmpl w:val="7338B3F2"/>
    <w:lvl w:ilvl="0" w:tplc="465A8084">
      <w:start w:val="1"/>
      <w:numFmt w:val="bullet"/>
      <w:lvlText w:val=""/>
      <w:lvlJc w:val="left"/>
      <w:pPr>
        <w:ind w:left="720" w:hanging="360"/>
      </w:pPr>
      <w:rPr>
        <w:rFonts w:ascii="Symbol" w:hAnsi="Symbol" w:hint="default"/>
        <w:color w:val="3A73AE"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7775BAB"/>
    <w:multiLevelType w:val="hybridMultilevel"/>
    <w:tmpl w:val="D0EEB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7B1E02A8"/>
    <w:multiLevelType w:val="hybridMultilevel"/>
    <w:tmpl w:val="9FA02D84"/>
    <w:lvl w:ilvl="0" w:tplc="EE143012">
      <w:start w:val="231"/>
      <w:numFmt w:val="bullet"/>
      <w:lvlText w:val="-"/>
      <w:lvlJc w:val="left"/>
      <w:pPr>
        <w:ind w:left="384" w:hanging="360"/>
      </w:pPr>
      <w:rPr>
        <w:rFonts w:ascii="Calibri" w:eastAsiaTheme="minorEastAsia" w:hAnsi="Calibri" w:cs="Calibri" w:hint="default"/>
      </w:rPr>
    </w:lvl>
    <w:lvl w:ilvl="1" w:tplc="04080003" w:tentative="1">
      <w:start w:val="1"/>
      <w:numFmt w:val="bullet"/>
      <w:lvlText w:val="o"/>
      <w:lvlJc w:val="left"/>
      <w:pPr>
        <w:ind w:left="1104" w:hanging="360"/>
      </w:pPr>
      <w:rPr>
        <w:rFonts w:ascii="Courier New" w:hAnsi="Courier New" w:cs="Courier New" w:hint="default"/>
      </w:rPr>
    </w:lvl>
    <w:lvl w:ilvl="2" w:tplc="04080005" w:tentative="1">
      <w:start w:val="1"/>
      <w:numFmt w:val="bullet"/>
      <w:lvlText w:val=""/>
      <w:lvlJc w:val="left"/>
      <w:pPr>
        <w:ind w:left="1824" w:hanging="360"/>
      </w:pPr>
      <w:rPr>
        <w:rFonts w:ascii="Wingdings" w:hAnsi="Wingdings" w:hint="default"/>
      </w:rPr>
    </w:lvl>
    <w:lvl w:ilvl="3" w:tplc="04080001" w:tentative="1">
      <w:start w:val="1"/>
      <w:numFmt w:val="bullet"/>
      <w:lvlText w:val=""/>
      <w:lvlJc w:val="left"/>
      <w:pPr>
        <w:ind w:left="2544" w:hanging="360"/>
      </w:pPr>
      <w:rPr>
        <w:rFonts w:ascii="Symbol" w:hAnsi="Symbol" w:hint="default"/>
      </w:rPr>
    </w:lvl>
    <w:lvl w:ilvl="4" w:tplc="04080003" w:tentative="1">
      <w:start w:val="1"/>
      <w:numFmt w:val="bullet"/>
      <w:lvlText w:val="o"/>
      <w:lvlJc w:val="left"/>
      <w:pPr>
        <w:ind w:left="3264" w:hanging="360"/>
      </w:pPr>
      <w:rPr>
        <w:rFonts w:ascii="Courier New" w:hAnsi="Courier New" w:cs="Courier New" w:hint="default"/>
      </w:rPr>
    </w:lvl>
    <w:lvl w:ilvl="5" w:tplc="04080005" w:tentative="1">
      <w:start w:val="1"/>
      <w:numFmt w:val="bullet"/>
      <w:lvlText w:val=""/>
      <w:lvlJc w:val="left"/>
      <w:pPr>
        <w:ind w:left="3984" w:hanging="360"/>
      </w:pPr>
      <w:rPr>
        <w:rFonts w:ascii="Wingdings" w:hAnsi="Wingdings" w:hint="default"/>
      </w:rPr>
    </w:lvl>
    <w:lvl w:ilvl="6" w:tplc="04080001" w:tentative="1">
      <w:start w:val="1"/>
      <w:numFmt w:val="bullet"/>
      <w:lvlText w:val=""/>
      <w:lvlJc w:val="left"/>
      <w:pPr>
        <w:ind w:left="4704" w:hanging="360"/>
      </w:pPr>
      <w:rPr>
        <w:rFonts w:ascii="Symbol" w:hAnsi="Symbol" w:hint="default"/>
      </w:rPr>
    </w:lvl>
    <w:lvl w:ilvl="7" w:tplc="04080003" w:tentative="1">
      <w:start w:val="1"/>
      <w:numFmt w:val="bullet"/>
      <w:lvlText w:val="o"/>
      <w:lvlJc w:val="left"/>
      <w:pPr>
        <w:ind w:left="5424" w:hanging="360"/>
      </w:pPr>
      <w:rPr>
        <w:rFonts w:ascii="Courier New" w:hAnsi="Courier New" w:cs="Courier New" w:hint="default"/>
      </w:rPr>
    </w:lvl>
    <w:lvl w:ilvl="8" w:tplc="04080005" w:tentative="1">
      <w:start w:val="1"/>
      <w:numFmt w:val="bullet"/>
      <w:lvlText w:val=""/>
      <w:lvlJc w:val="left"/>
      <w:pPr>
        <w:ind w:left="6144" w:hanging="360"/>
      </w:pPr>
      <w:rPr>
        <w:rFonts w:ascii="Wingdings" w:hAnsi="Wingdings" w:hint="default"/>
      </w:rPr>
    </w:lvl>
  </w:abstractNum>
  <w:abstractNum w:abstractNumId="25">
    <w:nsid w:val="7DA5056F"/>
    <w:multiLevelType w:val="hybridMultilevel"/>
    <w:tmpl w:val="31060A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7F7E61CD"/>
    <w:multiLevelType w:val="hybridMultilevel"/>
    <w:tmpl w:val="67CC7CE8"/>
    <w:lvl w:ilvl="0" w:tplc="1108CC74">
      <w:start w:val="1"/>
      <w:numFmt w:val="bullet"/>
      <w:lvlText w:val=""/>
      <w:lvlJc w:val="left"/>
      <w:pPr>
        <w:ind w:left="720" w:hanging="360"/>
      </w:pPr>
      <w:rPr>
        <w:rFonts w:ascii="Symbol" w:hAnsi="Symbol" w:hint="default"/>
        <w:color w:val="003C96" w:themeColor="text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8"/>
  </w:num>
  <w:num w:numId="4">
    <w:abstractNumId w:val="3"/>
  </w:num>
  <w:num w:numId="5">
    <w:abstractNumId w:val="16"/>
  </w:num>
  <w:num w:numId="6">
    <w:abstractNumId w:val="21"/>
  </w:num>
  <w:num w:numId="7">
    <w:abstractNumId w:val="6"/>
  </w:num>
  <w:num w:numId="8">
    <w:abstractNumId w:val="26"/>
  </w:num>
  <w:num w:numId="9">
    <w:abstractNumId w:val="20"/>
  </w:num>
  <w:num w:numId="10">
    <w:abstractNumId w:val="23"/>
  </w:num>
  <w:num w:numId="11">
    <w:abstractNumId w:val="22"/>
  </w:num>
  <w:num w:numId="12">
    <w:abstractNumId w:val="8"/>
  </w:num>
  <w:num w:numId="13">
    <w:abstractNumId w:val="22"/>
  </w:num>
  <w:num w:numId="14">
    <w:abstractNumId w:val="7"/>
  </w:num>
  <w:num w:numId="15">
    <w:abstractNumId w:val="15"/>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num>
  <w:num w:numId="20">
    <w:abstractNumId w:val="5"/>
  </w:num>
  <w:num w:numId="21">
    <w:abstractNumId w:val="0"/>
  </w:num>
  <w:num w:numId="22">
    <w:abstractNumId w:val="17"/>
  </w:num>
  <w:num w:numId="23">
    <w:abstractNumId w:val="24"/>
  </w:num>
  <w:num w:numId="24">
    <w:abstractNumId w:val="25"/>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4"/>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hideSpellingErrors/>
  <w:hideGrammaticalErrors/>
  <w:defaultTabStop w:val="720"/>
  <w:characterSpacingControl w:val="doNotCompress"/>
  <w:hdrShapeDefaults>
    <o:shapedefaults v:ext="edit" spidmax="3074"/>
    <o:shapelayout v:ext="edit">
      <o:idmap v:ext="edit" data="2"/>
    </o:shapelayout>
  </w:hdrShapeDefaults>
  <w:footnotePr>
    <w:footnote w:id="0"/>
    <w:footnote w:id="1"/>
    <w:footnote w:id="2"/>
  </w:footnotePr>
  <w:endnotePr>
    <w:endnote w:id="0"/>
    <w:endnote w:id="1"/>
    <w:endnote w:id="2"/>
  </w:endnotePr>
  <w:compat/>
  <w:rsids>
    <w:rsidRoot w:val="00A14E18"/>
    <w:rsid w:val="000007A3"/>
    <w:rsid w:val="0000082A"/>
    <w:rsid w:val="00000BC6"/>
    <w:rsid w:val="00000F68"/>
    <w:rsid w:val="00001E6E"/>
    <w:rsid w:val="00002FDD"/>
    <w:rsid w:val="0000346D"/>
    <w:rsid w:val="00003672"/>
    <w:rsid w:val="00003855"/>
    <w:rsid w:val="00003A09"/>
    <w:rsid w:val="00003FFC"/>
    <w:rsid w:val="0000442A"/>
    <w:rsid w:val="0000443E"/>
    <w:rsid w:val="00004ACD"/>
    <w:rsid w:val="0000575F"/>
    <w:rsid w:val="0000595D"/>
    <w:rsid w:val="00005BE9"/>
    <w:rsid w:val="00005CA5"/>
    <w:rsid w:val="00005CB6"/>
    <w:rsid w:val="00005E5E"/>
    <w:rsid w:val="00006029"/>
    <w:rsid w:val="000062A0"/>
    <w:rsid w:val="000063E4"/>
    <w:rsid w:val="000077D1"/>
    <w:rsid w:val="00007940"/>
    <w:rsid w:val="00007A6A"/>
    <w:rsid w:val="00010393"/>
    <w:rsid w:val="00010908"/>
    <w:rsid w:val="00010B68"/>
    <w:rsid w:val="00011CB8"/>
    <w:rsid w:val="00012EA5"/>
    <w:rsid w:val="00013051"/>
    <w:rsid w:val="00013564"/>
    <w:rsid w:val="0001359E"/>
    <w:rsid w:val="00013892"/>
    <w:rsid w:val="0001438C"/>
    <w:rsid w:val="00015386"/>
    <w:rsid w:val="00015854"/>
    <w:rsid w:val="00015FAE"/>
    <w:rsid w:val="00016980"/>
    <w:rsid w:val="000178E4"/>
    <w:rsid w:val="00020371"/>
    <w:rsid w:val="0002067A"/>
    <w:rsid w:val="000206C6"/>
    <w:rsid w:val="00020A2A"/>
    <w:rsid w:val="00021226"/>
    <w:rsid w:val="0002147D"/>
    <w:rsid w:val="000215DB"/>
    <w:rsid w:val="00021A4E"/>
    <w:rsid w:val="00021BD0"/>
    <w:rsid w:val="00022A88"/>
    <w:rsid w:val="00022CCE"/>
    <w:rsid w:val="00023546"/>
    <w:rsid w:val="000238A4"/>
    <w:rsid w:val="00025755"/>
    <w:rsid w:val="00025D14"/>
    <w:rsid w:val="0002706C"/>
    <w:rsid w:val="00027255"/>
    <w:rsid w:val="000278B7"/>
    <w:rsid w:val="00027BA6"/>
    <w:rsid w:val="00030364"/>
    <w:rsid w:val="00030D02"/>
    <w:rsid w:val="000310AD"/>
    <w:rsid w:val="00031657"/>
    <w:rsid w:val="00031F12"/>
    <w:rsid w:val="00032B67"/>
    <w:rsid w:val="00032E03"/>
    <w:rsid w:val="00033976"/>
    <w:rsid w:val="00034112"/>
    <w:rsid w:val="00034117"/>
    <w:rsid w:val="00034737"/>
    <w:rsid w:val="00034F63"/>
    <w:rsid w:val="00034F7D"/>
    <w:rsid w:val="00035782"/>
    <w:rsid w:val="00035CFC"/>
    <w:rsid w:val="000361FC"/>
    <w:rsid w:val="00036CAB"/>
    <w:rsid w:val="00036DFB"/>
    <w:rsid w:val="00037365"/>
    <w:rsid w:val="00037376"/>
    <w:rsid w:val="00037ABB"/>
    <w:rsid w:val="00037C92"/>
    <w:rsid w:val="00037DDC"/>
    <w:rsid w:val="00037E16"/>
    <w:rsid w:val="000400C0"/>
    <w:rsid w:val="00040A98"/>
    <w:rsid w:val="00040F71"/>
    <w:rsid w:val="00042251"/>
    <w:rsid w:val="0004347B"/>
    <w:rsid w:val="000435B4"/>
    <w:rsid w:val="00043933"/>
    <w:rsid w:val="000439BB"/>
    <w:rsid w:val="0004427A"/>
    <w:rsid w:val="0004461D"/>
    <w:rsid w:val="00044B60"/>
    <w:rsid w:val="0004528A"/>
    <w:rsid w:val="000455E0"/>
    <w:rsid w:val="00045C2B"/>
    <w:rsid w:val="00045F04"/>
    <w:rsid w:val="00046277"/>
    <w:rsid w:val="00046355"/>
    <w:rsid w:val="000470B3"/>
    <w:rsid w:val="0004746D"/>
    <w:rsid w:val="00047535"/>
    <w:rsid w:val="00051587"/>
    <w:rsid w:val="00052546"/>
    <w:rsid w:val="00052957"/>
    <w:rsid w:val="000529A6"/>
    <w:rsid w:val="0005319A"/>
    <w:rsid w:val="000532FB"/>
    <w:rsid w:val="00053E04"/>
    <w:rsid w:val="00053F76"/>
    <w:rsid w:val="000541AA"/>
    <w:rsid w:val="00054345"/>
    <w:rsid w:val="000547B5"/>
    <w:rsid w:val="00054827"/>
    <w:rsid w:val="00054A25"/>
    <w:rsid w:val="00054E9E"/>
    <w:rsid w:val="00055403"/>
    <w:rsid w:val="00056E3C"/>
    <w:rsid w:val="000571A8"/>
    <w:rsid w:val="00057B20"/>
    <w:rsid w:val="0006028B"/>
    <w:rsid w:val="00061186"/>
    <w:rsid w:val="0006140B"/>
    <w:rsid w:val="000614F8"/>
    <w:rsid w:val="000617BD"/>
    <w:rsid w:val="0006190D"/>
    <w:rsid w:val="00061B16"/>
    <w:rsid w:val="000620E3"/>
    <w:rsid w:val="00062C19"/>
    <w:rsid w:val="00062C84"/>
    <w:rsid w:val="000634DB"/>
    <w:rsid w:val="000635FC"/>
    <w:rsid w:val="000638E1"/>
    <w:rsid w:val="000642CA"/>
    <w:rsid w:val="000645D7"/>
    <w:rsid w:val="0006468F"/>
    <w:rsid w:val="00064E07"/>
    <w:rsid w:val="00065838"/>
    <w:rsid w:val="00065917"/>
    <w:rsid w:val="00066296"/>
    <w:rsid w:val="00066A63"/>
    <w:rsid w:val="00066F7F"/>
    <w:rsid w:val="00067250"/>
    <w:rsid w:val="00070028"/>
    <w:rsid w:val="00070112"/>
    <w:rsid w:val="000702FC"/>
    <w:rsid w:val="000703B6"/>
    <w:rsid w:val="0007076B"/>
    <w:rsid w:val="0007081D"/>
    <w:rsid w:val="000709DA"/>
    <w:rsid w:val="00070B58"/>
    <w:rsid w:val="00070E50"/>
    <w:rsid w:val="00070EAC"/>
    <w:rsid w:val="0007175D"/>
    <w:rsid w:val="00071F3F"/>
    <w:rsid w:val="00072780"/>
    <w:rsid w:val="00072FE2"/>
    <w:rsid w:val="000731A4"/>
    <w:rsid w:val="00073603"/>
    <w:rsid w:val="000736B0"/>
    <w:rsid w:val="0007418C"/>
    <w:rsid w:val="00075AC2"/>
    <w:rsid w:val="00075AD9"/>
    <w:rsid w:val="00075D3E"/>
    <w:rsid w:val="00076B61"/>
    <w:rsid w:val="00077508"/>
    <w:rsid w:val="00077517"/>
    <w:rsid w:val="00077AE3"/>
    <w:rsid w:val="00080132"/>
    <w:rsid w:val="000803B4"/>
    <w:rsid w:val="000806D6"/>
    <w:rsid w:val="000806E0"/>
    <w:rsid w:val="00081584"/>
    <w:rsid w:val="000821CE"/>
    <w:rsid w:val="00083046"/>
    <w:rsid w:val="000835D6"/>
    <w:rsid w:val="000837A3"/>
    <w:rsid w:val="00083DE1"/>
    <w:rsid w:val="000840A9"/>
    <w:rsid w:val="0008436B"/>
    <w:rsid w:val="000848BE"/>
    <w:rsid w:val="00084B00"/>
    <w:rsid w:val="00085105"/>
    <w:rsid w:val="00085298"/>
    <w:rsid w:val="000863E3"/>
    <w:rsid w:val="000865AE"/>
    <w:rsid w:val="000865E1"/>
    <w:rsid w:val="000869B6"/>
    <w:rsid w:val="00087B01"/>
    <w:rsid w:val="000907F7"/>
    <w:rsid w:val="00090C5F"/>
    <w:rsid w:val="00090EFC"/>
    <w:rsid w:val="00092097"/>
    <w:rsid w:val="000926A9"/>
    <w:rsid w:val="00093CCF"/>
    <w:rsid w:val="00093E7E"/>
    <w:rsid w:val="00094182"/>
    <w:rsid w:val="00094323"/>
    <w:rsid w:val="00094746"/>
    <w:rsid w:val="00094C99"/>
    <w:rsid w:val="000965B3"/>
    <w:rsid w:val="0009699F"/>
    <w:rsid w:val="00096DBA"/>
    <w:rsid w:val="00096FF2"/>
    <w:rsid w:val="00097435"/>
    <w:rsid w:val="000979EF"/>
    <w:rsid w:val="00097B3E"/>
    <w:rsid w:val="00097C2B"/>
    <w:rsid w:val="000A0737"/>
    <w:rsid w:val="000A0FDC"/>
    <w:rsid w:val="000A2628"/>
    <w:rsid w:val="000A26D2"/>
    <w:rsid w:val="000A2CA1"/>
    <w:rsid w:val="000A2E3D"/>
    <w:rsid w:val="000A2EC5"/>
    <w:rsid w:val="000A3A7F"/>
    <w:rsid w:val="000A3BD2"/>
    <w:rsid w:val="000A3F00"/>
    <w:rsid w:val="000A4C0E"/>
    <w:rsid w:val="000A4CC5"/>
    <w:rsid w:val="000A5338"/>
    <w:rsid w:val="000A5649"/>
    <w:rsid w:val="000A5745"/>
    <w:rsid w:val="000A5780"/>
    <w:rsid w:val="000A5953"/>
    <w:rsid w:val="000A5BF6"/>
    <w:rsid w:val="000A6299"/>
    <w:rsid w:val="000A66CC"/>
    <w:rsid w:val="000A682D"/>
    <w:rsid w:val="000A6ABC"/>
    <w:rsid w:val="000A7E41"/>
    <w:rsid w:val="000B04E3"/>
    <w:rsid w:val="000B080B"/>
    <w:rsid w:val="000B11E4"/>
    <w:rsid w:val="000B1781"/>
    <w:rsid w:val="000B1D47"/>
    <w:rsid w:val="000B2311"/>
    <w:rsid w:val="000B23AE"/>
    <w:rsid w:val="000B30BD"/>
    <w:rsid w:val="000B3AD3"/>
    <w:rsid w:val="000B4FFB"/>
    <w:rsid w:val="000B5812"/>
    <w:rsid w:val="000B5BF3"/>
    <w:rsid w:val="000B5DF0"/>
    <w:rsid w:val="000B5FD8"/>
    <w:rsid w:val="000B69AF"/>
    <w:rsid w:val="000B6B48"/>
    <w:rsid w:val="000B7117"/>
    <w:rsid w:val="000B7357"/>
    <w:rsid w:val="000B768D"/>
    <w:rsid w:val="000B7954"/>
    <w:rsid w:val="000B7A2A"/>
    <w:rsid w:val="000B7C84"/>
    <w:rsid w:val="000C05C2"/>
    <w:rsid w:val="000C17D2"/>
    <w:rsid w:val="000C186C"/>
    <w:rsid w:val="000C189C"/>
    <w:rsid w:val="000C2E3C"/>
    <w:rsid w:val="000C3119"/>
    <w:rsid w:val="000C3DEB"/>
    <w:rsid w:val="000C5F7B"/>
    <w:rsid w:val="000C620B"/>
    <w:rsid w:val="000C63E4"/>
    <w:rsid w:val="000C6468"/>
    <w:rsid w:val="000C66AE"/>
    <w:rsid w:val="000C6EFB"/>
    <w:rsid w:val="000C71D8"/>
    <w:rsid w:val="000D013B"/>
    <w:rsid w:val="000D06B7"/>
    <w:rsid w:val="000D2FE7"/>
    <w:rsid w:val="000D341E"/>
    <w:rsid w:val="000D393F"/>
    <w:rsid w:val="000D3E67"/>
    <w:rsid w:val="000D41A8"/>
    <w:rsid w:val="000D428A"/>
    <w:rsid w:val="000D4925"/>
    <w:rsid w:val="000D4BD5"/>
    <w:rsid w:val="000D5169"/>
    <w:rsid w:val="000D5AE1"/>
    <w:rsid w:val="000D5D88"/>
    <w:rsid w:val="000D5D9E"/>
    <w:rsid w:val="000D6175"/>
    <w:rsid w:val="000D6280"/>
    <w:rsid w:val="000D6DFF"/>
    <w:rsid w:val="000D7422"/>
    <w:rsid w:val="000D74AE"/>
    <w:rsid w:val="000D7BD6"/>
    <w:rsid w:val="000E0506"/>
    <w:rsid w:val="000E0726"/>
    <w:rsid w:val="000E0AA4"/>
    <w:rsid w:val="000E0C15"/>
    <w:rsid w:val="000E1126"/>
    <w:rsid w:val="000E1289"/>
    <w:rsid w:val="000E187E"/>
    <w:rsid w:val="000E3038"/>
    <w:rsid w:val="000E3455"/>
    <w:rsid w:val="000E3A57"/>
    <w:rsid w:val="000E3E12"/>
    <w:rsid w:val="000E4147"/>
    <w:rsid w:val="000E42EC"/>
    <w:rsid w:val="000E4B00"/>
    <w:rsid w:val="000E4EBE"/>
    <w:rsid w:val="000E5FAD"/>
    <w:rsid w:val="000E6350"/>
    <w:rsid w:val="000E7C77"/>
    <w:rsid w:val="000F0E6C"/>
    <w:rsid w:val="000F0F32"/>
    <w:rsid w:val="000F10A8"/>
    <w:rsid w:val="000F172A"/>
    <w:rsid w:val="000F1991"/>
    <w:rsid w:val="000F1D15"/>
    <w:rsid w:val="000F1DD6"/>
    <w:rsid w:val="000F2931"/>
    <w:rsid w:val="000F464D"/>
    <w:rsid w:val="000F6390"/>
    <w:rsid w:val="000F64A8"/>
    <w:rsid w:val="000F678A"/>
    <w:rsid w:val="000F67A8"/>
    <w:rsid w:val="000F69C7"/>
    <w:rsid w:val="000F6B38"/>
    <w:rsid w:val="00102758"/>
    <w:rsid w:val="00102CC2"/>
    <w:rsid w:val="001031D1"/>
    <w:rsid w:val="001033ED"/>
    <w:rsid w:val="00104498"/>
    <w:rsid w:val="00107686"/>
    <w:rsid w:val="001076ED"/>
    <w:rsid w:val="00107A76"/>
    <w:rsid w:val="00107BE9"/>
    <w:rsid w:val="00107CFC"/>
    <w:rsid w:val="00107F6A"/>
    <w:rsid w:val="0011043D"/>
    <w:rsid w:val="00110604"/>
    <w:rsid w:val="0011067F"/>
    <w:rsid w:val="001106BF"/>
    <w:rsid w:val="00110A20"/>
    <w:rsid w:val="00110B87"/>
    <w:rsid w:val="0011119D"/>
    <w:rsid w:val="001115B7"/>
    <w:rsid w:val="00111DC5"/>
    <w:rsid w:val="00112543"/>
    <w:rsid w:val="001127F2"/>
    <w:rsid w:val="00113308"/>
    <w:rsid w:val="001138A6"/>
    <w:rsid w:val="0011396F"/>
    <w:rsid w:val="00113EE0"/>
    <w:rsid w:val="001140D4"/>
    <w:rsid w:val="001147AF"/>
    <w:rsid w:val="00114982"/>
    <w:rsid w:val="00114B97"/>
    <w:rsid w:val="00114C27"/>
    <w:rsid w:val="001152E6"/>
    <w:rsid w:val="0011545F"/>
    <w:rsid w:val="00115FB8"/>
    <w:rsid w:val="0011676F"/>
    <w:rsid w:val="00117254"/>
    <w:rsid w:val="0011774C"/>
    <w:rsid w:val="00117E4D"/>
    <w:rsid w:val="00117E87"/>
    <w:rsid w:val="001200A8"/>
    <w:rsid w:val="0012074D"/>
    <w:rsid w:val="00120AE7"/>
    <w:rsid w:val="00120B47"/>
    <w:rsid w:val="00120BDB"/>
    <w:rsid w:val="00120F4B"/>
    <w:rsid w:val="0012178A"/>
    <w:rsid w:val="00121F7E"/>
    <w:rsid w:val="00122486"/>
    <w:rsid w:val="001228D7"/>
    <w:rsid w:val="00122A01"/>
    <w:rsid w:val="00124336"/>
    <w:rsid w:val="00124908"/>
    <w:rsid w:val="00124FBE"/>
    <w:rsid w:val="0012614E"/>
    <w:rsid w:val="00126A84"/>
    <w:rsid w:val="001270A6"/>
    <w:rsid w:val="00127298"/>
    <w:rsid w:val="00127997"/>
    <w:rsid w:val="00127CEC"/>
    <w:rsid w:val="00127E39"/>
    <w:rsid w:val="00127E94"/>
    <w:rsid w:val="0013026B"/>
    <w:rsid w:val="0013106D"/>
    <w:rsid w:val="001320F1"/>
    <w:rsid w:val="001326BE"/>
    <w:rsid w:val="00132E36"/>
    <w:rsid w:val="001330CD"/>
    <w:rsid w:val="00133123"/>
    <w:rsid w:val="0013413A"/>
    <w:rsid w:val="00134193"/>
    <w:rsid w:val="00134645"/>
    <w:rsid w:val="001346F6"/>
    <w:rsid w:val="00136093"/>
    <w:rsid w:val="00136EF1"/>
    <w:rsid w:val="00136EF3"/>
    <w:rsid w:val="0013732E"/>
    <w:rsid w:val="0013775A"/>
    <w:rsid w:val="00137969"/>
    <w:rsid w:val="00137B6F"/>
    <w:rsid w:val="001401C1"/>
    <w:rsid w:val="00140505"/>
    <w:rsid w:val="001405C5"/>
    <w:rsid w:val="00140B33"/>
    <w:rsid w:val="001415DD"/>
    <w:rsid w:val="00141F3B"/>
    <w:rsid w:val="001424B4"/>
    <w:rsid w:val="00142621"/>
    <w:rsid w:val="00142CE3"/>
    <w:rsid w:val="00143BA9"/>
    <w:rsid w:val="0014491F"/>
    <w:rsid w:val="001459EE"/>
    <w:rsid w:val="0014627E"/>
    <w:rsid w:val="001470B8"/>
    <w:rsid w:val="0015034A"/>
    <w:rsid w:val="00150C69"/>
    <w:rsid w:val="00151578"/>
    <w:rsid w:val="00151A50"/>
    <w:rsid w:val="00151B39"/>
    <w:rsid w:val="00151BE6"/>
    <w:rsid w:val="00151DC2"/>
    <w:rsid w:val="00152C19"/>
    <w:rsid w:val="00153EA5"/>
    <w:rsid w:val="00154950"/>
    <w:rsid w:val="00155707"/>
    <w:rsid w:val="00155E7D"/>
    <w:rsid w:val="001567F5"/>
    <w:rsid w:val="0015736A"/>
    <w:rsid w:val="001575ED"/>
    <w:rsid w:val="001578CD"/>
    <w:rsid w:val="00160622"/>
    <w:rsid w:val="00160E15"/>
    <w:rsid w:val="00161B96"/>
    <w:rsid w:val="00161BBF"/>
    <w:rsid w:val="00161E6B"/>
    <w:rsid w:val="00162122"/>
    <w:rsid w:val="001624F8"/>
    <w:rsid w:val="001625FA"/>
    <w:rsid w:val="00162BAE"/>
    <w:rsid w:val="001635A5"/>
    <w:rsid w:val="001636E3"/>
    <w:rsid w:val="00164140"/>
    <w:rsid w:val="001647E0"/>
    <w:rsid w:val="0016482F"/>
    <w:rsid w:val="00164F12"/>
    <w:rsid w:val="00165E9D"/>
    <w:rsid w:val="00166463"/>
    <w:rsid w:val="001672CD"/>
    <w:rsid w:val="00167F1C"/>
    <w:rsid w:val="001709FC"/>
    <w:rsid w:val="001717F2"/>
    <w:rsid w:val="00171BCF"/>
    <w:rsid w:val="00172171"/>
    <w:rsid w:val="0017218C"/>
    <w:rsid w:val="00172341"/>
    <w:rsid w:val="001723B2"/>
    <w:rsid w:val="00172629"/>
    <w:rsid w:val="00172E77"/>
    <w:rsid w:val="00173118"/>
    <w:rsid w:val="00173E4A"/>
    <w:rsid w:val="00174534"/>
    <w:rsid w:val="001755CD"/>
    <w:rsid w:val="00176077"/>
    <w:rsid w:val="0017613B"/>
    <w:rsid w:val="00176EEF"/>
    <w:rsid w:val="001772EB"/>
    <w:rsid w:val="00177A64"/>
    <w:rsid w:val="00177B67"/>
    <w:rsid w:val="001803F0"/>
    <w:rsid w:val="00180E98"/>
    <w:rsid w:val="00180FFC"/>
    <w:rsid w:val="001814A9"/>
    <w:rsid w:val="00181982"/>
    <w:rsid w:val="00181F09"/>
    <w:rsid w:val="00182DA9"/>
    <w:rsid w:val="00182E4B"/>
    <w:rsid w:val="00183E7C"/>
    <w:rsid w:val="001840C3"/>
    <w:rsid w:val="001844C3"/>
    <w:rsid w:val="00184AFE"/>
    <w:rsid w:val="00184F76"/>
    <w:rsid w:val="001852AF"/>
    <w:rsid w:val="00185840"/>
    <w:rsid w:val="00185936"/>
    <w:rsid w:val="00185D4D"/>
    <w:rsid w:val="001860FD"/>
    <w:rsid w:val="00186420"/>
    <w:rsid w:val="00186813"/>
    <w:rsid w:val="00186B69"/>
    <w:rsid w:val="00186EE1"/>
    <w:rsid w:val="00187056"/>
    <w:rsid w:val="001872B3"/>
    <w:rsid w:val="0018752C"/>
    <w:rsid w:val="00187814"/>
    <w:rsid w:val="00191F8E"/>
    <w:rsid w:val="00192244"/>
    <w:rsid w:val="00192787"/>
    <w:rsid w:val="00192887"/>
    <w:rsid w:val="00192D37"/>
    <w:rsid w:val="00192FD8"/>
    <w:rsid w:val="001930E3"/>
    <w:rsid w:val="00193B26"/>
    <w:rsid w:val="00193F8C"/>
    <w:rsid w:val="00194A1C"/>
    <w:rsid w:val="00194F4F"/>
    <w:rsid w:val="00194FD3"/>
    <w:rsid w:val="001952BF"/>
    <w:rsid w:val="00195B58"/>
    <w:rsid w:val="0019617F"/>
    <w:rsid w:val="00196CBF"/>
    <w:rsid w:val="00197162"/>
    <w:rsid w:val="001975D0"/>
    <w:rsid w:val="001A00D7"/>
    <w:rsid w:val="001A01C1"/>
    <w:rsid w:val="001A0BB1"/>
    <w:rsid w:val="001A15C2"/>
    <w:rsid w:val="001A176B"/>
    <w:rsid w:val="001A1B92"/>
    <w:rsid w:val="001A2AC2"/>
    <w:rsid w:val="001A2B0F"/>
    <w:rsid w:val="001A2CBB"/>
    <w:rsid w:val="001A2EE0"/>
    <w:rsid w:val="001A3011"/>
    <w:rsid w:val="001A3687"/>
    <w:rsid w:val="001A39F1"/>
    <w:rsid w:val="001A4065"/>
    <w:rsid w:val="001A579E"/>
    <w:rsid w:val="001A5F52"/>
    <w:rsid w:val="001A6E7E"/>
    <w:rsid w:val="001A74CA"/>
    <w:rsid w:val="001A77C9"/>
    <w:rsid w:val="001A7EAB"/>
    <w:rsid w:val="001B01A8"/>
    <w:rsid w:val="001B0359"/>
    <w:rsid w:val="001B055A"/>
    <w:rsid w:val="001B12C8"/>
    <w:rsid w:val="001B1D0A"/>
    <w:rsid w:val="001B24C2"/>
    <w:rsid w:val="001B2672"/>
    <w:rsid w:val="001B2A94"/>
    <w:rsid w:val="001B2AB2"/>
    <w:rsid w:val="001B3265"/>
    <w:rsid w:val="001B3F98"/>
    <w:rsid w:val="001B40EF"/>
    <w:rsid w:val="001B4DA9"/>
    <w:rsid w:val="001B4F2F"/>
    <w:rsid w:val="001B56C9"/>
    <w:rsid w:val="001B58A3"/>
    <w:rsid w:val="001B6C4B"/>
    <w:rsid w:val="001B71F8"/>
    <w:rsid w:val="001B76D0"/>
    <w:rsid w:val="001C065E"/>
    <w:rsid w:val="001C0C1F"/>
    <w:rsid w:val="001C0C8A"/>
    <w:rsid w:val="001C0D42"/>
    <w:rsid w:val="001C1542"/>
    <w:rsid w:val="001C171C"/>
    <w:rsid w:val="001C1C23"/>
    <w:rsid w:val="001C2547"/>
    <w:rsid w:val="001C25E8"/>
    <w:rsid w:val="001C273D"/>
    <w:rsid w:val="001C2C32"/>
    <w:rsid w:val="001C2DD1"/>
    <w:rsid w:val="001C2EB1"/>
    <w:rsid w:val="001C3480"/>
    <w:rsid w:val="001C3546"/>
    <w:rsid w:val="001C3910"/>
    <w:rsid w:val="001C3955"/>
    <w:rsid w:val="001C4EDB"/>
    <w:rsid w:val="001C566A"/>
    <w:rsid w:val="001C670A"/>
    <w:rsid w:val="001D0A8A"/>
    <w:rsid w:val="001D0FA4"/>
    <w:rsid w:val="001D1CAE"/>
    <w:rsid w:val="001D2888"/>
    <w:rsid w:val="001D3112"/>
    <w:rsid w:val="001D3274"/>
    <w:rsid w:val="001D3CC9"/>
    <w:rsid w:val="001D4231"/>
    <w:rsid w:val="001D457A"/>
    <w:rsid w:val="001D476C"/>
    <w:rsid w:val="001D552E"/>
    <w:rsid w:val="001D55F9"/>
    <w:rsid w:val="001D58EE"/>
    <w:rsid w:val="001D6216"/>
    <w:rsid w:val="001D644B"/>
    <w:rsid w:val="001D668A"/>
    <w:rsid w:val="001D688A"/>
    <w:rsid w:val="001D7A41"/>
    <w:rsid w:val="001D7BDA"/>
    <w:rsid w:val="001E0A12"/>
    <w:rsid w:val="001E0A14"/>
    <w:rsid w:val="001E1DA4"/>
    <w:rsid w:val="001E2188"/>
    <w:rsid w:val="001E26D3"/>
    <w:rsid w:val="001E38D0"/>
    <w:rsid w:val="001E4FC6"/>
    <w:rsid w:val="001E5817"/>
    <w:rsid w:val="001E6750"/>
    <w:rsid w:val="001E7396"/>
    <w:rsid w:val="001E7540"/>
    <w:rsid w:val="001E7C73"/>
    <w:rsid w:val="001F0357"/>
    <w:rsid w:val="001F03D0"/>
    <w:rsid w:val="001F078F"/>
    <w:rsid w:val="001F0983"/>
    <w:rsid w:val="001F1357"/>
    <w:rsid w:val="001F16FF"/>
    <w:rsid w:val="001F1AEE"/>
    <w:rsid w:val="001F22C0"/>
    <w:rsid w:val="001F281D"/>
    <w:rsid w:val="001F287A"/>
    <w:rsid w:val="001F2A5B"/>
    <w:rsid w:val="001F2BA2"/>
    <w:rsid w:val="001F359F"/>
    <w:rsid w:val="001F3B7A"/>
    <w:rsid w:val="001F3D57"/>
    <w:rsid w:val="001F413F"/>
    <w:rsid w:val="001F53BA"/>
    <w:rsid w:val="001F5567"/>
    <w:rsid w:val="001F58E9"/>
    <w:rsid w:val="001F6589"/>
    <w:rsid w:val="001F6BB1"/>
    <w:rsid w:val="001F6C09"/>
    <w:rsid w:val="001F70C0"/>
    <w:rsid w:val="001F7298"/>
    <w:rsid w:val="001F74E1"/>
    <w:rsid w:val="001F7F89"/>
    <w:rsid w:val="00200C03"/>
    <w:rsid w:val="002010C2"/>
    <w:rsid w:val="002029F8"/>
    <w:rsid w:val="00202F63"/>
    <w:rsid w:val="00203C20"/>
    <w:rsid w:val="00203FCD"/>
    <w:rsid w:val="00204492"/>
    <w:rsid w:val="00204496"/>
    <w:rsid w:val="00204E91"/>
    <w:rsid w:val="002050D8"/>
    <w:rsid w:val="00205209"/>
    <w:rsid w:val="00205B3E"/>
    <w:rsid w:val="00205EC4"/>
    <w:rsid w:val="00206BAD"/>
    <w:rsid w:val="0020729F"/>
    <w:rsid w:val="00207DD6"/>
    <w:rsid w:val="00207E02"/>
    <w:rsid w:val="00210223"/>
    <w:rsid w:val="002109DD"/>
    <w:rsid w:val="00210B9A"/>
    <w:rsid w:val="00210BEE"/>
    <w:rsid w:val="0021127D"/>
    <w:rsid w:val="00211435"/>
    <w:rsid w:val="00211496"/>
    <w:rsid w:val="00211C2A"/>
    <w:rsid w:val="00211E15"/>
    <w:rsid w:val="00212991"/>
    <w:rsid w:val="002130DE"/>
    <w:rsid w:val="00213408"/>
    <w:rsid w:val="002137E0"/>
    <w:rsid w:val="00213914"/>
    <w:rsid w:val="00213A27"/>
    <w:rsid w:val="00214D47"/>
    <w:rsid w:val="00215D8F"/>
    <w:rsid w:val="00215ECC"/>
    <w:rsid w:val="0021603A"/>
    <w:rsid w:val="0021776B"/>
    <w:rsid w:val="0021776C"/>
    <w:rsid w:val="002215E5"/>
    <w:rsid w:val="002216CC"/>
    <w:rsid w:val="002217FD"/>
    <w:rsid w:val="00221A0E"/>
    <w:rsid w:val="00221A6C"/>
    <w:rsid w:val="00221B8D"/>
    <w:rsid w:val="00221DF3"/>
    <w:rsid w:val="00222AE5"/>
    <w:rsid w:val="00222EC0"/>
    <w:rsid w:val="00222EDB"/>
    <w:rsid w:val="0022338F"/>
    <w:rsid w:val="00224F0E"/>
    <w:rsid w:val="0022510A"/>
    <w:rsid w:val="002269D4"/>
    <w:rsid w:val="00226E13"/>
    <w:rsid w:val="00227064"/>
    <w:rsid w:val="0022706B"/>
    <w:rsid w:val="00227293"/>
    <w:rsid w:val="00227699"/>
    <w:rsid w:val="002278B2"/>
    <w:rsid w:val="0023057A"/>
    <w:rsid w:val="00230772"/>
    <w:rsid w:val="00230DC5"/>
    <w:rsid w:val="00231B71"/>
    <w:rsid w:val="00231C54"/>
    <w:rsid w:val="00232205"/>
    <w:rsid w:val="0023238B"/>
    <w:rsid w:val="00232632"/>
    <w:rsid w:val="00232EDD"/>
    <w:rsid w:val="00234818"/>
    <w:rsid w:val="00234F35"/>
    <w:rsid w:val="00235258"/>
    <w:rsid w:val="002354FD"/>
    <w:rsid w:val="0023583D"/>
    <w:rsid w:val="00235B63"/>
    <w:rsid w:val="00235D72"/>
    <w:rsid w:val="00236275"/>
    <w:rsid w:val="00236548"/>
    <w:rsid w:val="00236F03"/>
    <w:rsid w:val="002370AE"/>
    <w:rsid w:val="00237CA5"/>
    <w:rsid w:val="00240396"/>
    <w:rsid w:val="002407FA"/>
    <w:rsid w:val="00241516"/>
    <w:rsid w:val="002419AB"/>
    <w:rsid w:val="00241C77"/>
    <w:rsid w:val="00241F13"/>
    <w:rsid w:val="0024254A"/>
    <w:rsid w:val="002427FD"/>
    <w:rsid w:val="00244B21"/>
    <w:rsid w:val="00244BA0"/>
    <w:rsid w:val="0024580A"/>
    <w:rsid w:val="00245B83"/>
    <w:rsid w:val="00246200"/>
    <w:rsid w:val="002464A3"/>
    <w:rsid w:val="002470CC"/>
    <w:rsid w:val="00247193"/>
    <w:rsid w:val="00247617"/>
    <w:rsid w:val="00247651"/>
    <w:rsid w:val="0024776B"/>
    <w:rsid w:val="00247D00"/>
    <w:rsid w:val="00247E2B"/>
    <w:rsid w:val="00247F75"/>
    <w:rsid w:val="00250873"/>
    <w:rsid w:val="00250F9B"/>
    <w:rsid w:val="0025122B"/>
    <w:rsid w:val="00251240"/>
    <w:rsid w:val="002514A8"/>
    <w:rsid w:val="002514D0"/>
    <w:rsid w:val="00251709"/>
    <w:rsid w:val="00251766"/>
    <w:rsid w:val="002520FB"/>
    <w:rsid w:val="0025225E"/>
    <w:rsid w:val="00252815"/>
    <w:rsid w:val="00252B50"/>
    <w:rsid w:val="00252FAD"/>
    <w:rsid w:val="00253530"/>
    <w:rsid w:val="00253569"/>
    <w:rsid w:val="00253E05"/>
    <w:rsid w:val="00254199"/>
    <w:rsid w:val="0025458B"/>
    <w:rsid w:val="00254BFF"/>
    <w:rsid w:val="002552C7"/>
    <w:rsid w:val="0025536A"/>
    <w:rsid w:val="00255592"/>
    <w:rsid w:val="002558FB"/>
    <w:rsid w:val="002564CB"/>
    <w:rsid w:val="00256897"/>
    <w:rsid w:val="00256BE6"/>
    <w:rsid w:val="00256D3D"/>
    <w:rsid w:val="00257403"/>
    <w:rsid w:val="002579AA"/>
    <w:rsid w:val="00257A8E"/>
    <w:rsid w:val="002601A4"/>
    <w:rsid w:val="00260D30"/>
    <w:rsid w:val="00261B2A"/>
    <w:rsid w:val="00261C72"/>
    <w:rsid w:val="00263532"/>
    <w:rsid w:val="002636CE"/>
    <w:rsid w:val="00263DF5"/>
    <w:rsid w:val="00264170"/>
    <w:rsid w:val="002649F3"/>
    <w:rsid w:val="00264AB6"/>
    <w:rsid w:val="0026540E"/>
    <w:rsid w:val="0026574A"/>
    <w:rsid w:val="00265887"/>
    <w:rsid w:val="00265E40"/>
    <w:rsid w:val="00266AB8"/>
    <w:rsid w:val="002675BC"/>
    <w:rsid w:val="0027063D"/>
    <w:rsid w:val="002706E9"/>
    <w:rsid w:val="00270B45"/>
    <w:rsid w:val="00270EAE"/>
    <w:rsid w:val="00270F40"/>
    <w:rsid w:val="002718C5"/>
    <w:rsid w:val="00271C81"/>
    <w:rsid w:val="00271CA9"/>
    <w:rsid w:val="00272292"/>
    <w:rsid w:val="0027232D"/>
    <w:rsid w:val="002723CA"/>
    <w:rsid w:val="00273FB4"/>
    <w:rsid w:val="0027461E"/>
    <w:rsid w:val="00275CE3"/>
    <w:rsid w:val="00275D35"/>
    <w:rsid w:val="002760C7"/>
    <w:rsid w:val="002760DE"/>
    <w:rsid w:val="00276540"/>
    <w:rsid w:val="00277487"/>
    <w:rsid w:val="00277C45"/>
    <w:rsid w:val="0028010D"/>
    <w:rsid w:val="00280407"/>
    <w:rsid w:val="00280C2D"/>
    <w:rsid w:val="00280CDF"/>
    <w:rsid w:val="00280DBD"/>
    <w:rsid w:val="002811E7"/>
    <w:rsid w:val="00282650"/>
    <w:rsid w:val="00282807"/>
    <w:rsid w:val="00282AC3"/>
    <w:rsid w:val="00282AF6"/>
    <w:rsid w:val="002839D6"/>
    <w:rsid w:val="00283A81"/>
    <w:rsid w:val="00283D71"/>
    <w:rsid w:val="002844D2"/>
    <w:rsid w:val="002846DD"/>
    <w:rsid w:val="0028538D"/>
    <w:rsid w:val="00285AA3"/>
    <w:rsid w:val="00286F9C"/>
    <w:rsid w:val="00287776"/>
    <w:rsid w:val="002879BC"/>
    <w:rsid w:val="002904FF"/>
    <w:rsid w:val="00290C79"/>
    <w:rsid w:val="00290EE9"/>
    <w:rsid w:val="00291400"/>
    <w:rsid w:val="00291B13"/>
    <w:rsid w:val="00292454"/>
    <w:rsid w:val="0029271B"/>
    <w:rsid w:val="00292767"/>
    <w:rsid w:val="00293ABF"/>
    <w:rsid w:val="00294759"/>
    <w:rsid w:val="00294860"/>
    <w:rsid w:val="002948FC"/>
    <w:rsid w:val="00294A84"/>
    <w:rsid w:val="00294D7E"/>
    <w:rsid w:val="002950CE"/>
    <w:rsid w:val="00295177"/>
    <w:rsid w:val="00295366"/>
    <w:rsid w:val="00296679"/>
    <w:rsid w:val="0029776C"/>
    <w:rsid w:val="00297E8B"/>
    <w:rsid w:val="002A0B8B"/>
    <w:rsid w:val="002A0BD5"/>
    <w:rsid w:val="002A0EC8"/>
    <w:rsid w:val="002A0FA7"/>
    <w:rsid w:val="002A1196"/>
    <w:rsid w:val="002A1F84"/>
    <w:rsid w:val="002A21A5"/>
    <w:rsid w:val="002A21D3"/>
    <w:rsid w:val="002A222C"/>
    <w:rsid w:val="002A279C"/>
    <w:rsid w:val="002A27FF"/>
    <w:rsid w:val="002A3DBA"/>
    <w:rsid w:val="002A44E0"/>
    <w:rsid w:val="002A534E"/>
    <w:rsid w:val="002A5E50"/>
    <w:rsid w:val="002A75FA"/>
    <w:rsid w:val="002A796A"/>
    <w:rsid w:val="002B0509"/>
    <w:rsid w:val="002B0704"/>
    <w:rsid w:val="002B0C4F"/>
    <w:rsid w:val="002B134D"/>
    <w:rsid w:val="002B1534"/>
    <w:rsid w:val="002B204C"/>
    <w:rsid w:val="002B3C4A"/>
    <w:rsid w:val="002B3E0B"/>
    <w:rsid w:val="002B3E8E"/>
    <w:rsid w:val="002B413A"/>
    <w:rsid w:val="002B434F"/>
    <w:rsid w:val="002B4719"/>
    <w:rsid w:val="002B49B9"/>
    <w:rsid w:val="002B54A9"/>
    <w:rsid w:val="002B5ABB"/>
    <w:rsid w:val="002B5BB6"/>
    <w:rsid w:val="002B67B8"/>
    <w:rsid w:val="002B695E"/>
    <w:rsid w:val="002C02C6"/>
    <w:rsid w:val="002C05FB"/>
    <w:rsid w:val="002C0934"/>
    <w:rsid w:val="002C0A32"/>
    <w:rsid w:val="002C18DA"/>
    <w:rsid w:val="002C1B56"/>
    <w:rsid w:val="002C23B1"/>
    <w:rsid w:val="002C2574"/>
    <w:rsid w:val="002C2581"/>
    <w:rsid w:val="002C2DD7"/>
    <w:rsid w:val="002C3B9F"/>
    <w:rsid w:val="002C3BB5"/>
    <w:rsid w:val="002C4D7E"/>
    <w:rsid w:val="002C4DD0"/>
    <w:rsid w:val="002C4FFD"/>
    <w:rsid w:val="002C522F"/>
    <w:rsid w:val="002C56DA"/>
    <w:rsid w:val="002C5E2C"/>
    <w:rsid w:val="002C69FE"/>
    <w:rsid w:val="002C6DD6"/>
    <w:rsid w:val="002C7A5E"/>
    <w:rsid w:val="002D08C0"/>
    <w:rsid w:val="002D0B54"/>
    <w:rsid w:val="002D12FC"/>
    <w:rsid w:val="002D1DAA"/>
    <w:rsid w:val="002D1F42"/>
    <w:rsid w:val="002D2134"/>
    <w:rsid w:val="002D25A1"/>
    <w:rsid w:val="002D26E9"/>
    <w:rsid w:val="002D3059"/>
    <w:rsid w:val="002D3351"/>
    <w:rsid w:val="002D353E"/>
    <w:rsid w:val="002D395B"/>
    <w:rsid w:val="002D3DAE"/>
    <w:rsid w:val="002D431B"/>
    <w:rsid w:val="002D4947"/>
    <w:rsid w:val="002D4C61"/>
    <w:rsid w:val="002D5A81"/>
    <w:rsid w:val="002D6BB7"/>
    <w:rsid w:val="002D6E28"/>
    <w:rsid w:val="002D6ECB"/>
    <w:rsid w:val="002D6F65"/>
    <w:rsid w:val="002D717B"/>
    <w:rsid w:val="002D76D7"/>
    <w:rsid w:val="002D7864"/>
    <w:rsid w:val="002D7B1B"/>
    <w:rsid w:val="002D7DED"/>
    <w:rsid w:val="002E0234"/>
    <w:rsid w:val="002E07FD"/>
    <w:rsid w:val="002E09FF"/>
    <w:rsid w:val="002E0C4B"/>
    <w:rsid w:val="002E109C"/>
    <w:rsid w:val="002E13A5"/>
    <w:rsid w:val="002E1C04"/>
    <w:rsid w:val="002E2620"/>
    <w:rsid w:val="002E26CF"/>
    <w:rsid w:val="002E274D"/>
    <w:rsid w:val="002E2942"/>
    <w:rsid w:val="002E358E"/>
    <w:rsid w:val="002E3876"/>
    <w:rsid w:val="002E3A21"/>
    <w:rsid w:val="002E3F8A"/>
    <w:rsid w:val="002E40DF"/>
    <w:rsid w:val="002E41CC"/>
    <w:rsid w:val="002E4385"/>
    <w:rsid w:val="002E48F0"/>
    <w:rsid w:val="002E4E09"/>
    <w:rsid w:val="002E4E8B"/>
    <w:rsid w:val="002E668A"/>
    <w:rsid w:val="002E7012"/>
    <w:rsid w:val="002E7C1B"/>
    <w:rsid w:val="002E7E6F"/>
    <w:rsid w:val="002F0250"/>
    <w:rsid w:val="002F0AA8"/>
    <w:rsid w:val="002F2F11"/>
    <w:rsid w:val="002F30A0"/>
    <w:rsid w:val="002F3535"/>
    <w:rsid w:val="002F364B"/>
    <w:rsid w:val="002F36C4"/>
    <w:rsid w:val="002F484B"/>
    <w:rsid w:val="002F50CE"/>
    <w:rsid w:val="002F5BAF"/>
    <w:rsid w:val="002F5C0D"/>
    <w:rsid w:val="002F6017"/>
    <w:rsid w:val="002F637C"/>
    <w:rsid w:val="002F6ED6"/>
    <w:rsid w:val="002F76DF"/>
    <w:rsid w:val="002F782C"/>
    <w:rsid w:val="00300810"/>
    <w:rsid w:val="003008D0"/>
    <w:rsid w:val="00300B37"/>
    <w:rsid w:val="0030107E"/>
    <w:rsid w:val="00301ACE"/>
    <w:rsid w:val="00301BFC"/>
    <w:rsid w:val="00301EB5"/>
    <w:rsid w:val="00303907"/>
    <w:rsid w:val="00303F7E"/>
    <w:rsid w:val="00304296"/>
    <w:rsid w:val="003049EB"/>
    <w:rsid w:val="00304FE7"/>
    <w:rsid w:val="00305473"/>
    <w:rsid w:val="003054EA"/>
    <w:rsid w:val="00305DCB"/>
    <w:rsid w:val="00305E40"/>
    <w:rsid w:val="003062E5"/>
    <w:rsid w:val="00306BE9"/>
    <w:rsid w:val="00306CB5"/>
    <w:rsid w:val="00306FB4"/>
    <w:rsid w:val="00307A71"/>
    <w:rsid w:val="00307E51"/>
    <w:rsid w:val="0031033A"/>
    <w:rsid w:val="003108CF"/>
    <w:rsid w:val="00310998"/>
    <w:rsid w:val="00310D37"/>
    <w:rsid w:val="0031125E"/>
    <w:rsid w:val="00311B9E"/>
    <w:rsid w:val="00312170"/>
    <w:rsid w:val="0031285C"/>
    <w:rsid w:val="0031370E"/>
    <w:rsid w:val="00313DC8"/>
    <w:rsid w:val="00314377"/>
    <w:rsid w:val="00314BD6"/>
    <w:rsid w:val="00315348"/>
    <w:rsid w:val="003154F5"/>
    <w:rsid w:val="00315612"/>
    <w:rsid w:val="00315F9D"/>
    <w:rsid w:val="003164FE"/>
    <w:rsid w:val="00316EA9"/>
    <w:rsid w:val="0031736A"/>
    <w:rsid w:val="003173ED"/>
    <w:rsid w:val="00317856"/>
    <w:rsid w:val="003179DF"/>
    <w:rsid w:val="003201DD"/>
    <w:rsid w:val="0032029D"/>
    <w:rsid w:val="003206DF"/>
    <w:rsid w:val="003209E7"/>
    <w:rsid w:val="00321539"/>
    <w:rsid w:val="00322697"/>
    <w:rsid w:val="00322A04"/>
    <w:rsid w:val="00322AA6"/>
    <w:rsid w:val="00323116"/>
    <w:rsid w:val="00323F74"/>
    <w:rsid w:val="00323F92"/>
    <w:rsid w:val="0032433C"/>
    <w:rsid w:val="00324C8F"/>
    <w:rsid w:val="00326671"/>
    <w:rsid w:val="003269A7"/>
    <w:rsid w:val="00326E73"/>
    <w:rsid w:val="003276E3"/>
    <w:rsid w:val="00327721"/>
    <w:rsid w:val="00327921"/>
    <w:rsid w:val="003301AC"/>
    <w:rsid w:val="00330710"/>
    <w:rsid w:val="00330917"/>
    <w:rsid w:val="00330B86"/>
    <w:rsid w:val="003315F7"/>
    <w:rsid w:val="00331DC4"/>
    <w:rsid w:val="00332F20"/>
    <w:rsid w:val="00333281"/>
    <w:rsid w:val="00333394"/>
    <w:rsid w:val="00333437"/>
    <w:rsid w:val="00334BF7"/>
    <w:rsid w:val="00334E86"/>
    <w:rsid w:val="003354AB"/>
    <w:rsid w:val="00335704"/>
    <w:rsid w:val="00335AED"/>
    <w:rsid w:val="00335E79"/>
    <w:rsid w:val="003369BD"/>
    <w:rsid w:val="00336D9A"/>
    <w:rsid w:val="003372B6"/>
    <w:rsid w:val="00337600"/>
    <w:rsid w:val="00337752"/>
    <w:rsid w:val="003438C7"/>
    <w:rsid w:val="003438F9"/>
    <w:rsid w:val="00343F85"/>
    <w:rsid w:val="00344908"/>
    <w:rsid w:val="00345671"/>
    <w:rsid w:val="00345CEC"/>
    <w:rsid w:val="00345CFA"/>
    <w:rsid w:val="00347234"/>
    <w:rsid w:val="003472A0"/>
    <w:rsid w:val="003478B5"/>
    <w:rsid w:val="003479AC"/>
    <w:rsid w:val="0035016E"/>
    <w:rsid w:val="00350C2C"/>
    <w:rsid w:val="00351445"/>
    <w:rsid w:val="0035176E"/>
    <w:rsid w:val="00351C19"/>
    <w:rsid w:val="003520EC"/>
    <w:rsid w:val="00352BA7"/>
    <w:rsid w:val="00352F52"/>
    <w:rsid w:val="0035419A"/>
    <w:rsid w:val="00354C80"/>
    <w:rsid w:val="00354D6F"/>
    <w:rsid w:val="00355069"/>
    <w:rsid w:val="00355100"/>
    <w:rsid w:val="00355BEA"/>
    <w:rsid w:val="00355D4D"/>
    <w:rsid w:val="00355F10"/>
    <w:rsid w:val="00355F79"/>
    <w:rsid w:val="0035602C"/>
    <w:rsid w:val="00356175"/>
    <w:rsid w:val="00356275"/>
    <w:rsid w:val="0035692A"/>
    <w:rsid w:val="00356A5A"/>
    <w:rsid w:val="00356E19"/>
    <w:rsid w:val="00357B4C"/>
    <w:rsid w:val="003601EF"/>
    <w:rsid w:val="00360324"/>
    <w:rsid w:val="003604C0"/>
    <w:rsid w:val="00360D93"/>
    <w:rsid w:val="00360E2C"/>
    <w:rsid w:val="003610F3"/>
    <w:rsid w:val="00362137"/>
    <w:rsid w:val="00362772"/>
    <w:rsid w:val="00362B0E"/>
    <w:rsid w:val="00362C20"/>
    <w:rsid w:val="00362F0A"/>
    <w:rsid w:val="0036314E"/>
    <w:rsid w:val="00363396"/>
    <w:rsid w:val="00364970"/>
    <w:rsid w:val="00364B15"/>
    <w:rsid w:val="00364EA2"/>
    <w:rsid w:val="00364F83"/>
    <w:rsid w:val="00365C66"/>
    <w:rsid w:val="003661CC"/>
    <w:rsid w:val="00366EE6"/>
    <w:rsid w:val="00367454"/>
    <w:rsid w:val="003674E8"/>
    <w:rsid w:val="00367DDE"/>
    <w:rsid w:val="003701D9"/>
    <w:rsid w:val="003702C6"/>
    <w:rsid w:val="00370A91"/>
    <w:rsid w:val="0037143E"/>
    <w:rsid w:val="003716E6"/>
    <w:rsid w:val="00371F05"/>
    <w:rsid w:val="00371F90"/>
    <w:rsid w:val="00372063"/>
    <w:rsid w:val="0037222D"/>
    <w:rsid w:val="00372608"/>
    <w:rsid w:val="003729D9"/>
    <w:rsid w:val="00372B1F"/>
    <w:rsid w:val="00373082"/>
    <w:rsid w:val="00373636"/>
    <w:rsid w:val="00373820"/>
    <w:rsid w:val="00374026"/>
    <w:rsid w:val="003741C0"/>
    <w:rsid w:val="00374A6B"/>
    <w:rsid w:val="00374D94"/>
    <w:rsid w:val="0037539D"/>
    <w:rsid w:val="003759D1"/>
    <w:rsid w:val="00375D81"/>
    <w:rsid w:val="00376988"/>
    <w:rsid w:val="00376D52"/>
    <w:rsid w:val="00377AC7"/>
    <w:rsid w:val="00377C2E"/>
    <w:rsid w:val="00380421"/>
    <w:rsid w:val="003807F5"/>
    <w:rsid w:val="00381B68"/>
    <w:rsid w:val="0038294B"/>
    <w:rsid w:val="003839A2"/>
    <w:rsid w:val="00384000"/>
    <w:rsid w:val="00384446"/>
    <w:rsid w:val="00385017"/>
    <w:rsid w:val="003856BD"/>
    <w:rsid w:val="00385B07"/>
    <w:rsid w:val="00385F4D"/>
    <w:rsid w:val="00386988"/>
    <w:rsid w:val="00387895"/>
    <w:rsid w:val="0039084D"/>
    <w:rsid w:val="00392A8C"/>
    <w:rsid w:val="00393343"/>
    <w:rsid w:val="003968FE"/>
    <w:rsid w:val="00396DAC"/>
    <w:rsid w:val="003973F0"/>
    <w:rsid w:val="00397963"/>
    <w:rsid w:val="00397BAC"/>
    <w:rsid w:val="003A010D"/>
    <w:rsid w:val="003A0125"/>
    <w:rsid w:val="003A0202"/>
    <w:rsid w:val="003A0BAE"/>
    <w:rsid w:val="003A1218"/>
    <w:rsid w:val="003A1D2A"/>
    <w:rsid w:val="003A2901"/>
    <w:rsid w:val="003A29CF"/>
    <w:rsid w:val="003A313C"/>
    <w:rsid w:val="003A3565"/>
    <w:rsid w:val="003A436B"/>
    <w:rsid w:val="003A4431"/>
    <w:rsid w:val="003A4C0E"/>
    <w:rsid w:val="003A54C1"/>
    <w:rsid w:val="003A55D1"/>
    <w:rsid w:val="003A57F1"/>
    <w:rsid w:val="003A5E32"/>
    <w:rsid w:val="003A6C31"/>
    <w:rsid w:val="003A703D"/>
    <w:rsid w:val="003A73FC"/>
    <w:rsid w:val="003A75F5"/>
    <w:rsid w:val="003B05E5"/>
    <w:rsid w:val="003B06EE"/>
    <w:rsid w:val="003B08D1"/>
    <w:rsid w:val="003B0F87"/>
    <w:rsid w:val="003B17EB"/>
    <w:rsid w:val="003B1D1B"/>
    <w:rsid w:val="003B1EBF"/>
    <w:rsid w:val="003B2087"/>
    <w:rsid w:val="003B224A"/>
    <w:rsid w:val="003B22B5"/>
    <w:rsid w:val="003B23CA"/>
    <w:rsid w:val="003B240E"/>
    <w:rsid w:val="003B2676"/>
    <w:rsid w:val="003B2C05"/>
    <w:rsid w:val="003B4504"/>
    <w:rsid w:val="003B45B8"/>
    <w:rsid w:val="003B4780"/>
    <w:rsid w:val="003B5532"/>
    <w:rsid w:val="003B5593"/>
    <w:rsid w:val="003B598C"/>
    <w:rsid w:val="003B5F26"/>
    <w:rsid w:val="003B6221"/>
    <w:rsid w:val="003B658E"/>
    <w:rsid w:val="003B6837"/>
    <w:rsid w:val="003B6988"/>
    <w:rsid w:val="003B7214"/>
    <w:rsid w:val="003B72A1"/>
    <w:rsid w:val="003C082F"/>
    <w:rsid w:val="003C0DBF"/>
    <w:rsid w:val="003C0FBC"/>
    <w:rsid w:val="003C1047"/>
    <w:rsid w:val="003C10BB"/>
    <w:rsid w:val="003C1149"/>
    <w:rsid w:val="003C11BE"/>
    <w:rsid w:val="003C1214"/>
    <w:rsid w:val="003C138D"/>
    <w:rsid w:val="003C1562"/>
    <w:rsid w:val="003C1B3A"/>
    <w:rsid w:val="003C1F77"/>
    <w:rsid w:val="003C284D"/>
    <w:rsid w:val="003C333D"/>
    <w:rsid w:val="003C3846"/>
    <w:rsid w:val="003C3F99"/>
    <w:rsid w:val="003C465D"/>
    <w:rsid w:val="003C4A00"/>
    <w:rsid w:val="003C4B6D"/>
    <w:rsid w:val="003C4BF8"/>
    <w:rsid w:val="003C4EBB"/>
    <w:rsid w:val="003C59EF"/>
    <w:rsid w:val="003C689B"/>
    <w:rsid w:val="003C6E89"/>
    <w:rsid w:val="003C7322"/>
    <w:rsid w:val="003C7623"/>
    <w:rsid w:val="003C7A6A"/>
    <w:rsid w:val="003D13CA"/>
    <w:rsid w:val="003D19D2"/>
    <w:rsid w:val="003D1A98"/>
    <w:rsid w:val="003D25F5"/>
    <w:rsid w:val="003D2F1A"/>
    <w:rsid w:val="003D30C7"/>
    <w:rsid w:val="003D3150"/>
    <w:rsid w:val="003D33AF"/>
    <w:rsid w:val="003D403E"/>
    <w:rsid w:val="003D4880"/>
    <w:rsid w:val="003D5018"/>
    <w:rsid w:val="003D5051"/>
    <w:rsid w:val="003D5222"/>
    <w:rsid w:val="003D5476"/>
    <w:rsid w:val="003D6423"/>
    <w:rsid w:val="003D66B8"/>
    <w:rsid w:val="003D6D54"/>
    <w:rsid w:val="003D6D8E"/>
    <w:rsid w:val="003D737A"/>
    <w:rsid w:val="003E006C"/>
    <w:rsid w:val="003E09A8"/>
    <w:rsid w:val="003E09F4"/>
    <w:rsid w:val="003E0F20"/>
    <w:rsid w:val="003E11C7"/>
    <w:rsid w:val="003E1299"/>
    <w:rsid w:val="003E20EB"/>
    <w:rsid w:val="003E23FE"/>
    <w:rsid w:val="003E2C8B"/>
    <w:rsid w:val="003E357A"/>
    <w:rsid w:val="003E36E5"/>
    <w:rsid w:val="003E3A75"/>
    <w:rsid w:val="003E3DB1"/>
    <w:rsid w:val="003E3E89"/>
    <w:rsid w:val="003E4566"/>
    <w:rsid w:val="003E48B1"/>
    <w:rsid w:val="003E4B40"/>
    <w:rsid w:val="003E4C25"/>
    <w:rsid w:val="003E5672"/>
    <w:rsid w:val="003E58E3"/>
    <w:rsid w:val="003E5C94"/>
    <w:rsid w:val="003E5D53"/>
    <w:rsid w:val="003E5DE6"/>
    <w:rsid w:val="003E66C9"/>
    <w:rsid w:val="003E66FC"/>
    <w:rsid w:val="003E6B98"/>
    <w:rsid w:val="003E6D0B"/>
    <w:rsid w:val="003E6E1B"/>
    <w:rsid w:val="003E7174"/>
    <w:rsid w:val="003E7D2E"/>
    <w:rsid w:val="003E7EC8"/>
    <w:rsid w:val="003F09D7"/>
    <w:rsid w:val="003F0EB8"/>
    <w:rsid w:val="003F1A3B"/>
    <w:rsid w:val="003F1AC2"/>
    <w:rsid w:val="003F1C60"/>
    <w:rsid w:val="003F1E34"/>
    <w:rsid w:val="003F21E6"/>
    <w:rsid w:val="003F2734"/>
    <w:rsid w:val="003F4A99"/>
    <w:rsid w:val="003F4FA6"/>
    <w:rsid w:val="003F55F6"/>
    <w:rsid w:val="003F5710"/>
    <w:rsid w:val="003F5883"/>
    <w:rsid w:val="003F5AA8"/>
    <w:rsid w:val="003F7214"/>
    <w:rsid w:val="003F7F0F"/>
    <w:rsid w:val="00400B8D"/>
    <w:rsid w:val="00400FE4"/>
    <w:rsid w:val="00401375"/>
    <w:rsid w:val="00401645"/>
    <w:rsid w:val="0040164E"/>
    <w:rsid w:val="00401974"/>
    <w:rsid w:val="004020DB"/>
    <w:rsid w:val="00402339"/>
    <w:rsid w:val="00403A34"/>
    <w:rsid w:val="0040444F"/>
    <w:rsid w:val="00405954"/>
    <w:rsid w:val="00405C58"/>
    <w:rsid w:val="00407073"/>
    <w:rsid w:val="00407248"/>
    <w:rsid w:val="004077DB"/>
    <w:rsid w:val="00407F8B"/>
    <w:rsid w:val="0041050E"/>
    <w:rsid w:val="00410CBB"/>
    <w:rsid w:val="004119BD"/>
    <w:rsid w:val="00412776"/>
    <w:rsid w:val="004129D9"/>
    <w:rsid w:val="00412E86"/>
    <w:rsid w:val="00414063"/>
    <w:rsid w:val="004141D9"/>
    <w:rsid w:val="00414688"/>
    <w:rsid w:val="00414DC9"/>
    <w:rsid w:val="0041524E"/>
    <w:rsid w:val="00415ED0"/>
    <w:rsid w:val="00416095"/>
    <w:rsid w:val="00416138"/>
    <w:rsid w:val="0041703B"/>
    <w:rsid w:val="004176B5"/>
    <w:rsid w:val="00417971"/>
    <w:rsid w:val="00420050"/>
    <w:rsid w:val="004203B1"/>
    <w:rsid w:val="0042072A"/>
    <w:rsid w:val="0042105E"/>
    <w:rsid w:val="00421B61"/>
    <w:rsid w:val="00421C52"/>
    <w:rsid w:val="004229BB"/>
    <w:rsid w:val="0042322D"/>
    <w:rsid w:val="0042376E"/>
    <w:rsid w:val="00423C44"/>
    <w:rsid w:val="00423F45"/>
    <w:rsid w:val="0042416E"/>
    <w:rsid w:val="00425204"/>
    <w:rsid w:val="004259DF"/>
    <w:rsid w:val="00425AFC"/>
    <w:rsid w:val="00426F15"/>
    <w:rsid w:val="00426F51"/>
    <w:rsid w:val="00427506"/>
    <w:rsid w:val="00427843"/>
    <w:rsid w:val="00431634"/>
    <w:rsid w:val="004319CF"/>
    <w:rsid w:val="004319D9"/>
    <w:rsid w:val="00431C51"/>
    <w:rsid w:val="004330AC"/>
    <w:rsid w:val="004331BF"/>
    <w:rsid w:val="004334A9"/>
    <w:rsid w:val="00433520"/>
    <w:rsid w:val="0043375D"/>
    <w:rsid w:val="00434CCC"/>
    <w:rsid w:val="00434F79"/>
    <w:rsid w:val="00436245"/>
    <w:rsid w:val="00436C54"/>
    <w:rsid w:val="00436C8A"/>
    <w:rsid w:val="004375E9"/>
    <w:rsid w:val="00437641"/>
    <w:rsid w:val="00437795"/>
    <w:rsid w:val="00440DF2"/>
    <w:rsid w:val="00441443"/>
    <w:rsid w:val="004418AF"/>
    <w:rsid w:val="004419A7"/>
    <w:rsid w:val="00441A49"/>
    <w:rsid w:val="00441E95"/>
    <w:rsid w:val="00442088"/>
    <w:rsid w:val="004422BC"/>
    <w:rsid w:val="00442798"/>
    <w:rsid w:val="004433C5"/>
    <w:rsid w:val="004434B1"/>
    <w:rsid w:val="004445E1"/>
    <w:rsid w:val="0044489E"/>
    <w:rsid w:val="00444BE3"/>
    <w:rsid w:val="0044511D"/>
    <w:rsid w:val="00445230"/>
    <w:rsid w:val="004455C1"/>
    <w:rsid w:val="00445746"/>
    <w:rsid w:val="004466F7"/>
    <w:rsid w:val="00450070"/>
    <w:rsid w:val="00450CE2"/>
    <w:rsid w:val="00451624"/>
    <w:rsid w:val="00451C69"/>
    <w:rsid w:val="00451D82"/>
    <w:rsid w:val="00452333"/>
    <w:rsid w:val="004527C7"/>
    <w:rsid w:val="00453589"/>
    <w:rsid w:val="00453966"/>
    <w:rsid w:val="00453A62"/>
    <w:rsid w:val="0045431F"/>
    <w:rsid w:val="00454F0F"/>
    <w:rsid w:val="00455740"/>
    <w:rsid w:val="00455BB6"/>
    <w:rsid w:val="004568B7"/>
    <w:rsid w:val="00456AE1"/>
    <w:rsid w:val="00457A40"/>
    <w:rsid w:val="00457E86"/>
    <w:rsid w:val="00460AC4"/>
    <w:rsid w:val="004616B3"/>
    <w:rsid w:val="004621C5"/>
    <w:rsid w:val="004628D6"/>
    <w:rsid w:val="00462F23"/>
    <w:rsid w:val="004631DC"/>
    <w:rsid w:val="00463256"/>
    <w:rsid w:val="004632A3"/>
    <w:rsid w:val="004634FC"/>
    <w:rsid w:val="0046395D"/>
    <w:rsid w:val="00463B29"/>
    <w:rsid w:val="0046426C"/>
    <w:rsid w:val="004644FF"/>
    <w:rsid w:val="00464837"/>
    <w:rsid w:val="00464DE6"/>
    <w:rsid w:val="0046518C"/>
    <w:rsid w:val="004652D7"/>
    <w:rsid w:val="00465D1F"/>
    <w:rsid w:val="00467225"/>
    <w:rsid w:val="004674E5"/>
    <w:rsid w:val="00467B25"/>
    <w:rsid w:val="00470C58"/>
    <w:rsid w:val="00470E6C"/>
    <w:rsid w:val="004711BE"/>
    <w:rsid w:val="004711D2"/>
    <w:rsid w:val="0047137E"/>
    <w:rsid w:val="004715FE"/>
    <w:rsid w:val="00471C73"/>
    <w:rsid w:val="00472230"/>
    <w:rsid w:val="0047264D"/>
    <w:rsid w:val="0047291A"/>
    <w:rsid w:val="0047412C"/>
    <w:rsid w:val="0047440D"/>
    <w:rsid w:val="00474F2E"/>
    <w:rsid w:val="004750C5"/>
    <w:rsid w:val="004755BD"/>
    <w:rsid w:val="00475B5A"/>
    <w:rsid w:val="00475CD4"/>
    <w:rsid w:val="0047727D"/>
    <w:rsid w:val="004772CE"/>
    <w:rsid w:val="004779E0"/>
    <w:rsid w:val="004803ED"/>
    <w:rsid w:val="00480491"/>
    <w:rsid w:val="00480626"/>
    <w:rsid w:val="00481439"/>
    <w:rsid w:val="004815C3"/>
    <w:rsid w:val="00481B4D"/>
    <w:rsid w:val="00481CA3"/>
    <w:rsid w:val="00481EA6"/>
    <w:rsid w:val="004825F8"/>
    <w:rsid w:val="00482CB1"/>
    <w:rsid w:val="00483BD3"/>
    <w:rsid w:val="00484186"/>
    <w:rsid w:val="004842FF"/>
    <w:rsid w:val="00484C6D"/>
    <w:rsid w:val="0048554E"/>
    <w:rsid w:val="00485B70"/>
    <w:rsid w:val="004860B8"/>
    <w:rsid w:val="0048682E"/>
    <w:rsid w:val="00486E08"/>
    <w:rsid w:val="00487163"/>
    <w:rsid w:val="00487439"/>
    <w:rsid w:val="00487A81"/>
    <w:rsid w:val="00487CCD"/>
    <w:rsid w:val="00487FD0"/>
    <w:rsid w:val="00487FF7"/>
    <w:rsid w:val="00490857"/>
    <w:rsid w:val="004911A8"/>
    <w:rsid w:val="004913D3"/>
    <w:rsid w:val="00492165"/>
    <w:rsid w:val="00492518"/>
    <w:rsid w:val="004945B8"/>
    <w:rsid w:val="0049488C"/>
    <w:rsid w:val="00494FB0"/>
    <w:rsid w:val="00495036"/>
    <w:rsid w:val="004953B9"/>
    <w:rsid w:val="00495D58"/>
    <w:rsid w:val="0049643D"/>
    <w:rsid w:val="0049687A"/>
    <w:rsid w:val="0049696A"/>
    <w:rsid w:val="00496C00"/>
    <w:rsid w:val="00496DB2"/>
    <w:rsid w:val="004976E2"/>
    <w:rsid w:val="00497AAB"/>
    <w:rsid w:val="00497BE7"/>
    <w:rsid w:val="004A06E5"/>
    <w:rsid w:val="004A1456"/>
    <w:rsid w:val="004A17C7"/>
    <w:rsid w:val="004A1807"/>
    <w:rsid w:val="004A1B87"/>
    <w:rsid w:val="004A1D08"/>
    <w:rsid w:val="004A215C"/>
    <w:rsid w:val="004A3A34"/>
    <w:rsid w:val="004A4909"/>
    <w:rsid w:val="004A4AB8"/>
    <w:rsid w:val="004A4E01"/>
    <w:rsid w:val="004A502E"/>
    <w:rsid w:val="004A5BDF"/>
    <w:rsid w:val="004A6832"/>
    <w:rsid w:val="004A6F88"/>
    <w:rsid w:val="004A7104"/>
    <w:rsid w:val="004A77B2"/>
    <w:rsid w:val="004B158C"/>
    <w:rsid w:val="004B1675"/>
    <w:rsid w:val="004B197D"/>
    <w:rsid w:val="004B2C04"/>
    <w:rsid w:val="004B4246"/>
    <w:rsid w:val="004B4545"/>
    <w:rsid w:val="004B4C7A"/>
    <w:rsid w:val="004B53C3"/>
    <w:rsid w:val="004B59FF"/>
    <w:rsid w:val="004B6ED3"/>
    <w:rsid w:val="004B6F72"/>
    <w:rsid w:val="004B778A"/>
    <w:rsid w:val="004C0094"/>
    <w:rsid w:val="004C069B"/>
    <w:rsid w:val="004C0827"/>
    <w:rsid w:val="004C0B12"/>
    <w:rsid w:val="004C0C76"/>
    <w:rsid w:val="004C18FF"/>
    <w:rsid w:val="004C1906"/>
    <w:rsid w:val="004C1C6F"/>
    <w:rsid w:val="004C2250"/>
    <w:rsid w:val="004C295B"/>
    <w:rsid w:val="004C296F"/>
    <w:rsid w:val="004C2A56"/>
    <w:rsid w:val="004C35B3"/>
    <w:rsid w:val="004C35FD"/>
    <w:rsid w:val="004C41DC"/>
    <w:rsid w:val="004C4B19"/>
    <w:rsid w:val="004C5045"/>
    <w:rsid w:val="004C55D3"/>
    <w:rsid w:val="004C6110"/>
    <w:rsid w:val="004C68D4"/>
    <w:rsid w:val="004C70BB"/>
    <w:rsid w:val="004C714B"/>
    <w:rsid w:val="004C7871"/>
    <w:rsid w:val="004C7A6D"/>
    <w:rsid w:val="004C7AC4"/>
    <w:rsid w:val="004C7FB9"/>
    <w:rsid w:val="004D0A7B"/>
    <w:rsid w:val="004D0C42"/>
    <w:rsid w:val="004D0CA1"/>
    <w:rsid w:val="004D2684"/>
    <w:rsid w:val="004D3208"/>
    <w:rsid w:val="004D3391"/>
    <w:rsid w:val="004D39DA"/>
    <w:rsid w:val="004D3B13"/>
    <w:rsid w:val="004D3C93"/>
    <w:rsid w:val="004D3CC5"/>
    <w:rsid w:val="004D3D69"/>
    <w:rsid w:val="004D4ACF"/>
    <w:rsid w:val="004D4EB7"/>
    <w:rsid w:val="004D52C6"/>
    <w:rsid w:val="004D537D"/>
    <w:rsid w:val="004D5E44"/>
    <w:rsid w:val="004D614B"/>
    <w:rsid w:val="004D6918"/>
    <w:rsid w:val="004D6F4B"/>
    <w:rsid w:val="004D6FEC"/>
    <w:rsid w:val="004E0168"/>
    <w:rsid w:val="004E0412"/>
    <w:rsid w:val="004E0E00"/>
    <w:rsid w:val="004E13DB"/>
    <w:rsid w:val="004E15C3"/>
    <w:rsid w:val="004E19BC"/>
    <w:rsid w:val="004E259E"/>
    <w:rsid w:val="004E2804"/>
    <w:rsid w:val="004E36EA"/>
    <w:rsid w:val="004E380E"/>
    <w:rsid w:val="004E40F1"/>
    <w:rsid w:val="004E4872"/>
    <w:rsid w:val="004E4CA4"/>
    <w:rsid w:val="004E5CEF"/>
    <w:rsid w:val="004E6B7B"/>
    <w:rsid w:val="004E6BC8"/>
    <w:rsid w:val="004E6C68"/>
    <w:rsid w:val="004E7BA4"/>
    <w:rsid w:val="004F077F"/>
    <w:rsid w:val="004F0AE1"/>
    <w:rsid w:val="004F1264"/>
    <w:rsid w:val="004F12D6"/>
    <w:rsid w:val="004F1458"/>
    <w:rsid w:val="004F1A59"/>
    <w:rsid w:val="004F1C28"/>
    <w:rsid w:val="004F1E04"/>
    <w:rsid w:val="004F23A8"/>
    <w:rsid w:val="004F2813"/>
    <w:rsid w:val="004F28CA"/>
    <w:rsid w:val="004F298F"/>
    <w:rsid w:val="004F2C82"/>
    <w:rsid w:val="004F2C9B"/>
    <w:rsid w:val="004F2CE2"/>
    <w:rsid w:val="004F2D14"/>
    <w:rsid w:val="004F3095"/>
    <w:rsid w:val="004F3CFE"/>
    <w:rsid w:val="004F3E0C"/>
    <w:rsid w:val="004F3E75"/>
    <w:rsid w:val="004F4033"/>
    <w:rsid w:val="004F45D4"/>
    <w:rsid w:val="004F4719"/>
    <w:rsid w:val="004F4AFD"/>
    <w:rsid w:val="004F4E13"/>
    <w:rsid w:val="004F58AB"/>
    <w:rsid w:val="004F5C8B"/>
    <w:rsid w:val="004F5EE0"/>
    <w:rsid w:val="004F5FE0"/>
    <w:rsid w:val="004F6AD7"/>
    <w:rsid w:val="004F7E66"/>
    <w:rsid w:val="00500124"/>
    <w:rsid w:val="00500609"/>
    <w:rsid w:val="00500DCF"/>
    <w:rsid w:val="0050126B"/>
    <w:rsid w:val="00501947"/>
    <w:rsid w:val="00501CC4"/>
    <w:rsid w:val="00501E9C"/>
    <w:rsid w:val="005031F7"/>
    <w:rsid w:val="00503880"/>
    <w:rsid w:val="005039D8"/>
    <w:rsid w:val="005042C1"/>
    <w:rsid w:val="00504338"/>
    <w:rsid w:val="005048C6"/>
    <w:rsid w:val="00504CA0"/>
    <w:rsid w:val="0050515F"/>
    <w:rsid w:val="00505733"/>
    <w:rsid w:val="005067E2"/>
    <w:rsid w:val="00507147"/>
    <w:rsid w:val="00507E78"/>
    <w:rsid w:val="005110C4"/>
    <w:rsid w:val="005111BC"/>
    <w:rsid w:val="005120E6"/>
    <w:rsid w:val="00512858"/>
    <w:rsid w:val="00512FFE"/>
    <w:rsid w:val="00513409"/>
    <w:rsid w:val="00513C6B"/>
    <w:rsid w:val="00514106"/>
    <w:rsid w:val="0051432F"/>
    <w:rsid w:val="0051435F"/>
    <w:rsid w:val="00514690"/>
    <w:rsid w:val="0051497A"/>
    <w:rsid w:val="0051517C"/>
    <w:rsid w:val="00515CEB"/>
    <w:rsid w:val="0051612C"/>
    <w:rsid w:val="00516888"/>
    <w:rsid w:val="00516977"/>
    <w:rsid w:val="005173D9"/>
    <w:rsid w:val="00517A2C"/>
    <w:rsid w:val="00517D8A"/>
    <w:rsid w:val="005204BB"/>
    <w:rsid w:val="00520A43"/>
    <w:rsid w:val="00520B40"/>
    <w:rsid w:val="00520CB2"/>
    <w:rsid w:val="005214DF"/>
    <w:rsid w:val="005218B5"/>
    <w:rsid w:val="00521937"/>
    <w:rsid w:val="00521E79"/>
    <w:rsid w:val="005229C2"/>
    <w:rsid w:val="00522C3E"/>
    <w:rsid w:val="0052300A"/>
    <w:rsid w:val="005240F7"/>
    <w:rsid w:val="005241F5"/>
    <w:rsid w:val="0052462A"/>
    <w:rsid w:val="005248ED"/>
    <w:rsid w:val="00524A9B"/>
    <w:rsid w:val="00524AAD"/>
    <w:rsid w:val="005253E2"/>
    <w:rsid w:val="00525BC0"/>
    <w:rsid w:val="00526841"/>
    <w:rsid w:val="0052691D"/>
    <w:rsid w:val="005270F6"/>
    <w:rsid w:val="005271CC"/>
    <w:rsid w:val="00527201"/>
    <w:rsid w:val="00527A8E"/>
    <w:rsid w:val="00527E7F"/>
    <w:rsid w:val="00527FDB"/>
    <w:rsid w:val="00530729"/>
    <w:rsid w:val="00530A37"/>
    <w:rsid w:val="00530B54"/>
    <w:rsid w:val="00530BD8"/>
    <w:rsid w:val="00532528"/>
    <w:rsid w:val="00532550"/>
    <w:rsid w:val="0053267F"/>
    <w:rsid w:val="005329CD"/>
    <w:rsid w:val="005341B6"/>
    <w:rsid w:val="0053456B"/>
    <w:rsid w:val="00534694"/>
    <w:rsid w:val="00534832"/>
    <w:rsid w:val="00534AF9"/>
    <w:rsid w:val="00534ED3"/>
    <w:rsid w:val="0053505E"/>
    <w:rsid w:val="0053507E"/>
    <w:rsid w:val="00535899"/>
    <w:rsid w:val="00535D2E"/>
    <w:rsid w:val="005371BE"/>
    <w:rsid w:val="00537518"/>
    <w:rsid w:val="005377A9"/>
    <w:rsid w:val="00537ECD"/>
    <w:rsid w:val="00540083"/>
    <w:rsid w:val="0054019C"/>
    <w:rsid w:val="00541A86"/>
    <w:rsid w:val="00542FCF"/>
    <w:rsid w:val="00543DA5"/>
    <w:rsid w:val="00543F6B"/>
    <w:rsid w:val="0054445F"/>
    <w:rsid w:val="00544791"/>
    <w:rsid w:val="0054491B"/>
    <w:rsid w:val="00544BB0"/>
    <w:rsid w:val="00544CE8"/>
    <w:rsid w:val="005457AE"/>
    <w:rsid w:val="00546C02"/>
    <w:rsid w:val="00547CBC"/>
    <w:rsid w:val="0055007B"/>
    <w:rsid w:val="005501AA"/>
    <w:rsid w:val="00550E1E"/>
    <w:rsid w:val="005510EB"/>
    <w:rsid w:val="00551316"/>
    <w:rsid w:val="00551581"/>
    <w:rsid w:val="005515BA"/>
    <w:rsid w:val="0055207C"/>
    <w:rsid w:val="005528AE"/>
    <w:rsid w:val="00552D7D"/>
    <w:rsid w:val="0055418B"/>
    <w:rsid w:val="00554F6D"/>
    <w:rsid w:val="00554F7D"/>
    <w:rsid w:val="0055626B"/>
    <w:rsid w:val="00556BFE"/>
    <w:rsid w:val="00556FCF"/>
    <w:rsid w:val="00557C3F"/>
    <w:rsid w:val="00557DFA"/>
    <w:rsid w:val="00557E8A"/>
    <w:rsid w:val="005617EE"/>
    <w:rsid w:val="005626CD"/>
    <w:rsid w:val="00562A5C"/>
    <w:rsid w:val="00562CB2"/>
    <w:rsid w:val="00562D53"/>
    <w:rsid w:val="005640EC"/>
    <w:rsid w:val="005641B0"/>
    <w:rsid w:val="00565598"/>
    <w:rsid w:val="00565A73"/>
    <w:rsid w:val="0056608F"/>
    <w:rsid w:val="00566148"/>
    <w:rsid w:val="005665CA"/>
    <w:rsid w:val="00566BCD"/>
    <w:rsid w:val="00567303"/>
    <w:rsid w:val="005675AF"/>
    <w:rsid w:val="00567604"/>
    <w:rsid w:val="005676ED"/>
    <w:rsid w:val="00567820"/>
    <w:rsid w:val="00567931"/>
    <w:rsid w:val="00570441"/>
    <w:rsid w:val="005704D2"/>
    <w:rsid w:val="00570C53"/>
    <w:rsid w:val="0057116E"/>
    <w:rsid w:val="00571929"/>
    <w:rsid w:val="00571FC5"/>
    <w:rsid w:val="0057229C"/>
    <w:rsid w:val="005727F5"/>
    <w:rsid w:val="005744FA"/>
    <w:rsid w:val="005754C5"/>
    <w:rsid w:val="00575C84"/>
    <w:rsid w:val="0057611B"/>
    <w:rsid w:val="005768F7"/>
    <w:rsid w:val="00576A60"/>
    <w:rsid w:val="00576B27"/>
    <w:rsid w:val="00576D5C"/>
    <w:rsid w:val="00576E34"/>
    <w:rsid w:val="00577039"/>
    <w:rsid w:val="00577249"/>
    <w:rsid w:val="00577558"/>
    <w:rsid w:val="00577BAE"/>
    <w:rsid w:val="00581F4B"/>
    <w:rsid w:val="00582842"/>
    <w:rsid w:val="005828D6"/>
    <w:rsid w:val="00582CCC"/>
    <w:rsid w:val="00583282"/>
    <w:rsid w:val="005838E3"/>
    <w:rsid w:val="0058548E"/>
    <w:rsid w:val="00585B80"/>
    <w:rsid w:val="00585EF3"/>
    <w:rsid w:val="00586A73"/>
    <w:rsid w:val="00586AF7"/>
    <w:rsid w:val="00586DCC"/>
    <w:rsid w:val="00586DE8"/>
    <w:rsid w:val="00587052"/>
    <w:rsid w:val="00587126"/>
    <w:rsid w:val="00587743"/>
    <w:rsid w:val="00587969"/>
    <w:rsid w:val="00587B98"/>
    <w:rsid w:val="00590731"/>
    <w:rsid w:val="0059160F"/>
    <w:rsid w:val="005918AD"/>
    <w:rsid w:val="00591FC7"/>
    <w:rsid w:val="00592846"/>
    <w:rsid w:val="005929D6"/>
    <w:rsid w:val="00592D57"/>
    <w:rsid w:val="005932AF"/>
    <w:rsid w:val="005945D4"/>
    <w:rsid w:val="0059474D"/>
    <w:rsid w:val="00594839"/>
    <w:rsid w:val="00594EEF"/>
    <w:rsid w:val="005952D6"/>
    <w:rsid w:val="00596983"/>
    <w:rsid w:val="00597092"/>
    <w:rsid w:val="00597DF2"/>
    <w:rsid w:val="00597E82"/>
    <w:rsid w:val="005A0B34"/>
    <w:rsid w:val="005A1202"/>
    <w:rsid w:val="005A168B"/>
    <w:rsid w:val="005A178F"/>
    <w:rsid w:val="005A1AF4"/>
    <w:rsid w:val="005A1D8A"/>
    <w:rsid w:val="005A31C9"/>
    <w:rsid w:val="005A3BDA"/>
    <w:rsid w:val="005A3C13"/>
    <w:rsid w:val="005A3D75"/>
    <w:rsid w:val="005A5EA2"/>
    <w:rsid w:val="005A6271"/>
    <w:rsid w:val="005A69E5"/>
    <w:rsid w:val="005A7440"/>
    <w:rsid w:val="005A7B6E"/>
    <w:rsid w:val="005B083A"/>
    <w:rsid w:val="005B12FC"/>
    <w:rsid w:val="005B1949"/>
    <w:rsid w:val="005B1F08"/>
    <w:rsid w:val="005B2002"/>
    <w:rsid w:val="005B2F7F"/>
    <w:rsid w:val="005B3B8F"/>
    <w:rsid w:val="005B4115"/>
    <w:rsid w:val="005B4125"/>
    <w:rsid w:val="005B41DA"/>
    <w:rsid w:val="005B5983"/>
    <w:rsid w:val="005B6B4B"/>
    <w:rsid w:val="005B7DD8"/>
    <w:rsid w:val="005C0127"/>
    <w:rsid w:val="005C03B2"/>
    <w:rsid w:val="005C1078"/>
    <w:rsid w:val="005C13C6"/>
    <w:rsid w:val="005C1CEC"/>
    <w:rsid w:val="005C2FB3"/>
    <w:rsid w:val="005C3466"/>
    <w:rsid w:val="005C3B1E"/>
    <w:rsid w:val="005C4C65"/>
    <w:rsid w:val="005C4DF9"/>
    <w:rsid w:val="005C50B1"/>
    <w:rsid w:val="005C5667"/>
    <w:rsid w:val="005C5734"/>
    <w:rsid w:val="005C6094"/>
    <w:rsid w:val="005C60F1"/>
    <w:rsid w:val="005C6238"/>
    <w:rsid w:val="005C6D8A"/>
    <w:rsid w:val="005C6E83"/>
    <w:rsid w:val="005C701C"/>
    <w:rsid w:val="005D014A"/>
    <w:rsid w:val="005D070A"/>
    <w:rsid w:val="005D0F08"/>
    <w:rsid w:val="005D1926"/>
    <w:rsid w:val="005D198B"/>
    <w:rsid w:val="005D2112"/>
    <w:rsid w:val="005D2628"/>
    <w:rsid w:val="005D2927"/>
    <w:rsid w:val="005D2ADA"/>
    <w:rsid w:val="005D2D67"/>
    <w:rsid w:val="005D3A40"/>
    <w:rsid w:val="005D3C07"/>
    <w:rsid w:val="005D401C"/>
    <w:rsid w:val="005D4BBF"/>
    <w:rsid w:val="005D4F32"/>
    <w:rsid w:val="005D50A1"/>
    <w:rsid w:val="005D5F21"/>
    <w:rsid w:val="005D68DD"/>
    <w:rsid w:val="005D76DF"/>
    <w:rsid w:val="005D7963"/>
    <w:rsid w:val="005D7C3A"/>
    <w:rsid w:val="005D7EAE"/>
    <w:rsid w:val="005E0040"/>
    <w:rsid w:val="005E019B"/>
    <w:rsid w:val="005E0235"/>
    <w:rsid w:val="005E03F7"/>
    <w:rsid w:val="005E0612"/>
    <w:rsid w:val="005E0846"/>
    <w:rsid w:val="005E1089"/>
    <w:rsid w:val="005E10FA"/>
    <w:rsid w:val="005E161B"/>
    <w:rsid w:val="005E1B7E"/>
    <w:rsid w:val="005E20B0"/>
    <w:rsid w:val="005E21EB"/>
    <w:rsid w:val="005E28C4"/>
    <w:rsid w:val="005E40CF"/>
    <w:rsid w:val="005E572A"/>
    <w:rsid w:val="005E5D3D"/>
    <w:rsid w:val="005E5F0B"/>
    <w:rsid w:val="005E5F8B"/>
    <w:rsid w:val="005E6268"/>
    <w:rsid w:val="005E6AC1"/>
    <w:rsid w:val="005E6FB3"/>
    <w:rsid w:val="005E77D6"/>
    <w:rsid w:val="005E7E05"/>
    <w:rsid w:val="005F0949"/>
    <w:rsid w:val="005F233D"/>
    <w:rsid w:val="005F2BBC"/>
    <w:rsid w:val="005F3109"/>
    <w:rsid w:val="005F42F9"/>
    <w:rsid w:val="005F4767"/>
    <w:rsid w:val="005F4985"/>
    <w:rsid w:val="005F4E51"/>
    <w:rsid w:val="005F5296"/>
    <w:rsid w:val="005F5D8D"/>
    <w:rsid w:val="005F5FA0"/>
    <w:rsid w:val="005F6A46"/>
    <w:rsid w:val="005F75D0"/>
    <w:rsid w:val="005F7C56"/>
    <w:rsid w:val="005F7DB4"/>
    <w:rsid w:val="005F7E1D"/>
    <w:rsid w:val="0060007B"/>
    <w:rsid w:val="006001B1"/>
    <w:rsid w:val="0060115F"/>
    <w:rsid w:val="006017D4"/>
    <w:rsid w:val="00601A20"/>
    <w:rsid w:val="00601BE9"/>
    <w:rsid w:val="00601EDF"/>
    <w:rsid w:val="00602483"/>
    <w:rsid w:val="00603C62"/>
    <w:rsid w:val="00603DC2"/>
    <w:rsid w:val="00604066"/>
    <w:rsid w:val="0060588E"/>
    <w:rsid w:val="00605D46"/>
    <w:rsid w:val="00605D72"/>
    <w:rsid w:val="006062DC"/>
    <w:rsid w:val="00606369"/>
    <w:rsid w:val="00606553"/>
    <w:rsid w:val="00606B93"/>
    <w:rsid w:val="00607007"/>
    <w:rsid w:val="006072AB"/>
    <w:rsid w:val="00607BAE"/>
    <w:rsid w:val="006109D5"/>
    <w:rsid w:val="00611572"/>
    <w:rsid w:val="00611690"/>
    <w:rsid w:val="006117C3"/>
    <w:rsid w:val="00612E5E"/>
    <w:rsid w:val="00612FBA"/>
    <w:rsid w:val="00613068"/>
    <w:rsid w:val="006130B2"/>
    <w:rsid w:val="0061467F"/>
    <w:rsid w:val="00614CCA"/>
    <w:rsid w:val="00615454"/>
    <w:rsid w:val="0061586E"/>
    <w:rsid w:val="00615A57"/>
    <w:rsid w:val="00615E87"/>
    <w:rsid w:val="00616148"/>
    <w:rsid w:val="00616284"/>
    <w:rsid w:val="00616539"/>
    <w:rsid w:val="0061701E"/>
    <w:rsid w:val="0061729D"/>
    <w:rsid w:val="00617510"/>
    <w:rsid w:val="0061781D"/>
    <w:rsid w:val="00617D46"/>
    <w:rsid w:val="006204BF"/>
    <w:rsid w:val="006204E2"/>
    <w:rsid w:val="00620A32"/>
    <w:rsid w:val="006214E0"/>
    <w:rsid w:val="00621692"/>
    <w:rsid w:val="00621F61"/>
    <w:rsid w:val="00622846"/>
    <w:rsid w:val="00622C5F"/>
    <w:rsid w:val="00623347"/>
    <w:rsid w:val="00624489"/>
    <w:rsid w:val="00625AC0"/>
    <w:rsid w:val="00625AC2"/>
    <w:rsid w:val="00625F1D"/>
    <w:rsid w:val="00626DF4"/>
    <w:rsid w:val="00627085"/>
    <w:rsid w:val="00627609"/>
    <w:rsid w:val="00627B24"/>
    <w:rsid w:val="0063066B"/>
    <w:rsid w:val="00630D77"/>
    <w:rsid w:val="00631206"/>
    <w:rsid w:val="00631513"/>
    <w:rsid w:val="00631754"/>
    <w:rsid w:val="00631937"/>
    <w:rsid w:val="00631F69"/>
    <w:rsid w:val="00632306"/>
    <w:rsid w:val="006328D3"/>
    <w:rsid w:val="0063292B"/>
    <w:rsid w:val="00632FE4"/>
    <w:rsid w:val="00633C04"/>
    <w:rsid w:val="006341DB"/>
    <w:rsid w:val="006348F1"/>
    <w:rsid w:val="006349AC"/>
    <w:rsid w:val="00634A13"/>
    <w:rsid w:val="006350BA"/>
    <w:rsid w:val="0063588F"/>
    <w:rsid w:val="006359E7"/>
    <w:rsid w:val="00635DF4"/>
    <w:rsid w:val="006369CE"/>
    <w:rsid w:val="00636C93"/>
    <w:rsid w:val="00636F77"/>
    <w:rsid w:val="006370CA"/>
    <w:rsid w:val="006376FE"/>
    <w:rsid w:val="00640D53"/>
    <w:rsid w:val="0064137A"/>
    <w:rsid w:val="0064182E"/>
    <w:rsid w:val="006418BB"/>
    <w:rsid w:val="00641E13"/>
    <w:rsid w:val="006422C3"/>
    <w:rsid w:val="00642382"/>
    <w:rsid w:val="006426B3"/>
    <w:rsid w:val="00642C5C"/>
    <w:rsid w:val="0064313D"/>
    <w:rsid w:val="006438D3"/>
    <w:rsid w:val="00643AE9"/>
    <w:rsid w:val="0064416C"/>
    <w:rsid w:val="006442CA"/>
    <w:rsid w:val="00644384"/>
    <w:rsid w:val="00644385"/>
    <w:rsid w:val="0064540A"/>
    <w:rsid w:val="00645CEE"/>
    <w:rsid w:val="006462B9"/>
    <w:rsid w:val="00646C4A"/>
    <w:rsid w:val="00646F4A"/>
    <w:rsid w:val="00647281"/>
    <w:rsid w:val="006506CC"/>
    <w:rsid w:val="00650B39"/>
    <w:rsid w:val="006519D5"/>
    <w:rsid w:val="00651B7A"/>
    <w:rsid w:val="00652D8F"/>
    <w:rsid w:val="00652EB7"/>
    <w:rsid w:val="00652F5E"/>
    <w:rsid w:val="00653A73"/>
    <w:rsid w:val="00653B4A"/>
    <w:rsid w:val="00653CD2"/>
    <w:rsid w:val="00653FBA"/>
    <w:rsid w:val="006541FE"/>
    <w:rsid w:val="006549EA"/>
    <w:rsid w:val="00655EAB"/>
    <w:rsid w:val="00656771"/>
    <w:rsid w:val="00656783"/>
    <w:rsid w:val="006571E4"/>
    <w:rsid w:val="006572E4"/>
    <w:rsid w:val="0065739C"/>
    <w:rsid w:val="00657687"/>
    <w:rsid w:val="00657F53"/>
    <w:rsid w:val="006603DB"/>
    <w:rsid w:val="00660883"/>
    <w:rsid w:val="00660E52"/>
    <w:rsid w:val="0066105D"/>
    <w:rsid w:val="006610AD"/>
    <w:rsid w:val="006611A3"/>
    <w:rsid w:val="0066129F"/>
    <w:rsid w:val="00662BC4"/>
    <w:rsid w:val="00663FAD"/>
    <w:rsid w:val="006642FF"/>
    <w:rsid w:val="00664AED"/>
    <w:rsid w:val="00665671"/>
    <w:rsid w:val="006667AF"/>
    <w:rsid w:val="00667625"/>
    <w:rsid w:val="00667A34"/>
    <w:rsid w:val="00667D6E"/>
    <w:rsid w:val="00670F54"/>
    <w:rsid w:val="00671983"/>
    <w:rsid w:val="006722E2"/>
    <w:rsid w:val="00672585"/>
    <w:rsid w:val="00672F35"/>
    <w:rsid w:val="00673F48"/>
    <w:rsid w:val="00674469"/>
    <w:rsid w:val="0067474E"/>
    <w:rsid w:val="006747C1"/>
    <w:rsid w:val="006747D6"/>
    <w:rsid w:val="0067497E"/>
    <w:rsid w:val="00674CFD"/>
    <w:rsid w:val="00675C1D"/>
    <w:rsid w:val="006761CF"/>
    <w:rsid w:val="006763A4"/>
    <w:rsid w:val="006763F7"/>
    <w:rsid w:val="00676C87"/>
    <w:rsid w:val="006772D0"/>
    <w:rsid w:val="00677AFD"/>
    <w:rsid w:val="00677CFD"/>
    <w:rsid w:val="006806C0"/>
    <w:rsid w:val="0068193C"/>
    <w:rsid w:val="00681AA4"/>
    <w:rsid w:val="00682355"/>
    <w:rsid w:val="006829AC"/>
    <w:rsid w:val="00682DDB"/>
    <w:rsid w:val="0068378D"/>
    <w:rsid w:val="00683C3E"/>
    <w:rsid w:val="00683D12"/>
    <w:rsid w:val="00684E16"/>
    <w:rsid w:val="00684EFA"/>
    <w:rsid w:val="006852C0"/>
    <w:rsid w:val="006852D8"/>
    <w:rsid w:val="00685E75"/>
    <w:rsid w:val="00685FDD"/>
    <w:rsid w:val="006863EE"/>
    <w:rsid w:val="006872E5"/>
    <w:rsid w:val="006873B1"/>
    <w:rsid w:val="00687501"/>
    <w:rsid w:val="006877D6"/>
    <w:rsid w:val="006878C9"/>
    <w:rsid w:val="006901C6"/>
    <w:rsid w:val="00690A62"/>
    <w:rsid w:val="00690DB9"/>
    <w:rsid w:val="0069159B"/>
    <w:rsid w:val="0069199E"/>
    <w:rsid w:val="00691A39"/>
    <w:rsid w:val="00691B75"/>
    <w:rsid w:val="00692279"/>
    <w:rsid w:val="00692B2F"/>
    <w:rsid w:val="00692CF9"/>
    <w:rsid w:val="00692FE2"/>
    <w:rsid w:val="006930F5"/>
    <w:rsid w:val="0069323F"/>
    <w:rsid w:val="006935B3"/>
    <w:rsid w:val="00693C27"/>
    <w:rsid w:val="00694495"/>
    <w:rsid w:val="006945A0"/>
    <w:rsid w:val="006945F7"/>
    <w:rsid w:val="006946A7"/>
    <w:rsid w:val="006946D9"/>
    <w:rsid w:val="00694D5E"/>
    <w:rsid w:val="00694DDE"/>
    <w:rsid w:val="0069521A"/>
    <w:rsid w:val="006959D0"/>
    <w:rsid w:val="00695DF2"/>
    <w:rsid w:val="00695E0C"/>
    <w:rsid w:val="006968C9"/>
    <w:rsid w:val="00696B76"/>
    <w:rsid w:val="00696C07"/>
    <w:rsid w:val="006A056B"/>
    <w:rsid w:val="006A07BD"/>
    <w:rsid w:val="006A0B7A"/>
    <w:rsid w:val="006A17FE"/>
    <w:rsid w:val="006A237D"/>
    <w:rsid w:val="006A238B"/>
    <w:rsid w:val="006A2849"/>
    <w:rsid w:val="006A2A26"/>
    <w:rsid w:val="006A2C62"/>
    <w:rsid w:val="006A2EE5"/>
    <w:rsid w:val="006A35C5"/>
    <w:rsid w:val="006A3972"/>
    <w:rsid w:val="006A4250"/>
    <w:rsid w:val="006A5E84"/>
    <w:rsid w:val="006A6102"/>
    <w:rsid w:val="006A64A1"/>
    <w:rsid w:val="006A6690"/>
    <w:rsid w:val="006A6802"/>
    <w:rsid w:val="006A768F"/>
    <w:rsid w:val="006A779D"/>
    <w:rsid w:val="006A7F8C"/>
    <w:rsid w:val="006B0388"/>
    <w:rsid w:val="006B0752"/>
    <w:rsid w:val="006B0F4F"/>
    <w:rsid w:val="006B19A7"/>
    <w:rsid w:val="006B2017"/>
    <w:rsid w:val="006B25A0"/>
    <w:rsid w:val="006B26B6"/>
    <w:rsid w:val="006B2789"/>
    <w:rsid w:val="006B2BD9"/>
    <w:rsid w:val="006B30FD"/>
    <w:rsid w:val="006B33A4"/>
    <w:rsid w:val="006B348A"/>
    <w:rsid w:val="006B3787"/>
    <w:rsid w:val="006B397F"/>
    <w:rsid w:val="006B3EF8"/>
    <w:rsid w:val="006B3F29"/>
    <w:rsid w:val="006B3FCD"/>
    <w:rsid w:val="006B525D"/>
    <w:rsid w:val="006B5EEA"/>
    <w:rsid w:val="006B5EF7"/>
    <w:rsid w:val="006B5F9E"/>
    <w:rsid w:val="006B6ABB"/>
    <w:rsid w:val="006C027A"/>
    <w:rsid w:val="006C0F0B"/>
    <w:rsid w:val="006C1505"/>
    <w:rsid w:val="006C1A47"/>
    <w:rsid w:val="006C1ACE"/>
    <w:rsid w:val="006C1AFF"/>
    <w:rsid w:val="006C1E2F"/>
    <w:rsid w:val="006C1E65"/>
    <w:rsid w:val="006C2613"/>
    <w:rsid w:val="006C2E6E"/>
    <w:rsid w:val="006C3582"/>
    <w:rsid w:val="006C458F"/>
    <w:rsid w:val="006C47BE"/>
    <w:rsid w:val="006C5765"/>
    <w:rsid w:val="006C6098"/>
    <w:rsid w:val="006C6432"/>
    <w:rsid w:val="006C6722"/>
    <w:rsid w:val="006C6C36"/>
    <w:rsid w:val="006C71C8"/>
    <w:rsid w:val="006C736D"/>
    <w:rsid w:val="006C7864"/>
    <w:rsid w:val="006C7CDA"/>
    <w:rsid w:val="006D0457"/>
    <w:rsid w:val="006D0559"/>
    <w:rsid w:val="006D1A2D"/>
    <w:rsid w:val="006D1C47"/>
    <w:rsid w:val="006D2609"/>
    <w:rsid w:val="006D2B35"/>
    <w:rsid w:val="006D2E3F"/>
    <w:rsid w:val="006D36C2"/>
    <w:rsid w:val="006D3839"/>
    <w:rsid w:val="006D387B"/>
    <w:rsid w:val="006D3B65"/>
    <w:rsid w:val="006D3C6D"/>
    <w:rsid w:val="006D3DC2"/>
    <w:rsid w:val="006D43D4"/>
    <w:rsid w:val="006D447E"/>
    <w:rsid w:val="006D580C"/>
    <w:rsid w:val="006D61AF"/>
    <w:rsid w:val="006D62AF"/>
    <w:rsid w:val="006D693A"/>
    <w:rsid w:val="006D6F8F"/>
    <w:rsid w:val="006D6F9D"/>
    <w:rsid w:val="006D7211"/>
    <w:rsid w:val="006D741B"/>
    <w:rsid w:val="006D743D"/>
    <w:rsid w:val="006E0C7E"/>
    <w:rsid w:val="006E115F"/>
    <w:rsid w:val="006E1754"/>
    <w:rsid w:val="006E179A"/>
    <w:rsid w:val="006E1AB4"/>
    <w:rsid w:val="006E2842"/>
    <w:rsid w:val="006E377E"/>
    <w:rsid w:val="006E3D19"/>
    <w:rsid w:val="006E3E5E"/>
    <w:rsid w:val="006E442B"/>
    <w:rsid w:val="006E4592"/>
    <w:rsid w:val="006E4994"/>
    <w:rsid w:val="006E4E28"/>
    <w:rsid w:val="006E5568"/>
    <w:rsid w:val="006E5944"/>
    <w:rsid w:val="006E5F17"/>
    <w:rsid w:val="006E6D0F"/>
    <w:rsid w:val="006E6E73"/>
    <w:rsid w:val="006E7016"/>
    <w:rsid w:val="006E7121"/>
    <w:rsid w:val="006E735B"/>
    <w:rsid w:val="006E7975"/>
    <w:rsid w:val="006E7ACA"/>
    <w:rsid w:val="006F00B3"/>
    <w:rsid w:val="006F05E2"/>
    <w:rsid w:val="006F092A"/>
    <w:rsid w:val="006F0DC3"/>
    <w:rsid w:val="006F1013"/>
    <w:rsid w:val="006F139B"/>
    <w:rsid w:val="006F17FD"/>
    <w:rsid w:val="006F1D15"/>
    <w:rsid w:val="006F1F42"/>
    <w:rsid w:val="006F2002"/>
    <w:rsid w:val="006F2531"/>
    <w:rsid w:val="006F2729"/>
    <w:rsid w:val="006F2906"/>
    <w:rsid w:val="006F2DE7"/>
    <w:rsid w:val="006F2E44"/>
    <w:rsid w:val="006F3429"/>
    <w:rsid w:val="006F3526"/>
    <w:rsid w:val="006F380E"/>
    <w:rsid w:val="006F4574"/>
    <w:rsid w:val="006F48A5"/>
    <w:rsid w:val="006F4B07"/>
    <w:rsid w:val="006F4E54"/>
    <w:rsid w:val="006F4F0D"/>
    <w:rsid w:val="006F5E99"/>
    <w:rsid w:val="006F6632"/>
    <w:rsid w:val="006F66E0"/>
    <w:rsid w:val="006F6750"/>
    <w:rsid w:val="006F69EA"/>
    <w:rsid w:val="006F6ACE"/>
    <w:rsid w:val="006F6D08"/>
    <w:rsid w:val="006F74F4"/>
    <w:rsid w:val="006F7FBB"/>
    <w:rsid w:val="0070043B"/>
    <w:rsid w:val="0070099B"/>
    <w:rsid w:val="00700B87"/>
    <w:rsid w:val="00700C67"/>
    <w:rsid w:val="007034EA"/>
    <w:rsid w:val="0070449A"/>
    <w:rsid w:val="007044A6"/>
    <w:rsid w:val="00704729"/>
    <w:rsid w:val="007047FE"/>
    <w:rsid w:val="00705045"/>
    <w:rsid w:val="00705841"/>
    <w:rsid w:val="00706D24"/>
    <w:rsid w:val="00706D9D"/>
    <w:rsid w:val="00707584"/>
    <w:rsid w:val="00707658"/>
    <w:rsid w:val="007076CB"/>
    <w:rsid w:val="00710174"/>
    <w:rsid w:val="007101AF"/>
    <w:rsid w:val="007101EC"/>
    <w:rsid w:val="007108C3"/>
    <w:rsid w:val="00710B00"/>
    <w:rsid w:val="00710E89"/>
    <w:rsid w:val="007116A1"/>
    <w:rsid w:val="007117F6"/>
    <w:rsid w:val="0071180F"/>
    <w:rsid w:val="007126B2"/>
    <w:rsid w:val="00712F3C"/>
    <w:rsid w:val="00713169"/>
    <w:rsid w:val="007139C6"/>
    <w:rsid w:val="0071402E"/>
    <w:rsid w:val="00714C4F"/>
    <w:rsid w:val="00715507"/>
    <w:rsid w:val="007156C6"/>
    <w:rsid w:val="00715818"/>
    <w:rsid w:val="00715F5A"/>
    <w:rsid w:val="00715F65"/>
    <w:rsid w:val="007166A2"/>
    <w:rsid w:val="00716B77"/>
    <w:rsid w:val="0071753F"/>
    <w:rsid w:val="007202AC"/>
    <w:rsid w:val="0072071F"/>
    <w:rsid w:val="007207A9"/>
    <w:rsid w:val="007208A9"/>
    <w:rsid w:val="00720A55"/>
    <w:rsid w:val="00720C23"/>
    <w:rsid w:val="00721203"/>
    <w:rsid w:val="007216ED"/>
    <w:rsid w:val="00723010"/>
    <w:rsid w:val="00723080"/>
    <w:rsid w:val="00723872"/>
    <w:rsid w:val="00723BC6"/>
    <w:rsid w:val="00724506"/>
    <w:rsid w:val="0072456C"/>
    <w:rsid w:val="00724CAA"/>
    <w:rsid w:val="00724D49"/>
    <w:rsid w:val="00725BBB"/>
    <w:rsid w:val="00726078"/>
    <w:rsid w:val="0072647A"/>
    <w:rsid w:val="007268D5"/>
    <w:rsid w:val="00726AAA"/>
    <w:rsid w:val="00726E38"/>
    <w:rsid w:val="00727E7D"/>
    <w:rsid w:val="00730313"/>
    <w:rsid w:val="00730611"/>
    <w:rsid w:val="00730619"/>
    <w:rsid w:val="007307C5"/>
    <w:rsid w:val="00731972"/>
    <w:rsid w:val="007319D7"/>
    <w:rsid w:val="00731C3D"/>
    <w:rsid w:val="0073269F"/>
    <w:rsid w:val="00732B34"/>
    <w:rsid w:val="007332A9"/>
    <w:rsid w:val="00733AE3"/>
    <w:rsid w:val="00733F7A"/>
    <w:rsid w:val="00734075"/>
    <w:rsid w:val="0073474B"/>
    <w:rsid w:val="007349B6"/>
    <w:rsid w:val="00734D0E"/>
    <w:rsid w:val="007352F9"/>
    <w:rsid w:val="007356F8"/>
    <w:rsid w:val="00735870"/>
    <w:rsid w:val="007358D2"/>
    <w:rsid w:val="00736D90"/>
    <w:rsid w:val="00737169"/>
    <w:rsid w:val="00737D1F"/>
    <w:rsid w:val="00740B81"/>
    <w:rsid w:val="007417DD"/>
    <w:rsid w:val="00741943"/>
    <w:rsid w:val="00742184"/>
    <w:rsid w:val="007421C0"/>
    <w:rsid w:val="00742338"/>
    <w:rsid w:val="0074259C"/>
    <w:rsid w:val="00742FF1"/>
    <w:rsid w:val="00743177"/>
    <w:rsid w:val="00743754"/>
    <w:rsid w:val="00743801"/>
    <w:rsid w:val="007449A5"/>
    <w:rsid w:val="00744E35"/>
    <w:rsid w:val="00745989"/>
    <w:rsid w:val="00746E25"/>
    <w:rsid w:val="00747BB7"/>
    <w:rsid w:val="00747BF8"/>
    <w:rsid w:val="00750BEB"/>
    <w:rsid w:val="0075120A"/>
    <w:rsid w:val="00751F1A"/>
    <w:rsid w:val="0075231D"/>
    <w:rsid w:val="00752394"/>
    <w:rsid w:val="00752480"/>
    <w:rsid w:val="0075362F"/>
    <w:rsid w:val="00753DE9"/>
    <w:rsid w:val="00754322"/>
    <w:rsid w:val="0075482F"/>
    <w:rsid w:val="00755C38"/>
    <w:rsid w:val="00755EF6"/>
    <w:rsid w:val="00756143"/>
    <w:rsid w:val="0075636A"/>
    <w:rsid w:val="00756421"/>
    <w:rsid w:val="00756664"/>
    <w:rsid w:val="007568A3"/>
    <w:rsid w:val="007569C0"/>
    <w:rsid w:val="007574F7"/>
    <w:rsid w:val="00757D5E"/>
    <w:rsid w:val="0076034A"/>
    <w:rsid w:val="0076041E"/>
    <w:rsid w:val="00760421"/>
    <w:rsid w:val="0076050F"/>
    <w:rsid w:val="00760A5B"/>
    <w:rsid w:val="00761806"/>
    <w:rsid w:val="00761D98"/>
    <w:rsid w:val="00761EA1"/>
    <w:rsid w:val="007626BC"/>
    <w:rsid w:val="00762AEC"/>
    <w:rsid w:val="00762EC7"/>
    <w:rsid w:val="00762FB4"/>
    <w:rsid w:val="00763028"/>
    <w:rsid w:val="00763492"/>
    <w:rsid w:val="007638A5"/>
    <w:rsid w:val="0076443D"/>
    <w:rsid w:val="00766811"/>
    <w:rsid w:val="0076683A"/>
    <w:rsid w:val="00766D2E"/>
    <w:rsid w:val="00767BBC"/>
    <w:rsid w:val="00767F39"/>
    <w:rsid w:val="00770487"/>
    <w:rsid w:val="0077102F"/>
    <w:rsid w:val="00771667"/>
    <w:rsid w:val="007716B9"/>
    <w:rsid w:val="007717CB"/>
    <w:rsid w:val="00771978"/>
    <w:rsid w:val="0077248D"/>
    <w:rsid w:val="00772696"/>
    <w:rsid w:val="00772C98"/>
    <w:rsid w:val="0077388A"/>
    <w:rsid w:val="00774015"/>
    <w:rsid w:val="00774825"/>
    <w:rsid w:val="00774989"/>
    <w:rsid w:val="00774E41"/>
    <w:rsid w:val="0077567F"/>
    <w:rsid w:val="00775D7D"/>
    <w:rsid w:val="00776890"/>
    <w:rsid w:val="007776CF"/>
    <w:rsid w:val="00777DF0"/>
    <w:rsid w:val="00780506"/>
    <w:rsid w:val="00780597"/>
    <w:rsid w:val="007808C2"/>
    <w:rsid w:val="00780E3B"/>
    <w:rsid w:val="00780EA7"/>
    <w:rsid w:val="0078184D"/>
    <w:rsid w:val="0078193A"/>
    <w:rsid w:val="00782050"/>
    <w:rsid w:val="00782800"/>
    <w:rsid w:val="00782C47"/>
    <w:rsid w:val="00783343"/>
    <w:rsid w:val="0078335B"/>
    <w:rsid w:val="00783988"/>
    <w:rsid w:val="00783BAC"/>
    <w:rsid w:val="00783FEE"/>
    <w:rsid w:val="007841CD"/>
    <w:rsid w:val="00785276"/>
    <w:rsid w:val="007854C4"/>
    <w:rsid w:val="00785510"/>
    <w:rsid w:val="007857A8"/>
    <w:rsid w:val="00786AE8"/>
    <w:rsid w:val="00786E37"/>
    <w:rsid w:val="00786E73"/>
    <w:rsid w:val="007872E3"/>
    <w:rsid w:val="00787371"/>
    <w:rsid w:val="007878E9"/>
    <w:rsid w:val="007903C2"/>
    <w:rsid w:val="00790687"/>
    <w:rsid w:val="00791316"/>
    <w:rsid w:val="00791750"/>
    <w:rsid w:val="007917AF"/>
    <w:rsid w:val="00791F46"/>
    <w:rsid w:val="00792482"/>
    <w:rsid w:val="00793028"/>
    <w:rsid w:val="007932CC"/>
    <w:rsid w:val="007933F7"/>
    <w:rsid w:val="00793848"/>
    <w:rsid w:val="00794D52"/>
    <w:rsid w:val="007959A7"/>
    <w:rsid w:val="00795BEE"/>
    <w:rsid w:val="00796540"/>
    <w:rsid w:val="007966A6"/>
    <w:rsid w:val="00796D7D"/>
    <w:rsid w:val="007973A1"/>
    <w:rsid w:val="00797423"/>
    <w:rsid w:val="007979D1"/>
    <w:rsid w:val="007A195C"/>
    <w:rsid w:val="007A1CDD"/>
    <w:rsid w:val="007A260F"/>
    <w:rsid w:val="007A27D1"/>
    <w:rsid w:val="007A27FD"/>
    <w:rsid w:val="007A2991"/>
    <w:rsid w:val="007A2A42"/>
    <w:rsid w:val="007A3209"/>
    <w:rsid w:val="007A3894"/>
    <w:rsid w:val="007A489F"/>
    <w:rsid w:val="007A4B52"/>
    <w:rsid w:val="007A538F"/>
    <w:rsid w:val="007A5F28"/>
    <w:rsid w:val="007A67C6"/>
    <w:rsid w:val="007A79A5"/>
    <w:rsid w:val="007B028A"/>
    <w:rsid w:val="007B0364"/>
    <w:rsid w:val="007B0795"/>
    <w:rsid w:val="007B07BA"/>
    <w:rsid w:val="007B088D"/>
    <w:rsid w:val="007B0F42"/>
    <w:rsid w:val="007B0F97"/>
    <w:rsid w:val="007B247A"/>
    <w:rsid w:val="007B2848"/>
    <w:rsid w:val="007B2927"/>
    <w:rsid w:val="007B2DD4"/>
    <w:rsid w:val="007B305D"/>
    <w:rsid w:val="007B3C34"/>
    <w:rsid w:val="007B4AFB"/>
    <w:rsid w:val="007B5BF6"/>
    <w:rsid w:val="007B5EDB"/>
    <w:rsid w:val="007B68A1"/>
    <w:rsid w:val="007B735A"/>
    <w:rsid w:val="007B7388"/>
    <w:rsid w:val="007B791A"/>
    <w:rsid w:val="007C0B89"/>
    <w:rsid w:val="007C1F67"/>
    <w:rsid w:val="007C2AB9"/>
    <w:rsid w:val="007C2BD3"/>
    <w:rsid w:val="007C2D97"/>
    <w:rsid w:val="007C31E5"/>
    <w:rsid w:val="007C3562"/>
    <w:rsid w:val="007C3566"/>
    <w:rsid w:val="007C4E11"/>
    <w:rsid w:val="007C5569"/>
    <w:rsid w:val="007C615E"/>
    <w:rsid w:val="007C6298"/>
    <w:rsid w:val="007C6CEB"/>
    <w:rsid w:val="007C708B"/>
    <w:rsid w:val="007C7117"/>
    <w:rsid w:val="007C7181"/>
    <w:rsid w:val="007C7AAF"/>
    <w:rsid w:val="007C7E1D"/>
    <w:rsid w:val="007D0342"/>
    <w:rsid w:val="007D09F2"/>
    <w:rsid w:val="007D0DAE"/>
    <w:rsid w:val="007D14C5"/>
    <w:rsid w:val="007D14D2"/>
    <w:rsid w:val="007D225F"/>
    <w:rsid w:val="007D273E"/>
    <w:rsid w:val="007D2895"/>
    <w:rsid w:val="007D2A6E"/>
    <w:rsid w:val="007D340E"/>
    <w:rsid w:val="007D3D3E"/>
    <w:rsid w:val="007D3DD5"/>
    <w:rsid w:val="007D40A6"/>
    <w:rsid w:val="007D4191"/>
    <w:rsid w:val="007D44FF"/>
    <w:rsid w:val="007D4A11"/>
    <w:rsid w:val="007D5271"/>
    <w:rsid w:val="007D5A7D"/>
    <w:rsid w:val="007D5B32"/>
    <w:rsid w:val="007D5FE7"/>
    <w:rsid w:val="007D6298"/>
    <w:rsid w:val="007D62B6"/>
    <w:rsid w:val="007D62E6"/>
    <w:rsid w:val="007D63BA"/>
    <w:rsid w:val="007D68A0"/>
    <w:rsid w:val="007D69CB"/>
    <w:rsid w:val="007D7034"/>
    <w:rsid w:val="007D7C6E"/>
    <w:rsid w:val="007D7F5B"/>
    <w:rsid w:val="007E098D"/>
    <w:rsid w:val="007E0A95"/>
    <w:rsid w:val="007E1007"/>
    <w:rsid w:val="007E1AAD"/>
    <w:rsid w:val="007E1B02"/>
    <w:rsid w:val="007E1B67"/>
    <w:rsid w:val="007E211B"/>
    <w:rsid w:val="007E2166"/>
    <w:rsid w:val="007E230E"/>
    <w:rsid w:val="007E36E8"/>
    <w:rsid w:val="007E3B93"/>
    <w:rsid w:val="007E454B"/>
    <w:rsid w:val="007E4699"/>
    <w:rsid w:val="007E5AFB"/>
    <w:rsid w:val="007E5C7A"/>
    <w:rsid w:val="007E6937"/>
    <w:rsid w:val="007E734A"/>
    <w:rsid w:val="007E793B"/>
    <w:rsid w:val="007F014A"/>
    <w:rsid w:val="007F04E9"/>
    <w:rsid w:val="007F0A08"/>
    <w:rsid w:val="007F0F77"/>
    <w:rsid w:val="007F122A"/>
    <w:rsid w:val="007F1324"/>
    <w:rsid w:val="007F1BF9"/>
    <w:rsid w:val="007F2943"/>
    <w:rsid w:val="007F2A7A"/>
    <w:rsid w:val="007F2B05"/>
    <w:rsid w:val="007F2BBB"/>
    <w:rsid w:val="007F314D"/>
    <w:rsid w:val="007F3833"/>
    <w:rsid w:val="007F4927"/>
    <w:rsid w:val="007F4956"/>
    <w:rsid w:val="007F4B59"/>
    <w:rsid w:val="007F5146"/>
    <w:rsid w:val="007F536E"/>
    <w:rsid w:val="007F5A10"/>
    <w:rsid w:val="007F62BE"/>
    <w:rsid w:val="007F6AC7"/>
    <w:rsid w:val="007F7503"/>
    <w:rsid w:val="007F7704"/>
    <w:rsid w:val="007F7F7C"/>
    <w:rsid w:val="0080076C"/>
    <w:rsid w:val="008015F8"/>
    <w:rsid w:val="00801D3C"/>
    <w:rsid w:val="00803314"/>
    <w:rsid w:val="00803387"/>
    <w:rsid w:val="00803549"/>
    <w:rsid w:val="00803E53"/>
    <w:rsid w:val="00803E9B"/>
    <w:rsid w:val="008040EC"/>
    <w:rsid w:val="00805490"/>
    <w:rsid w:val="00805EAA"/>
    <w:rsid w:val="00806995"/>
    <w:rsid w:val="00806B75"/>
    <w:rsid w:val="00806C40"/>
    <w:rsid w:val="008072FC"/>
    <w:rsid w:val="00810CE8"/>
    <w:rsid w:val="00810D01"/>
    <w:rsid w:val="008110F6"/>
    <w:rsid w:val="00811258"/>
    <w:rsid w:val="008113E6"/>
    <w:rsid w:val="00811E4D"/>
    <w:rsid w:val="00812C43"/>
    <w:rsid w:val="00812F96"/>
    <w:rsid w:val="00813169"/>
    <w:rsid w:val="008132CB"/>
    <w:rsid w:val="00813315"/>
    <w:rsid w:val="0081352E"/>
    <w:rsid w:val="008139F9"/>
    <w:rsid w:val="00813A55"/>
    <w:rsid w:val="00813FBC"/>
    <w:rsid w:val="00814357"/>
    <w:rsid w:val="00814AF3"/>
    <w:rsid w:val="008156A8"/>
    <w:rsid w:val="0081611E"/>
    <w:rsid w:val="008168C0"/>
    <w:rsid w:val="00816B4E"/>
    <w:rsid w:val="00817167"/>
    <w:rsid w:val="00817517"/>
    <w:rsid w:val="00817720"/>
    <w:rsid w:val="0081793A"/>
    <w:rsid w:val="00820CFA"/>
    <w:rsid w:val="00820FE2"/>
    <w:rsid w:val="00821848"/>
    <w:rsid w:val="00821B08"/>
    <w:rsid w:val="00821BE0"/>
    <w:rsid w:val="00821F71"/>
    <w:rsid w:val="008222D2"/>
    <w:rsid w:val="00822421"/>
    <w:rsid w:val="008232E4"/>
    <w:rsid w:val="008234FF"/>
    <w:rsid w:val="00823522"/>
    <w:rsid w:val="00823683"/>
    <w:rsid w:val="00823A0A"/>
    <w:rsid w:val="00823AFA"/>
    <w:rsid w:val="00823B12"/>
    <w:rsid w:val="00823CBD"/>
    <w:rsid w:val="00823F5A"/>
    <w:rsid w:val="00823FD1"/>
    <w:rsid w:val="00825CD4"/>
    <w:rsid w:val="00825D81"/>
    <w:rsid w:val="00825FF8"/>
    <w:rsid w:val="00826254"/>
    <w:rsid w:val="00826DF3"/>
    <w:rsid w:val="008272EB"/>
    <w:rsid w:val="0082787F"/>
    <w:rsid w:val="0083055C"/>
    <w:rsid w:val="00831201"/>
    <w:rsid w:val="0083196E"/>
    <w:rsid w:val="0083286F"/>
    <w:rsid w:val="008329D9"/>
    <w:rsid w:val="00832F73"/>
    <w:rsid w:val="008331A5"/>
    <w:rsid w:val="00834199"/>
    <w:rsid w:val="008342CC"/>
    <w:rsid w:val="00834C70"/>
    <w:rsid w:val="0083521C"/>
    <w:rsid w:val="00835319"/>
    <w:rsid w:val="008359FE"/>
    <w:rsid w:val="00835DF1"/>
    <w:rsid w:val="00836EA9"/>
    <w:rsid w:val="00837D31"/>
    <w:rsid w:val="008402F7"/>
    <w:rsid w:val="00840A4D"/>
    <w:rsid w:val="00840E55"/>
    <w:rsid w:val="00841078"/>
    <w:rsid w:val="00841456"/>
    <w:rsid w:val="00841890"/>
    <w:rsid w:val="00841ACA"/>
    <w:rsid w:val="00841B0F"/>
    <w:rsid w:val="00842498"/>
    <w:rsid w:val="00842A67"/>
    <w:rsid w:val="00842A71"/>
    <w:rsid w:val="0084390A"/>
    <w:rsid w:val="0084488C"/>
    <w:rsid w:val="00844E32"/>
    <w:rsid w:val="00846190"/>
    <w:rsid w:val="008465E5"/>
    <w:rsid w:val="00846601"/>
    <w:rsid w:val="00846988"/>
    <w:rsid w:val="008476D5"/>
    <w:rsid w:val="00850A0C"/>
    <w:rsid w:val="00851BC1"/>
    <w:rsid w:val="00853474"/>
    <w:rsid w:val="0085352A"/>
    <w:rsid w:val="008535E0"/>
    <w:rsid w:val="0085379D"/>
    <w:rsid w:val="00853ADE"/>
    <w:rsid w:val="00854585"/>
    <w:rsid w:val="008549CD"/>
    <w:rsid w:val="00854A76"/>
    <w:rsid w:val="00854ADC"/>
    <w:rsid w:val="00854F6A"/>
    <w:rsid w:val="00855BA7"/>
    <w:rsid w:val="0085638A"/>
    <w:rsid w:val="00856823"/>
    <w:rsid w:val="00856AFD"/>
    <w:rsid w:val="0085744D"/>
    <w:rsid w:val="008574E5"/>
    <w:rsid w:val="008604AE"/>
    <w:rsid w:val="008609A9"/>
    <w:rsid w:val="00860B65"/>
    <w:rsid w:val="00860D6C"/>
    <w:rsid w:val="00861B62"/>
    <w:rsid w:val="0086267A"/>
    <w:rsid w:val="00862ABA"/>
    <w:rsid w:val="00862D11"/>
    <w:rsid w:val="0086302E"/>
    <w:rsid w:val="00863049"/>
    <w:rsid w:val="00863474"/>
    <w:rsid w:val="008635E9"/>
    <w:rsid w:val="00864651"/>
    <w:rsid w:val="00864AB8"/>
    <w:rsid w:val="00864D19"/>
    <w:rsid w:val="00864F50"/>
    <w:rsid w:val="00864F80"/>
    <w:rsid w:val="00864FE8"/>
    <w:rsid w:val="008651CC"/>
    <w:rsid w:val="008651F0"/>
    <w:rsid w:val="0086590B"/>
    <w:rsid w:val="00865D89"/>
    <w:rsid w:val="00865E86"/>
    <w:rsid w:val="00866BAB"/>
    <w:rsid w:val="00867423"/>
    <w:rsid w:val="00867558"/>
    <w:rsid w:val="00867605"/>
    <w:rsid w:val="00867AC5"/>
    <w:rsid w:val="00867B99"/>
    <w:rsid w:val="00870BD6"/>
    <w:rsid w:val="00870C92"/>
    <w:rsid w:val="00871270"/>
    <w:rsid w:val="00871B7D"/>
    <w:rsid w:val="00871CAD"/>
    <w:rsid w:val="00872D31"/>
    <w:rsid w:val="00872EA5"/>
    <w:rsid w:val="008730F0"/>
    <w:rsid w:val="0087347B"/>
    <w:rsid w:val="00874CBC"/>
    <w:rsid w:val="0087519A"/>
    <w:rsid w:val="00875488"/>
    <w:rsid w:val="008755EB"/>
    <w:rsid w:val="00875877"/>
    <w:rsid w:val="008761D7"/>
    <w:rsid w:val="00877F80"/>
    <w:rsid w:val="00877FCD"/>
    <w:rsid w:val="00882885"/>
    <w:rsid w:val="00882EC3"/>
    <w:rsid w:val="008834E1"/>
    <w:rsid w:val="00883674"/>
    <w:rsid w:val="00883A18"/>
    <w:rsid w:val="00883C6E"/>
    <w:rsid w:val="00883F1C"/>
    <w:rsid w:val="00884051"/>
    <w:rsid w:val="008845FE"/>
    <w:rsid w:val="00884835"/>
    <w:rsid w:val="00884963"/>
    <w:rsid w:val="00886014"/>
    <w:rsid w:val="00886647"/>
    <w:rsid w:val="00886788"/>
    <w:rsid w:val="00886DDB"/>
    <w:rsid w:val="00887EBA"/>
    <w:rsid w:val="00890227"/>
    <w:rsid w:val="00890EAC"/>
    <w:rsid w:val="008918D1"/>
    <w:rsid w:val="00891E78"/>
    <w:rsid w:val="00891F63"/>
    <w:rsid w:val="00892069"/>
    <w:rsid w:val="00892128"/>
    <w:rsid w:val="008923A5"/>
    <w:rsid w:val="00892A25"/>
    <w:rsid w:val="00893E5C"/>
    <w:rsid w:val="008946A2"/>
    <w:rsid w:val="00896292"/>
    <w:rsid w:val="00896EC7"/>
    <w:rsid w:val="00897242"/>
    <w:rsid w:val="00897B56"/>
    <w:rsid w:val="00897DBB"/>
    <w:rsid w:val="00897E04"/>
    <w:rsid w:val="008A0C88"/>
    <w:rsid w:val="008A11AE"/>
    <w:rsid w:val="008A15AB"/>
    <w:rsid w:val="008A16DC"/>
    <w:rsid w:val="008A231C"/>
    <w:rsid w:val="008A24D7"/>
    <w:rsid w:val="008A2A41"/>
    <w:rsid w:val="008A31EF"/>
    <w:rsid w:val="008A36D6"/>
    <w:rsid w:val="008A4460"/>
    <w:rsid w:val="008A4557"/>
    <w:rsid w:val="008A6C0E"/>
    <w:rsid w:val="008A74F2"/>
    <w:rsid w:val="008B01D5"/>
    <w:rsid w:val="008B0A86"/>
    <w:rsid w:val="008B10BC"/>
    <w:rsid w:val="008B1745"/>
    <w:rsid w:val="008B3197"/>
    <w:rsid w:val="008B4C64"/>
    <w:rsid w:val="008B4DB2"/>
    <w:rsid w:val="008B4E09"/>
    <w:rsid w:val="008B4F95"/>
    <w:rsid w:val="008B544C"/>
    <w:rsid w:val="008B55FB"/>
    <w:rsid w:val="008B658D"/>
    <w:rsid w:val="008B6C02"/>
    <w:rsid w:val="008B6F8B"/>
    <w:rsid w:val="008B7311"/>
    <w:rsid w:val="008B766A"/>
    <w:rsid w:val="008B790A"/>
    <w:rsid w:val="008C07E0"/>
    <w:rsid w:val="008C11B0"/>
    <w:rsid w:val="008C2B0B"/>
    <w:rsid w:val="008C3265"/>
    <w:rsid w:val="008C36EF"/>
    <w:rsid w:val="008C37E7"/>
    <w:rsid w:val="008C3D61"/>
    <w:rsid w:val="008C3D8E"/>
    <w:rsid w:val="008C3EEF"/>
    <w:rsid w:val="008C431C"/>
    <w:rsid w:val="008C61F9"/>
    <w:rsid w:val="008C6D0D"/>
    <w:rsid w:val="008C76F4"/>
    <w:rsid w:val="008C7E46"/>
    <w:rsid w:val="008D0147"/>
    <w:rsid w:val="008D0F06"/>
    <w:rsid w:val="008D1F62"/>
    <w:rsid w:val="008D2833"/>
    <w:rsid w:val="008D2BF3"/>
    <w:rsid w:val="008D2E20"/>
    <w:rsid w:val="008D31FB"/>
    <w:rsid w:val="008D3923"/>
    <w:rsid w:val="008D3BB3"/>
    <w:rsid w:val="008D42D7"/>
    <w:rsid w:val="008D44D1"/>
    <w:rsid w:val="008D4AE1"/>
    <w:rsid w:val="008D4CE0"/>
    <w:rsid w:val="008D4EF3"/>
    <w:rsid w:val="008D4F82"/>
    <w:rsid w:val="008D5538"/>
    <w:rsid w:val="008D5C70"/>
    <w:rsid w:val="008D67ED"/>
    <w:rsid w:val="008D68E4"/>
    <w:rsid w:val="008D69F3"/>
    <w:rsid w:val="008D6AD9"/>
    <w:rsid w:val="008D6BC5"/>
    <w:rsid w:val="008D6E11"/>
    <w:rsid w:val="008D73C3"/>
    <w:rsid w:val="008D7DE6"/>
    <w:rsid w:val="008E00C1"/>
    <w:rsid w:val="008E0368"/>
    <w:rsid w:val="008E093A"/>
    <w:rsid w:val="008E0CA7"/>
    <w:rsid w:val="008E0EBD"/>
    <w:rsid w:val="008E1C25"/>
    <w:rsid w:val="008E2071"/>
    <w:rsid w:val="008E240A"/>
    <w:rsid w:val="008E2537"/>
    <w:rsid w:val="008E3868"/>
    <w:rsid w:val="008E3B55"/>
    <w:rsid w:val="008E3EDB"/>
    <w:rsid w:val="008E49C4"/>
    <w:rsid w:val="008E4C8E"/>
    <w:rsid w:val="008E5109"/>
    <w:rsid w:val="008E51DE"/>
    <w:rsid w:val="008E5E14"/>
    <w:rsid w:val="008E5E84"/>
    <w:rsid w:val="008E5F5C"/>
    <w:rsid w:val="008E64E7"/>
    <w:rsid w:val="008E6FA9"/>
    <w:rsid w:val="008E75B5"/>
    <w:rsid w:val="008E7DAD"/>
    <w:rsid w:val="008E7EB0"/>
    <w:rsid w:val="008F135E"/>
    <w:rsid w:val="008F15D7"/>
    <w:rsid w:val="008F1D01"/>
    <w:rsid w:val="008F20C5"/>
    <w:rsid w:val="008F48B6"/>
    <w:rsid w:val="008F56AC"/>
    <w:rsid w:val="008F6BF0"/>
    <w:rsid w:val="008F6E42"/>
    <w:rsid w:val="008F6E5B"/>
    <w:rsid w:val="008F71A3"/>
    <w:rsid w:val="008F74A0"/>
    <w:rsid w:val="008F7A1D"/>
    <w:rsid w:val="008F7FCD"/>
    <w:rsid w:val="00900583"/>
    <w:rsid w:val="0090097B"/>
    <w:rsid w:val="00900B35"/>
    <w:rsid w:val="00901241"/>
    <w:rsid w:val="009013AC"/>
    <w:rsid w:val="00901651"/>
    <w:rsid w:val="00901A45"/>
    <w:rsid w:val="00901FCD"/>
    <w:rsid w:val="00902570"/>
    <w:rsid w:val="0090404D"/>
    <w:rsid w:val="0090424C"/>
    <w:rsid w:val="00904306"/>
    <w:rsid w:val="009049C6"/>
    <w:rsid w:val="00905017"/>
    <w:rsid w:val="00905BE9"/>
    <w:rsid w:val="00905C9B"/>
    <w:rsid w:val="00906003"/>
    <w:rsid w:val="009066D3"/>
    <w:rsid w:val="0090693F"/>
    <w:rsid w:val="00906A4D"/>
    <w:rsid w:val="00906B22"/>
    <w:rsid w:val="00906D31"/>
    <w:rsid w:val="009070BC"/>
    <w:rsid w:val="00907618"/>
    <w:rsid w:val="009076B6"/>
    <w:rsid w:val="009076C2"/>
    <w:rsid w:val="0091038D"/>
    <w:rsid w:val="009103E2"/>
    <w:rsid w:val="00910B3C"/>
    <w:rsid w:val="009124FA"/>
    <w:rsid w:val="009132D4"/>
    <w:rsid w:val="00913488"/>
    <w:rsid w:val="0091390A"/>
    <w:rsid w:val="00914358"/>
    <w:rsid w:val="0091498D"/>
    <w:rsid w:val="009156E9"/>
    <w:rsid w:val="00915845"/>
    <w:rsid w:val="009163DC"/>
    <w:rsid w:val="009165D2"/>
    <w:rsid w:val="009203CB"/>
    <w:rsid w:val="009206CA"/>
    <w:rsid w:val="00920739"/>
    <w:rsid w:val="00920A5F"/>
    <w:rsid w:val="00920C0D"/>
    <w:rsid w:val="009210B9"/>
    <w:rsid w:val="00921566"/>
    <w:rsid w:val="00921574"/>
    <w:rsid w:val="00921EDE"/>
    <w:rsid w:val="00922090"/>
    <w:rsid w:val="0092279A"/>
    <w:rsid w:val="00923955"/>
    <w:rsid w:val="00923B61"/>
    <w:rsid w:val="00923CB9"/>
    <w:rsid w:val="009241D6"/>
    <w:rsid w:val="00924D2C"/>
    <w:rsid w:val="0092514D"/>
    <w:rsid w:val="00925A65"/>
    <w:rsid w:val="00926103"/>
    <w:rsid w:val="0092613B"/>
    <w:rsid w:val="009261B7"/>
    <w:rsid w:val="00927B19"/>
    <w:rsid w:val="00927B79"/>
    <w:rsid w:val="00927DE0"/>
    <w:rsid w:val="00927F6A"/>
    <w:rsid w:val="00930094"/>
    <w:rsid w:val="009300E6"/>
    <w:rsid w:val="009302EF"/>
    <w:rsid w:val="009303A4"/>
    <w:rsid w:val="00930938"/>
    <w:rsid w:val="009314AA"/>
    <w:rsid w:val="009319DD"/>
    <w:rsid w:val="0093225A"/>
    <w:rsid w:val="00932A00"/>
    <w:rsid w:val="0093308D"/>
    <w:rsid w:val="00933252"/>
    <w:rsid w:val="009334A3"/>
    <w:rsid w:val="009334E6"/>
    <w:rsid w:val="0093397D"/>
    <w:rsid w:val="0093421A"/>
    <w:rsid w:val="0093445F"/>
    <w:rsid w:val="0093467E"/>
    <w:rsid w:val="00934976"/>
    <w:rsid w:val="00934A45"/>
    <w:rsid w:val="009352BC"/>
    <w:rsid w:val="0093544E"/>
    <w:rsid w:val="0093558F"/>
    <w:rsid w:val="00935C3C"/>
    <w:rsid w:val="00935CBB"/>
    <w:rsid w:val="00935D76"/>
    <w:rsid w:val="00935FDD"/>
    <w:rsid w:val="00936BFF"/>
    <w:rsid w:val="009371BD"/>
    <w:rsid w:val="00937A90"/>
    <w:rsid w:val="00937B8E"/>
    <w:rsid w:val="0094063B"/>
    <w:rsid w:val="00940767"/>
    <w:rsid w:val="0094080F"/>
    <w:rsid w:val="00941203"/>
    <w:rsid w:val="00941314"/>
    <w:rsid w:val="009414FA"/>
    <w:rsid w:val="0094194D"/>
    <w:rsid w:val="00941BFC"/>
    <w:rsid w:val="00942D1D"/>
    <w:rsid w:val="009434B4"/>
    <w:rsid w:val="00943DC0"/>
    <w:rsid w:val="00943EBF"/>
    <w:rsid w:val="00944141"/>
    <w:rsid w:val="00944528"/>
    <w:rsid w:val="009445AC"/>
    <w:rsid w:val="00944873"/>
    <w:rsid w:val="00944CF3"/>
    <w:rsid w:val="009454CF"/>
    <w:rsid w:val="0094605F"/>
    <w:rsid w:val="00946153"/>
    <w:rsid w:val="00946FC5"/>
    <w:rsid w:val="00947017"/>
    <w:rsid w:val="0095030C"/>
    <w:rsid w:val="0095148E"/>
    <w:rsid w:val="009515AB"/>
    <w:rsid w:val="00951674"/>
    <w:rsid w:val="00951873"/>
    <w:rsid w:val="009519F3"/>
    <w:rsid w:val="00951C61"/>
    <w:rsid w:val="00951D97"/>
    <w:rsid w:val="009520D7"/>
    <w:rsid w:val="00952906"/>
    <w:rsid w:val="009537D6"/>
    <w:rsid w:val="00953C4A"/>
    <w:rsid w:val="00953D7F"/>
    <w:rsid w:val="0095573B"/>
    <w:rsid w:val="009565E2"/>
    <w:rsid w:val="00956850"/>
    <w:rsid w:val="009569C9"/>
    <w:rsid w:val="00956B83"/>
    <w:rsid w:val="00956C9E"/>
    <w:rsid w:val="00956D79"/>
    <w:rsid w:val="0095702D"/>
    <w:rsid w:val="00957E80"/>
    <w:rsid w:val="00960DCC"/>
    <w:rsid w:val="009612D1"/>
    <w:rsid w:val="009613C8"/>
    <w:rsid w:val="009614F3"/>
    <w:rsid w:val="00961EF2"/>
    <w:rsid w:val="0096416C"/>
    <w:rsid w:val="009643B0"/>
    <w:rsid w:val="009647C8"/>
    <w:rsid w:val="00964862"/>
    <w:rsid w:val="009651CA"/>
    <w:rsid w:val="0096577E"/>
    <w:rsid w:val="00965CC5"/>
    <w:rsid w:val="00966011"/>
    <w:rsid w:val="009664E9"/>
    <w:rsid w:val="00966BED"/>
    <w:rsid w:val="00966F91"/>
    <w:rsid w:val="009675BE"/>
    <w:rsid w:val="00970022"/>
    <w:rsid w:val="00970D85"/>
    <w:rsid w:val="0097100F"/>
    <w:rsid w:val="009727F3"/>
    <w:rsid w:val="00972E50"/>
    <w:rsid w:val="009731D1"/>
    <w:rsid w:val="00973B02"/>
    <w:rsid w:val="00973D39"/>
    <w:rsid w:val="00974354"/>
    <w:rsid w:val="0097451E"/>
    <w:rsid w:val="0097474E"/>
    <w:rsid w:val="0097538A"/>
    <w:rsid w:val="009753C5"/>
    <w:rsid w:val="00975A4D"/>
    <w:rsid w:val="00975DC5"/>
    <w:rsid w:val="009762F2"/>
    <w:rsid w:val="0097642C"/>
    <w:rsid w:val="00977D1F"/>
    <w:rsid w:val="00980642"/>
    <w:rsid w:val="00980DBE"/>
    <w:rsid w:val="00980FDC"/>
    <w:rsid w:val="009817CC"/>
    <w:rsid w:val="00981E35"/>
    <w:rsid w:val="00982391"/>
    <w:rsid w:val="00982707"/>
    <w:rsid w:val="00982B3D"/>
    <w:rsid w:val="00982EB9"/>
    <w:rsid w:val="00983D40"/>
    <w:rsid w:val="00984006"/>
    <w:rsid w:val="009841EC"/>
    <w:rsid w:val="009842AD"/>
    <w:rsid w:val="00984724"/>
    <w:rsid w:val="00984D72"/>
    <w:rsid w:val="00986946"/>
    <w:rsid w:val="009873AE"/>
    <w:rsid w:val="00987851"/>
    <w:rsid w:val="00987D3B"/>
    <w:rsid w:val="009901D6"/>
    <w:rsid w:val="009905A9"/>
    <w:rsid w:val="009908C0"/>
    <w:rsid w:val="0099190E"/>
    <w:rsid w:val="00991FFA"/>
    <w:rsid w:val="009926F5"/>
    <w:rsid w:val="00992987"/>
    <w:rsid w:val="00993119"/>
    <w:rsid w:val="00993439"/>
    <w:rsid w:val="00994FC4"/>
    <w:rsid w:val="00995BB2"/>
    <w:rsid w:val="00995C83"/>
    <w:rsid w:val="009963FB"/>
    <w:rsid w:val="009966E0"/>
    <w:rsid w:val="00996714"/>
    <w:rsid w:val="00996B2F"/>
    <w:rsid w:val="009972A4"/>
    <w:rsid w:val="009974DC"/>
    <w:rsid w:val="0099751C"/>
    <w:rsid w:val="00997D03"/>
    <w:rsid w:val="00997D49"/>
    <w:rsid w:val="009A09A3"/>
    <w:rsid w:val="009A0E20"/>
    <w:rsid w:val="009A11E4"/>
    <w:rsid w:val="009A16C2"/>
    <w:rsid w:val="009A1B6C"/>
    <w:rsid w:val="009A2495"/>
    <w:rsid w:val="009A349C"/>
    <w:rsid w:val="009A3573"/>
    <w:rsid w:val="009A3A89"/>
    <w:rsid w:val="009A4186"/>
    <w:rsid w:val="009A441D"/>
    <w:rsid w:val="009A4B57"/>
    <w:rsid w:val="009A4BB4"/>
    <w:rsid w:val="009A4BBC"/>
    <w:rsid w:val="009A59DA"/>
    <w:rsid w:val="009A5B16"/>
    <w:rsid w:val="009A5BA4"/>
    <w:rsid w:val="009A5BBF"/>
    <w:rsid w:val="009A5D22"/>
    <w:rsid w:val="009A620D"/>
    <w:rsid w:val="009A6DD3"/>
    <w:rsid w:val="009A6FDB"/>
    <w:rsid w:val="009A72CE"/>
    <w:rsid w:val="009A74F3"/>
    <w:rsid w:val="009A75B6"/>
    <w:rsid w:val="009A7861"/>
    <w:rsid w:val="009B03DB"/>
    <w:rsid w:val="009B061F"/>
    <w:rsid w:val="009B0FAA"/>
    <w:rsid w:val="009B1482"/>
    <w:rsid w:val="009B15B0"/>
    <w:rsid w:val="009B22BF"/>
    <w:rsid w:val="009B2B84"/>
    <w:rsid w:val="009B2D31"/>
    <w:rsid w:val="009B4109"/>
    <w:rsid w:val="009B428E"/>
    <w:rsid w:val="009B440A"/>
    <w:rsid w:val="009B4627"/>
    <w:rsid w:val="009B463B"/>
    <w:rsid w:val="009B473A"/>
    <w:rsid w:val="009B50F2"/>
    <w:rsid w:val="009B53B6"/>
    <w:rsid w:val="009B5BA3"/>
    <w:rsid w:val="009B5F12"/>
    <w:rsid w:val="009B6870"/>
    <w:rsid w:val="009B69D7"/>
    <w:rsid w:val="009B6BDD"/>
    <w:rsid w:val="009B6ED3"/>
    <w:rsid w:val="009B7915"/>
    <w:rsid w:val="009B7A59"/>
    <w:rsid w:val="009C11F6"/>
    <w:rsid w:val="009C1FAD"/>
    <w:rsid w:val="009C2F4A"/>
    <w:rsid w:val="009C3E77"/>
    <w:rsid w:val="009C400D"/>
    <w:rsid w:val="009C4016"/>
    <w:rsid w:val="009C435D"/>
    <w:rsid w:val="009C4FA5"/>
    <w:rsid w:val="009C644A"/>
    <w:rsid w:val="009C6576"/>
    <w:rsid w:val="009C685B"/>
    <w:rsid w:val="009C6B5C"/>
    <w:rsid w:val="009C6C1F"/>
    <w:rsid w:val="009C78ED"/>
    <w:rsid w:val="009C79AF"/>
    <w:rsid w:val="009C7AF0"/>
    <w:rsid w:val="009D0FCE"/>
    <w:rsid w:val="009D1636"/>
    <w:rsid w:val="009D1968"/>
    <w:rsid w:val="009D1A5F"/>
    <w:rsid w:val="009D1CFF"/>
    <w:rsid w:val="009D24D3"/>
    <w:rsid w:val="009D25D4"/>
    <w:rsid w:val="009D2894"/>
    <w:rsid w:val="009D2B09"/>
    <w:rsid w:val="009D3425"/>
    <w:rsid w:val="009D44EA"/>
    <w:rsid w:val="009D5C43"/>
    <w:rsid w:val="009D5DB4"/>
    <w:rsid w:val="009D65D6"/>
    <w:rsid w:val="009D6D87"/>
    <w:rsid w:val="009D763F"/>
    <w:rsid w:val="009D76BE"/>
    <w:rsid w:val="009D7B66"/>
    <w:rsid w:val="009E03A4"/>
    <w:rsid w:val="009E05DE"/>
    <w:rsid w:val="009E0960"/>
    <w:rsid w:val="009E09E4"/>
    <w:rsid w:val="009E1199"/>
    <w:rsid w:val="009E12DB"/>
    <w:rsid w:val="009E159B"/>
    <w:rsid w:val="009E1E0D"/>
    <w:rsid w:val="009E1FB9"/>
    <w:rsid w:val="009E200F"/>
    <w:rsid w:val="009E2EE6"/>
    <w:rsid w:val="009E3D80"/>
    <w:rsid w:val="009E56BA"/>
    <w:rsid w:val="009E6A96"/>
    <w:rsid w:val="009E7DE5"/>
    <w:rsid w:val="009E7E12"/>
    <w:rsid w:val="009F0D23"/>
    <w:rsid w:val="009F2DD9"/>
    <w:rsid w:val="009F34E1"/>
    <w:rsid w:val="009F3F28"/>
    <w:rsid w:val="009F41D8"/>
    <w:rsid w:val="009F4245"/>
    <w:rsid w:val="009F507F"/>
    <w:rsid w:val="009F5418"/>
    <w:rsid w:val="009F542A"/>
    <w:rsid w:val="009F5605"/>
    <w:rsid w:val="009F5B28"/>
    <w:rsid w:val="009F5D57"/>
    <w:rsid w:val="009F60E8"/>
    <w:rsid w:val="009F691E"/>
    <w:rsid w:val="009F701D"/>
    <w:rsid w:val="009F70CA"/>
    <w:rsid w:val="009F7894"/>
    <w:rsid w:val="009F796E"/>
    <w:rsid w:val="009F7E80"/>
    <w:rsid w:val="009F7EA9"/>
    <w:rsid w:val="00A00940"/>
    <w:rsid w:val="00A012B0"/>
    <w:rsid w:val="00A014C3"/>
    <w:rsid w:val="00A020A0"/>
    <w:rsid w:val="00A03544"/>
    <w:rsid w:val="00A047D2"/>
    <w:rsid w:val="00A054DE"/>
    <w:rsid w:val="00A0554B"/>
    <w:rsid w:val="00A05DD1"/>
    <w:rsid w:val="00A0612B"/>
    <w:rsid w:val="00A065C5"/>
    <w:rsid w:val="00A07114"/>
    <w:rsid w:val="00A10253"/>
    <w:rsid w:val="00A105C0"/>
    <w:rsid w:val="00A112B5"/>
    <w:rsid w:val="00A11499"/>
    <w:rsid w:val="00A12BEC"/>
    <w:rsid w:val="00A12DDF"/>
    <w:rsid w:val="00A12EF5"/>
    <w:rsid w:val="00A12F1B"/>
    <w:rsid w:val="00A13170"/>
    <w:rsid w:val="00A132E5"/>
    <w:rsid w:val="00A13465"/>
    <w:rsid w:val="00A1458E"/>
    <w:rsid w:val="00A14D97"/>
    <w:rsid w:val="00A14E18"/>
    <w:rsid w:val="00A15938"/>
    <w:rsid w:val="00A15D38"/>
    <w:rsid w:val="00A16974"/>
    <w:rsid w:val="00A16D3E"/>
    <w:rsid w:val="00A16D4F"/>
    <w:rsid w:val="00A201BC"/>
    <w:rsid w:val="00A206E1"/>
    <w:rsid w:val="00A2091F"/>
    <w:rsid w:val="00A21674"/>
    <w:rsid w:val="00A219B0"/>
    <w:rsid w:val="00A21A38"/>
    <w:rsid w:val="00A23220"/>
    <w:rsid w:val="00A23981"/>
    <w:rsid w:val="00A2404D"/>
    <w:rsid w:val="00A24715"/>
    <w:rsid w:val="00A247C0"/>
    <w:rsid w:val="00A26586"/>
    <w:rsid w:val="00A266B3"/>
    <w:rsid w:val="00A27035"/>
    <w:rsid w:val="00A275FD"/>
    <w:rsid w:val="00A2778A"/>
    <w:rsid w:val="00A27D6E"/>
    <w:rsid w:val="00A27F19"/>
    <w:rsid w:val="00A30117"/>
    <w:rsid w:val="00A30351"/>
    <w:rsid w:val="00A30730"/>
    <w:rsid w:val="00A30D87"/>
    <w:rsid w:val="00A30DEC"/>
    <w:rsid w:val="00A311B3"/>
    <w:rsid w:val="00A313CB"/>
    <w:rsid w:val="00A314FB"/>
    <w:rsid w:val="00A32143"/>
    <w:rsid w:val="00A32923"/>
    <w:rsid w:val="00A3296A"/>
    <w:rsid w:val="00A32C8F"/>
    <w:rsid w:val="00A32EE1"/>
    <w:rsid w:val="00A33684"/>
    <w:rsid w:val="00A33FE0"/>
    <w:rsid w:val="00A344BF"/>
    <w:rsid w:val="00A3489C"/>
    <w:rsid w:val="00A3515F"/>
    <w:rsid w:val="00A3691B"/>
    <w:rsid w:val="00A36D53"/>
    <w:rsid w:val="00A400B3"/>
    <w:rsid w:val="00A401A7"/>
    <w:rsid w:val="00A40A8C"/>
    <w:rsid w:val="00A40B13"/>
    <w:rsid w:val="00A41E0C"/>
    <w:rsid w:val="00A42977"/>
    <w:rsid w:val="00A4342D"/>
    <w:rsid w:val="00A43947"/>
    <w:rsid w:val="00A43DDA"/>
    <w:rsid w:val="00A43E20"/>
    <w:rsid w:val="00A43E9D"/>
    <w:rsid w:val="00A44164"/>
    <w:rsid w:val="00A4445E"/>
    <w:rsid w:val="00A4472F"/>
    <w:rsid w:val="00A44AE5"/>
    <w:rsid w:val="00A45599"/>
    <w:rsid w:val="00A457C0"/>
    <w:rsid w:val="00A46500"/>
    <w:rsid w:val="00A46634"/>
    <w:rsid w:val="00A47921"/>
    <w:rsid w:val="00A50264"/>
    <w:rsid w:val="00A5027C"/>
    <w:rsid w:val="00A5070D"/>
    <w:rsid w:val="00A50AD2"/>
    <w:rsid w:val="00A51120"/>
    <w:rsid w:val="00A5275C"/>
    <w:rsid w:val="00A529A1"/>
    <w:rsid w:val="00A52F7D"/>
    <w:rsid w:val="00A5331A"/>
    <w:rsid w:val="00A5379B"/>
    <w:rsid w:val="00A544B1"/>
    <w:rsid w:val="00A549B8"/>
    <w:rsid w:val="00A54BFC"/>
    <w:rsid w:val="00A54C45"/>
    <w:rsid w:val="00A54CC7"/>
    <w:rsid w:val="00A550DE"/>
    <w:rsid w:val="00A556A0"/>
    <w:rsid w:val="00A55A45"/>
    <w:rsid w:val="00A55A4A"/>
    <w:rsid w:val="00A56B18"/>
    <w:rsid w:val="00A56B30"/>
    <w:rsid w:val="00A56B9A"/>
    <w:rsid w:val="00A56DBA"/>
    <w:rsid w:val="00A56F5E"/>
    <w:rsid w:val="00A570F9"/>
    <w:rsid w:val="00A5727E"/>
    <w:rsid w:val="00A57C1E"/>
    <w:rsid w:val="00A57CBF"/>
    <w:rsid w:val="00A60A1B"/>
    <w:rsid w:val="00A60DFD"/>
    <w:rsid w:val="00A60F3F"/>
    <w:rsid w:val="00A61055"/>
    <w:rsid w:val="00A6212F"/>
    <w:rsid w:val="00A62706"/>
    <w:rsid w:val="00A627D4"/>
    <w:rsid w:val="00A62B08"/>
    <w:rsid w:val="00A62EDB"/>
    <w:rsid w:val="00A63860"/>
    <w:rsid w:val="00A63960"/>
    <w:rsid w:val="00A63FC1"/>
    <w:rsid w:val="00A64EC4"/>
    <w:rsid w:val="00A652E5"/>
    <w:rsid w:val="00A65367"/>
    <w:rsid w:val="00A654E9"/>
    <w:rsid w:val="00A66A2E"/>
    <w:rsid w:val="00A66D36"/>
    <w:rsid w:val="00A67630"/>
    <w:rsid w:val="00A67DE3"/>
    <w:rsid w:val="00A67ED1"/>
    <w:rsid w:val="00A67F78"/>
    <w:rsid w:val="00A70B94"/>
    <w:rsid w:val="00A70F93"/>
    <w:rsid w:val="00A715F9"/>
    <w:rsid w:val="00A716D1"/>
    <w:rsid w:val="00A71872"/>
    <w:rsid w:val="00A71A2E"/>
    <w:rsid w:val="00A72705"/>
    <w:rsid w:val="00A72728"/>
    <w:rsid w:val="00A727D7"/>
    <w:rsid w:val="00A72AC7"/>
    <w:rsid w:val="00A73538"/>
    <w:rsid w:val="00A73A29"/>
    <w:rsid w:val="00A73AFA"/>
    <w:rsid w:val="00A73C75"/>
    <w:rsid w:val="00A74820"/>
    <w:rsid w:val="00A74A6F"/>
    <w:rsid w:val="00A7583D"/>
    <w:rsid w:val="00A75CD5"/>
    <w:rsid w:val="00A762D6"/>
    <w:rsid w:val="00A76747"/>
    <w:rsid w:val="00A76934"/>
    <w:rsid w:val="00A76DF8"/>
    <w:rsid w:val="00A7717A"/>
    <w:rsid w:val="00A77CA5"/>
    <w:rsid w:val="00A80620"/>
    <w:rsid w:val="00A80C0A"/>
    <w:rsid w:val="00A8162E"/>
    <w:rsid w:val="00A8173B"/>
    <w:rsid w:val="00A82004"/>
    <w:rsid w:val="00A8291F"/>
    <w:rsid w:val="00A82EF1"/>
    <w:rsid w:val="00A83945"/>
    <w:rsid w:val="00A8440D"/>
    <w:rsid w:val="00A84C51"/>
    <w:rsid w:val="00A85022"/>
    <w:rsid w:val="00A85C2D"/>
    <w:rsid w:val="00A864D7"/>
    <w:rsid w:val="00A8662F"/>
    <w:rsid w:val="00A87308"/>
    <w:rsid w:val="00A9055F"/>
    <w:rsid w:val="00A91C3C"/>
    <w:rsid w:val="00A92924"/>
    <w:rsid w:val="00A92D10"/>
    <w:rsid w:val="00A9301D"/>
    <w:rsid w:val="00A934D3"/>
    <w:rsid w:val="00A939FA"/>
    <w:rsid w:val="00A93E9C"/>
    <w:rsid w:val="00A945A5"/>
    <w:rsid w:val="00A948F4"/>
    <w:rsid w:val="00A94D08"/>
    <w:rsid w:val="00A96651"/>
    <w:rsid w:val="00A96D62"/>
    <w:rsid w:val="00A96FFC"/>
    <w:rsid w:val="00AA02E1"/>
    <w:rsid w:val="00AA0312"/>
    <w:rsid w:val="00AA0983"/>
    <w:rsid w:val="00AA0C03"/>
    <w:rsid w:val="00AA0FD5"/>
    <w:rsid w:val="00AA10C3"/>
    <w:rsid w:val="00AA140F"/>
    <w:rsid w:val="00AA1489"/>
    <w:rsid w:val="00AA17E3"/>
    <w:rsid w:val="00AA18B1"/>
    <w:rsid w:val="00AA18BD"/>
    <w:rsid w:val="00AA220D"/>
    <w:rsid w:val="00AA2715"/>
    <w:rsid w:val="00AA29C3"/>
    <w:rsid w:val="00AA2E12"/>
    <w:rsid w:val="00AA3177"/>
    <w:rsid w:val="00AA31A4"/>
    <w:rsid w:val="00AA3AE4"/>
    <w:rsid w:val="00AA3EBF"/>
    <w:rsid w:val="00AA3FBD"/>
    <w:rsid w:val="00AA4497"/>
    <w:rsid w:val="00AA453F"/>
    <w:rsid w:val="00AA467D"/>
    <w:rsid w:val="00AA4DAE"/>
    <w:rsid w:val="00AA5B22"/>
    <w:rsid w:val="00AA610A"/>
    <w:rsid w:val="00AA6612"/>
    <w:rsid w:val="00AA6C7A"/>
    <w:rsid w:val="00AA78C8"/>
    <w:rsid w:val="00AA7A02"/>
    <w:rsid w:val="00AA7A9A"/>
    <w:rsid w:val="00AB045F"/>
    <w:rsid w:val="00AB178C"/>
    <w:rsid w:val="00AB199B"/>
    <w:rsid w:val="00AB1A0F"/>
    <w:rsid w:val="00AB2A68"/>
    <w:rsid w:val="00AB3C87"/>
    <w:rsid w:val="00AB4A21"/>
    <w:rsid w:val="00AB4C37"/>
    <w:rsid w:val="00AB4FAA"/>
    <w:rsid w:val="00AB51A0"/>
    <w:rsid w:val="00AB5259"/>
    <w:rsid w:val="00AB5890"/>
    <w:rsid w:val="00AB5BA9"/>
    <w:rsid w:val="00AB5BEA"/>
    <w:rsid w:val="00AB6012"/>
    <w:rsid w:val="00AB60B5"/>
    <w:rsid w:val="00AB60F8"/>
    <w:rsid w:val="00AB742A"/>
    <w:rsid w:val="00AB7848"/>
    <w:rsid w:val="00AB7AFE"/>
    <w:rsid w:val="00AB7B78"/>
    <w:rsid w:val="00AC0221"/>
    <w:rsid w:val="00AC04E4"/>
    <w:rsid w:val="00AC113B"/>
    <w:rsid w:val="00AC1C55"/>
    <w:rsid w:val="00AC1CD1"/>
    <w:rsid w:val="00AC21E2"/>
    <w:rsid w:val="00AC288A"/>
    <w:rsid w:val="00AC2C13"/>
    <w:rsid w:val="00AC2FAC"/>
    <w:rsid w:val="00AC341C"/>
    <w:rsid w:val="00AC35D0"/>
    <w:rsid w:val="00AC3C36"/>
    <w:rsid w:val="00AC3C7B"/>
    <w:rsid w:val="00AC4485"/>
    <w:rsid w:val="00AC4880"/>
    <w:rsid w:val="00AC48FE"/>
    <w:rsid w:val="00AC4DCD"/>
    <w:rsid w:val="00AC5015"/>
    <w:rsid w:val="00AC51A8"/>
    <w:rsid w:val="00AC5830"/>
    <w:rsid w:val="00AC5EC1"/>
    <w:rsid w:val="00AC6090"/>
    <w:rsid w:val="00AC6299"/>
    <w:rsid w:val="00AC6566"/>
    <w:rsid w:val="00AC68C6"/>
    <w:rsid w:val="00AC7241"/>
    <w:rsid w:val="00AD018E"/>
    <w:rsid w:val="00AD0479"/>
    <w:rsid w:val="00AD0A63"/>
    <w:rsid w:val="00AD0B48"/>
    <w:rsid w:val="00AD1055"/>
    <w:rsid w:val="00AD114D"/>
    <w:rsid w:val="00AD18FC"/>
    <w:rsid w:val="00AD19B7"/>
    <w:rsid w:val="00AD1E95"/>
    <w:rsid w:val="00AD1F76"/>
    <w:rsid w:val="00AD2377"/>
    <w:rsid w:val="00AD305C"/>
    <w:rsid w:val="00AD3B89"/>
    <w:rsid w:val="00AD3DE1"/>
    <w:rsid w:val="00AD3F00"/>
    <w:rsid w:val="00AD4044"/>
    <w:rsid w:val="00AD41AC"/>
    <w:rsid w:val="00AD55CE"/>
    <w:rsid w:val="00AD568E"/>
    <w:rsid w:val="00AD5702"/>
    <w:rsid w:val="00AD5CD5"/>
    <w:rsid w:val="00AD758E"/>
    <w:rsid w:val="00AD7ADE"/>
    <w:rsid w:val="00AD7EE3"/>
    <w:rsid w:val="00AE011C"/>
    <w:rsid w:val="00AE0140"/>
    <w:rsid w:val="00AE02ED"/>
    <w:rsid w:val="00AE1503"/>
    <w:rsid w:val="00AE165C"/>
    <w:rsid w:val="00AE1842"/>
    <w:rsid w:val="00AE1D32"/>
    <w:rsid w:val="00AE2109"/>
    <w:rsid w:val="00AE27B6"/>
    <w:rsid w:val="00AE280D"/>
    <w:rsid w:val="00AE29EC"/>
    <w:rsid w:val="00AE2CA3"/>
    <w:rsid w:val="00AE33B4"/>
    <w:rsid w:val="00AE3860"/>
    <w:rsid w:val="00AE397E"/>
    <w:rsid w:val="00AE3A04"/>
    <w:rsid w:val="00AE3BC2"/>
    <w:rsid w:val="00AE3E42"/>
    <w:rsid w:val="00AE417B"/>
    <w:rsid w:val="00AE421F"/>
    <w:rsid w:val="00AE5213"/>
    <w:rsid w:val="00AE5575"/>
    <w:rsid w:val="00AE5685"/>
    <w:rsid w:val="00AE5A13"/>
    <w:rsid w:val="00AE5A49"/>
    <w:rsid w:val="00AE66CF"/>
    <w:rsid w:val="00AE6A41"/>
    <w:rsid w:val="00AE70A7"/>
    <w:rsid w:val="00AE77FA"/>
    <w:rsid w:val="00AE7B1C"/>
    <w:rsid w:val="00AE7E4C"/>
    <w:rsid w:val="00AE7F36"/>
    <w:rsid w:val="00AF068D"/>
    <w:rsid w:val="00AF0FD1"/>
    <w:rsid w:val="00AF1388"/>
    <w:rsid w:val="00AF1634"/>
    <w:rsid w:val="00AF1EF9"/>
    <w:rsid w:val="00AF1F65"/>
    <w:rsid w:val="00AF1FDD"/>
    <w:rsid w:val="00AF2042"/>
    <w:rsid w:val="00AF2510"/>
    <w:rsid w:val="00AF272C"/>
    <w:rsid w:val="00AF291A"/>
    <w:rsid w:val="00AF2D9E"/>
    <w:rsid w:val="00AF37AA"/>
    <w:rsid w:val="00AF3A9E"/>
    <w:rsid w:val="00AF3D44"/>
    <w:rsid w:val="00AF4433"/>
    <w:rsid w:val="00AF497D"/>
    <w:rsid w:val="00AF54CA"/>
    <w:rsid w:val="00AF56C1"/>
    <w:rsid w:val="00AF59D7"/>
    <w:rsid w:val="00AF63F5"/>
    <w:rsid w:val="00AF6728"/>
    <w:rsid w:val="00AF6B62"/>
    <w:rsid w:val="00AF6C50"/>
    <w:rsid w:val="00AF6F3C"/>
    <w:rsid w:val="00AF7B9A"/>
    <w:rsid w:val="00B00E4A"/>
    <w:rsid w:val="00B010D0"/>
    <w:rsid w:val="00B01AE6"/>
    <w:rsid w:val="00B01F45"/>
    <w:rsid w:val="00B02E52"/>
    <w:rsid w:val="00B02F2A"/>
    <w:rsid w:val="00B02F38"/>
    <w:rsid w:val="00B02FCF"/>
    <w:rsid w:val="00B03005"/>
    <w:rsid w:val="00B03CFB"/>
    <w:rsid w:val="00B041ED"/>
    <w:rsid w:val="00B041FB"/>
    <w:rsid w:val="00B04641"/>
    <w:rsid w:val="00B04B63"/>
    <w:rsid w:val="00B04C2A"/>
    <w:rsid w:val="00B04E6A"/>
    <w:rsid w:val="00B05349"/>
    <w:rsid w:val="00B05815"/>
    <w:rsid w:val="00B0634B"/>
    <w:rsid w:val="00B07030"/>
    <w:rsid w:val="00B0717D"/>
    <w:rsid w:val="00B07408"/>
    <w:rsid w:val="00B07527"/>
    <w:rsid w:val="00B076E7"/>
    <w:rsid w:val="00B0782C"/>
    <w:rsid w:val="00B07956"/>
    <w:rsid w:val="00B07FD9"/>
    <w:rsid w:val="00B10367"/>
    <w:rsid w:val="00B10947"/>
    <w:rsid w:val="00B11A3D"/>
    <w:rsid w:val="00B12CF6"/>
    <w:rsid w:val="00B1311C"/>
    <w:rsid w:val="00B13A84"/>
    <w:rsid w:val="00B15098"/>
    <w:rsid w:val="00B15234"/>
    <w:rsid w:val="00B1542B"/>
    <w:rsid w:val="00B157D7"/>
    <w:rsid w:val="00B1623F"/>
    <w:rsid w:val="00B167A4"/>
    <w:rsid w:val="00B16AA1"/>
    <w:rsid w:val="00B16D6A"/>
    <w:rsid w:val="00B170C5"/>
    <w:rsid w:val="00B17C00"/>
    <w:rsid w:val="00B17CFE"/>
    <w:rsid w:val="00B17FEE"/>
    <w:rsid w:val="00B200E1"/>
    <w:rsid w:val="00B20349"/>
    <w:rsid w:val="00B20996"/>
    <w:rsid w:val="00B20D0B"/>
    <w:rsid w:val="00B218DF"/>
    <w:rsid w:val="00B21D51"/>
    <w:rsid w:val="00B22D7B"/>
    <w:rsid w:val="00B23397"/>
    <w:rsid w:val="00B23C31"/>
    <w:rsid w:val="00B23D65"/>
    <w:rsid w:val="00B2412E"/>
    <w:rsid w:val="00B248E5"/>
    <w:rsid w:val="00B24BD7"/>
    <w:rsid w:val="00B25311"/>
    <w:rsid w:val="00B2561C"/>
    <w:rsid w:val="00B2587E"/>
    <w:rsid w:val="00B260FD"/>
    <w:rsid w:val="00B26237"/>
    <w:rsid w:val="00B26387"/>
    <w:rsid w:val="00B263C7"/>
    <w:rsid w:val="00B2656C"/>
    <w:rsid w:val="00B26D87"/>
    <w:rsid w:val="00B27196"/>
    <w:rsid w:val="00B276A0"/>
    <w:rsid w:val="00B27B24"/>
    <w:rsid w:val="00B27D44"/>
    <w:rsid w:val="00B303AC"/>
    <w:rsid w:val="00B3077E"/>
    <w:rsid w:val="00B3159F"/>
    <w:rsid w:val="00B31615"/>
    <w:rsid w:val="00B316A9"/>
    <w:rsid w:val="00B32288"/>
    <w:rsid w:val="00B327F4"/>
    <w:rsid w:val="00B32ACB"/>
    <w:rsid w:val="00B32F2A"/>
    <w:rsid w:val="00B33004"/>
    <w:rsid w:val="00B3377B"/>
    <w:rsid w:val="00B33815"/>
    <w:rsid w:val="00B3435A"/>
    <w:rsid w:val="00B3480E"/>
    <w:rsid w:val="00B34C59"/>
    <w:rsid w:val="00B34C74"/>
    <w:rsid w:val="00B35186"/>
    <w:rsid w:val="00B35BC0"/>
    <w:rsid w:val="00B36596"/>
    <w:rsid w:val="00B36DC7"/>
    <w:rsid w:val="00B36F7E"/>
    <w:rsid w:val="00B37235"/>
    <w:rsid w:val="00B37389"/>
    <w:rsid w:val="00B37837"/>
    <w:rsid w:val="00B37A8C"/>
    <w:rsid w:val="00B37A8F"/>
    <w:rsid w:val="00B37D37"/>
    <w:rsid w:val="00B404FF"/>
    <w:rsid w:val="00B4070C"/>
    <w:rsid w:val="00B40B1E"/>
    <w:rsid w:val="00B413BA"/>
    <w:rsid w:val="00B42133"/>
    <w:rsid w:val="00B426FD"/>
    <w:rsid w:val="00B42DB7"/>
    <w:rsid w:val="00B43C90"/>
    <w:rsid w:val="00B443E2"/>
    <w:rsid w:val="00B449FD"/>
    <w:rsid w:val="00B45C85"/>
    <w:rsid w:val="00B46792"/>
    <w:rsid w:val="00B46EF7"/>
    <w:rsid w:val="00B47088"/>
    <w:rsid w:val="00B473DB"/>
    <w:rsid w:val="00B501B5"/>
    <w:rsid w:val="00B503D2"/>
    <w:rsid w:val="00B504B6"/>
    <w:rsid w:val="00B51238"/>
    <w:rsid w:val="00B51F8D"/>
    <w:rsid w:val="00B5287D"/>
    <w:rsid w:val="00B52A03"/>
    <w:rsid w:val="00B53209"/>
    <w:rsid w:val="00B538A5"/>
    <w:rsid w:val="00B5399D"/>
    <w:rsid w:val="00B53CD1"/>
    <w:rsid w:val="00B54A67"/>
    <w:rsid w:val="00B54D39"/>
    <w:rsid w:val="00B55AF3"/>
    <w:rsid w:val="00B5656D"/>
    <w:rsid w:val="00B56962"/>
    <w:rsid w:val="00B569EC"/>
    <w:rsid w:val="00B56FC3"/>
    <w:rsid w:val="00B5709A"/>
    <w:rsid w:val="00B60138"/>
    <w:rsid w:val="00B613E1"/>
    <w:rsid w:val="00B6162C"/>
    <w:rsid w:val="00B61B87"/>
    <w:rsid w:val="00B6255F"/>
    <w:rsid w:val="00B62BB3"/>
    <w:rsid w:val="00B63C14"/>
    <w:rsid w:val="00B6404C"/>
    <w:rsid w:val="00B64262"/>
    <w:rsid w:val="00B642F6"/>
    <w:rsid w:val="00B6494F"/>
    <w:rsid w:val="00B64ECD"/>
    <w:rsid w:val="00B64F79"/>
    <w:rsid w:val="00B6575E"/>
    <w:rsid w:val="00B659F7"/>
    <w:rsid w:val="00B65A0A"/>
    <w:rsid w:val="00B65DDD"/>
    <w:rsid w:val="00B65F1E"/>
    <w:rsid w:val="00B66296"/>
    <w:rsid w:val="00B66CE6"/>
    <w:rsid w:val="00B67281"/>
    <w:rsid w:val="00B67CFF"/>
    <w:rsid w:val="00B701B0"/>
    <w:rsid w:val="00B70765"/>
    <w:rsid w:val="00B710C6"/>
    <w:rsid w:val="00B71428"/>
    <w:rsid w:val="00B71515"/>
    <w:rsid w:val="00B717FD"/>
    <w:rsid w:val="00B72407"/>
    <w:rsid w:val="00B72547"/>
    <w:rsid w:val="00B727D1"/>
    <w:rsid w:val="00B72D51"/>
    <w:rsid w:val="00B72E1F"/>
    <w:rsid w:val="00B73227"/>
    <w:rsid w:val="00B73387"/>
    <w:rsid w:val="00B735B1"/>
    <w:rsid w:val="00B74544"/>
    <w:rsid w:val="00B7485D"/>
    <w:rsid w:val="00B74AB9"/>
    <w:rsid w:val="00B75480"/>
    <w:rsid w:val="00B7583F"/>
    <w:rsid w:val="00B7703E"/>
    <w:rsid w:val="00B77489"/>
    <w:rsid w:val="00B8090C"/>
    <w:rsid w:val="00B80F42"/>
    <w:rsid w:val="00B81120"/>
    <w:rsid w:val="00B815B3"/>
    <w:rsid w:val="00B81A92"/>
    <w:rsid w:val="00B81B05"/>
    <w:rsid w:val="00B824F9"/>
    <w:rsid w:val="00B82AE5"/>
    <w:rsid w:val="00B82FFA"/>
    <w:rsid w:val="00B8329E"/>
    <w:rsid w:val="00B835F9"/>
    <w:rsid w:val="00B8402F"/>
    <w:rsid w:val="00B849DC"/>
    <w:rsid w:val="00B849FE"/>
    <w:rsid w:val="00B84F01"/>
    <w:rsid w:val="00B86DA6"/>
    <w:rsid w:val="00B86DF5"/>
    <w:rsid w:val="00B871BE"/>
    <w:rsid w:val="00B87235"/>
    <w:rsid w:val="00B87269"/>
    <w:rsid w:val="00B876CD"/>
    <w:rsid w:val="00B900D1"/>
    <w:rsid w:val="00B905E0"/>
    <w:rsid w:val="00B9080E"/>
    <w:rsid w:val="00B90AFC"/>
    <w:rsid w:val="00B90B37"/>
    <w:rsid w:val="00B90BC3"/>
    <w:rsid w:val="00B9253E"/>
    <w:rsid w:val="00B92E2B"/>
    <w:rsid w:val="00B92FA7"/>
    <w:rsid w:val="00B933AD"/>
    <w:rsid w:val="00B93516"/>
    <w:rsid w:val="00B93793"/>
    <w:rsid w:val="00B93EB3"/>
    <w:rsid w:val="00B94CDF"/>
    <w:rsid w:val="00B94E1F"/>
    <w:rsid w:val="00B950C7"/>
    <w:rsid w:val="00B956AB"/>
    <w:rsid w:val="00B95F3E"/>
    <w:rsid w:val="00B9649F"/>
    <w:rsid w:val="00B96D43"/>
    <w:rsid w:val="00B96D62"/>
    <w:rsid w:val="00B96F60"/>
    <w:rsid w:val="00B97428"/>
    <w:rsid w:val="00B97873"/>
    <w:rsid w:val="00BA1941"/>
    <w:rsid w:val="00BA1C2F"/>
    <w:rsid w:val="00BA29C7"/>
    <w:rsid w:val="00BA30E3"/>
    <w:rsid w:val="00BA3139"/>
    <w:rsid w:val="00BA3160"/>
    <w:rsid w:val="00BA3578"/>
    <w:rsid w:val="00BA3E49"/>
    <w:rsid w:val="00BA3EB1"/>
    <w:rsid w:val="00BA4371"/>
    <w:rsid w:val="00BA4528"/>
    <w:rsid w:val="00BA5102"/>
    <w:rsid w:val="00BA54C8"/>
    <w:rsid w:val="00BA5807"/>
    <w:rsid w:val="00BA5A15"/>
    <w:rsid w:val="00BA5A6D"/>
    <w:rsid w:val="00BA5C5D"/>
    <w:rsid w:val="00BA5ED9"/>
    <w:rsid w:val="00BA609C"/>
    <w:rsid w:val="00BA621D"/>
    <w:rsid w:val="00BA6C81"/>
    <w:rsid w:val="00BA6CBA"/>
    <w:rsid w:val="00BA76C5"/>
    <w:rsid w:val="00BA7C9D"/>
    <w:rsid w:val="00BA7F8E"/>
    <w:rsid w:val="00BB0857"/>
    <w:rsid w:val="00BB1210"/>
    <w:rsid w:val="00BB1262"/>
    <w:rsid w:val="00BB13B6"/>
    <w:rsid w:val="00BB156E"/>
    <w:rsid w:val="00BB17E8"/>
    <w:rsid w:val="00BB1CB1"/>
    <w:rsid w:val="00BB23F3"/>
    <w:rsid w:val="00BB245A"/>
    <w:rsid w:val="00BB2500"/>
    <w:rsid w:val="00BB2A4D"/>
    <w:rsid w:val="00BB2DAA"/>
    <w:rsid w:val="00BB2FB7"/>
    <w:rsid w:val="00BB2FF8"/>
    <w:rsid w:val="00BB34A6"/>
    <w:rsid w:val="00BB3F3B"/>
    <w:rsid w:val="00BB42B4"/>
    <w:rsid w:val="00BB4733"/>
    <w:rsid w:val="00BB4785"/>
    <w:rsid w:val="00BB4F6D"/>
    <w:rsid w:val="00BB50EB"/>
    <w:rsid w:val="00BB550D"/>
    <w:rsid w:val="00BB593C"/>
    <w:rsid w:val="00BB608A"/>
    <w:rsid w:val="00BB6549"/>
    <w:rsid w:val="00BB6657"/>
    <w:rsid w:val="00BB7461"/>
    <w:rsid w:val="00BB75E8"/>
    <w:rsid w:val="00BC04F0"/>
    <w:rsid w:val="00BC1AD9"/>
    <w:rsid w:val="00BC236E"/>
    <w:rsid w:val="00BC27B0"/>
    <w:rsid w:val="00BC336F"/>
    <w:rsid w:val="00BC4516"/>
    <w:rsid w:val="00BC4C9E"/>
    <w:rsid w:val="00BC56C9"/>
    <w:rsid w:val="00BC60B8"/>
    <w:rsid w:val="00BC6BA4"/>
    <w:rsid w:val="00BC71B4"/>
    <w:rsid w:val="00BC7F73"/>
    <w:rsid w:val="00BD0744"/>
    <w:rsid w:val="00BD078C"/>
    <w:rsid w:val="00BD08BD"/>
    <w:rsid w:val="00BD0C06"/>
    <w:rsid w:val="00BD0DAF"/>
    <w:rsid w:val="00BD0E24"/>
    <w:rsid w:val="00BD1814"/>
    <w:rsid w:val="00BD1B5A"/>
    <w:rsid w:val="00BD1F03"/>
    <w:rsid w:val="00BD304B"/>
    <w:rsid w:val="00BD38EF"/>
    <w:rsid w:val="00BD3EFD"/>
    <w:rsid w:val="00BD3F69"/>
    <w:rsid w:val="00BD435C"/>
    <w:rsid w:val="00BD532A"/>
    <w:rsid w:val="00BD586A"/>
    <w:rsid w:val="00BD730E"/>
    <w:rsid w:val="00BD7552"/>
    <w:rsid w:val="00BE0DA6"/>
    <w:rsid w:val="00BE1A1F"/>
    <w:rsid w:val="00BE210A"/>
    <w:rsid w:val="00BE22B2"/>
    <w:rsid w:val="00BE24BB"/>
    <w:rsid w:val="00BE269A"/>
    <w:rsid w:val="00BE290A"/>
    <w:rsid w:val="00BE2A57"/>
    <w:rsid w:val="00BE30FA"/>
    <w:rsid w:val="00BE335E"/>
    <w:rsid w:val="00BE35DE"/>
    <w:rsid w:val="00BE362B"/>
    <w:rsid w:val="00BE485E"/>
    <w:rsid w:val="00BE49FF"/>
    <w:rsid w:val="00BE53FD"/>
    <w:rsid w:val="00BE5C6A"/>
    <w:rsid w:val="00BE5C71"/>
    <w:rsid w:val="00BE694D"/>
    <w:rsid w:val="00BE6C93"/>
    <w:rsid w:val="00BE70B8"/>
    <w:rsid w:val="00BE7790"/>
    <w:rsid w:val="00BF08BE"/>
    <w:rsid w:val="00BF0D41"/>
    <w:rsid w:val="00BF19DF"/>
    <w:rsid w:val="00BF2477"/>
    <w:rsid w:val="00BF25D9"/>
    <w:rsid w:val="00BF2EFB"/>
    <w:rsid w:val="00BF31BA"/>
    <w:rsid w:val="00BF3470"/>
    <w:rsid w:val="00BF4529"/>
    <w:rsid w:val="00BF47DA"/>
    <w:rsid w:val="00BF4D42"/>
    <w:rsid w:val="00BF551D"/>
    <w:rsid w:val="00BF5C75"/>
    <w:rsid w:val="00BF60E8"/>
    <w:rsid w:val="00BF61B4"/>
    <w:rsid w:val="00BF62A2"/>
    <w:rsid w:val="00BF6AD2"/>
    <w:rsid w:val="00BF7531"/>
    <w:rsid w:val="00BF77B9"/>
    <w:rsid w:val="00BF7AE9"/>
    <w:rsid w:val="00C00769"/>
    <w:rsid w:val="00C01249"/>
    <w:rsid w:val="00C01730"/>
    <w:rsid w:val="00C025B0"/>
    <w:rsid w:val="00C02AF7"/>
    <w:rsid w:val="00C031C4"/>
    <w:rsid w:val="00C04466"/>
    <w:rsid w:val="00C04AAD"/>
    <w:rsid w:val="00C04C98"/>
    <w:rsid w:val="00C05EF1"/>
    <w:rsid w:val="00C06FEA"/>
    <w:rsid w:val="00C07A40"/>
    <w:rsid w:val="00C07BAD"/>
    <w:rsid w:val="00C07BCF"/>
    <w:rsid w:val="00C10427"/>
    <w:rsid w:val="00C110AE"/>
    <w:rsid w:val="00C11D18"/>
    <w:rsid w:val="00C11F3B"/>
    <w:rsid w:val="00C12268"/>
    <w:rsid w:val="00C12C6C"/>
    <w:rsid w:val="00C136AB"/>
    <w:rsid w:val="00C136F8"/>
    <w:rsid w:val="00C13739"/>
    <w:rsid w:val="00C13823"/>
    <w:rsid w:val="00C1384D"/>
    <w:rsid w:val="00C13F73"/>
    <w:rsid w:val="00C14655"/>
    <w:rsid w:val="00C146F7"/>
    <w:rsid w:val="00C1494C"/>
    <w:rsid w:val="00C14C1A"/>
    <w:rsid w:val="00C15718"/>
    <w:rsid w:val="00C159B1"/>
    <w:rsid w:val="00C17415"/>
    <w:rsid w:val="00C17F24"/>
    <w:rsid w:val="00C200AA"/>
    <w:rsid w:val="00C2079E"/>
    <w:rsid w:val="00C209B8"/>
    <w:rsid w:val="00C20EDE"/>
    <w:rsid w:val="00C20FE8"/>
    <w:rsid w:val="00C214EE"/>
    <w:rsid w:val="00C21BE9"/>
    <w:rsid w:val="00C21FA4"/>
    <w:rsid w:val="00C22056"/>
    <w:rsid w:val="00C2227A"/>
    <w:rsid w:val="00C22ABF"/>
    <w:rsid w:val="00C2347C"/>
    <w:rsid w:val="00C23652"/>
    <w:rsid w:val="00C237F6"/>
    <w:rsid w:val="00C23D4A"/>
    <w:rsid w:val="00C242A3"/>
    <w:rsid w:val="00C24395"/>
    <w:rsid w:val="00C255E4"/>
    <w:rsid w:val="00C25B18"/>
    <w:rsid w:val="00C26517"/>
    <w:rsid w:val="00C26849"/>
    <w:rsid w:val="00C26BAF"/>
    <w:rsid w:val="00C26C27"/>
    <w:rsid w:val="00C300AE"/>
    <w:rsid w:val="00C303B4"/>
    <w:rsid w:val="00C307B4"/>
    <w:rsid w:val="00C3188A"/>
    <w:rsid w:val="00C31B4E"/>
    <w:rsid w:val="00C325AF"/>
    <w:rsid w:val="00C3326C"/>
    <w:rsid w:val="00C33762"/>
    <w:rsid w:val="00C33CA1"/>
    <w:rsid w:val="00C33F27"/>
    <w:rsid w:val="00C34D6A"/>
    <w:rsid w:val="00C35F88"/>
    <w:rsid w:val="00C36CD6"/>
    <w:rsid w:val="00C36E53"/>
    <w:rsid w:val="00C37512"/>
    <w:rsid w:val="00C37CE1"/>
    <w:rsid w:val="00C37ED3"/>
    <w:rsid w:val="00C40CCC"/>
    <w:rsid w:val="00C40D0E"/>
    <w:rsid w:val="00C417C8"/>
    <w:rsid w:val="00C4229A"/>
    <w:rsid w:val="00C42741"/>
    <w:rsid w:val="00C42D67"/>
    <w:rsid w:val="00C43AC3"/>
    <w:rsid w:val="00C43D30"/>
    <w:rsid w:val="00C44245"/>
    <w:rsid w:val="00C44499"/>
    <w:rsid w:val="00C444BE"/>
    <w:rsid w:val="00C4450D"/>
    <w:rsid w:val="00C45270"/>
    <w:rsid w:val="00C4576A"/>
    <w:rsid w:val="00C45C25"/>
    <w:rsid w:val="00C45C61"/>
    <w:rsid w:val="00C45D9F"/>
    <w:rsid w:val="00C46158"/>
    <w:rsid w:val="00C462AC"/>
    <w:rsid w:val="00C46A08"/>
    <w:rsid w:val="00C46D7C"/>
    <w:rsid w:val="00C479B7"/>
    <w:rsid w:val="00C47AD1"/>
    <w:rsid w:val="00C5009E"/>
    <w:rsid w:val="00C50447"/>
    <w:rsid w:val="00C50F64"/>
    <w:rsid w:val="00C51173"/>
    <w:rsid w:val="00C515A9"/>
    <w:rsid w:val="00C51EE9"/>
    <w:rsid w:val="00C520DF"/>
    <w:rsid w:val="00C52C9F"/>
    <w:rsid w:val="00C5331E"/>
    <w:rsid w:val="00C536F3"/>
    <w:rsid w:val="00C551E4"/>
    <w:rsid w:val="00C55696"/>
    <w:rsid w:val="00C5682A"/>
    <w:rsid w:val="00C609CC"/>
    <w:rsid w:val="00C60F0F"/>
    <w:rsid w:val="00C617C1"/>
    <w:rsid w:val="00C61FCD"/>
    <w:rsid w:val="00C62B06"/>
    <w:rsid w:val="00C62BFF"/>
    <w:rsid w:val="00C62C88"/>
    <w:rsid w:val="00C62F2A"/>
    <w:rsid w:val="00C633A8"/>
    <w:rsid w:val="00C634DF"/>
    <w:rsid w:val="00C63833"/>
    <w:rsid w:val="00C6428C"/>
    <w:rsid w:val="00C6449B"/>
    <w:rsid w:val="00C64833"/>
    <w:rsid w:val="00C64CCE"/>
    <w:rsid w:val="00C64E9C"/>
    <w:rsid w:val="00C65247"/>
    <w:rsid w:val="00C656BA"/>
    <w:rsid w:val="00C66200"/>
    <w:rsid w:val="00C6629B"/>
    <w:rsid w:val="00C664AE"/>
    <w:rsid w:val="00C6653F"/>
    <w:rsid w:val="00C665F6"/>
    <w:rsid w:val="00C66FC5"/>
    <w:rsid w:val="00C675F6"/>
    <w:rsid w:val="00C67F83"/>
    <w:rsid w:val="00C7012A"/>
    <w:rsid w:val="00C7084B"/>
    <w:rsid w:val="00C713C9"/>
    <w:rsid w:val="00C7194F"/>
    <w:rsid w:val="00C71D10"/>
    <w:rsid w:val="00C725BE"/>
    <w:rsid w:val="00C726A4"/>
    <w:rsid w:val="00C72752"/>
    <w:rsid w:val="00C73775"/>
    <w:rsid w:val="00C73F98"/>
    <w:rsid w:val="00C747D0"/>
    <w:rsid w:val="00C747FA"/>
    <w:rsid w:val="00C74A76"/>
    <w:rsid w:val="00C74F6B"/>
    <w:rsid w:val="00C76002"/>
    <w:rsid w:val="00C77459"/>
    <w:rsid w:val="00C776BE"/>
    <w:rsid w:val="00C77880"/>
    <w:rsid w:val="00C80202"/>
    <w:rsid w:val="00C80569"/>
    <w:rsid w:val="00C80AFA"/>
    <w:rsid w:val="00C80F3B"/>
    <w:rsid w:val="00C81347"/>
    <w:rsid w:val="00C818E7"/>
    <w:rsid w:val="00C823A8"/>
    <w:rsid w:val="00C8280D"/>
    <w:rsid w:val="00C83062"/>
    <w:rsid w:val="00C838FE"/>
    <w:rsid w:val="00C83989"/>
    <w:rsid w:val="00C84D45"/>
    <w:rsid w:val="00C85484"/>
    <w:rsid w:val="00C85900"/>
    <w:rsid w:val="00C85FCF"/>
    <w:rsid w:val="00C8694F"/>
    <w:rsid w:val="00C901FB"/>
    <w:rsid w:val="00C90DBA"/>
    <w:rsid w:val="00C90DCE"/>
    <w:rsid w:val="00C9112B"/>
    <w:rsid w:val="00C9150A"/>
    <w:rsid w:val="00C9152C"/>
    <w:rsid w:val="00C91530"/>
    <w:rsid w:val="00C916D7"/>
    <w:rsid w:val="00C91E1B"/>
    <w:rsid w:val="00C91FAF"/>
    <w:rsid w:val="00C91FCE"/>
    <w:rsid w:val="00C9213B"/>
    <w:rsid w:val="00C92298"/>
    <w:rsid w:val="00C92385"/>
    <w:rsid w:val="00C92395"/>
    <w:rsid w:val="00C92766"/>
    <w:rsid w:val="00C92EF4"/>
    <w:rsid w:val="00C93067"/>
    <w:rsid w:val="00C933C4"/>
    <w:rsid w:val="00C935E3"/>
    <w:rsid w:val="00C93625"/>
    <w:rsid w:val="00C94225"/>
    <w:rsid w:val="00C9454A"/>
    <w:rsid w:val="00C950AC"/>
    <w:rsid w:val="00C95B4B"/>
    <w:rsid w:val="00C9613A"/>
    <w:rsid w:val="00C96158"/>
    <w:rsid w:val="00C9691C"/>
    <w:rsid w:val="00C96CCD"/>
    <w:rsid w:val="00C97019"/>
    <w:rsid w:val="00C971CE"/>
    <w:rsid w:val="00C972E9"/>
    <w:rsid w:val="00C9749C"/>
    <w:rsid w:val="00C97804"/>
    <w:rsid w:val="00C97A3A"/>
    <w:rsid w:val="00C97C8A"/>
    <w:rsid w:val="00C97F7A"/>
    <w:rsid w:val="00CA0A30"/>
    <w:rsid w:val="00CA0FF0"/>
    <w:rsid w:val="00CA1387"/>
    <w:rsid w:val="00CA1794"/>
    <w:rsid w:val="00CA28E4"/>
    <w:rsid w:val="00CA2BA1"/>
    <w:rsid w:val="00CA35F1"/>
    <w:rsid w:val="00CA46C6"/>
    <w:rsid w:val="00CA4998"/>
    <w:rsid w:val="00CA4F09"/>
    <w:rsid w:val="00CA5DE6"/>
    <w:rsid w:val="00CA6329"/>
    <w:rsid w:val="00CA6B69"/>
    <w:rsid w:val="00CA6E0C"/>
    <w:rsid w:val="00CA6E45"/>
    <w:rsid w:val="00CA712B"/>
    <w:rsid w:val="00CA7217"/>
    <w:rsid w:val="00CA72F1"/>
    <w:rsid w:val="00CB1878"/>
    <w:rsid w:val="00CB1957"/>
    <w:rsid w:val="00CB1A14"/>
    <w:rsid w:val="00CB1C7E"/>
    <w:rsid w:val="00CB1CF0"/>
    <w:rsid w:val="00CB2493"/>
    <w:rsid w:val="00CB2DF9"/>
    <w:rsid w:val="00CB3185"/>
    <w:rsid w:val="00CB36AA"/>
    <w:rsid w:val="00CB3712"/>
    <w:rsid w:val="00CB3720"/>
    <w:rsid w:val="00CB39C9"/>
    <w:rsid w:val="00CB3A7B"/>
    <w:rsid w:val="00CB4490"/>
    <w:rsid w:val="00CB4712"/>
    <w:rsid w:val="00CB4AF1"/>
    <w:rsid w:val="00CB5857"/>
    <w:rsid w:val="00CB5A59"/>
    <w:rsid w:val="00CC0B6F"/>
    <w:rsid w:val="00CC0D96"/>
    <w:rsid w:val="00CC0F74"/>
    <w:rsid w:val="00CC10D1"/>
    <w:rsid w:val="00CC2003"/>
    <w:rsid w:val="00CC3135"/>
    <w:rsid w:val="00CC34DC"/>
    <w:rsid w:val="00CC3741"/>
    <w:rsid w:val="00CC376D"/>
    <w:rsid w:val="00CC423B"/>
    <w:rsid w:val="00CC544A"/>
    <w:rsid w:val="00CC54DC"/>
    <w:rsid w:val="00CC5A42"/>
    <w:rsid w:val="00CC64E8"/>
    <w:rsid w:val="00CC6CB2"/>
    <w:rsid w:val="00CC6E32"/>
    <w:rsid w:val="00CC75EF"/>
    <w:rsid w:val="00CC7BE3"/>
    <w:rsid w:val="00CD01D9"/>
    <w:rsid w:val="00CD0B0D"/>
    <w:rsid w:val="00CD1111"/>
    <w:rsid w:val="00CD221E"/>
    <w:rsid w:val="00CD2E41"/>
    <w:rsid w:val="00CD32A2"/>
    <w:rsid w:val="00CD388F"/>
    <w:rsid w:val="00CD468B"/>
    <w:rsid w:val="00CD48B0"/>
    <w:rsid w:val="00CD4BE1"/>
    <w:rsid w:val="00CD4CBC"/>
    <w:rsid w:val="00CD4E15"/>
    <w:rsid w:val="00CD5821"/>
    <w:rsid w:val="00CD5FC0"/>
    <w:rsid w:val="00CD5FFA"/>
    <w:rsid w:val="00CD61D4"/>
    <w:rsid w:val="00CE077E"/>
    <w:rsid w:val="00CE08D6"/>
    <w:rsid w:val="00CE0A1A"/>
    <w:rsid w:val="00CE0A2D"/>
    <w:rsid w:val="00CE1097"/>
    <w:rsid w:val="00CE1272"/>
    <w:rsid w:val="00CE13C8"/>
    <w:rsid w:val="00CE16A1"/>
    <w:rsid w:val="00CE174A"/>
    <w:rsid w:val="00CE17AF"/>
    <w:rsid w:val="00CE17C0"/>
    <w:rsid w:val="00CE18E0"/>
    <w:rsid w:val="00CE1FDD"/>
    <w:rsid w:val="00CE27A5"/>
    <w:rsid w:val="00CE29D5"/>
    <w:rsid w:val="00CE2B2B"/>
    <w:rsid w:val="00CE2D4E"/>
    <w:rsid w:val="00CE3071"/>
    <w:rsid w:val="00CE30F2"/>
    <w:rsid w:val="00CE31F2"/>
    <w:rsid w:val="00CE3275"/>
    <w:rsid w:val="00CE37B0"/>
    <w:rsid w:val="00CE37B7"/>
    <w:rsid w:val="00CE3917"/>
    <w:rsid w:val="00CE3A0F"/>
    <w:rsid w:val="00CE515B"/>
    <w:rsid w:val="00CE5708"/>
    <w:rsid w:val="00CE5C2F"/>
    <w:rsid w:val="00CE5F58"/>
    <w:rsid w:val="00CE62AB"/>
    <w:rsid w:val="00CE6D6C"/>
    <w:rsid w:val="00CE77B6"/>
    <w:rsid w:val="00CF0138"/>
    <w:rsid w:val="00CF0309"/>
    <w:rsid w:val="00CF05A4"/>
    <w:rsid w:val="00CF0934"/>
    <w:rsid w:val="00CF0DB0"/>
    <w:rsid w:val="00CF15D5"/>
    <w:rsid w:val="00CF16AB"/>
    <w:rsid w:val="00CF1A1E"/>
    <w:rsid w:val="00CF2A57"/>
    <w:rsid w:val="00CF2C2C"/>
    <w:rsid w:val="00CF2FE8"/>
    <w:rsid w:val="00CF32AD"/>
    <w:rsid w:val="00CF3452"/>
    <w:rsid w:val="00CF3D1A"/>
    <w:rsid w:val="00CF447F"/>
    <w:rsid w:val="00CF4D3D"/>
    <w:rsid w:val="00CF4F7A"/>
    <w:rsid w:val="00CF53B3"/>
    <w:rsid w:val="00CF582A"/>
    <w:rsid w:val="00CF64F7"/>
    <w:rsid w:val="00CF681E"/>
    <w:rsid w:val="00CF7721"/>
    <w:rsid w:val="00CF7901"/>
    <w:rsid w:val="00CF7EDB"/>
    <w:rsid w:val="00D00FE4"/>
    <w:rsid w:val="00D024E1"/>
    <w:rsid w:val="00D0265D"/>
    <w:rsid w:val="00D027B4"/>
    <w:rsid w:val="00D03198"/>
    <w:rsid w:val="00D034FA"/>
    <w:rsid w:val="00D03F6A"/>
    <w:rsid w:val="00D0449C"/>
    <w:rsid w:val="00D04821"/>
    <w:rsid w:val="00D057F0"/>
    <w:rsid w:val="00D05969"/>
    <w:rsid w:val="00D05BF8"/>
    <w:rsid w:val="00D05E75"/>
    <w:rsid w:val="00D0751E"/>
    <w:rsid w:val="00D0779C"/>
    <w:rsid w:val="00D0792C"/>
    <w:rsid w:val="00D07BB6"/>
    <w:rsid w:val="00D10038"/>
    <w:rsid w:val="00D10595"/>
    <w:rsid w:val="00D1063E"/>
    <w:rsid w:val="00D10FC2"/>
    <w:rsid w:val="00D11AA6"/>
    <w:rsid w:val="00D1200A"/>
    <w:rsid w:val="00D120E7"/>
    <w:rsid w:val="00D1277E"/>
    <w:rsid w:val="00D1299A"/>
    <w:rsid w:val="00D138D1"/>
    <w:rsid w:val="00D13DF0"/>
    <w:rsid w:val="00D13EBC"/>
    <w:rsid w:val="00D14306"/>
    <w:rsid w:val="00D14FD3"/>
    <w:rsid w:val="00D1506F"/>
    <w:rsid w:val="00D15149"/>
    <w:rsid w:val="00D15FBD"/>
    <w:rsid w:val="00D16A18"/>
    <w:rsid w:val="00D16A65"/>
    <w:rsid w:val="00D20691"/>
    <w:rsid w:val="00D2074A"/>
    <w:rsid w:val="00D20A42"/>
    <w:rsid w:val="00D20FCA"/>
    <w:rsid w:val="00D21DE6"/>
    <w:rsid w:val="00D22383"/>
    <w:rsid w:val="00D22682"/>
    <w:rsid w:val="00D24751"/>
    <w:rsid w:val="00D25117"/>
    <w:rsid w:val="00D2553C"/>
    <w:rsid w:val="00D255A1"/>
    <w:rsid w:val="00D25C65"/>
    <w:rsid w:val="00D262E6"/>
    <w:rsid w:val="00D2633A"/>
    <w:rsid w:val="00D265AF"/>
    <w:rsid w:val="00D26F44"/>
    <w:rsid w:val="00D2719E"/>
    <w:rsid w:val="00D272E4"/>
    <w:rsid w:val="00D3037F"/>
    <w:rsid w:val="00D30DAB"/>
    <w:rsid w:val="00D31034"/>
    <w:rsid w:val="00D31273"/>
    <w:rsid w:val="00D317A4"/>
    <w:rsid w:val="00D32D50"/>
    <w:rsid w:val="00D33BCE"/>
    <w:rsid w:val="00D33CD4"/>
    <w:rsid w:val="00D33EE2"/>
    <w:rsid w:val="00D341CA"/>
    <w:rsid w:val="00D347D4"/>
    <w:rsid w:val="00D34E05"/>
    <w:rsid w:val="00D3594C"/>
    <w:rsid w:val="00D35BF5"/>
    <w:rsid w:val="00D36280"/>
    <w:rsid w:val="00D36A6D"/>
    <w:rsid w:val="00D36A70"/>
    <w:rsid w:val="00D37023"/>
    <w:rsid w:val="00D37FF0"/>
    <w:rsid w:val="00D40549"/>
    <w:rsid w:val="00D406B1"/>
    <w:rsid w:val="00D4201A"/>
    <w:rsid w:val="00D424A0"/>
    <w:rsid w:val="00D42596"/>
    <w:rsid w:val="00D42C19"/>
    <w:rsid w:val="00D43AA8"/>
    <w:rsid w:val="00D43F41"/>
    <w:rsid w:val="00D43FB3"/>
    <w:rsid w:val="00D4414F"/>
    <w:rsid w:val="00D441AE"/>
    <w:rsid w:val="00D44AD3"/>
    <w:rsid w:val="00D44FD4"/>
    <w:rsid w:val="00D4505C"/>
    <w:rsid w:val="00D45223"/>
    <w:rsid w:val="00D454E0"/>
    <w:rsid w:val="00D4572B"/>
    <w:rsid w:val="00D45A44"/>
    <w:rsid w:val="00D45F79"/>
    <w:rsid w:val="00D46E4B"/>
    <w:rsid w:val="00D47579"/>
    <w:rsid w:val="00D5010E"/>
    <w:rsid w:val="00D50121"/>
    <w:rsid w:val="00D50F3A"/>
    <w:rsid w:val="00D513D2"/>
    <w:rsid w:val="00D51D44"/>
    <w:rsid w:val="00D52441"/>
    <w:rsid w:val="00D5254F"/>
    <w:rsid w:val="00D52D46"/>
    <w:rsid w:val="00D52DFA"/>
    <w:rsid w:val="00D53018"/>
    <w:rsid w:val="00D5358E"/>
    <w:rsid w:val="00D53980"/>
    <w:rsid w:val="00D53C19"/>
    <w:rsid w:val="00D5447F"/>
    <w:rsid w:val="00D54725"/>
    <w:rsid w:val="00D54D9E"/>
    <w:rsid w:val="00D553D1"/>
    <w:rsid w:val="00D56112"/>
    <w:rsid w:val="00D56209"/>
    <w:rsid w:val="00D56AB2"/>
    <w:rsid w:val="00D56F15"/>
    <w:rsid w:val="00D5700A"/>
    <w:rsid w:val="00D57139"/>
    <w:rsid w:val="00D57433"/>
    <w:rsid w:val="00D57910"/>
    <w:rsid w:val="00D602EF"/>
    <w:rsid w:val="00D61169"/>
    <w:rsid w:val="00D612E1"/>
    <w:rsid w:val="00D61450"/>
    <w:rsid w:val="00D62821"/>
    <w:rsid w:val="00D62D88"/>
    <w:rsid w:val="00D62EDC"/>
    <w:rsid w:val="00D62F3C"/>
    <w:rsid w:val="00D63075"/>
    <w:rsid w:val="00D632BC"/>
    <w:rsid w:val="00D63A03"/>
    <w:rsid w:val="00D6433B"/>
    <w:rsid w:val="00D6468B"/>
    <w:rsid w:val="00D64831"/>
    <w:rsid w:val="00D64E79"/>
    <w:rsid w:val="00D6519E"/>
    <w:rsid w:val="00D658F4"/>
    <w:rsid w:val="00D65B48"/>
    <w:rsid w:val="00D6736B"/>
    <w:rsid w:val="00D673D2"/>
    <w:rsid w:val="00D67FF4"/>
    <w:rsid w:val="00D7028B"/>
    <w:rsid w:val="00D705F4"/>
    <w:rsid w:val="00D70843"/>
    <w:rsid w:val="00D71186"/>
    <w:rsid w:val="00D71A43"/>
    <w:rsid w:val="00D71BB6"/>
    <w:rsid w:val="00D71FD6"/>
    <w:rsid w:val="00D72180"/>
    <w:rsid w:val="00D72CD0"/>
    <w:rsid w:val="00D72D7B"/>
    <w:rsid w:val="00D73B11"/>
    <w:rsid w:val="00D73C3A"/>
    <w:rsid w:val="00D73D42"/>
    <w:rsid w:val="00D73E36"/>
    <w:rsid w:val="00D7489B"/>
    <w:rsid w:val="00D74EC5"/>
    <w:rsid w:val="00D7502E"/>
    <w:rsid w:val="00D75CAB"/>
    <w:rsid w:val="00D766C2"/>
    <w:rsid w:val="00D76C3A"/>
    <w:rsid w:val="00D76F82"/>
    <w:rsid w:val="00D80606"/>
    <w:rsid w:val="00D80D9A"/>
    <w:rsid w:val="00D80E7D"/>
    <w:rsid w:val="00D81807"/>
    <w:rsid w:val="00D81A4C"/>
    <w:rsid w:val="00D824FA"/>
    <w:rsid w:val="00D8286E"/>
    <w:rsid w:val="00D830A2"/>
    <w:rsid w:val="00D831B3"/>
    <w:rsid w:val="00D837BC"/>
    <w:rsid w:val="00D83B8E"/>
    <w:rsid w:val="00D83F01"/>
    <w:rsid w:val="00D84BA7"/>
    <w:rsid w:val="00D84C09"/>
    <w:rsid w:val="00D86226"/>
    <w:rsid w:val="00D8651E"/>
    <w:rsid w:val="00D86B4B"/>
    <w:rsid w:val="00D86B8C"/>
    <w:rsid w:val="00D86CE4"/>
    <w:rsid w:val="00D86D5D"/>
    <w:rsid w:val="00D870A5"/>
    <w:rsid w:val="00D87750"/>
    <w:rsid w:val="00D87889"/>
    <w:rsid w:val="00D87BB1"/>
    <w:rsid w:val="00D87FFC"/>
    <w:rsid w:val="00D9043A"/>
    <w:rsid w:val="00D90897"/>
    <w:rsid w:val="00D90A26"/>
    <w:rsid w:val="00D90CF4"/>
    <w:rsid w:val="00D92023"/>
    <w:rsid w:val="00D921DC"/>
    <w:rsid w:val="00D92AAE"/>
    <w:rsid w:val="00D92D74"/>
    <w:rsid w:val="00D92F4F"/>
    <w:rsid w:val="00D936DC"/>
    <w:rsid w:val="00D93765"/>
    <w:rsid w:val="00D9450D"/>
    <w:rsid w:val="00D94708"/>
    <w:rsid w:val="00D949BE"/>
    <w:rsid w:val="00D94B1D"/>
    <w:rsid w:val="00D95455"/>
    <w:rsid w:val="00D956E1"/>
    <w:rsid w:val="00D95A59"/>
    <w:rsid w:val="00D95ECF"/>
    <w:rsid w:val="00D96361"/>
    <w:rsid w:val="00D965F8"/>
    <w:rsid w:val="00D96DF2"/>
    <w:rsid w:val="00D97FFD"/>
    <w:rsid w:val="00DA03C1"/>
    <w:rsid w:val="00DA0518"/>
    <w:rsid w:val="00DA0B19"/>
    <w:rsid w:val="00DA0C9E"/>
    <w:rsid w:val="00DA0D3E"/>
    <w:rsid w:val="00DA1243"/>
    <w:rsid w:val="00DA1806"/>
    <w:rsid w:val="00DA246C"/>
    <w:rsid w:val="00DA260F"/>
    <w:rsid w:val="00DA2A77"/>
    <w:rsid w:val="00DA2DDC"/>
    <w:rsid w:val="00DA3459"/>
    <w:rsid w:val="00DA3729"/>
    <w:rsid w:val="00DA3962"/>
    <w:rsid w:val="00DA39A8"/>
    <w:rsid w:val="00DA46AB"/>
    <w:rsid w:val="00DA4B8C"/>
    <w:rsid w:val="00DA4E59"/>
    <w:rsid w:val="00DA5F9F"/>
    <w:rsid w:val="00DA64E6"/>
    <w:rsid w:val="00DA667C"/>
    <w:rsid w:val="00DA674B"/>
    <w:rsid w:val="00DA674E"/>
    <w:rsid w:val="00DA6DB7"/>
    <w:rsid w:val="00DA7A18"/>
    <w:rsid w:val="00DA7CB1"/>
    <w:rsid w:val="00DA7F4C"/>
    <w:rsid w:val="00DB0808"/>
    <w:rsid w:val="00DB096E"/>
    <w:rsid w:val="00DB0B2F"/>
    <w:rsid w:val="00DB1154"/>
    <w:rsid w:val="00DB1BC1"/>
    <w:rsid w:val="00DB2479"/>
    <w:rsid w:val="00DB3279"/>
    <w:rsid w:val="00DB3520"/>
    <w:rsid w:val="00DB3E17"/>
    <w:rsid w:val="00DB46E0"/>
    <w:rsid w:val="00DB5C30"/>
    <w:rsid w:val="00DB5DAB"/>
    <w:rsid w:val="00DB5FC8"/>
    <w:rsid w:val="00DB5FD1"/>
    <w:rsid w:val="00DB6272"/>
    <w:rsid w:val="00DB6682"/>
    <w:rsid w:val="00DB726F"/>
    <w:rsid w:val="00DB7EA1"/>
    <w:rsid w:val="00DC0037"/>
    <w:rsid w:val="00DC0FE0"/>
    <w:rsid w:val="00DC1A27"/>
    <w:rsid w:val="00DC1D9E"/>
    <w:rsid w:val="00DC229B"/>
    <w:rsid w:val="00DC2EC9"/>
    <w:rsid w:val="00DC35D7"/>
    <w:rsid w:val="00DC35E8"/>
    <w:rsid w:val="00DC3659"/>
    <w:rsid w:val="00DC3888"/>
    <w:rsid w:val="00DC3A1D"/>
    <w:rsid w:val="00DC3F41"/>
    <w:rsid w:val="00DC479C"/>
    <w:rsid w:val="00DC5425"/>
    <w:rsid w:val="00DC5644"/>
    <w:rsid w:val="00DC5857"/>
    <w:rsid w:val="00DC5ADE"/>
    <w:rsid w:val="00DC5E43"/>
    <w:rsid w:val="00DC652F"/>
    <w:rsid w:val="00DC65B5"/>
    <w:rsid w:val="00DC6642"/>
    <w:rsid w:val="00DC74F9"/>
    <w:rsid w:val="00DC7A81"/>
    <w:rsid w:val="00DC7B88"/>
    <w:rsid w:val="00DD0060"/>
    <w:rsid w:val="00DD066D"/>
    <w:rsid w:val="00DD07B9"/>
    <w:rsid w:val="00DD13FE"/>
    <w:rsid w:val="00DD1D07"/>
    <w:rsid w:val="00DD1FA1"/>
    <w:rsid w:val="00DD2424"/>
    <w:rsid w:val="00DD2A14"/>
    <w:rsid w:val="00DD3104"/>
    <w:rsid w:val="00DD310F"/>
    <w:rsid w:val="00DD3345"/>
    <w:rsid w:val="00DD419B"/>
    <w:rsid w:val="00DD4C40"/>
    <w:rsid w:val="00DD4EA2"/>
    <w:rsid w:val="00DD5114"/>
    <w:rsid w:val="00DD598D"/>
    <w:rsid w:val="00DD5A6B"/>
    <w:rsid w:val="00DD5E19"/>
    <w:rsid w:val="00DD5E1B"/>
    <w:rsid w:val="00DD603B"/>
    <w:rsid w:val="00DD6751"/>
    <w:rsid w:val="00DD6794"/>
    <w:rsid w:val="00DD6AA0"/>
    <w:rsid w:val="00DD7460"/>
    <w:rsid w:val="00DD7887"/>
    <w:rsid w:val="00DD7ABA"/>
    <w:rsid w:val="00DE130E"/>
    <w:rsid w:val="00DE1518"/>
    <w:rsid w:val="00DE1A62"/>
    <w:rsid w:val="00DE1AFE"/>
    <w:rsid w:val="00DE31B0"/>
    <w:rsid w:val="00DE33F1"/>
    <w:rsid w:val="00DE3926"/>
    <w:rsid w:val="00DE3CE7"/>
    <w:rsid w:val="00DE3F7D"/>
    <w:rsid w:val="00DE41B0"/>
    <w:rsid w:val="00DE4274"/>
    <w:rsid w:val="00DE4EB5"/>
    <w:rsid w:val="00DE53DD"/>
    <w:rsid w:val="00DE5702"/>
    <w:rsid w:val="00DE5784"/>
    <w:rsid w:val="00DE581C"/>
    <w:rsid w:val="00DE5A32"/>
    <w:rsid w:val="00DE5D6A"/>
    <w:rsid w:val="00DE690A"/>
    <w:rsid w:val="00DE7753"/>
    <w:rsid w:val="00DE7EAF"/>
    <w:rsid w:val="00DF1271"/>
    <w:rsid w:val="00DF1727"/>
    <w:rsid w:val="00DF1E06"/>
    <w:rsid w:val="00DF218F"/>
    <w:rsid w:val="00DF269A"/>
    <w:rsid w:val="00DF379A"/>
    <w:rsid w:val="00DF46EC"/>
    <w:rsid w:val="00DF49ED"/>
    <w:rsid w:val="00DF52A0"/>
    <w:rsid w:val="00DF53AA"/>
    <w:rsid w:val="00DF6548"/>
    <w:rsid w:val="00DF67CC"/>
    <w:rsid w:val="00DF7081"/>
    <w:rsid w:val="00DF7372"/>
    <w:rsid w:val="00DF7A55"/>
    <w:rsid w:val="00DF7BC7"/>
    <w:rsid w:val="00E0021F"/>
    <w:rsid w:val="00E0029F"/>
    <w:rsid w:val="00E0095A"/>
    <w:rsid w:val="00E01B4C"/>
    <w:rsid w:val="00E020BB"/>
    <w:rsid w:val="00E021CF"/>
    <w:rsid w:val="00E02BF4"/>
    <w:rsid w:val="00E02CC2"/>
    <w:rsid w:val="00E03585"/>
    <w:rsid w:val="00E03BD6"/>
    <w:rsid w:val="00E03D93"/>
    <w:rsid w:val="00E03EDE"/>
    <w:rsid w:val="00E0414F"/>
    <w:rsid w:val="00E0494C"/>
    <w:rsid w:val="00E04D06"/>
    <w:rsid w:val="00E04FBD"/>
    <w:rsid w:val="00E05104"/>
    <w:rsid w:val="00E05127"/>
    <w:rsid w:val="00E053A1"/>
    <w:rsid w:val="00E05964"/>
    <w:rsid w:val="00E061D5"/>
    <w:rsid w:val="00E0689B"/>
    <w:rsid w:val="00E06D6D"/>
    <w:rsid w:val="00E06F05"/>
    <w:rsid w:val="00E07625"/>
    <w:rsid w:val="00E07AD9"/>
    <w:rsid w:val="00E07B44"/>
    <w:rsid w:val="00E07F2D"/>
    <w:rsid w:val="00E1089D"/>
    <w:rsid w:val="00E10DCC"/>
    <w:rsid w:val="00E12780"/>
    <w:rsid w:val="00E12848"/>
    <w:rsid w:val="00E12E9D"/>
    <w:rsid w:val="00E130A7"/>
    <w:rsid w:val="00E13412"/>
    <w:rsid w:val="00E13901"/>
    <w:rsid w:val="00E13AA8"/>
    <w:rsid w:val="00E13AE9"/>
    <w:rsid w:val="00E15E9C"/>
    <w:rsid w:val="00E161E7"/>
    <w:rsid w:val="00E165ED"/>
    <w:rsid w:val="00E17246"/>
    <w:rsid w:val="00E174AA"/>
    <w:rsid w:val="00E178A5"/>
    <w:rsid w:val="00E17BD3"/>
    <w:rsid w:val="00E20797"/>
    <w:rsid w:val="00E21BB9"/>
    <w:rsid w:val="00E22668"/>
    <w:rsid w:val="00E23CE6"/>
    <w:rsid w:val="00E23E84"/>
    <w:rsid w:val="00E23FDD"/>
    <w:rsid w:val="00E243E0"/>
    <w:rsid w:val="00E2570E"/>
    <w:rsid w:val="00E25F59"/>
    <w:rsid w:val="00E27675"/>
    <w:rsid w:val="00E27840"/>
    <w:rsid w:val="00E27A1F"/>
    <w:rsid w:val="00E27B80"/>
    <w:rsid w:val="00E27C17"/>
    <w:rsid w:val="00E27CAC"/>
    <w:rsid w:val="00E3027A"/>
    <w:rsid w:val="00E3087E"/>
    <w:rsid w:val="00E30919"/>
    <w:rsid w:val="00E31024"/>
    <w:rsid w:val="00E31B7E"/>
    <w:rsid w:val="00E31E23"/>
    <w:rsid w:val="00E31FDC"/>
    <w:rsid w:val="00E32BBE"/>
    <w:rsid w:val="00E332C2"/>
    <w:rsid w:val="00E33EBA"/>
    <w:rsid w:val="00E349A4"/>
    <w:rsid w:val="00E34EBF"/>
    <w:rsid w:val="00E35D5B"/>
    <w:rsid w:val="00E3616E"/>
    <w:rsid w:val="00E361BE"/>
    <w:rsid w:val="00E361E7"/>
    <w:rsid w:val="00E4072C"/>
    <w:rsid w:val="00E407C5"/>
    <w:rsid w:val="00E40EC1"/>
    <w:rsid w:val="00E413CE"/>
    <w:rsid w:val="00E422C4"/>
    <w:rsid w:val="00E43524"/>
    <w:rsid w:val="00E43772"/>
    <w:rsid w:val="00E437BE"/>
    <w:rsid w:val="00E439B5"/>
    <w:rsid w:val="00E44970"/>
    <w:rsid w:val="00E44DE2"/>
    <w:rsid w:val="00E456BE"/>
    <w:rsid w:val="00E457B1"/>
    <w:rsid w:val="00E457F3"/>
    <w:rsid w:val="00E4613F"/>
    <w:rsid w:val="00E46231"/>
    <w:rsid w:val="00E46646"/>
    <w:rsid w:val="00E4665A"/>
    <w:rsid w:val="00E46930"/>
    <w:rsid w:val="00E47211"/>
    <w:rsid w:val="00E47826"/>
    <w:rsid w:val="00E47E8A"/>
    <w:rsid w:val="00E47ECD"/>
    <w:rsid w:val="00E50031"/>
    <w:rsid w:val="00E50281"/>
    <w:rsid w:val="00E507C3"/>
    <w:rsid w:val="00E50BF6"/>
    <w:rsid w:val="00E50D39"/>
    <w:rsid w:val="00E50E3D"/>
    <w:rsid w:val="00E522FA"/>
    <w:rsid w:val="00E52ABE"/>
    <w:rsid w:val="00E53ACF"/>
    <w:rsid w:val="00E54178"/>
    <w:rsid w:val="00E54914"/>
    <w:rsid w:val="00E54C7F"/>
    <w:rsid w:val="00E551E7"/>
    <w:rsid w:val="00E55BA3"/>
    <w:rsid w:val="00E55DDD"/>
    <w:rsid w:val="00E56709"/>
    <w:rsid w:val="00E568DA"/>
    <w:rsid w:val="00E57308"/>
    <w:rsid w:val="00E5750E"/>
    <w:rsid w:val="00E603F3"/>
    <w:rsid w:val="00E61658"/>
    <w:rsid w:val="00E62329"/>
    <w:rsid w:val="00E623AC"/>
    <w:rsid w:val="00E62F52"/>
    <w:rsid w:val="00E63069"/>
    <w:rsid w:val="00E63371"/>
    <w:rsid w:val="00E63AEA"/>
    <w:rsid w:val="00E63B30"/>
    <w:rsid w:val="00E64ECA"/>
    <w:rsid w:val="00E65C67"/>
    <w:rsid w:val="00E65CF7"/>
    <w:rsid w:val="00E65F05"/>
    <w:rsid w:val="00E672AE"/>
    <w:rsid w:val="00E67719"/>
    <w:rsid w:val="00E677F4"/>
    <w:rsid w:val="00E67C02"/>
    <w:rsid w:val="00E67D99"/>
    <w:rsid w:val="00E67ECC"/>
    <w:rsid w:val="00E702C6"/>
    <w:rsid w:val="00E704AC"/>
    <w:rsid w:val="00E70676"/>
    <w:rsid w:val="00E70C78"/>
    <w:rsid w:val="00E72F11"/>
    <w:rsid w:val="00E73C10"/>
    <w:rsid w:val="00E73D08"/>
    <w:rsid w:val="00E73EF8"/>
    <w:rsid w:val="00E740CB"/>
    <w:rsid w:val="00E74AE7"/>
    <w:rsid w:val="00E74E50"/>
    <w:rsid w:val="00E75CA4"/>
    <w:rsid w:val="00E76407"/>
    <w:rsid w:val="00E76527"/>
    <w:rsid w:val="00E766B3"/>
    <w:rsid w:val="00E76A3A"/>
    <w:rsid w:val="00E76B29"/>
    <w:rsid w:val="00E76DF6"/>
    <w:rsid w:val="00E770DF"/>
    <w:rsid w:val="00E77585"/>
    <w:rsid w:val="00E77750"/>
    <w:rsid w:val="00E777CF"/>
    <w:rsid w:val="00E778C7"/>
    <w:rsid w:val="00E800A8"/>
    <w:rsid w:val="00E807C4"/>
    <w:rsid w:val="00E80FCF"/>
    <w:rsid w:val="00E81296"/>
    <w:rsid w:val="00E81437"/>
    <w:rsid w:val="00E81D91"/>
    <w:rsid w:val="00E824F5"/>
    <w:rsid w:val="00E82A72"/>
    <w:rsid w:val="00E82DBE"/>
    <w:rsid w:val="00E83427"/>
    <w:rsid w:val="00E83BBB"/>
    <w:rsid w:val="00E8444D"/>
    <w:rsid w:val="00E84BDA"/>
    <w:rsid w:val="00E85796"/>
    <w:rsid w:val="00E859CD"/>
    <w:rsid w:val="00E85A65"/>
    <w:rsid w:val="00E85DDB"/>
    <w:rsid w:val="00E85F92"/>
    <w:rsid w:val="00E860CF"/>
    <w:rsid w:val="00E86347"/>
    <w:rsid w:val="00E9041C"/>
    <w:rsid w:val="00E91409"/>
    <w:rsid w:val="00E91605"/>
    <w:rsid w:val="00E92C4E"/>
    <w:rsid w:val="00E93A50"/>
    <w:rsid w:val="00E949F0"/>
    <w:rsid w:val="00E95918"/>
    <w:rsid w:val="00E95D7B"/>
    <w:rsid w:val="00E96623"/>
    <w:rsid w:val="00E96F4E"/>
    <w:rsid w:val="00E9761A"/>
    <w:rsid w:val="00E9766B"/>
    <w:rsid w:val="00E977FE"/>
    <w:rsid w:val="00EA090F"/>
    <w:rsid w:val="00EA0B15"/>
    <w:rsid w:val="00EA1502"/>
    <w:rsid w:val="00EA170F"/>
    <w:rsid w:val="00EA1C9A"/>
    <w:rsid w:val="00EA29F0"/>
    <w:rsid w:val="00EA2DBD"/>
    <w:rsid w:val="00EA3122"/>
    <w:rsid w:val="00EA3389"/>
    <w:rsid w:val="00EA39F9"/>
    <w:rsid w:val="00EA4171"/>
    <w:rsid w:val="00EA4630"/>
    <w:rsid w:val="00EA470C"/>
    <w:rsid w:val="00EA47E6"/>
    <w:rsid w:val="00EA54F9"/>
    <w:rsid w:val="00EA5870"/>
    <w:rsid w:val="00EA5D5C"/>
    <w:rsid w:val="00EA60FA"/>
    <w:rsid w:val="00EA63FF"/>
    <w:rsid w:val="00EA72C7"/>
    <w:rsid w:val="00EA77C4"/>
    <w:rsid w:val="00EA7A28"/>
    <w:rsid w:val="00EA7A47"/>
    <w:rsid w:val="00EB0C84"/>
    <w:rsid w:val="00EB0D5B"/>
    <w:rsid w:val="00EB1E2E"/>
    <w:rsid w:val="00EB2460"/>
    <w:rsid w:val="00EB32A4"/>
    <w:rsid w:val="00EB3661"/>
    <w:rsid w:val="00EB37E3"/>
    <w:rsid w:val="00EB3E2B"/>
    <w:rsid w:val="00EB4159"/>
    <w:rsid w:val="00EB4F80"/>
    <w:rsid w:val="00EB597B"/>
    <w:rsid w:val="00EB5C13"/>
    <w:rsid w:val="00EB6D77"/>
    <w:rsid w:val="00EB6EC5"/>
    <w:rsid w:val="00EB772B"/>
    <w:rsid w:val="00EB7DEA"/>
    <w:rsid w:val="00EC121F"/>
    <w:rsid w:val="00EC127B"/>
    <w:rsid w:val="00EC1FD3"/>
    <w:rsid w:val="00EC2637"/>
    <w:rsid w:val="00EC3FD5"/>
    <w:rsid w:val="00EC4FD0"/>
    <w:rsid w:val="00EC5B3F"/>
    <w:rsid w:val="00EC62E2"/>
    <w:rsid w:val="00EC6BB8"/>
    <w:rsid w:val="00EC6FF2"/>
    <w:rsid w:val="00EC7211"/>
    <w:rsid w:val="00EC7AB0"/>
    <w:rsid w:val="00ED056F"/>
    <w:rsid w:val="00ED0CB4"/>
    <w:rsid w:val="00ED0FB7"/>
    <w:rsid w:val="00ED0FF8"/>
    <w:rsid w:val="00ED0FF9"/>
    <w:rsid w:val="00ED1052"/>
    <w:rsid w:val="00ED242C"/>
    <w:rsid w:val="00ED2729"/>
    <w:rsid w:val="00ED2AA7"/>
    <w:rsid w:val="00ED2D6A"/>
    <w:rsid w:val="00ED2EBD"/>
    <w:rsid w:val="00ED37A5"/>
    <w:rsid w:val="00ED394A"/>
    <w:rsid w:val="00ED3B80"/>
    <w:rsid w:val="00ED5233"/>
    <w:rsid w:val="00ED64FD"/>
    <w:rsid w:val="00ED67FB"/>
    <w:rsid w:val="00ED6A7E"/>
    <w:rsid w:val="00ED6D2E"/>
    <w:rsid w:val="00EE002F"/>
    <w:rsid w:val="00EE069F"/>
    <w:rsid w:val="00EE105B"/>
    <w:rsid w:val="00EE1557"/>
    <w:rsid w:val="00EE1949"/>
    <w:rsid w:val="00EE19B2"/>
    <w:rsid w:val="00EE22FA"/>
    <w:rsid w:val="00EE2A8B"/>
    <w:rsid w:val="00EE36A6"/>
    <w:rsid w:val="00EE3EBC"/>
    <w:rsid w:val="00EE43D8"/>
    <w:rsid w:val="00EE4575"/>
    <w:rsid w:val="00EE54EF"/>
    <w:rsid w:val="00EE5658"/>
    <w:rsid w:val="00EE5C04"/>
    <w:rsid w:val="00EE5FC2"/>
    <w:rsid w:val="00EE61DC"/>
    <w:rsid w:val="00EE6A3B"/>
    <w:rsid w:val="00EE6AEF"/>
    <w:rsid w:val="00EE7722"/>
    <w:rsid w:val="00EE798A"/>
    <w:rsid w:val="00EF00CA"/>
    <w:rsid w:val="00EF039D"/>
    <w:rsid w:val="00EF1191"/>
    <w:rsid w:val="00EF192F"/>
    <w:rsid w:val="00EF1A90"/>
    <w:rsid w:val="00EF2F32"/>
    <w:rsid w:val="00EF2F49"/>
    <w:rsid w:val="00EF486E"/>
    <w:rsid w:val="00EF4E45"/>
    <w:rsid w:val="00EF5138"/>
    <w:rsid w:val="00EF53CE"/>
    <w:rsid w:val="00EF560A"/>
    <w:rsid w:val="00EF6778"/>
    <w:rsid w:val="00EF6E2C"/>
    <w:rsid w:val="00EF6F6A"/>
    <w:rsid w:val="00EF764C"/>
    <w:rsid w:val="00EF7925"/>
    <w:rsid w:val="00EF7E3C"/>
    <w:rsid w:val="00F0027E"/>
    <w:rsid w:val="00F00657"/>
    <w:rsid w:val="00F00883"/>
    <w:rsid w:val="00F0122E"/>
    <w:rsid w:val="00F0152B"/>
    <w:rsid w:val="00F01945"/>
    <w:rsid w:val="00F0250E"/>
    <w:rsid w:val="00F02648"/>
    <w:rsid w:val="00F02F88"/>
    <w:rsid w:val="00F03D59"/>
    <w:rsid w:val="00F0409F"/>
    <w:rsid w:val="00F0443F"/>
    <w:rsid w:val="00F04A94"/>
    <w:rsid w:val="00F04C39"/>
    <w:rsid w:val="00F05136"/>
    <w:rsid w:val="00F052CF"/>
    <w:rsid w:val="00F0563A"/>
    <w:rsid w:val="00F05A22"/>
    <w:rsid w:val="00F05FAE"/>
    <w:rsid w:val="00F062F5"/>
    <w:rsid w:val="00F06657"/>
    <w:rsid w:val="00F06986"/>
    <w:rsid w:val="00F07E34"/>
    <w:rsid w:val="00F07E9C"/>
    <w:rsid w:val="00F10E38"/>
    <w:rsid w:val="00F10F7A"/>
    <w:rsid w:val="00F114A1"/>
    <w:rsid w:val="00F11879"/>
    <w:rsid w:val="00F11C00"/>
    <w:rsid w:val="00F11F3D"/>
    <w:rsid w:val="00F122E3"/>
    <w:rsid w:val="00F1272C"/>
    <w:rsid w:val="00F127A6"/>
    <w:rsid w:val="00F133A5"/>
    <w:rsid w:val="00F13643"/>
    <w:rsid w:val="00F138CA"/>
    <w:rsid w:val="00F13CB4"/>
    <w:rsid w:val="00F141AE"/>
    <w:rsid w:val="00F146B4"/>
    <w:rsid w:val="00F14B6C"/>
    <w:rsid w:val="00F152F2"/>
    <w:rsid w:val="00F15E07"/>
    <w:rsid w:val="00F15F8F"/>
    <w:rsid w:val="00F168DB"/>
    <w:rsid w:val="00F16A53"/>
    <w:rsid w:val="00F16D88"/>
    <w:rsid w:val="00F1711D"/>
    <w:rsid w:val="00F175A2"/>
    <w:rsid w:val="00F17A23"/>
    <w:rsid w:val="00F206C7"/>
    <w:rsid w:val="00F20A84"/>
    <w:rsid w:val="00F21719"/>
    <w:rsid w:val="00F21C1E"/>
    <w:rsid w:val="00F22BAA"/>
    <w:rsid w:val="00F22CF2"/>
    <w:rsid w:val="00F235E3"/>
    <w:rsid w:val="00F23CD9"/>
    <w:rsid w:val="00F24C93"/>
    <w:rsid w:val="00F24E37"/>
    <w:rsid w:val="00F25323"/>
    <w:rsid w:val="00F2535F"/>
    <w:rsid w:val="00F25632"/>
    <w:rsid w:val="00F2580B"/>
    <w:rsid w:val="00F26EBE"/>
    <w:rsid w:val="00F27142"/>
    <w:rsid w:val="00F27FA6"/>
    <w:rsid w:val="00F30711"/>
    <w:rsid w:val="00F31A97"/>
    <w:rsid w:val="00F31ACA"/>
    <w:rsid w:val="00F321DA"/>
    <w:rsid w:val="00F32307"/>
    <w:rsid w:val="00F3248C"/>
    <w:rsid w:val="00F3291F"/>
    <w:rsid w:val="00F32E5A"/>
    <w:rsid w:val="00F33026"/>
    <w:rsid w:val="00F3327B"/>
    <w:rsid w:val="00F33C6F"/>
    <w:rsid w:val="00F34780"/>
    <w:rsid w:val="00F358DE"/>
    <w:rsid w:val="00F36090"/>
    <w:rsid w:val="00F36849"/>
    <w:rsid w:val="00F37490"/>
    <w:rsid w:val="00F37E13"/>
    <w:rsid w:val="00F407DA"/>
    <w:rsid w:val="00F40C8E"/>
    <w:rsid w:val="00F40CB1"/>
    <w:rsid w:val="00F40F44"/>
    <w:rsid w:val="00F41103"/>
    <w:rsid w:val="00F41281"/>
    <w:rsid w:val="00F41DE8"/>
    <w:rsid w:val="00F41DFB"/>
    <w:rsid w:val="00F423B4"/>
    <w:rsid w:val="00F42777"/>
    <w:rsid w:val="00F42AFB"/>
    <w:rsid w:val="00F43184"/>
    <w:rsid w:val="00F43377"/>
    <w:rsid w:val="00F433B2"/>
    <w:rsid w:val="00F44206"/>
    <w:rsid w:val="00F44A2F"/>
    <w:rsid w:val="00F44A50"/>
    <w:rsid w:val="00F44CF2"/>
    <w:rsid w:val="00F44F98"/>
    <w:rsid w:val="00F45983"/>
    <w:rsid w:val="00F45CFD"/>
    <w:rsid w:val="00F46489"/>
    <w:rsid w:val="00F464C0"/>
    <w:rsid w:val="00F468C4"/>
    <w:rsid w:val="00F46948"/>
    <w:rsid w:val="00F46B85"/>
    <w:rsid w:val="00F46F1D"/>
    <w:rsid w:val="00F47F00"/>
    <w:rsid w:val="00F50A4F"/>
    <w:rsid w:val="00F5108E"/>
    <w:rsid w:val="00F511FB"/>
    <w:rsid w:val="00F51386"/>
    <w:rsid w:val="00F51517"/>
    <w:rsid w:val="00F52859"/>
    <w:rsid w:val="00F52DEC"/>
    <w:rsid w:val="00F52ED3"/>
    <w:rsid w:val="00F53115"/>
    <w:rsid w:val="00F53236"/>
    <w:rsid w:val="00F534A9"/>
    <w:rsid w:val="00F53727"/>
    <w:rsid w:val="00F5412E"/>
    <w:rsid w:val="00F54CE6"/>
    <w:rsid w:val="00F55290"/>
    <w:rsid w:val="00F557CB"/>
    <w:rsid w:val="00F55C1D"/>
    <w:rsid w:val="00F56511"/>
    <w:rsid w:val="00F5740B"/>
    <w:rsid w:val="00F57B91"/>
    <w:rsid w:val="00F57D7A"/>
    <w:rsid w:val="00F60306"/>
    <w:rsid w:val="00F614B6"/>
    <w:rsid w:val="00F61C2A"/>
    <w:rsid w:val="00F62313"/>
    <w:rsid w:val="00F626B9"/>
    <w:rsid w:val="00F62783"/>
    <w:rsid w:val="00F6283D"/>
    <w:rsid w:val="00F632C1"/>
    <w:rsid w:val="00F63451"/>
    <w:rsid w:val="00F6359D"/>
    <w:rsid w:val="00F63A60"/>
    <w:rsid w:val="00F63F27"/>
    <w:rsid w:val="00F641BB"/>
    <w:rsid w:val="00F6566D"/>
    <w:rsid w:val="00F659E3"/>
    <w:rsid w:val="00F65E70"/>
    <w:rsid w:val="00F66196"/>
    <w:rsid w:val="00F66258"/>
    <w:rsid w:val="00F668D5"/>
    <w:rsid w:val="00F66FC2"/>
    <w:rsid w:val="00F67423"/>
    <w:rsid w:val="00F675C4"/>
    <w:rsid w:val="00F67CF1"/>
    <w:rsid w:val="00F70719"/>
    <w:rsid w:val="00F714F1"/>
    <w:rsid w:val="00F7155B"/>
    <w:rsid w:val="00F71855"/>
    <w:rsid w:val="00F71F88"/>
    <w:rsid w:val="00F72A7A"/>
    <w:rsid w:val="00F72C75"/>
    <w:rsid w:val="00F73563"/>
    <w:rsid w:val="00F7476A"/>
    <w:rsid w:val="00F747A7"/>
    <w:rsid w:val="00F74C22"/>
    <w:rsid w:val="00F7588E"/>
    <w:rsid w:val="00F766F9"/>
    <w:rsid w:val="00F76CA3"/>
    <w:rsid w:val="00F76F49"/>
    <w:rsid w:val="00F771A8"/>
    <w:rsid w:val="00F773E4"/>
    <w:rsid w:val="00F77521"/>
    <w:rsid w:val="00F77D56"/>
    <w:rsid w:val="00F77D73"/>
    <w:rsid w:val="00F80C7D"/>
    <w:rsid w:val="00F80D9A"/>
    <w:rsid w:val="00F812DB"/>
    <w:rsid w:val="00F81428"/>
    <w:rsid w:val="00F829F0"/>
    <w:rsid w:val="00F82F61"/>
    <w:rsid w:val="00F83711"/>
    <w:rsid w:val="00F83B7A"/>
    <w:rsid w:val="00F8434A"/>
    <w:rsid w:val="00F849CD"/>
    <w:rsid w:val="00F8592F"/>
    <w:rsid w:val="00F85C59"/>
    <w:rsid w:val="00F861CC"/>
    <w:rsid w:val="00F86693"/>
    <w:rsid w:val="00F86FB1"/>
    <w:rsid w:val="00F8747F"/>
    <w:rsid w:val="00F87483"/>
    <w:rsid w:val="00F91077"/>
    <w:rsid w:val="00F9268F"/>
    <w:rsid w:val="00F94A82"/>
    <w:rsid w:val="00F950F7"/>
    <w:rsid w:val="00F958E9"/>
    <w:rsid w:val="00F95B78"/>
    <w:rsid w:val="00F95CEC"/>
    <w:rsid w:val="00F96678"/>
    <w:rsid w:val="00F966C7"/>
    <w:rsid w:val="00F967EC"/>
    <w:rsid w:val="00F96AFC"/>
    <w:rsid w:val="00F96B7B"/>
    <w:rsid w:val="00F973B2"/>
    <w:rsid w:val="00F97ADF"/>
    <w:rsid w:val="00FA0197"/>
    <w:rsid w:val="00FA0255"/>
    <w:rsid w:val="00FA0423"/>
    <w:rsid w:val="00FA0982"/>
    <w:rsid w:val="00FA1104"/>
    <w:rsid w:val="00FA1352"/>
    <w:rsid w:val="00FA2019"/>
    <w:rsid w:val="00FA2F12"/>
    <w:rsid w:val="00FA3027"/>
    <w:rsid w:val="00FA398C"/>
    <w:rsid w:val="00FA53EC"/>
    <w:rsid w:val="00FA5A52"/>
    <w:rsid w:val="00FA5C58"/>
    <w:rsid w:val="00FA6452"/>
    <w:rsid w:val="00FA6FD2"/>
    <w:rsid w:val="00FA7597"/>
    <w:rsid w:val="00FA79A7"/>
    <w:rsid w:val="00FB0D96"/>
    <w:rsid w:val="00FB0ECC"/>
    <w:rsid w:val="00FB1185"/>
    <w:rsid w:val="00FB2312"/>
    <w:rsid w:val="00FB32F4"/>
    <w:rsid w:val="00FB334F"/>
    <w:rsid w:val="00FB35AC"/>
    <w:rsid w:val="00FB4620"/>
    <w:rsid w:val="00FB4939"/>
    <w:rsid w:val="00FB50A3"/>
    <w:rsid w:val="00FB5E4C"/>
    <w:rsid w:val="00FB719B"/>
    <w:rsid w:val="00FB7913"/>
    <w:rsid w:val="00FB79DB"/>
    <w:rsid w:val="00FC0B1D"/>
    <w:rsid w:val="00FC117E"/>
    <w:rsid w:val="00FC357D"/>
    <w:rsid w:val="00FC3F81"/>
    <w:rsid w:val="00FC4A74"/>
    <w:rsid w:val="00FC4D48"/>
    <w:rsid w:val="00FC4FC6"/>
    <w:rsid w:val="00FC51EE"/>
    <w:rsid w:val="00FC5557"/>
    <w:rsid w:val="00FC5707"/>
    <w:rsid w:val="00FC60F0"/>
    <w:rsid w:val="00FC625D"/>
    <w:rsid w:val="00FC6B04"/>
    <w:rsid w:val="00FC7326"/>
    <w:rsid w:val="00FD0049"/>
    <w:rsid w:val="00FD031B"/>
    <w:rsid w:val="00FD0903"/>
    <w:rsid w:val="00FD15B8"/>
    <w:rsid w:val="00FD1A89"/>
    <w:rsid w:val="00FD1BB9"/>
    <w:rsid w:val="00FD1E0D"/>
    <w:rsid w:val="00FD2687"/>
    <w:rsid w:val="00FD3F57"/>
    <w:rsid w:val="00FD45F6"/>
    <w:rsid w:val="00FD540B"/>
    <w:rsid w:val="00FD5676"/>
    <w:rsid w:val="00FD6387"/>
    <w:rsid w:val="00FD7E14"/>
    <w:rsid w:val="00FD7E22"/>
    <w:rsid w:val="00FE02A1"/>
    <w:rsid w:val="00FE1BA9"/>
    <w:rsid w:val="00FE1E0C"/>
    <w:rsid w:val="00FE23A4"/>
    <w:rsid w:val="00FE3060"/>
    <w:rsid w:val="00FE37DE"/>
    <w:rsid w:val="00FE3F45"/>
    <w:rsid w:val="00FE445D"/>
    <w:rsid w:val="00FE4934"/>
    <w:rsid w:val="00FE4FE8"/>
    <w:rsid w:val="00FE528B"/>
    <w:rsid w:val="00FE5D2B"/>
    <w:rsid w:val="00FE682D"/>
    <w:rsid w:val="00FE6E1D"/>
    <w:rsid w:val="00FE7B83"/>
    <w:rsid w:val="00FE7C89"/>
    <w:rsid w:val="00FF03B7"/>
    <w:rsid w:val="00FF09A7"/>
    <w:rsid w:val="00FF0C57"/>
    <w:rsid w:val="00FF1287"/>
    <w:rsid w:val="00FF192D"/>
    <w:rsid w:val="00FF2706"/>
    <w:rsid w:val="00FF2918"/>
    <w:rsid w:val="00FF2A03"/>
    <w:rsid w:val="00FF2F75"/>
    <w:rsid w:val="00FF35B3"/>
    <w:rsid w:val="00FF3655"/>
    <w:rsid w:val="00FF3AE5"/>
    <w:rsid w:val="00FF3D60"/>
    <w:rsid w:val="00FF40BD"/>
    <w:rsid w:val="00FF44EF"/>
    <w:rsid w:val="00FF465E"/>
    <w:rsid w:val="00FF4CA2"/>
    <w:rsid w:val="00FF4F44"/>
    <w:rsid w:val="00FF5010"/>
    <w:rsid w:val="00FF558C"/>
    <w:rsid w:val="00FF55F3"/>
    <w:rsid w:val="00FF69FB"/>
    <w:rsid w:val="00FF77D4"/>
    <w:rsid w:val="00FF7BDB"/>
    <w:rsid w:val="00FF7E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8F4"/>
  </w:style>
  <w:style w:type="paragraph" w:styleId="1">
    <w:name w:val="heading 1"/>
    <w:basedOn w:val="a"/>
    <w:next w:val="a"/>
    <w:link w:val="1Char"/>
    <w:uiPriority w:val="9"/>
    <w:qFormat/>
    <w:rsid w:val="00034F63"/>
    <w:pPr>
      <w:keepNext/>
      <w:keepLines/>
      <w:spacing w:before="240" w:after="0"/>
      <w:outlineLvl w:val="0"/>
    </w:pPr>
    <w:rPr>
      <w:rFonts w:asciiTheme="majorHAnsi" w:eastAsiaTheme="majorEastAsia" w:hAnsiTheme="majorHAnsi" w:cstheme="majorBidi"/>
      <w:color w:val="2B5582" w:themeColor="accent1" w:themeShade="BF"/>
      <w:sz w:val="32"/>
      <w:szCs w:val="32"/>
    </w:rPr>
  </w:style>
  <w:style w:type="paragraph" w:styleId="3">
    <w:name w:val="heading 3"/>
    <w:basedOn w:val="a"/>
    <w:next w:val="a"/>
    <w:link w:val="3Char"/>
    <w:uiPriority w:val="9"/>
    <w:unhideWhenUsed/>
    <w:qFormat/>
    <w:rsid w:val="00953C4A"/>
    <w:pPr>
      <w:keepNext/>
      <w:keepLines/>
      <w:spacing w:before="40" w:after="0"/>
      <w:outlineLvl w:val="2"/>
    </w:pPr>
    <w:rPr>
      <w:rFonts w:asciiTheme="majorHAnsi" w:eastAsiaTheme="majorEastAsia" w:hAnsiTheme="majorHAnsi" w:cstheme="majorBidi"/>
      <w:color w:val="1C3956"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4E18"/>
    <w:pPr>
      <w:tabs>
        <w:tab w:val="center" w:pos="4513"/>
        <w:tab w:val="right" w:pos="9026"/>
      </w:tabs>
      <w:spacing w:after="0" w:line="240" w:lineRule="auto"/>
    </w:pPr>
  </w:style>
  <w:style w:type="character" w:customStyle="1" w:styleId="Char">
    <w:name w:val="Κεφαλίδα Char"/>
    <w:basedOn w:val="a0"/>
    <w:link w:val="a3"/>
    <w:uiPriority w:val="99"/>
    <w:rsid w:val="00A14E18"/>
  </w:style>
  <w:style w:type="paragraph" w:styleId="a4">
    <w:name w:val="footer"/>
    <w:basedOn w:val="a"/>
    <w:link w:val="Char0"/>
    <w:uiPriority w:val="99"/>
    <w:unhideWhenUsed/>
    <w:rsid w:val="00A14E18"/>
    <w:pPr>
      <w:tabs>
        <w:tab w:val="center" w:pos="4513"/>
        <w:tab w:val="right" w:pos="9026"/>
      </w:tabs>
      <w:spacing w:after="0" w:line="240" w:lineRule="auto"/>
    </w:pPr>
  </w:style>
  <w:style w:type="character" w:customStyle="1" w:styleId="Char0">
    <w:name w:val="Υποσέλιδο Char"/>
    <w:basedOn w:val="a0"/>
    <w:link w:val="a4"/>
    <w:uiPriority w:val="99"/>
    <w:rsid w:val="00A14E18"/>
  </w:style>
  <w:style w:type="paragraph" w:customStyle="1" w:styleId="01HEADLINE">
    <w:name w:val="01 HEADLINE"/>
    <w:basedOn w:val="a3"/>
    <w:qFormat/>
    <w:rsid w:val="00A14E18"/>
    <w:pPr>
      <w:tabs>
        <w:tab w:val="clear" w:pos="4513"/>
        <w:tab w:val="clear" w:pos="9026"/>
        <w:tab w:val="center" w:pos="4320"/>
        <w:tab w:val="right" w:pos="8640"/>
      </w:tabs>
    </w:pPr>
    <w:rPr>
      <w:rFonts w:ascii="Calibri" w:eastAsia="Times New Roman" w:hAnsi="Calibri"/>
      <w:b/>
      <w:color w:val="FFFFFF"/>
      <w:sz w:val="26"/>
      <w:szCs w:val="26"/>
    </w:rPr>
  </w:style>
  <w:style w:type="paragraph" w:styleId="a5">
    <w:name w:val="Balloon Text"/>
    <w:basedOn w:val="a"/>
    <w:link w:val="Char1"/>
    <w:uiPriority w:val="99"/>
    <w:semiHidden/>
    <w:unhideWhenUsed/>
    <w:rsid w:val="00A14E1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A14E18"/>
    <w:rPr>
      <w:rFonts w:ascii="Tahoma" w:hAnsi="Tahoma" w:cs="Tahoma"/>
      <w:sz w:val="16"/>
      <w:szCs w:val="16"/>
    </w:rPr>
  </w:style>
  <w:style w:type="paragraph" w:customStyle="1" w:styleId="02TITLE">
    <w:name w:val="02 TITLE"/>
    <w:basedOn w:val="a"/>
    <w:qFormat/>
    <w:rsid w:val="00003855"/>
    <w:pPr>
      <w:spacing w:after="240" w:line="240" w:lineRule="auto"/>
    </w:pPr>
    <w:rPr>
      <w:rFonts w:asciiTheme="majorHAnsi" w:eastAsiaTheme="minorEastAsia" w:hAnsiTheme="majorHAnsi"/>
      <w:b/>
      <w:color w:val="11275D"/>
      <w:sz w:val="28"/>
      <w:szCs w:val="28"/>
    </w:rPr>
  </w:style>
  <w:style w:type="paragraph" w:customStyle="1" w:styleId="04SUBSUB">
    <w:name w:val="04 SUBSUB"/>
    <w:basedOn w:val="a"/>
    <w:qFormat/>
    <w:rsid w:val="00003855"/>
    <w:pPr>
      <w:tabs>
        <w:tab w:val="left" w:pos="8262"/>
      </w:tabs>
      <w:spacing w:before="480" w:line="264" w:lineRule="auto"/>
      <w:ind w:left="2835" w:right="74"/>
      <w:contextualSpacing/>
      <w:jc w:val="both"/>
    </w:pPr>
    <w:rPr>
      <w:rFonts w:asciiTheme="majorHAnsi" w:eastAsiaTheme="minorEastAsia" w:hAnsiTheme="majorHAnsi" w:cstheme="majorHAnsi"/>
      <w:b/>
      <w:color w:val="11275D"/>
      <w:sz w:val="21"/>
      <w:szCs w:val="21"/>
      <w:lang w:val="en-GB"/>
    </w:rPr>
  </w:style>
  <w:style w:type="paragraph" w:styleId="a6">
    <w:name w:val="List Paragraph"/>
    <w:basedOn w:val="a"/>
    <w:uiPriority w:val="34"/>
    <w:qFormat/>
    <w:rsid w:val="00003855"/>
    <w:pPr>
      <w:spacing w:after="0" w:line="240" w:lineRule="auto"/>
      <w:ind w:left="720"/>
      <w:contextualSpacing/>
    </w:pPr>
    <w:rPr>
      <w:rFonts w:eastAsiaTheme="minorEastAsia"/>
      <w:sz w:val="24"/>
      <w:szCs w:val="24"/>
      <w:lang w:val="en-US"/>
    </w:rPr>
  </w:style>
  <w:style w:type="table" w:styleId="a7">
    <w:name w:val="Table Grid"/>
    <w:basedOn w:val="a1"/>
    <w:uiPriority w:val="59"/>
    <w:rsid w:val="00653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5PLAINTEXT">
    <w:name w:val="05 PLAIN TEXT"/>
    <w:basedOn w:val="a"/>
    <w:qFormat/>
    <w:rsid w:val="00D72CD0"/>
    <w:pPr>
      <w:tabs>
        <w:tab w:val="left" w:pos="8262"/>
      </w:tabs>
      <w:spacing w:before="120" w:after="0" w:line="264" w:lineRule="auto"/>
      <w:ind w:left="2835" w:right="74"/>
      <w:contextualSpacing/>
      <w:jc w:val="both"/>
    </w:pPr>
    <w:rPr>
      <w:rFonts w:asciiTheme="majorHAnsi" w:eastAsiaTheme="minorEastAsia" w:hAnsiTheme="majorHAnsi" w:cstheme="majorHAnsi"/>
      <w:color w:val="0D0D0D" w:themeColor="text1" w:themeTint="F2"/>
      <w:sz w:val="19"/>
      <w:szCs w:val="19"/>
      <w:lang w:val="en-GB"/>
    </w:rPr>
  </w:style>
  <w:style w:type="paragraph" w:customStyle="1" w:styleId="a8">
    <w:name w:val="Τίτλος ενότητας"/>
    <w:qFormat/>
    <w:rsid w:val="00F168DB"/>
    <w:pPr>
      <w:pBdr>
        <w:bottom w:val="single" w:sz="6" w:space="11" w:color="E0CBA4"/>
      </w:pBdr>
      <w:spacing w:before="480" w:after="240" w:line="240" w:lineRule="auto"/>
      <w:ind w:left="2835"/>
    </w:pPr>
    <w:rPr>
      <w:rFonts w:asciiTheme="majorHAnsi" w:eastAsiaTheme="minorEastAsia" w:hAnsiTheme="majorHAnsi"/>
      <w:noProof/>
      <w:color w:val="000000" w:themeColor="text1"/>
      <w:sz w:val="32"/>
      <w:szCs w:val="32"/>
      <w:lang w:val="en-GB" w:eastAsia="en-GB"/>
    </w:rPr>
  </w:style>
  <w:style w:type="paragraph" w:styleId="a9">
    <w:name w:val="footnote text"/>
    <w:basedOn w:val="a"/>
    <w:link w:val="Char2"/>
    <w:uiPriority w:val="99"/>
    <w:unhideWhenUsed/>
    <w:rsid w:val="00F168DB"/>
    <w:pPr>
      <w:spacing w:after="0" w:line="240" w:lineRule="auto"/>
    </w:pPr>
    <w:rPr>
      <w:rFonts w:eastAsiaTheme="minorEastAsia"/>
      <w:sz w:val="20"/>
      <w:szCs w:val="20"/>
      <w:lang w:val="en-US"/>
    </w:rPr>
  </w:style>
  <w:style w:type="character" w:customStyle="1" w:styleId="Char2">
    <w:name w:val="Κείμενο υποσημείωσης Char"/>
    <w:basedOn w:val="a0"/>
    <w:link w:val="a9"/>
    <w:uiPriority w:val="99"/>
    <w:rsid w:val="00F168DB"/>
    <w:rPr>
      <w:rFonts w:eastAsiaTheme="minorEastAsia"/>
      <w:sz w:val="20"/>
      <w:szCs w:val="20"/>
      <w:lang w:val="en-US"/>
    </w:rPr>
  </w:style>
  <w:style w:type="paragraph" w:customStyle="1" w:styleId="10TableB">
    <w:name w:val="10 Table B"/>
    <w:basedOn w:val="a"/>
    <w:qFormat/>
    <w:rsid w:val="00F168DB"/>
    <w:pPr>
      <w:spacing w:after="0" w:line="240" w:lineRule="auto"/>
    </w:pPr>
    <w:rPr>
      <w:rFonts w:asciiTheme="majorHAnsi" w:eastAsiaTheme="minorEastAsia" w:hAnsiTheme="majorHAnsi"/>
      <w:b/>
      <w:sz w:val="19"/>
      <w:szCs w:val="19"/>
      <w:lang w:val="en-US"/>
    </w:rPr>
  </w:style>
  <w:style w:type="paragraph" w:customStyle="1" w:styleId="11TableP">
    <w:name w:val="11 Table P"/>
    <w:basedOn w:val="a"/>
    <w:qFormat/>
    <w:rsid w:val="00F168DB"/>
    <w:pPr>
      <w:spacing w:after="0" w:line="240" w:lineRule="auto"/>
    </w:pPr>
    <w:rPr>
      <w:rFonts w:asciiTheme="majorHAnsi" w:eastAsiaTheme="minorEastAsia" w:hAnsiTheme="majorHAnsi"/>
      <w:sz w:val="19"/>
      <w:szCs w:val="19"/>
      <w:lang w:val="en-US"/>
    </w:rPr>
  </w:style>
  <w:style w:type="paragraph" w:styleId="Web">
    <w:name w:val="Normal (Web)"/>
    <w:basedOn w:val="a"/>
    <w:uiPriority w:val="99"/>
    <w:semiHidden/>
    <w:unhideWhenUsed/>
    <w:rsid w:val="008E00C1"/>
    <w:pPr>
      <w:spacing w:before="100" w:beforeAutospacing="1" w:after="100" w:afterAutospacing="1" w:line="240" w:lineRule="auto"/>
    </w:pPr>
    <w:rPr>
      <w:rFonts w:ascii="Times New Roman" w:eastAsiaTheme="minorEastAsia" w:hAnsi="Times New Roman" w:cs="Times New Roman"/>
      <w:sz w:val="24"/>
      <w:szCs w:val="24"/>
      <w:lang w:eastAsia="el-GR"/>
    </w:rPr>
  </w:style>
  <w:style w:type="character" w:styleId="aa">
    <w:name w:val="footnote reference"/>
    <w:basedOn w:val="a0"/>
    <w:uiPriority w:val="99"/>
    <w:semiHidden/>
    <w:unhideWhenUsed/>
    <w:rsid w:val="004631DC"/>
    <w:rPr>
      <w:vertAlign w:val="superscript"/>
    </w:rPr>
  </w:style>
  <w:style w:type="character" w:styleId="ab">
    <w:name w:val="annotation reference"/>
    <w:basedOn w:val="a0"/>
    <w:uiPriority w:val="99"/>
    <w:semiHidden/>
    <w:unhideWhenUsed/>
    <w:rsid w:val="00FC7326"/>
    <w:rPr>
      <w:sz w:val="16"/>
      <w:szCs w:val="16"/>
    </w:rPr>
  </w:style>
  <w:style w:type="paragraph" w:styleId="ac">
    <w:name w:val="annotation text"/>
    <w:basedOn w:val="a"/>
    <w:link w:val="Char3"/>
    <w:uiPriority w:val="99"/>
    <w:semiHidden/>
    <w:unhideWhenUsed/>
    <w:rsid w:val="00FC7326"/>
    <w:pPr>
      <w:spacing w:after="0" w:line="240" w:lineRule="auto"/>
    </w:pPr>
    <w:rPr>
      <w:rFonts w:ascii="Calibri" w:hAnsi="Calibri" w:cs="Times New Roman"/>
      <w:sz w:val="20"/>
      <w:szCs w:val="20"/>
    </w:rPr>
  </w:style>
  <w:style w:type="character" w:customStyle="1" w:styleId="Char3">
    <w:name w:val="Κείμενο σχολίου Char"/>
    <w:basedOn w:val="a0"/>
    <w:link w:val="ac"/>
    <w:uiPriority w:val="99"/>
    <w:semiHidden/>
    <w:rsid w:val="00FC7326"/>
    <w:rPr>
      <w:rFonts w:ascii="Calibri" w:hAnsi="Calibri" w:cs="Times New Roman"/>
      <w:sz w:val="20"/>
      <w:szCs w:val="20"/>
    </w:rPr>
  </w:style>
  <w:style w:type="character" w:styleId="-">
    <w:name w:val="Hyperlink"/>
    <w:basedOn w:val="a0"/>
    <w:uiPriority w:val="99"/>
    <w:unhideWhenUsed/>
    <w:rsid w:val="00A33FE0"/>
    <w:rPr>
      <w:color w:val="0070C0" w:themeColor="hyperlink"/>
      <w:u w:val="single"/>
    </w:rPr>
  </w:style>
  <w:style w:type="numbering" w:customStyle="1" w:styleId="NoList1">
    <w:name w:val="No List1"/>
    <w:next w:val="a2"/>
    <w:uiPriority w:val="99"/>
    <w:semiHidden/>
    <w:unhideWhenUsed/>
    <w:rsid w:val="00D612E1"/>
  </w:style>
  <w:style w:type="table" w:customStyle="1" w:styleId="TableGrid1">
    <w:name w:val="Table Grid1"/>
    <w:basedOn w:val="a1"/>
    <w:next w:val="a7"/>
    <w:uiPriority w:val="59"/>
    <w:rsid w:val="00D61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9"/>
    <w:rsid w:val="00034F63"/>
    <w:rPr>
      <w:rFonts w:asciiTheme="majorHAnsi" w:eastAsiaTheme="majorEastAsia" w:hAnsiTheme="majorHAnsi" w:cstheme="majorBidi"/>
      <w:color w:val="2B5582" w:themeColor="accent1" w:themeShade="BF"/>
      <w:sz w:val="32"/>
      <w:szCs w:val="32"/>
    </w:rPr>
  </w:style>
  <w:style w:type="table" w:customStyle="1" w:styleId="TableGrid2">
    <w:name w:val="Table Grid2"/>
    <w:basedOn w:val="a1"/>
    <w:next w:val="a7"/>
    <w:uiPriority w:val="59"/>
    <w:rsid w:val="00E00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annotation subject"/>
    <w:basedOn w:val="ac"/>
    <w:next w:val="ac"/>
    <w:link w:val="Char4"/>
    <w:uiPriority w:val="99"/>
    <w:semiHidden/>
    <w:unhideWhenUsed/>
    <w:rsid w:val="00CF7721"/>
    <w:pPr>
      <w:spacing w:after="200"/>
    </w:pPr>
    <w:rPr>
      <w:rFonts w:asciiTheme="minorHAnsi" w:hAnsiTheme="minorHAnsi" w:cstheme="minorBidi"/>
      <w:b/>
      <w:bCs/>
    </w:rPr>
  </w:style>
  <w:style w:type="character" w:customStyle="1" w:styleId="Char4">
    <w:name w:val="Θέμα σχολίου Char"/>
    <w:basedOn w:val="Char3"/>
    <w:link w:val="ad"/>
    <w:uiPriority w:val="99"/>
    <w:semiHidden/>
    <w:rsid w:val="00CF7721"/>
    <w:rPr>
      <w:rFonts w:ascii="Calibri" w:hAnsi="Calibri" w:cs="Times New Roman"/>
      <w:b/>
      <w:bCs/>
      <w:sz w:val="20"/>
      <w:szCs w:val="20"/>
    </w:rPr>
  </w:style>
  <w:style w:type="paragraph" w:customStyle="1" w:styleId="Default">
    <w:name w:val="Default"/>
    <w:rsid w:val="001F7F89"/>
    <w:pPr>
      <w:autoSpaceDE w:val="0"/>
      <w:autoSpaceDN w:val="0"/>
      <w:adjustRightInd w:val="0"/>
      <w:spacing w:after="0" w:line="240" w:lineRule="auto"/>
    </w:pPr>
    <w:rPr>
      <w:rFonts w:ascii="Calibri" w:hAnsi="Calibri" w:cs="Calibri"/>
      <w:color w:val="000000"/>
      <w:sz w:val="24"/>
      <w:szCs w:val="24"/>
    </w:rPr>
  </w:style>
  <w:style w:type="paragraph" w:customStyle="1" w:styleId="s2">
    <w:name w:val="s2"/>
    <w:basedOn w:val="a"/>
    <w:rsid w:val="00AA140F"/>
    <w:pPr>
      <w:spacing w:before="100" w:beforeAutospacing="1" w:after="100" w:afterAutospacing="1" w:line="240" w:lineRule="auto"/>
    </w:pPr>
    <w:rPr>
      <w:rFonts w:ascii="Calibri" w:hAnsi="Calibri" w:cs="Times New Roman"/>
    </w:rPr>
  </w:style>
  <w:style w:type="character" w:styleId="ae">
    <w:name w:val="Emphasis"/>
    <w:basedOn w:val="a0"/>
    <w:uiPriority w:val="20"/>
    <w:qFormat/>
    <w:rsid w:val="00D513D2"/>
    <w:rPr>
      <w:b/>
      <w:bCs/>
      <w:i w:val="0"/>
      <w:iCs w:val="0"/>
    </w:rPr>
  </w:style>
  <w:style w:type="character" w:customStyle="1" w:styleId="st1">
    <w:name w:val="st1"/>
    <w:basedOn w:val="a0"/>
    <w:rsid w:val="00D513D2"/>
  </w:style>
  <w:style w:type="table" w:customStyle="1" w:styleId="TableGrid21">
    <w:name w:val="Table Grid21"/>
    <w:basedOn w:val="a1"/>
    <w:next w:val="a7"/>
    <w:uiPriority w:val="59"/>
    <w:rsid w:val="00ED3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Επικεφαλίδα 3 Char"/>
    <w:basedOn w:val="a0"/>
    <w:link w:val="3"/>
    <w:uiPriority w:val="9"/>
    <w:rsid w:val="00953C4A"/>
    <w:rPr>
      <w:rFonts w:asciiTheme="majorHAnsi" w:eastAsiaTheme="majorEastAsia" w:hAnsiTheme="majorHAnsi" w:cstheme="majorBidi"/>
      <w:color w:val="1C3956" w:themeColor="accent1" w:themeShade="7F"/>
      <w:sz w:val="24"/>
      <w:szCs w:val="24"/>
    </w:rPr>
  </w:style>
  <w:style w:type="paragraph" w:customStyle="1" w:styleId="TableParagraph">
    <w:name w:val="Table Paragraph"/>
    <w:basedOn w:val="a"/>
    <w:uiPriority w:val="1"/>
    <w:qFormat/>
    <w:rsid w:val="00045C2B"/>
    <w:pPr>
      <w:widowControl w:val="0"/>
      <w:autoSpaceDE w:val="0"/>
      <w:autoSpaceDN w:val="0"/>
      <w:spacing w:after="0" w:line="240" w:lineRule="auto"/>
    </w:pPr>
    <w:rPr>
      <w:rFonts w:ascii="Calibri" w:eastAsia="Calibri" w:hAnsi="Calibri" w:cs="Calibri"/>
      <w:lang w:val="en-US" w:bidi="en-US"/>
    </w:rPr>
  </w:style>
  <w:style w:type="paragraph" w:styleId="af">
    <w:name w:val="Body Text"/>
    <w:basedOn w:val="a"/>
    <w:link w:val="Char5"/>
    <w:uiPriority w:val="1"/>
    <w:qFormat/>
    <w:rsid w:val="00FA1352"/>
    <w:pPr>
      <w:widowControl w:val="0"/>
      <w:autoSpaceDE w:val="0"/>
      <w:autoSpaceDN w:val="0"/>
      <w:spacing w:before="240" w:after="0" w:line="280" w:lineRule="exact"/>
      <w:jc w:val="both"/>
    </w:pPr>
    <w:rPr>
      <w:rFonts w:eastAsia="Piraeus Sans" w:cs="Piraeus Sans"/>
      <w:color w:val="414042"/>
      <w:sz w:val="20"/>
      <w:szCs w:val="20"/>
      <w:lang w:val="en-US"/>
    </w:rPr>
  </w:style>
  <w:style w:type="character" w:customStyle="1" w:styleId="Char5">
    <w:name w:val="Σώμα κειμένου Char"/>
    <w:basedOn w:val="a0"/>
    <w:link w:val="af"/>
    <w:uiPriority w:val="1"/>
    <w:rsid w:val="00FA1352"/>
    <w:rPr>
      <w:rFonts w:eastAsia="Piraeus Sans" w:cs="Piraeus Sans"/>
      <w:color w:val="414042"/>
      <w:sz w:val="20"/>
      <w:szCs w:val="20"/>
      <w:lang w:val="en-US"/>
    </w:rPr>
  </w:style>
  <w:style w:type="paragraph" w:styleId="-HTML">
    <w:name w:val="HTML Preformatted"/>
    <w:basedOn w:val="a"/>
    <w:link w:val="-HTMLChar"/>
    <w:uiPriority w:val="99"/>
    <w:semiHidden/>
    <w:unhideWhenUsed/>
    <w:rsid w:val="00982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Char">
    <w:name w:val="Προ-διαμορφωμένο HTML Char"/>
    <w:basedOn w:val="a0"/>
    <w:link w:val="-HTML"/>
    <w:uiPriority w:val="99"/>
    <w:semiHidden/>
    <w:rsid w:val="00982391"/>
    <w:rPr>
      <w:rFonts w:ascii="Courier New" w:eastAsia="Times New Roman" w:hAnsi="Courier New" w:cs="Courier New"/>
      <w:sz w:val="20"/>
      <w:szCs w:val="20"/>
      <w:lang w:val="en-GB" w:eastAsia="en-GB"/>
    </w:rPr>
  </w:style>
  <w:style w:type="character" w:styleId="-0">
    <w:name w:val="FollowedHyperlink"/>
    <w:basedOn w:val="a0"/>
    <w:uiPriority w:val="99"/>
    <w:semiHidden/>
    <w:unhideWhenUsed/>
    <w:rsid w:val="006C1E65"/>
    <w:rPr>
      <w:color w:val="7030A0" w:themeColor="followedHyperlink"/>
      <w:u w:val="single"/>
    </w:rPr>
  </w:style>
  <w:style w:type="paragraph" w:customStyle="1" w:styleId="10">
    <w:name w:val="Βασικό1"/>
    <w:rsid w:val="00A72705"/>
    <w:pPr>
      <w:suppressAutoHyphens/>
      <w:autoSpaceDN w:val="0"/>
      <w:textAlignment w:val="baseline"/>
    </w:pPr>
    <w:rPr>
      <w:rFonts w:ascii="Calibri" w:eastAsia="Calibri" w:hAnsi="Calibri" w:cs="Times New Roman"/>
    </w:rPr>
  </w:style>
  <w:style w:type="character" w:customStyle="1" w:styleId="11">
    <w:name w:val="Προεπιλεγμένη γραμματοσειρά1"/>
    <w:rsid w:val="00A72705"/>
  </w:style>
  <w:style w:type="paragraph" w:customStyle="1" w:styleId="12">
    <w:name w:val="Παράγραφος λίστας1"/>
    <w:basedOn w:val="10"/>
    <w:rsid w:val="00C12C6C"/>
    <w:pPr>
      <w:spacing w:after="0" w:line="240" w:lineRule="auto"/>
      <w:ind w:left="720"/>
    </w:pPr>
    <w:rPr>
      <w:rFonts w:eastAsia="MS Mincho"/>
      <w:sz w:val="24"/>
      <w:szCs w:val="24"/>
      <w:lang w:val="en-US"/>
    </w:rPr>
  </w:style>
  <w:style w:type="character" w:customStyle="1" w:styleId="13">
    <w:name w:val="Προεπιλεγμένη γραμματοσειρά1"/>
    <w:rsid w:val="00944528"/>
  </w:style>
</w:styles>
</file>

<file path=word/webSettings.xml><?xml version="1.0" encoding="utf-8"?>
<w:webSettings xmlns:r="http://schemas.openxmlformats.org/officeDocument/2006/relationships" xmlns:w="http://schemas.openxmlformats.org/wordprocessingml/2006/main">
  <w:divs>
    <w:div w:id="16390959">
      <w:bodyDiv w:val="1"/>
      <w:marLeft w:val="0"/>
      <w:marRight w:val="0"/>
      <w:marTop w:val="0"/>
      <w:marBottom w:val="0"/>
      <w:divBdr>
        <w:top w:val="none" w:sz="0" w:space="0" w:color="auto"/>
        <w:left w:val="none" w:sz="0" w:space="0" w:color="auto"/>
        <w:bottom w:val="none" w:sz="0" w:space="0" w:color="auto"/>
        <w:right w:val="none" w:sz="0" w:space="0" w:color="auto"/>
      </w:divBdr>
    </w:div>
    <w:div w:id="53941705">
      <w:bodyDiv w:val="1"/>
      <w:marLeft w:val="0"/>
      <w:marRight w:val="0"/>
      <w:marTop w:val="0"/>
      <w:marBottom w:val="0"/>
      <w:divBdr>
        <w:top w:val="none" w:sz="0" w:space="0" w:color="auto"/>
        <w:left w:val="none" w:sz="0" w:space="0" w:color="auto"/>
        <w:bottom w:val="none" w:sz="0" w:space="0" w:color="auto"/>
        <w:right w:val="none" w:sz="0" w:space="0" w:color="auto"/>
      </w:divBdr>
    </w:div>
    <w:div w:id="145783865">
      <w:bodyDiv w:val="1"/>
      <w:marLeft w:val="0"/>
      <w:marRight w:val="0"/>
      <w:marTop w:val="0"/>
      <w:marBottom w:val="0"/>
      <w:divBdr>
        <w:top w:val="none" w:sz="0" w:space="0" w:color="auto"/>
        <w:left w:val="none" w:sz="0" w:space="0" w:color="auto"/>
        <w:bottom w:val="none" w:sz="0" w:space="0" w:color="auto"/>
        <w:right w:val="none" w:sz="0" w:space="0" w:color="auto"/>
      </w:divBdr>
    </w:div>
    <w:div w:id="233786100">
      <w:bodyDiv w:val="1"/>
      <w:marLeft w:val="0"/>
      <w:marRight w:val="0"/>
      <w:marTop w:val="0"/>
      <w:marBottom w:val="0"/>
      <w:divBdr>
        <w:top w:val="none" w:sz="0" w:space="0" w:color="auto"/>
        <w:left w:val="none" w:sz="0" w:space="0" w:color="auto"/>
        <w:bottom w:val="none" w:sz="0" w:space="0" w:color="auto"/>
        <w:right w:val="none" w:sz="0" w:space="0" w:color="auto"/>
      </w:divBdr>
    </w:div>
    <w:div w:id="271985495">
      <w:bodyDiv w:val="1"/>
      <w:marLeft w:val="0"/>
      <w:marRight w:val="0"/>
      <w:marTop w:val="0"/>
      <w:marBottom w:val="0"/>
      <w:divBdr>
        <w:top w:val="none" w:sz="0" w:space="0" w:color="auto"/>
        <w:left w:val="none" w:sz="0" w:space="0" w:color="auto"/>
        <w:bottom w:val="none" w:sz="0" w:space="0" w:color="auto"/>
        <w:right w:val="none" w:sz="0" w:space="0" w:color="auto"/>
      </w:divBdr>
    </w:div>
    <w:div w:id="313097898">
      <w:bodyDiv w:val="1"/>
      <w:marLeft w:val="0"/>
      <w:marRight w:val="0"/>
      <w:marTop w:val="0"/>
      <w:marBottom w:val="0"/>
      <w:divBdr>
        <w:top w:val="none" w:sz="0" w:space="0" w:color="auto"/>
        <w:left w:val="none" w:sz="0" w:space="0" w:color="auto"/>
        <w:bottom w:val="none" w:sz="0" w:space="0" w:color="auto"/>
        <w:right w:val="none" w:sz="0" w:space="0" w:color="auto"/>
      </w:divBdr>
    </w:div>
    <w:div w:id="416752605">
      <w:bodyDiv w:val="1"/>
      <w:marLeft w:val="0"/>
      <w:marRight w:val="0"/>
      <w:marTop w:val="0"/>
      <w:marBottom w:val="0"/>
      <w:divBdr>
        <w:top w:val="none" w:sz="0" w:space="0" w:color="auto"/>
        <w:left w:val="none" w:sz="0" w:space="0" w:color="auto"/>
        <w:bottom w:val="none" w:sz="0" w:space="0" w:color="auto"/>
        <w:right w:val="none" w:sz="0" w:space="0" w:color="auto"/>
      </w:divBdr>
    </w:div>
    <w:div w:id="465661164">
      <w:bodyDiv w:val="1"/>
      <w:marLeft w:val="0"/>
      <w:marRight w:val="0"/>
      <w:marTop w:val="0"/>
      <w:marBottom w:val="0"/>
      <w:divBdr>
        <w:top w:val="none" w:sz="0" w:space="0" w:color="auto"/>
        <w:left w:val="none" w:sz="0" w:space="0" w:color="auto"/>
        <w:bottom w:val="none" w:sz="0" w:space="0" w:color="auto"/>
        <w:right w:val="none" w:sz="0" w:space="0" w:color="auto"/>
      </w:divBdr>
    </w:div>
    <w:div w:id="522784727">
      <w:bodyDiv w:val="1"/>
      <w:marLeft w:val="0"/>
      <w:marRight w:val="0"/>
      <w:marTop w:val="0"/>
      <w:marBottom w:val="0"/>
      <w:divBdr>
        <w:top w:val="none" w:sz="0" w:space="0" w:color="auto"/>
        <w:left w:val="none" w:sz="0" w:space="0" w:color="auto"/>
        <w:bottom w:val="none" w:sz="0" w:space="0" w:color="auto"/>
        <w:right w:val="none" w:sz="0" w:space="0" w:color="auto"/>
      </w:divBdr>
      <w:divsChild>
        <w:div w:id="117382307">
          <w:marLeft w:val="0"/>
          <w:marRight w:val="0"/>
          <w:marTop w:val="0"/>
          <w:marBottom w:val="0"/>
          <w:divBdr>
            <w:top w:val="none" w:sz="0" w:space="0" w:color="auto"/>
            <w:left w:val="none" w:sz="0" w:space="0" w:color="auto"/>
            <w:bottom w:val="none" w:sz="0" w:space="0" w:color="auto"/>
            <w:right w:val="none" w:sz="0" w:space="0" w:color="auto"/>
          </w:divBdr>
          <w:divsChild>
            <w:div w:id="1861626696">
              <w:marLeft w:val="-113"/>
              <w:marRight w:val="-113"/>
              <w:marTop w:val="0"/>
              <w:marBottom w:val="0"/>
              <w:divBdr>
                <w:top w:val="none" w:sz="0" w:space="0" w:color="auto"/>
                <w:left w:val="none" w:sz="0" w:space="0" w:color="auto"/>
                <w:bottom w:val="none" w:sz="0" w:space="0" w:color="auto"/>
                <w:right w:val="none" w:sz="0" w:space="0" w:color="auto"/>
              </w:divBdr>
              <w:divsChild>
                <w:div w:id="1009256234">
                  <w:marLeft w:val="0"/>
                  <w:marRight w:val="0"/>
                  <w:marTop w:val="0"/>
                  <w:marBottom w:val="0"/>
                  <w:divBdr>
                    <w:top w:val="none" w:sz="0" w:space="0" w:color="auto"/>
                    <w:left w:val="none" w:sz="0" w:space="0" w:color="auto"/>
                    <w:bottom w:val="none" w:sz="0" w:space="0" w:color="auto"/>
                    <w:right w:val="none" w:sz="0" w:space="0" w:color="auto"/>
                  </w:divBdr>
                  <w:divsChild>
                    <w:div w:id="753628223">
                      <w:marLeft w:val="-113"/>
                      <w:marRight w:val="-113"/>
                      <w:marTop w:val="0"/>
                      <w:marBottom w:val="0"/>
                      <w:divBdr>
                        <w:top w:val="none" w:sz="0" w:space="0" w:color="auto"/>
                        <w:left w:val="none" w:sz="0" w:space="0" w:color="auto"/>
                        <w:bottom w:val="none" w:sz="0" w:space="0" w:color="auto"/>
                        <w:right w:val="none" w:sz="0" w:space="0" w:color="auto"/>
                      </w:divBdr>
                      <w:divsChild>
                        <w:div w:id="1527063963">
                          <w:marLeft w:val="0"/>
                          <w:marRight w:val="0"/>
                          <w:marTop w:val="0"/>
                          <w:marBottom w:val="0"/>
                          <w:divBdr>
                            <w:top w:val="none" w:sz="0" w:space="0" w:color="auto"/>
                            <w:left w:val="none" w:sz="0" w:space="0" w:color="auto"/>
                            <w:bottom w:val="none" w:sz="0" w:space="0" w:color="auto"/>
                            <w:right w:val="none" w:sz="0" w:space="0" w:color="auto"/>
                          </w:divBdr>
                          <w:divsChild>
                            <w:div w:id="834614138">
                              <w:marLeft w:val="-113"/>
                              <w:marRight w:val="-113"/>
                              <w:marTop w:val="0"/>
                              <w:marBottom w:val="0"/>
                              <w:divBdr>
                                <w:top w:val="none" w:sz="0" w:space="0" w:color="auto"/>
                                <w:left w:val="none" w:sz="0" w:space="0" w:color="auto"/>
                                <w:bottom w:val="none" w:sz="0" w:space="0" w:color="auto"/>
                                <w:right w:val="none" w:sz="0" w:space="0" w:color="auto"/>
                              </w:divBdr>
                              <w:divsChild>
                                <w:div w:id="10731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078958">
      <w:bodyDiv w:val="1"/>
      <w:marLeft w:val="0"/>
      <w:marRight w:val="0"/>
      <w:marTop w:val="0"/>
      <w:marBottom w:val="0"/>
      <w:divBdr>
        <w:top w:val="none" w:sz="0" w:space="0" w:color="auto"/>
        <w:left w:val="none" w:sz="0" w:space="0" w:color="auto"/>
        <w:bottom w:val="none" w:sz="0" w:space="0" w:color="auto"/>
        <w:right w:val="none" w:sz="0" w:space="0" w:color="auto"/>
      </w:divBdr>
    </w:div>
    <w:div w:id="618141896">
      <w:bodyDiv w:val="1"/>
      <w:marLeft w:val="0"/>
      <w:marRight w:val="0"/>
      <w:marTop w:val="0"/>
      <w:marBottom w:val="0"/>
      <w:divBdr>
        <w:top w:val="none" w:sz="0" w:space="0" w:color="auto"/>
        <w:left w:val="none" w:sz="0" w:space="0" w:color="auto"/>
        <w:bottom w:val="none" w:sz="0" w:space="0" w:color="auto"/>
        <w:right w:val="none" w:sz="0" w:space="0" w:color="auto"/>
      </w:divBdr>
    </w:div>
    <w:div w:id="646908061">
      <w:bodyDiv w:val="1"/>
      <w:marLeft w:val="0"/>
      <w:marRight w:val="0"/>
      <w:marTop w:val="0"/>
      <w:marBottom w:val="0"/>
      <w:divBdr>
        <w:top w:val="none" w:sz="0" w:space="0" w:color="auto"/>
        <w:left w:val="none" w:sz="0" w:space="0" w:color="auto"/>
        <w:bottom w:val="none" w:sz="0" w:space="0" w:color="auto"/>
        <w:right w:val="none" w:sz="0" w:space="0" w:color="auto"/>
      </w:divBdr>
    </w:div>
    <w:div w:id="660161196">
      <w:bodyDiv w:val="1"/>
      <w:marLeft w:val="0"/>
      <w:marRight w:val="0"/>
      <w:marTop w:val="0"/>
      <w:marBottom w:val="0"/>
      <w:divBdr>
        <w:top w:val="none" w:sz="0" w:space="0" w:color="auto"/>
        <w:left w:val="none" w:sz="0" w:space="0" w:color="auto"/>
        <w:bottom w:val="none" w:sz="0" w:space="0" w:color="auto"/>
        <w:right w:val="none" w:sz="0" w:space="0" w:color="auto"/>
      </w:divBdr>
    </w:div>
    <w:div w:id="917976577">
      <w:bodyDiv w:val="1"/>
      <w:marLeft w:val="0"/>
      <w:marRight w:val="0"/>
      <w:marTop w:val="0"/>
      <w:marBottom w:val="0"/>
      <w:divBdr>
        <w:top w:val="none" w:sz="0" w:space="0" w:color="auto"/>
        <w:left w:val="none" w:sz="0" w:space="0" w:color="auto"/>
        <w:bottom w:val="none" w:sz="0" w:space="0" w:color="auto"/>
        <w:right w:val="none" w:sz="0" w:space="0" w:color="auto"/>
      </w:divBdr>
    </w:div>
    <w:div w:id="940332131">
      <w:bodyDiv w:val="1"/>
      <w:marLeft w:val="0"/>
      <w:marRight w:val="0"/>
      <w:marTop w:val="0"/>
      <w:marBottom w:val="0"/>
      <w:divBdr>
        <w:top w:val="none" w:sz="0" w:space="0" w:color="auto"/>
        <w:left w:val="none" w:sz="0" w:space="0" w:color="auto"/>
        <w:bottom w:val="none" w:sz="0" w:space="0" w:color="auto"/>
        <w:right w:val="none" w:sz="0" w:space="0" w:color="auto"/>
      </w:divBdr>
    </w:div>
    <w:div w:id="965503141">
      <w:bodyDiv w:val="1"/>
      <w:marLeft w:val="0"/>
      <w:marRight w:val="0"/>
      <w:marTop w:val="0"/>
      <w:marBottom w:val="0"/>
      <w:divBdr>
        <w:top w:val="none" w:sz="0" w:space="0" w:color="auto"/>
        <w:left w:val="none" w:sz="0" w:space="0" w:color="auto"/>
        <w:bottom w:val="none" w:sz="0" w:space="0" w:color="auto"/>
        <w:right w:val="none" w:sz="0" w:space="0" w:color="auto"/>
      </w:divBdr>
    </w:div>
    <w:div w:id="1044788058">
      <w:bodyDiv w:val="1"/>
      <w:marLeft w:val="0"/>
      <w:marRight w:val="0"/>
      <w:marTop w:val="0"/>
      <w:marBottom w:val="0"/>
      <w:divBdr>
        <w:top w:val="none" w:sz="0" w:space="0" w:color="auto"/>
        <w:left w:val="none" w:sz="0" w:space="0" w:color="auto"/>
        <w:bottom w:val="none" w:sz="0" w:space="0" w:color="auto"/>
        <w:right w:val="none" w:sz="0" w:space="0" w:color="auto"/>
      </w:divBdr>
    </w:div>
    <w:div w:id="1052996616">
      <w:bodyDiv w:val="1"/>
      <w:marLeft w:val="0"/>
      <w:marRight w:val="0"/>
      <w:marTop w:val="0"/>
      <w:marBottom w:val="0"/>
      <w:divBdr>
        <w:top w:val="none" w:sz="0" w:space="0" w:color="auto"/>
        <w:left w:val="none" w:sz="0" w:space="0" w:color="auto"/>
        <w:bottom w:val="none" w:sz="0" w:space="0" w:color="auto"/>
        <w:right w:val="none" w:sz="0" w:space="0" w:color="auto"/>
      </w:divBdr>
    </w:div>
    <w:div w:id="1116564502">
      <w:bodyDiv w:val="1"/>
      <w:marLeft w:val="0"/>
      <w:marRight w:val="0"/>
      <w:marTop w:val="0"/>
      <w:marBottom w:val="0"/>
      <w:divBdr>
        <w:top w:val="none" w:sz="0" w:space="0" w:color="auto"/>
        <w:left w:val="none" w:sz="0" w:space="0" w:color="auto"/>
        <w:bottom w:val="none" w:sz="0" w:space="0" w:color="auto"/>
        <w:right w:val="none" w:sz="0" w:space="0" w:color="auto"/>
      </w:divBdr>
      <w:divsChild>
        <w:div w:id="1670674015">
          <w:marLeft w:val="130"/>
          <w:marRight w:val="0"/>
          <w:marTop w:val="120"/>
          <w:marBottom w:val="0"/>
          <w:divBdr>
            <w:top w:val="none" w:sz="0" w:space="0" w:color="auto"/>
            <w:left w:val="none" w:sz="0" w:space="0" w:color="auto"/>
            <w:bottom w:val="none" w:sz="0" w:space="0" w:color="auto"/>
            <w:right w:val="none" w:sz="0" w:space="0" w:color="auto"/>
          </w:divBdr>
        </w:div>
      </w:divsChild>
    </w:div>
    <w:div w:id="1266883232">
      <w:bodyDiv w:val="1"/>
      <w:marLeft w:val="0"/>
      <w:marRight w:val="0"/>
      <w:marTop w:val="0"/>
      <w:marBottom w:val="0"/>
      <w:divBdr>
        <w:top w:val="none" w:sz="0" w:space="0" w:color="auto"/>
        <w:left w:val="none" w:sz="0" w:space="0" w:color="auto"/>
        <w:bottom w:val="none" w:sz="0" w:space="0" w:color="auto"/>
        <w:right w:val="none" w:sz="0" w:space="0" w:color="auto"/>
      </w:divBdr>
    </w:div>
    <w:div w:id="1386611484">
      <w:bodyDiv w:val="1"/>
      <w:marLeft w:val="0"/>
      <w:marRight w:val="0"/>
      <w:marTop w:val="0"/>
      <w:marBottom w:val="0"/>
      <w:divBdr>
        <w:top w:val="none" w:sz="0" w:space="0" w:color="auto"/>
        <w:left w:val="none" w:sz="0" w:space="0" w:color="auto"/>
        <w:bottom w:val="none" w:sz="0" w:space="0" w:color="auto"/>
        <w:right w:val="none" w:sz="0" w:space="0" w:color="auto"/>
      </w:divBdr>
    </w:div>
    <w:div w:id="1395011594">
      <w:bodyDiv w:val="1"/>
      <w:marLeft w:val="0"/>
      <w:marRight w:val="0"/>
      <w:marTop w:val="0"/>
      <w:marBottom w:val="0"/>
      <w:divBdr>
        <w:top w:val="none" w:sz="0" w:space="0" w:color="auto"/>
        <w:left w:val="none" w:sz="0" w:space="0" w:color="auto"/>
        <w:bottom w:val="none" w:sz="0" w:space="0" w:color="auto"/>
        <w:right w:val="none" w:sz="0" w:space="0" w:color="auto"/>
      </w:divBdr>
    </w:div>
    <w:div w:id="1541624111">
      <w:bodyDiv w:val="1"/>
      <w:marLeft w:val="0"/>
      <w:marRight w:val="0"/>
      <w:marTop w:val="0"/>
      <w:marBottom w:val="0"/>
      <w:divBdr>
        <w:top w:val="none" w:sz="0" w:space="0" w:color="auto"/>
        <w:left w:val="none" w:sz="0" w:space="0" w:color="auto"/>
        <w:bottom w:val="none" w:sz="0" w:space="0" w:color="auto"/>
        <w:right w:val="none" w:sz="0" w:space="0" w:color="auto"/>
      </w:divBdr>
    </w:div>
    <w:div w:id="1547330318">
      <w:bodyDiv w:val="1"/>
      <w:marLeft w:val="0"/>
      <w:marRight w:val="0"/>
      <w:marTop w:val="0"/>
      <w:marBottom w:val="0"/>
      <w:divBdr>
        <w:top w:val="none" w:sz="0" w:space="0" w:color="auto"/>
        <w:left w:val="none" w:sz="0" w:space="0" w:color="auto"/>
        <w:bottom w:val="none" w:sz="0" w:space="0" w:color="auto"/>
        <w:right w:val="none" w:sz="0" w:space="0" w:color="auto"/>
      </w:divBdr>
    </w:div>
    <w:div w:id="1549024454">
      <w:bodyDiv w:val="1"/>
      <w:marLeft w:val="0"/>
      <w:marRight w:val="0"/>
      <w:marTop w:val="0"/>
      <w:marBottom w:val="0"/>
      <w:divBdr>
        <w:top w:val="none" w:sz="0" w:space="0" w:color="auto"/>
        <w:left w:val="none" w:sz="0" w:space="0" w:color="auto"/>
        <w:bottom w:val="none" w:sz="0" w:space="0" w:color="auto"/>
        <w:right w:val="none" w:sz="0" w:space="0" w:color="auto"/>
      </w:divBdr>
    </w:div>
    <w:div w:id="1736586066">
      <w:bodyDiv w:val="1"/>
      <w:marLeft w:val="0"/>
      <w:marRight w:val="0"/>
      <w:marTop w:val="0"/>
      <w:marBottom w:val="0"/>
      <w:divBdr>
        <w:top w:val="none" w:sz="0" w:space="0" w:color="auto"/>
        <w:left w:val="none" w:sz="0" w:space="0" w:color="auto"/>
        <w:bottom w:val="none" w:sz="0" w:space="0" w:color="auto"/>
        <w:right w:val="none" w:sz="0" w:space="0" w:color="auto"/>
      </w:divBdr>
    </w:div>
    <w:div w:id="1759017947">
      <w:bodyDiv w:val="1"/>
      <w:marLeft w:val="0"/>
      <w:marRight w:val="0"/>
      <w:marTop w:val="0"/>
      <w:marBottom w:val="0"/>
      <w:divBdr>
        <w:top w:val="none" w:sz="0" w:space="0" w:color="auto"/>
        <w:left w:val="none" w:sz="0" w:space="0" w:color="auto"/>
        <w:bottom w:val="none" w:sz="0" w:space="0" w:color="auto"/>
        <w:right w:val="none" w:sz="0" w:space="0" w:color="auto"/>
      </w:divBdr>
    </w:div>
    <w:div w:id="1774519332">
      <w:bodyDiv w:val="1"/>
      <w:marLeft w:val="0"/>
      <w:marRight w:val="0"/>
      <w:marTop w:val="0"/>
      <w:marBottom w:val="0"/>
      <w:divBdr>
        <w:top w:val="none" w:sz="0" w:space="0" w:color="auto"/>
        <w:left w:val="none" w:sz="0" w:space="0" w:color="auto"/>
        <w:bottom w:val="none" w:sz="0" w:space="0" w:color="auto"/>
        <w:right w:val="none" w:sz="0" w:space="0" w:color="auto"/>
      </w:divBdr>
    </w:div>
    <w:div w:id="1975788773">
      <w:bodyDiv w:val="1"/>
      <w:marLeft w:val="0"/>
      <w:marRight w:val="0"/>
      <w:marTop w:val="0"/>
      <w:marBottom w:val="0"/>
      <w:divBdr>
        <w:top w:val="none" w:sz="0" w:space="0" w:color="auto"/>
        <w:left w:val="none" w:sz="0" w:space="0" w:color="auto"/>
        <w:bottom w:val="none" w:sz="0" w:space="0" w:color="auto"/>
        <w:right w:val="none" w:sz="0" w:space="0" w:color="auto"/>
      </w:divBdr>
    </w:div>
    <w:div w:id="2020546561">
      <w:bodyDiv w:val="1"/>
      <w:marLeft w:val="0"/>
      <w:marRight w:val="0"/>
      <w:marTop w:val="0"/>
      <w:marBottom w:val="0"/>
      <w:divBdr>
        <w:top w:val="none" w:sz="0" w:space="0" w:color="auto"/>
        <w:left w:val="none" w:sz="0" w:space="0" w:color="auto"/>
        <w:bottom w:val="none" w:sz="0" w:space="0" w:color="auto"/>
        <w:right w:val="none" w:sz="0" w:space="0" w:color="auto"/>
      </w:divBdr>
    </w:div>
    <w:div w:id="2075662838">
      <w:bodyDiv w:val="1"/>
      <w:marLeft w:val="0"/>
      <w:marRight w:val="0"/>
      <w:marTop w:val="0"/>
      <w:marBottom w:val="0"/>
      <w:divBdr>
        <w:top w:val="none" w:sz="0" w:space="0" w:color="auto"/>
        <w:left w:val="none" w:sz="0" w:space="0" w:color="auto"/>
        <w:bottom w:val="none" w:sz="0" w:space="0" w:color="auto"/>
        <w:right w:val="none" w:sz="0" w:space="0" w:color="auto"/>
      </w:divBdr>
    </w:div>
    <w:div w:id="2081557182">
      <w:bodyDiv w:val="1"/>
      <w:marLeft w:val="0"/>
      <w:marRight w:val="0"/>
      <w:marTop w:val="0"/>
      <w:marBottom w:val="0"/>
      <w:divBdr>
        <w:top w:val="none" w:sz="0" w:space="0" w:color="auto"/>
        <w:left w:val="none" w:sz="0" w:space="0" w:color="auto"/>
        <w:bottom w:val="none" w:sz="0" w:space="0" w:color="auto"/>
        <w:right w:val="none" w:sz="0" w:space="0" w:color="auto"/>
      </w:divBdr>
    </w:div>
    <w:div w:id="2099249687">
      <w:bodyDiv w:val="1"/>
      <w:marLeft w:val="0"/>
      <w:marRight w:val="0"/>
      <w:marTop w:val="0"/>
      <w:marBottom w:val="0"/>
      <w:divBdr>
        <w:top w:val="none" w:sz="0" w:space="0" w:color="auto"/>
        <w:left w:val="none" w:sz="0" w:space="0" w:color="auto"/>
        <w:bottom w:val="none" w:sz="0" w:space="0" w:color="auto"/>
        <w:right w:val="none" w:sz="0" w:space="0" w:color="auto"/>
      </w:divBdr>
      <w:divsChild>
        <w:div w:id="97331102">
          <w:marLeft w:val="-240"/>
          <w:marRight w:val="-240"/>
          <w:marTop w:val="0"/>
          <w:marBottom w:val="0"/>
          <w:divBdr>
            <w:top w:val="none" w:sz="0" w:space="0" w:color="auto"/>
            <w:left w:val="none" w:sz="0" w:space="0" w:color="auto"/>
            <w:bottom w:val="none" w:sz="0" w:space="0" w:color="auto"/>
            <w:right w:val="none" w:sz="0" w:space="0" w:color="auto"/>
          </w:divBdr>
          <w:divsChild>
            <w:div w:id="2090809561">
              <w:marLeft w:val="0"/>
              <w:marRight w:val="0"/>
              <w:marTop w:val="0"/>
              <w:marBottom w:val="0"/>
              <w:divBdr>
                <w:top w:val="none" w:sz="0" w:space="0" w:color="auto"/>
                <w:left w:val="none" w:sz="0" w:space="0" w:color="auto"/>
                <w:bottom w:val="none" w:sz="0" w:space="0" w:color="auto"/>
                <w:right w:val="none" w:sz="0" w:space="0" w:color="auto"/>
              </w:divBdr>
              <w:divsChild>
                <w:div w:id="11719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piraeusbankgroup.com/el/investors/financials/financial-results-categories" TargetMode="Externa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raeusbankgroup.com/el/investors/financials/financial-statem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_____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________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________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________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_________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______________Microsoft_Office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661079704876775E-2"/>
          <c:y val="0.15222343972945107"/>
          <c:w val="0.92790407689519638"/>
          <c:h val="0.60620807695838741"/>
        </c:manualLayout>
      </c:layout>
      <c:barChart>
        <c:barDir val="col"/>
        <c:grouping val="stacked"/>
        <c:ser>
          <c:idx val="0"/>
          <c:order val="0"/>
          <c:tx>
            <c:strRef>
              <c:f>Sheet1!$B$3</c:f>
              <c:strCache>
                <c:ptCount val="1"/>
                <c:pt idx="0">
                  <c:v>Base</c:v>
                </c:pt>
              </c:strCache>
            </c:strRef>
          </c:tx>
          <c:spPr>
            <a:noFill/>
            <a:ln>
              <a:noFill/>
            </a:ln>
            <a:effectLst>
              <a:innerShdw blurRad="63500" dist="50800" dir="13500000">
                <a:prstClr val="black">
                  <a:alpha val="50000"/>
                </a:prstClr>
              </a:innerShdw>
            </a:effectLst>
          </c:spPr>
          <c:cat>
            <c:strRef>
              <c:f>Sheet1!$A$4:$A$9</c:f>
              <c:strCache>
                <c:ptCount val="6"/>
                <c:pt idx="0">
                  <c:v>2018</c:v>
                </c:pt>
                <c:pt idx="1">
                  <c:v>2019</c:v>
                </c:pt>
                <c:pt idx="2">
                  <c:v>Q1.20</c:v>
                </c:pt>
                <c:pt idx="3">
                  <c:v>Q2.20</c:v>
                </c:pt>
                <c:pt idx="4">
                  <c:v>Q3.20</c:v>
                </c:pt>
                <c:pt idx="5">
                  <c:v>9Μ.20</c:v>
                </c:pt>
              </c:strCache>
            </c:strRef>
          </c:cat>
          <c:val>
            <c:numRef>
              <c:f>Sheet1!$B$4:$B$9</c:f>
              <c:numCache>
                <c:formatCode>#,##0.0</c:formatCode>
                <c:ptCount val="6"/>
                <c:pt idx="0">
                  <c:v>0</c:v>
                </c:pt>
                <c:pt idx="1">
                  <c:v>0</c:v>
                </c:pt>
                <c:pt idx="2">
                  <c:v>0</c:v>
                </c:pt>
                <c:pt idx="3">
                  <c:v>1</c:v>
                </c:pt>
                <c:pt idx="4">
                  <c:v>2.5</c:v>
                </c:pt>
                <c:pt idx="5">
                  <c:v>0</c:v>
                </c:pt>
              </c:numCache>
            </c:numRef>
          </c:val>
          <c:extLst xmlns:c16r2="http://schemas.microsoft.com/office/drawing/2015/06/chart">
            <c:ext xmlns:c16="http://schemas.microsoft.com/office/drawing/2014/chart" uri="{C3380CC4-5D6E-409C-BE32-E72D297353CC}">
              <c16:uniqueId val="{00000002-036D-4791-9BAF-F637262AD92B}"/>
            </c:ext>
          </c:extLst>
        </c:ser>
        <c:ser>
          <c:idx val="1"/>
          <c:order val="1"/>
          <c:tx>
            <c:strRef>
              <c:f>Sheet1!$C$3</c:f>
              <c:strCache>
                <c:ptCount val="1"/>
                <c:pt idx="0">
                  <c:v>Value</c:v>
                </c:pt>
              </c:strCache>
            </c:strRef>
          </c:tx>
          <c:spPr>
            <a:solidFill>
              <a:srgbClr val="002060"/>
            </a:solidFill>
            <a:ln>
              <a:noFill/>
            </a:ln>
            <a:effectLst/>
          </c:spPr>
          <c:dPt>
            <c:idx val="2"/>
            <c:spPr>
              <a:solidFill>
                <a:srgbClr val="FFC000"/>
              </a:solidFill>
              <a:ln>
                <a:noFill/>
              </a:ln>
              <a:effectLst/>
            </c:spPr>
            <c:extLst xmlns:c16r2="http://schemas.microsoft.com/office/drawing/2015/06/chart">
              <c:ext xmlns:c16="http://schemas.microsoft.com/office/drawing/2014/chart" uri="{C3380CC4-5D6E-409C-BE32-E72D297353CC}">
                <c16:uniqueId val="{00000005-036D-4791-9BAF-F637262AD92B}"/>
              </c:ext>
            </c:extLst>
          </c:dPt>
          <c:dPt>
            <c:idx val="3"/>
            <c:spPr>
              <a:solidFill>
                <a:srgbClr val="FFC000"/>
              </a:solidFill>
              <a:ln>
                <a:noFill/>
              </a:ln>
              <a:effectLst/>
            </c:spPr>
            <c:extLst xmlns:c16r2="http://schemas.microsoft.com/office/drawing/2015/06/chart">
              <c:ext xmlns:c16="http://schemas.microsoft.com/office/drawing/2014/chart" uri="{C3380CC4-5D6E-409C-BE32-E72D297353CC}">
                <c16:uniqueId val="{00000006-036D-4791-9BAF-F637262AD92B}"/>
              </c:ext>
            </c:extLst>
          </c:dPt>
          <c:dPt>
            <c:idx val="4"/>
            <c:spPr>
              <a:solidFill>
                <a:srgbClr val="FFC000"/>
              </a:solidFill>
              <a:ln>
                <a:solidFill>
                  <a:schemeClr val="tx2"/>
                </a:solidFill>
              </a:ln>
              <a:effectLst/>
            </c:spPr>
            <c:extLst xmlns:c16r2="http://schemas.microsoft.com/office/drawing/2015/06/chart">
              <c:ext xmlns:c16="http://schemas.microsoft.com/office/drawing/2014/chart" uri="{C3380CC4-5D6E-409C-BE32-E72D297353CC}">
                <c16:uniqueId val="{00000008-036D-4791-9BAF-F637262AD92B}"/>
              </c:ext>
            </c:extLst>
          </c:dPt>
          <c:dLbls>
            <c:dLbl>
              <c:idx val="0"/>
              <c:layout>
                <c:manualLayout>
                  <c:x val="2.0031034735837781E-3"/>
                  <c:y val="-0.23476501666496868"/>
                </c:manualLayout>
              </c:layout>
              <c:tx>
                <c:rich>
                  <a:bodyPr/>
                  <a:lstStyle/>
                  <a:p>
                    <a:r>
                      <a:rPr lang="en-US"/>
                      <a:t>3,1</a:t>
                    </a:r>
                  </a:p>
                </c:rich>
              </c:tx>
              <c:dLblPos val="ct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036D-4791-9BAF-F637262AD92B}"/>
                </c:ext>
              </c:extLst>
            </c:dLbl>
            <c:dLbl>
              <c:idx val="1"/>
              <c:layout>
                <c:manualLayout>
                  <c:x val="0"/>
                  <c:y val="-0.27644563144948842"/>
                </c:manualLayout>
              </c:layout>
              <c:tx>
                <c:rich>
                  <a:bodyPr wrap="square" lIns="38100" tIns="19050" rIns="38100" bIns="19050" anchor="ctr">
                    <a:spAutoFit/>
                  </a:bodyPr>
                  <a:lstStyle/>
                  <a:p>
                    <a:pPr>
                      <a:defRPr sz="800" b="0" strike="noStrike">
                        <a:solidFill>
                          <a:schemeClr val="tx1"/>
                        </a:solidFill>
                      </a:defRPr>
                    </a:pPr>
                    <a:r>
                      <a:rPr lang="en-US" sz="800" b="0" strike="noStrike" smtClean="0">
                        <a:solidFill>
                          <a:schemeClr val="tx1"/>
                        </a:solidFill>
                      </a:rPr>
                      <a:t>3,9</a:t>
                    </a:r>
                    <a:endParaRPr lang="en-US" b="0"/>
                  </a:p>
                </c:rich>
              </c:tx>
              <c:spPr>
                <a:noFill/>
                <a:ln>
                  <a:noFill/>
                </a:ln>
                <a:effectLst/>
              </c:spPr>
              <c:dLblPos val="ct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4822-4B77-8886-34D6A6AA880F}"/>
                </c:ext>
              </c:extLst>
            </c:dLbl>
            <c:dLbl>
              <c:idx val="2"/>
              <c:layout>
                <c:manualLayout>
                  <c:x val="-3.5024167252062873E-3"/>
                  <c:y val="-0.12391677703872973"/>
                </c:manualLayout>
              </c:layout>
              <c:tx>
                <c:rich>
                  <a:bodyPr wrap="square" lIns="38100" tIns="19050" rIns="38100" bIns="19050" anchor="ctr">
                    <a:spAutoFit/>
                  </a:bodyPr>
                  <a:lstStyle/>
                  <a:p>
                    <a:pPr>
                      <a:defRPr sz="800" b="0">
                        <a:solidFill>
                          <a:srgbClr val="002060"/>
                        </a:solidFill>
                      </a:defRPr>
                    </a:pPr>
                    <a:r>
                      <a:rPr lang="en-US" b="0" smtClean="0">
                        <a:solidFill>
                          <a:srgbClr val="002060"/>
                        </a:solidFill>
                      </a:rPr>
                      <a:t>1,0</a:t>
                    </a:r>
                    <a:endParaRPr lang="en-US" b="0"/>
                  </a:p>
                </c:rich>
              </c:tx>
              <c:spPr>
                <a:noFill/>
                <a:ln>
                  <a:noFill/>
                </a:ln>
                <a:effectLst/>
              </c:spPr>
              <c:dLblPos val="ct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036D-4791-9BAF-F637262AD92B}"/>
                </c:ext>
              </c:extLst>
            </c:dLbl>
            <c:dLbl>
              <c:idx val="3"/>
              <c:layout>
                <c:manualLayout>
                  <c:x val="-3.5024167252064101E-3"/>
                  <c:y val="-0.15570975300915479"/>
                </c:manualLayout>
              </c:layout>
              <c:tx>
                <c:rich>
                  <a:bodyPr wrap="square" lIns="38100" tIns="19050" rIns="38100" bIns="19050" anchor="ctr">
                    <a:spAutoFit/>
                  </a:bodyPr>
                  <a:lstStyle/>
                  <a:p>
                    <a:pPr>
                      <a:defRPr sz="800" b="0">
                        <a:solidFill>
                          <a:srgbClr val="002060"/>
                        </a:solidFill>
                      </a:defRPr>
                    </a:pPr>
                    <a:r>
                      <a:rPr lang="en-US" b="0" smtClean="0">
                        <a:solidFill>
                          <a:srgbClr val="002060"/>
                        </a:solidFill>
                      </a:rPr>
                      <a:t>1,5</a:t>
                    </a:r>
                    <a:endParaRPr lang="en-US" b="0"/>
                  </a:p>
                </c:rich>
              </c:tx>
              <c:spPr>
                <a:noFill/>
                <a:ln>
                  <a:noFill/>
                </a:ln>
                <a:effectLst/>
              </c:spPr>
              <c:dLblPos val="ct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036D-4791-9BAF-F637262AD92B}"/>
                </c:ext>
              </c:extLst>
            </c:dLbl>
            <c:dLbl>
              <c:idx val="4"/>
              <c:layout>
                <c:manualLayout>
                  <c:x val="-5.8583306247837524E-4"/>
                  <c:y val="-0.16499701631565927"/>
                </c:manualLayout>
              </c:layout>
              <c:tx>
                <c:rich>
                  <a:bodyPr wrap="square" lIns="38100" tIns="19050" rIns="38100" bIns="19050" anchor="ctr">
                    <a:noAutofit/>
                  </a:bodyPr>
                  <a:lstStyle/>
                  <a:p>
                    <a:pPr>
                      <a:defRPr sz="800" b="0">
                        <a:solidFill>
                          <a:srgbClr val="002060"/>
                        </a:solidFill>
                      </a:defRPr>
                    </a:pPr>
                    <a:r>
                      <a:rPr lang="en-US" sz="800" b="0" smtClean="0">
                        <a:solidFill>
                          <a:srgbClr val="002060"/>
                        </a:solidFill>
                      </a:rPr>
                      <a:t>2,0</a:t>
                    </a:r>
                    <a:endParaRPr lang="en-US" b="0"/>
                  </a:p>
                </c:rich>
              </c:tx>
              <c:spPr>
                <a:noFill/>
                <a:ln>
                  <a:noFill/>
                </a:ln>
                <a:effectLst/>
              </c:spPr>
              <c:dLblPos val="ctr"/>
              <c:showVal val="1"/>
              <c:extLst xmlns:c16r2="http://schemas.microsoft.com/office/drawing/2015/06/chart">
                <c:ext xmlns:c15="http://schemas.microsoft.com/office/drawing/2012/chart" uri="{CE6537A1-D6FC-4f65-9D91-7224C49458BB}">
                  <c15:layout>
                    <c:manualLayout>
                      <c:w val="0.13436205793849668"/>
                      <c:h val="0.10811416595106757"/>
                    </c:manualLayout>
                  </c15:layout>
                </c:ext>
                <c:ext xmlns:c16="http://schemas.microsoft.com/office/drawing/2014/chart" uri="{C3380CC4-5D6E-409C-BE32-E72D297353CC}">
                  <c16:uniqueId val="{00000008-036D-4791-9BAF-F637262AD92B}"/>
                </c:ext>
              </c:extLst>
            </c:dLbl>
            <c:dLbl>
              <c:idx val="5"/>
              <c:layout>
                <c:manualLayout>
                  <c:x val="-4.8942617192825506E-3"/>
                  <c:y val="-0.335558967790764"/>
                </c:manualLayout>
              </c:layout>
              <c:tx>
                <c:rich>
                  <a:bodyPr wrap="square" lIns="38100" tIns="19050" rIns="38100" bIns="19050" anchor="ctr">
                    <a:noAutofit/>
                  </a:bodyPr>
                  <a:lstStyle/>
                  <a:p>
                    <a:pPr>
                      <a:defRPr sz="800" b="0">
                        <a:solidFill>
                          <a:schemeClr val="tx1"/>
                        </a:solidFill>
                      </a:defRPr>
                    </a:pPr>
                    <a:r>
                      <a:rPr lang="en-US" b="0"/>
                      <a:t>4,5</a:t>
                    </a:r>
                  </a:p>
                </c:rich>
              </c:tx>
              <c:numFmt formatCode="#,##0.0" sourceLinked="0"/>
              <c:spPr>
                <a:noFill/>
                <a:ln>
                  <a:noFill/>
                </a:ln>
                <a:effectLst/>
              </c:spPr>
              <c:dLblPos val="ctr"/>
              <c:showVal val="1"/>
              <c:extLst xmlns:c16r2="http://schemas.microsoft.com/office/drawing/2015/06/chart">
                <c:ext xmlns:c15="http://schemas.microsoft.com/office/drawing/2012/chart" uri="{CE6537A1-D6FC-4f65-9D91-7224C49458BB}">
                  <c15:layout>
                    <c:manualLayout>
                      <c:w val="0.1073901464713715"/>
                      <c:h val="8.1007757579285938E-2"/>
                    </c:manualLayout>
                  </c15:layout>
                </c:ext>
                <c:ext xmlns:c16="http://schemas.microsoft.com/office/drawing/2014/chart" uri="{C3380CC4-5D6E-409C-BE32-E72D297353CC}">
                  <c16:uniqueId val="{00000009-036D-4791-9BAF-F637262AD92B}"/>
                </c:ext>
              </c:extLst>
            </c:dLbl>
            <c:dLbl>
              <c:idx val="6"/>
              <c:tx>
                <c:rich>
                  <a:bodyPr/>
                  <a:lstStyle/>
                  <a:p>
                    <a:r>
                      <a:rPr lang="en-US" dirty="0"/>
                      <a:t>-</a:t>
                    </a:r>
                    <a:fld id="{51AAF8A2-BE80-43CD-8F75-426AD9B2DB42}" type="VALUE">
                      <a:rPr lang="en-US" smtClean="0"/>
                      <a:pPr/>
                      <a:t>[VALUE]</a:t>
                    </a:fld>
                    <a:endParaRPr lang="en-US" dirty="0"/>
                  </a:p>
                </c:rich>
              </c:tx>
              <c:dLblPos val="in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036D-4791-9BAF-F637262AD92B}"/>
                </c:ext>
              </c:extLst>
            </c:dLbl>
            <c:dLbl>
              <c:idx val="7"/>
              <c:layout>
                <c:manualLayout>
                  <c:x val="1.3789835732718874E-7"/>
                  <c:y val="-3.406269615626039E-2"/>
                </c:manualLayout>
              </c:layout>
              <c:tx>
                <c:rich>
                  <a:bodyPr wrap="square" lIns="38100" tIns="19050" rIns="38100" bIns="19050" anchor="ctr">
                    <a:noAutofit/>
                  </a:bodyPr>
                  <a:lstStyle/>
                  <a:p>
                    <a:pPr>
                      <a:defRPr sz="800" b="0">
                        <a:solidFill>
                          <a:schemeClr val="tx1"/>
                        </a:solidFill>
                      </a:defRPr>
                    </a:pPr>
                    <a:r>
                      <a:rPr lang="en-US" sz="800" b="0" dirty="0">
                        <a:solidFill>
                          <a:schemeClr val="tx1"/>
                        </a:solidFill>
                      </a:rPr>
                      <a:t>+</a:t>
                    </a:r>
                    <a:fld id="{8ECA1770-2F3F-42F5-892C-61D4E3F22974}" type="VALUE">
                      <a:rPr lang="en-US" sz="800" b="0" smtClean="0">
                        <a:solidFill>
                          <a:schemeClr val="tx1"/>
                        </a:solidFill>
                      </a:rPr>
                      <a:pPr>
                        <a:defRPr sz="800" b="0">
                          <a:solidFill>
                            <a:schemeClr val="tx1"/>
                          </a:solidFill>
                        </a:defRPr>
                      </a:pPr>
                      <a:t>[VALUE]</a:t>
                    </a:fld>
                    <a:endParaRPr lang="en-US" sz="800" b="0" dirty="0">
                      <a:solidFill>
                        <a:schemeClr val="tx1"/>
                      </a:solidFill>
                    </a:endParaRPr>
                  </a:p>
                </c:rich>
              </c:tx>
              <c:spPr>
                <a:noFill/>
                <a:ln>
                  <a:noFill/>
                </a:ln>
                <a:effectLst/>
              </c:spPr>
              <c:dLblPos val="ctr"/>
              <c:showVal val="1"/>
              <c:extLst xmlns:c16r2="http://schemas.microsoft.com/office/drawing/2015/06/chart">
                <c:ext xmlns:c15="http://schemas.microsoft.com/office/drawing/2012/chart" uri="{CE6537A1-D6FC-4f65-9D91-7224C49458BB}">
                  <c15:layout>
                    <c:manualLayout>
                      <c:w val="7.8212350686180057E-2"/>
                      <c:h val="6.5807242665495924E-2"/>
                    </c:manualLayout>
                  </c15:layout>
                  <c15:dlblFieldTable/>
                  <c15:showDataLabelsRange val="0"/>
                </c:ext>
                <c:ext xmlns:c16="http://schemas.microsoft.com/office/drawing/2014/chart" uri="{C3380CC4-5D6E-409C-BE32-E72D297353CC}">
                  <c16:uniqueId val="{0000000C-036D-4791-9BAF-F637262AD92B}"/>
                </c:ext>
              </c:extLst>
            </c:dLbl>
            <c:dLbl>
              <c:idx val="8"/>
              <c:layout>
                <c:manualLayout>
                  <c:x val="-2.8591845408219253E-3"/>
                  <c:y val="-5.4200297849819903E-2"/>
                </c:manualLayout>
              </c:layout>
              <c:tx>
                <c:rich>
                  <a:bodyPr/>
                  <a:lstStyle/>
                  <a:p>
                    <a:r>
                      <a:rPr lang="en-US" sz="800" b="1" dirty="0">
                        <a:solidFill>
                          <a:schemeClr val="tx1"/>
                        </a:solidFill>
                      </a:rPr>
                      <a:t>+</a:t>
                    </a:r>
                    <a:fld id="{B62102F7-5E17-4C8B-B1FE-2FB696017A63}" type="VALUE">
                      <a:rPr lang="en-US" sz="800" b="1" smtClean="0">
                        <a:solidFill>
                          <a:schemeClr val="tx1"/>
                        </a:solidFill>
                      </a:rPr>
                      <a:pPr/>
                      <a:t>[VALUE]</a:t>
                    </a:fld>
                    <a:endParaRPr lang="en-US" sz="800" b="1" dirty="0">
                      <a:solidFill>
                        <a:schemeClr val="tx1"/>
                      </a:solidFill>
                    </a:endParaRPr>
                  </a:p>
                </c:rich>
              </c:tx>
              <c:dLblPos val="ctr"/>
              <c:showVal val="1"/>
              <c:extLst xmlns:c16r2="http://schemas.microsoft.com/office/drawing/2015/06/chart">
                <c:ext xmlns:c15="http://schemas.microsoft.com/office/drawing/2012/chart" uri="{CE6537A1-D6FC-4f65-9D91-7224C49458BB}">
                  <c15:layout>
                    <c:manualLayout>
                      <c:w val="8.0785546266415764E-2"/>
                      <c:h val="8.8910878903124962E-2"/>
                    </c:manualLayout>
                  </c15:layout>
                  <c15:dlblFieldTable/>
                  <c15:showDataLabelsRange val="0"/>
                </c:ext>
                <c:ext xmlns:c16="http://schemas.microsoft.com/office/drawing/2014/chart" uri="{C3380CC4-5D6E-409C-BE32-E72D297353CC}">
                  <c16:uniqueId val="{0000000D-036D-4791-9BAF-F637262AD92B}"/>
                </c:ext>
              </c:extLst>
            </c:dLbl>
            <c:dLbl>
              <c:idx val="9"/>
              <c:layout>
                <c:manualLayout>
                  <c:x val="-7.3086374473985943E-5"/>
                  <c:y val="-5.8186065154761234E-2"/>
                </c:manualLayout>
              </c:layout>
              <c:tx>
                <c:rich>
                  <a:bodyPr wrap="square" lIns="38100" tIns="19050" rIns="38100" bIns="19050" anchor="ctr">
                    <a:spAutoFit/>
                  </a:bodyPr>
                  <a:lstStyle/>
                  <a:p>
                    <a:pPr>
                      <a:defRPr sz="800" b="0">
                        <a:solidFill>
                          <a:schemeClr val="tx1"/>
                        </a:solidFill>
                      </a:defRPr>
                    </a:pPr>
                    <a:r>
                      <a:rPr lang="en-US" sz="800" b="0" dirty="0">
                        <a:solidFill>
                          <a:schemeClr val="tx1"/>
                        </a:solidFill>
                      </a:rPr>
                      <a:t>+</a:t>
                    </a:r>
                    <a:fld id="{CAFD8BFC-0DE0-4924-8C65-C94BDDE8A294}" type="VALUE">
                      <a:rPr lang="en-US" sz="800" b="0" smtClean="0">
                        <a:solidFill>
                          <a:schemeClr val="tx1"/>
                        </a:solidFill>
                      </a:rPr>
                      <a:pPr>
                        <a:defRPr sz="800" b="0">
                          <a:solidFill>
                            <a:schemeClr val="tx1"/>
                          </a:solidFill>
                        </a:defRPr>
                      </a:pPr>
                      <a:t>[VALUE]</a:t>
                    </a:fld>
                    <a:endParaRPr lang="en-US" sz="800" b="0" dirty="0">
                      <a:solidFill>
                        <a:schemeClr val="tx1"/>
                      </a:solidFill>
                    </a:endParaRPr>
                  </a:p>
                </c:rich>
              </c:tx>
              <c:numFmt formatCode="#,##0.0" sourceLinked="0"/>
              <c:spPr>
                <a:noFill/>
                <a:ln>
                  <a:noFill/>
                </a:ln>
                <a:effectLst/>
              </c:spPr>
              <c:dLblPos val="ct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E-036D-4791-9BAF-F637262AD92B}"/>
                </c:ext>
              </c:extLst>
            </c:dLbl>
            <c:dLbl>
              <c:idx val="10"/>
              <c:layout>
                <c:manualLayout>
                  <c:x val="8.3407260181213305E-4"/>
                  <c:y val="-0.2482580708685648"/>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036D-4791-9BAF-F637262AD92B}"/>
                </c:ext>
              </c:extLst>
            </c:dLbl>
            <c:dLbl>
              <c:idx val="11"/>
              <c:layout>
                <c:manualLayout>
                  <c:x val="-3.7375520387905024E-3"/>
                  <c:y val="-4.3018903164110694E-2"/>
                </c:manualLayout>
              </c:layout>
              <c:tx>
                <c:rich>
                  <a:bodyPr/>
                  <a:lstStyle/>
                  <a:p>
                    <a:r>
                      <a:rPr lang="en-US" dirty="0"/>
                      <a:t>+</a:t>
                    </a:r>
                    <a:fld id="{C0BBF676-306B-41EE-B67B-8CB6544E154A}" type="VALUE">
                      <a:rPr lang="en-US" smtClean="0"/>
                      <a:pPr/>
                      <a:t>[VALUE]</a:t>
                    </a:fld>
                    <a:endParaRPr lang="en-US" dirty="0"/>
                  </a:p>
                </c:rich>
              </c:tx>
              <c:dLblPos val="ct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0-036D-4791-9BAF-F637262AD92B}"/>
                </c:ext>
              </c:extLst>
            </c:dLbl>
            <c:dLbl>
              <c:idx val="12"/>
              <c:layout>
                <c:manualLayout>
                  <c:x val="3.3246151556871781E-4"/>
                  <c:y val="-5.0027938805400844E-2"/>
                </c:manualLayout>
              </c:layout>
              <c:tx>
                <c:rich>
                  <a:bodyPr/>
                  <a:lstStyle/>
                  <a:p>
                    <a:r>
                      <a:rPr lang="en-US" sz="800" b="1" dirty="0">
                        <a:solidFill>
                          <a:schemeClr val="tx1"/>
                        </a:solidFill>
                      </a:rPr>
                      <a:t>+</a:t>
                    </a:r>
                    <a:fld id="{1B45FE49-35A9-467C-A0E8-2F87C18A681B}" type="VALUE">
                      <a:rPr lang="en-US" sz="800" b="1" smtClean="0">
                        <a:solidFill>
                          <a:schemeClr val="tx1"/>
                        </a:solidFill>
                      </a:rPr>
                      <a:pPr/>
                      <a:t>[VALUE]</a:t>
                    </a:fld>
                    <a:endParaRPr lang="en-US" sz="800" b="1" dirty="0">
                      <a:solidFill>
                        <a:schemeClr val="tx1"/>
                      </a:solidFill>
                    </a:endParaRPr>
                  </a:p>
                </c:rich>
              </c:tx>
              <c:dLblPos val="ct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1-036D-4791-9BAF-F637262AD92B}"/>
                </c:ext>
              </c:extLst>
            </c:dLbl>
            <c:dLbl>
              <c:idx val="13"/>
              <c:layout>
                <c:manualLayout>
                  <c:x val="1.6253358438825583E-3"/>
                  <c:y val="-4.8002067717756634E-2"/>
                </c:manualLayout>
              </c:layout>
              <c:tx>
                <c:rich>
                  <a:bodyPr/>
                  <a:lstStyle/>
                  <a:p>
                    <a:r>
                      <a:rPr lang="en-US" sz="800" b="1" dirty="0">
                        <a:solidFill>
                          <a:schemeClr val="tx1"/>
                        </a:solidFill>
                      </a:rPr>
                      <a:t>+</a:t>
                    </a:r>
                    <a:fld id="{DB28ADC0-13B2-45A0-AEB5-6A859428BF7A}" type="VALUE">
                      <a:rPr lang="en-US" sz="800" b="1" smtClean="0">
                        <a:solidFill>
                          <a:schemeClr val="tx1"/>
                        </a:solidFill>
                      </a:rPr>
                      <a:pPr/>
                      <a:t>[VALUE]</a:t>
                    </a:fld>
                    <a:endParaRPr lang="en-US" sz="800" b="1" dirty="0">
                      <a:solidFill>
                        <a:schemeClr val="tx1"/>
                      </a:solidFill>
                    </a:endParaRPr>
                  </a:p>
                </c:rich>
              </c:tx>
              <c:dLblPos val="ct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2-036D-4791-9BAF-F637262AD92B}"/>
                </c:ext>
              </c:extLst>
            </c:dLbl>
            <c:dLbl>
              <c:idx val="14"/>
              <c:layout>
                <c:manualLayout>
                  <c:x val="-3.1103339015143931E-4"/>
                  <c:y val="-4.2053440657731346E-2"/>
                </c:manualLayout>
              </c:layout>
              <c:tx>
                <c:rich>
                  <a:bodyPr/>
                  <a:lstStyle/>
                  <a:p>
                    <a:r>
                      <a:rPr lang="en-US" sz="800" b="0" i="0" u="none" strike="noStrike" kern="1200" baseline="0" dirty="0">
                        <a:solidFill>
                          <a:schemeClr val="tx1"/>
                        </a:solidFill>
                        <a:latin typeface="+mj-lt"/>
                        <a:ea typeface="+mn-ea"/>
                        <a:cs typeface="+mn-cs"/>
                      </a:rPr>
                      <a:t>+</a:t>
                    </a:r>
                    <a:fld id="{538F8BED-6CBF-43E9-95F5-C3A5F330FBC9}" type="VALUE">
                      <a:rPr lang="en-US" sz="800" b="0" i="0" u="none" strike="noStrike" kern="1200" baseline="0" smtClean="0">
                        <a:solidFill>
                          <a:schemeClr val="tx1"/>
                        </a:solidFill>
                        <a:latin typeface="+mj-lt"/>
                        <a:ea typeface="+mn-ea"/>
                        <a:cs typeface="+mn-cs"/>
                      </a:rPr>
                      <a:pPr/>
                      <a:t>[VALUE]</a:t>
                    </a:fld>
                    <a:endParaRPr lang="en-US" sz="800" b="0" i="0" u="none" strike="noStrike" kern="1200" baseline="0" dirty="0">
                      <a:solidFill>
                        <a:schemeClr val="tx1"/>
                      </a:solidFill>
                      <a:latin typeface="+mj-lt"/>
                      <a:ea typeface="+mn-ea"/>
                      <a:cs typeface="+mn-cs"/>
                    </a:endParaRPr>
                  </a:p>
                </c:rich>
              </c:tx>
              <c:dLblPos val="ct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3-036D-4791-9BAF-F637262AD92B}"/>
                </c:ext>
              </c:extLst>
            </c:dLbl>
            <c:dLbl>
              <c:idx val="15"/>
              <c:layout>
                <c:manualLayout>
                  <c:x val="-9.4294921183889316E-5"/>
                  <c:y val="-0.26957771787960566"/>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036D-4791-9BAF-F637262AD92B}"/>
                </c:ext>
              </c:extLst>
            </c:dLbl>
            <c:dLbl>
              <c:idx val="16"/>
              <c:layout>
                <c:manualLayout>
                  <c:x val="-1.7797693755225007E-3"/>
                  <c:y val="3.3148469519624885E-2"/>
                </c:manualLayout>
              </c:layout>
              <c:tx>
                <c:rich>
                  <a:bodyPr/>
                  <a:lstStyle/>
                  <a:p>
                    <a:r>
                      <a:rPr lang="en-US" dirty="0"/>
                      <a:t>-</a:t>
                    </a:r>
                    <a:fld id="{78A118A8-19A8-495C-9CB0-5D57EFED573A}" type="VALUE">
                      <a:rPr lang="en-US" smtClean="0"/>
                      <a:pPr/>
                      <a:t>[VALUE]</a:t>
                    </a:fld>
                    <a:endParaRPr lang="en-US" dirty="0"/>
                  </a:p>
                </c:rich>
              </c:tx>
              <c:dLblPos val="ct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A-036D-4791-9BAF-F637262AD92B}"/>
                </c:ext>
              </c:extLst>
            </c:dLbl>
            <c:dLbl>
              <c:idx val="17"/>
              <c:layout>
                <c:manualLayout>
                  <c:x val="0"/>
                  <c:y val="-3.5514529409592765E-2"/>
                </c:manualLayout>
              </c:layout>
              <c:tx>
                <c:rich>
                  <a:bodyPr/>
                  <a:lstStyle/>
                  <a:p>
                    <a:r>
                      <a:rPr lang="en-US" sz="800" b="1" i="0" u="none" strike="noStrike" kern="1200" baseline="0" dirty="0">
                        <a:solidFill>
                          <a:schemeClr val="tx1"/>
                        </a:solidFill>
                        <a:latin typeface="+mj-lt"/>
                        <a:ea typeface="+mn-ea"/>
                        <a:cs typeface="+mn-cs"/>
                      </a:rPr>
                      <a:t>+</a:t>
                    </a:r>
                    <a:fld id="{6B3315B9-47DF-48C1-8083-0841C0681CF5}" type="VALUE">
                      <a:rPr lang="en-US" sz="800" b="1" i="0" u="none" strike="noStrike" kern="1200" baseline="0" smtClean="0">
                        <a:solidFill>
                          <a:schemeClr val="tx1"/>
                        </a:solidFill>
                        <a:latin typeface="+mj-lt"/>
                        <a:ea typeface="+mn-ea"/>
                        <a:cs typeface="+mn-cs"/>
                      </a:rPr>
                      <a:pPr/>
                      <a:t>[VALUE]</a:t>
                    </a:fld>
                    <a:endParaRPr lang="en-US" sz="800" b="1" i="0" u="none" strike="noStrike" kern="1200" baseline="0" dirty="0">
                      <a:solidFill>
                        <a:schemeClr val="tx1"/>
                      </a:solidFill>
                      <a:latin typeface="+mj-lt"/>
                      <a:ea typeface="+mn-ea"/>
                      <a:cs typeface="+mn-cs"/>
                    </a:endParaRPr>
                  </a:p>
                </c:rich>
              </c:tx>
              <c:dLblPos val="ct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5-036D-4791-9BAF-F637262AD92B}"/>
                </c:ext>
              </c:extLst>
            </c:dLbl>
            <c:dLbl>
              <c:idx val="18"/>
              <c:layout>
                <c:manualLayout>
                  <c:x val="-8.8988468776118738E-4"/>
                  <c:y val="-4.6495833794877477E-2"/>
                </c:manualLayout>
              </c:layout>
              <c:tx>
                <c:rich>
                  <a:bodyPr wrap="square" lIns="38100" tIns="19050" rIns="38100" bIns="19050" anchor="ctr">
                    <a:noAutofit/>
                  </a:bodyPr>
                  <a:lstStyle/>
                  <a:p>
                    <a:pPr>
                      <a:defRPr sz="800" b="0">
                        <a:solidFill>
                          <a:schemeClr val="tx1"/>
                        </a:solidFill>
                      </a:defRPr>
                    </a:pPr>
                    <a:r>
                      <a:rPr lang="en-US" b="0" dirty="0">
                        <a:solidFill>
                          <a:schemeClr val="tx1"/>
                        </a:solidFill>
                      </a:rPr>
                      <a:t>+</a:t>
                    </a:r>
                    <a:fld id="{923CAE52-84B6-4CEA-9DCB-33D5CDBA04C5}" type="VALUE">
                      <a:rPr lang="en-US" b="0" smtClean="0">
                        <a:solidFill>
                          <a:schemeClr val="tx1"/>
                        </a:solidFill>
                      </a:rPr>
                      <a:pPr>
                        <a:defRPr sz="800" b="0">
                          <a:solidFill>
                            <a:schemeClr val="tx1"/>
                          </a:solidFill>
                        </a:defRPr>
                      </a:pPr>
                      <a:t>[VALUE]</a:t>
                    </a:fld>
                    <a:endParaRPr lang="en-US" b="0" dirty="0">
                      <a:solidFill>
                        <a:schemeClr val="tx1"/>
                      </a:solidFill>
                    </a:endParaRPr>
                  </a:p>
                </c:rich>
              </c:tx>
              <c:spPr>
                <a:noFill/>
                <a:ln>
                  <a:noFill/>
                </a:ln>
                <a:effectLst/>
              </c:spPr>
              <c:dLblPos val="ctr"/>
              <c:showVal val="1"/>
              <c:extLst xmlns:c16r2="http://schemas.microsoft.com/office/drawing/2015/06/chart">
                <c:ext xmlns:c15="http://schemas.microsoft.com/office/drawing/2012/chart" uri="{CE6537A1-D6FC-4f65-9D91-7224C49458BB}">
                  <c15:layout>
                    <c:manualLayout>
                      <c:w val="4.2945835031354775E-2"/>
                      <c:h val="8.6064320791640503E-2"/>
                    </c:manualLayout>
                  </c15:layout>
                  <c15:dlblFieldTable/>
                  <c15:showDataLabelsRange val="0"/>
                </c:ext>
                <c:ext xmlns:c16="http://schemas.microsoft.com/office/drawing/2014/chart" uri="{C3380CC4-5D6E-409C-BE32-E72D297353CC}">
                  <c16:uniqueId val="{00000016-036D-4791-9BAF-F637262AD92B}"/>
                </c:ext>
              </c:extLst>
            </c:dLbl>
            <c:dLbl>
              <c:idx val="19"/>
              <c:layout>
                <c:manualLayout>
                  <c:x val="-1.7959085725332137E-3"/>
                  <c:y val="-5.3532720402712765E-2"/>
                </c:manualLayout>
              </c:layout>
              <c:tx>
                <c:rich>
                  <a:bodyPr/>
                  <a:lstStyle/>
                  <a:p>
                    <a:r>
                      <a:rPr lang="en-US" b="1" dirty="0">
                        <a:solidFill>
                          <a:schemeClr val="tx1"/>
                        </a:solidFill>
                      </a:rPr>
                      <a:t>+</a:t>
                    </a:r>
                    <a:fld id="{C5B24CF9-4DA6-48C9-BC9E-A93ED788770E}" type="VALUE">
                      <a:rPr lang="en-US" b="1" smtClean="0">
                        <a:solidFill>
                          <a:schemeClr val="tx1"/>
                        </a:solidFill>
                      </a:rPr>
                      <a:pPr/>
                      <a:t>[VALUE]</a:t>
                    </a:fld>
                    <a:endParaRPr lang="en-US" b="1" dirty="0">
                      <a:solidFill>
                        <a:schemeClr val="tx1"/>
                      </a:solidFill>
                    </a:endParaRPr>
                  </a:p>
                </c:rich>
              </c:tx>
              <c:dLblPos val="ct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7-036D-4791-9BAF-F637262AD92B}"/>
                </c:ext>
              </c:extLst>
            </c:dLbl>
            <c:dLbl>
              <c:idx val="20"/>
              <c:layout>
                <c:manualLayout>
                  <c:x val="-1.2933577138460035E-16"/>
                  <c:y val="-0.2744944553163731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036D-4791-9BAF-F637262AD92B}"/>
                </c:ext>
              </c:extLst>
            </c:dLbl>
            <c:dLbl>
              <c:idx val="21"/>
              <c:layout>
                <c:manualLayout>
                  <c:x val="-2.6455349757777465E-3"/>
                  <c:y val="3.6875284618887616E-2"/>
                </c:manualLayout>
              </c:layout>
              <c:tx>
                <c:rich>
                  <a:bodyPr/>
                  <a:lstStyle/>
                  <a:p>
                    <a:r>
                      <a:rPr lang="en-US" dirty="0"/>
                      <a:t>-</a:t>
                    </a:r>
                    <a:fld id="{03E75786-1EE0-4C2B-82F1-C9CC22BDC022}" type="VALUE">
                      <a:rPr lang="en-US" smtClean="0"/>
                      <a:pPr/>
                      <a:t>[VALUE]</a:t>
                    </a:fld>
                    <a:endParaRPr lang="en-US" dirty="0"/>
                  </a:p>
                </c:rich>
              </c:tx>
              <c:dLblPos val="ctr"/>
              <c:showVal val="1"/>
              <c:extLst xmlns:c16r2="http://schemas.microsoft.com/office/drawing/2015/06/chart">
                <c:ext xmlns:c15="http://schemas.microsoft.com/office/drawing/2012/chart" uri="{CE6537A1-D6FC-4f65-9D91-7224C49458BB}">
                  <c15:layout>
                    <c:manualLayout>
                      <c:w val="3.4489027070835891E-2"/>
                      <c:h val="7.9811936146906404E-2"/>
                    </c:manualLayout>
                  </c15:layout>
                  <c15:dlblFieldTable/>
                  <c15:showDataLabelsRange val="0"/>
                </c:ext>
                <c:ext xmlns:c16="http://schemas.microsoft.com/office/drawing/2014/chart" uri="{C3380CC4-5D6E-409C-BE32-E72D297353CC}">
                  <c16:uniqueId val="{0000001B-036D-4791-9BAF-F637262AD92B}"/>
                </c:ext>
              </c:extLst>
            </c:dLbl>
            <c:dLbl>
              <c:idx val="22"/>
              <c:layout>
                <c:manualLayout>
                  <c:x val="8.5184837487772445E-4"/>
                  <c:y val="-0.27013477088948851"/>
                </c:manualLayout>
              </c:layout>
              <c:tx>
                <c:rich>
                  <a:bodyPr wrap="square" lIns="38100" tIns="19050" rIns="38100" bIns="19050" anchor="ctr" anchorCtr="0">
                    <a:noAutofit/>
                  </a:bodyPr>
                  <a:lstStyle/>
                  <a:p>
                    <a:pPr algn="ctr">
                      <a:defRPr sz="800" b="0">
                        <a:solidFill>
                          <a:schemeClr val="tx1"/>
                        </a:solidFill>
                      </a:defRPr>
                    </a:pPr>
                    <a:fld id="{1D9FBD81-FFF4-4C5F-92BE-5CBC295F4D52}" type="VALUE">
                      <a:rPr lang="en-US" sz="800" b="0">
                        <a:solidFill>
                          <a:schemeClr val="tx1"/>
                        </a:solidFill>
                      </a:rPr>
                      <a:pPr algn="ctr">
                        <a:defRPr sz="800" b="0">
                          <a:solidFill>
                            <a:schemeClr val="tx1"/>
                          </a:solidFill>
                        </a:defRPr>
                      </a:pPr>
                      <a:t>[VALUE]</a:t>
                    </a:fld>
                    <a:endParaRPr lang="el-GR"/>
                  </a:p>
                </c:rich>
              </c:tx>
              <c:spPr>
                <a:noFill/>
                <a:ln>
                  <a:noFill/>
                </a:ln>
                <a:effectLst/>
              </c:spPr>
              <c:dLblPos val="ctr"/>
              <c:showVal val="1"/>
              <c:extLst xmlns:c16r2="http://schemas.microsoft.com/office/drawing/2015/06/chart">
                <c:ext xmlns:c15="http://schemas.microsoft.com/office/drawing/2012/chart" uri="{CE6537A1-D6FC-4f65-9D91-7224C49458BB}">
                  <c15:layout>
                    <c:manualLayout>
                      <c:w val="4.0787066791911804E-2"/>
                      <c:h val="9.2259597041194338E-2"/>
                    </c:manualLayout>
                  </c15:layout>
                  <c15:dlblFieldTable/>
                  <c15:showDataLabelsRange val="0"/>
                </c:ext>
                <c:ext xmlns:c16="http://schemas.microsoft.com/office/drawing/2014/chart" uri="{C3380CC4-5D6E-409C-BE32-E72D297353CC}">
                  <c16:uniqueId val="{00000019-036D-4791-9BAF-F637262AD92B}"/>
                </c:ext>
              </c:extLst>
            </c:dLbl>
            <c:spPr>
              <a:noFill/>
              <a:ln>
                <a:noFill/>
              </a:ln>
              <a:effectLst/>
            </c:spPr>
            <c:txPr>
              <a:bodyPr wrap="square" lIns="38100" tIns="19050" rIns="38100" bIns="19050" anchor="ctr">
                <a:spAutoFit/>
              </a:bodyPr>
              <a:lstStyle/>
              <a:p>
                <a:pPr>
                  <a:defRPr sz="800" b="0">
                    <a:solidFill>
                      <a:schemeClr val="tx1"/>
                    </a:solidFill>
                  </a:defRPr>
                </a:pPr>
                <a:endParaRPr lang="en-US"/>
              </a:p>
            </c:txPr>
            <c:dLblPos val="inEnd"/>
            <c:showVal val="1"/>
            <c:extLst xmlns:c16r2="http://schemas.microsoft.com/office/drawing/2015/06/chart">
              <c:ext xmlns:c15="http://schemas.microsoft.com/office/drawing/2012/chart" uri="{CE6537A1-D6FC-4f65-9D91-7224C49458BB}">
                <c15:showLeaderLines val="0"/>
              </c:ext>
            </c:extLst>
          </c:dLbls>
          <c:cat>
            <c:strRef>
              <c:f>Sheet1!$A$4:$A$9</c:f>
              <c:strCache>
                <c:ptCount val="6"/>
                <c:pt idx="0">
                  <c:v>2018</c:v>
                </c:pt>
                <c:pt idx="1">
                  <c:v>2019</c:v>
                </c:pt>
                <c:pt idx="2">
                  <c:v>Q1.20</c:v>
                </c:pt>
                <c:pt idx="3">
                  <c:v>Q2.20</c:v>
                </c:pt>
                <c:pt idx="4">
                  <c:v>Q3.20</c:v>
                </c:pt>
                <c:pt idx="5">
                  <c:v>9Μ.20</c:v>
                </c:pt>
              </c:strCache>
            </c:strRef>
          </c:cat>
          <c:val>
            <c:numRef>
              <c:f>Sheet1!$C$4:$C$9</c:f>
              <c:numCache>
                <c:formatCode>#,##0.0</c:formatCode>
                <c:ptCount val="6"/>
                <c:pt idx="0">
                  <c:v>3.1</c:v>
                </c:pt>
                <c:pt idx="1">
                  <c:v>3.9</c:v>
                </c:pt>
                <c:pt idx="2">
                  <c:v>1</c:v>
                </c:pt>
                <c:pt idx="3">
                  <c:v>1.5</c:v>
                </c:pt>
                <c:pt idx="4">
                  <c:v>2</c:v>
                </c:pt>
                <c:pt idx="5">
                  <c:v>4.5</c:v>
                </c:pt>
              </c:numCache>
            </c:numRef>
          </c:val>
          <c:extLst xmlns:c16r2="http://schemas.microsoft.com/office/drawing/2015/06/chart">
            <c:ext xmlns:c16="http://schemas.microsoft.com/office/drawing/2014/chart" uri="{C3380CC4-5D6E-409C-BE32-E72D297353CC}">
              <c16:uniqueId val="{0000001C-036D-4791-9BAF-F637262AD92B}"/>
            </c:ext>
          </c:extLst>
        </c:ser>
        <c:ser>
          <c:idx val="2"/>
          <c:order val="2"/>
          <c:tx>
            <c:strRef>
              <c:f>Sheet1!$D$3</c:f>
              <c:strCache>
                <c:ptCount val="1"/>
                <c:pt idx="0">
                  <c:v>Total</c:v>
                </c:pt>
              </c:strCache>
            </c:strRef>
          </c:tx>
          <c:spPr>
            <a:noFill/>
            <a:ln>
              <a:noFill/>
            </a:ln>
            <a:effectLst/>
          </c:spPr>
          <c:cat>
            <c:strRef>
              <c:f>Sheet1!$A$4:$A$9</c:f>
              <c:strCache>
                <c:ptCount val="6"/>
                <c:pt idx="0">
                  <c:v>2018</c:v>
                </c:pt>
                <c:pt idx="1">
                  <c:v>2019</c:v>
                </c:pt>
                <c:pt idx="2">
                  <c:v>Q1.20</c:v>
                </c:pt>
                <c:pt idx="3">
                  <c:v>Q2.20</c:v>
                </c:pt>
                <c:pt idx="4">
                  <c:v>Q3.20</c:v>
                </c:pt>
                <c:pt idx="5">
                  <c:v>9Μ.20</c:v>
                </c:pt>
              </c:strCache>
            </c:strRef>
          </c:cat>
          <c:val>
            <c:numRef>
              <c:f>Sheet1!$D$4:$D$9</c:f>
              <c:numCache>
                <c:formatCode>#,##0.0</c:formatCode>
                <c:ptCount val="6"/>
                <c:pt idx="0">
                  <c:v>3.1</c:v>
                </c:pt>
                <c:pt idx="1">
                  <c:v>3.9</c:v>
                </c:pt>
                <c:pt idx="2">
                  <c:v>1</c:v>
                </c:pt>
                <c:pt idx="3">
                  <c:v>2.5</c:v>
                </c:pt>
                <c:pt idx="4">
                  <c:v>4.5</c:v>
                </c:pt>
                <c:pt idx="5">
                  <c:v>4.5</c:v>
                </c:pt>
              </c:numCache>
            </c:numRef>
          </c:val>
          <c:extLst xmlns:c16r2="http://schemas.microsoft.com/office/drawing/2015/06/chart">
            <c:ext xmlns:c16="http://schemas.microsoft.com/office/drawing/2014/chart" uri="{C3380CC4-5D6E-409C-BE32-E72D297353CC}">
              <c16:uniqueId val="{0000001D-036D-4791-9BAF-F637262AD92B}"/>
            </c:ext>
          </c:extLst>
        </c:ser>
        <c:gapWidth val="100"/>
        <c:overlap val="100"/>
        <c:axId val="167652352"/>
        <c:axId val="190350080"/>
      </c:barChart>
      <c:catAx>
        <c:axId val="167652352"/>
        <c:scaling>
          <c:orientation val="minMax"/>
        </c:scaling>
        <c:axPos val="b"/>
        <c:numFmt formatCode="General" sourceLinked="1"/>
        <c:tickLblPos val="nextTo"/>
        <c:spPr>
          <a:noFill/>
          <a:ln w="9525" cap="flat" cmpd="sng" algn="ctr">
            <a:noFill/>
            <a:round/>
          </a:ln>
          <a:effectLst/>
        </c:spPr>
        <c:txPr>
          <a:bodyPr rot="-60000000" spcFirstLastPara="1" vertOverflow="ellipsis" vert="horz" wrap="square" anchor="ctr" anchorCtr="1"/>
          <a:lstStyle/>
          <a:p>
            <a:pPr>
              <a:defRPr sz="700" b="0" i="0" u="none" strike="noStrike" kern="1200" baseline="0">
                <a:solidFill>
                  <a:schemeClr val="bg2">
                    <a:lumMod val="25000"/>
                  </a:schemeClr>
                </a:solidFill>
                <a:latin typeface="Calibri" panose="020F0502020204030204" pitchFamily="34" charset="0"/>
                <a:ea typeface="+mn-ea"/>
                <a:cs typeface="+mn-cs"/>
              </a:defRPr>
            </a:pPr>
            <a:endParaRPr lang="en-US"/>
          </a:p>
        </c:txPr>
        <c:crossAx val="190350080"/>
        <c:crosses val="autoZero"/>
        <c:auto val="1"/>
        <c:lblAlgn val="ctr"/>
        <c:lblOffset val="100"/>
      </c:catAx>
      <c:valAx>
        <c:axId val="190350080"/>
        <c:scaling>
          <c:orientation val="minMax"/>
          <c:max val="6"/>
          <c:min val="0"/>
        </c:scaling>
        <c:delete val="1"/>
        <c:axPos val="l"/>
        <c:majorGridlines>
          <c:spPr>
            <a:ln w="9525" cap="flat" cmpd="sng" algn="ctr">
              <a:noFill/>
              <a:round/>
            </a:ln>
            <a:effectLst/>
          </c:spPr>
        </c:majorGridlines>
        <c:numFmt formatCode="#,##0.0" sourceLinked="1"/>
        <c:tickLblPos val="nextTo"/>
        <c:crossAx val="167652352"/>
        <c:crosses val="autoZero"/>
        <c:crossBetween val="between"/>
        <c:majorUnit val="0.1"/>
      </c:valAx>
      <c:spPr>
        <a:noFill/>
        <a:ln>
          <a:noFill/>
        </a:ln>
        <a:effectLst/>
      </c:spPr>
    </c:plotArea>
    <c:plotVisOnly val="1"/>
    <c:dispBlanksAs val="gap"/>
  </c:chart>
  <c:spPr>
    <a:noFill/>
    <a:ln>
      <a:noFill/>
    </a:ln>
    <a:effectLst/>
  </c:spPr>
  <c:txPr>
    <a:bodyPr/>
    <a:lstStyle/>
    <a:p>
      <a:pPr>
        <a:defRPr sz="800">
          <a:latin typeface="+mj-lt"/>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661079704876775E-2"/>
          <c:y val="0.15222343972945107"/>
          <c:w val="0.92790407689519638"/>
          <c:h val="0.60620807695838741"/>
        </c:manualLayout>
      </c:layout>
      <c:barChart>
        <c:barDir val="col"/>
        <c:grouping val="stacked"/>
        <c:ser>
          <c:idx val="0"/>
          <c:order val="0"/>
          <c:tx>
            <c:strRef>
              <c:f>Sheet1!$B$3</c:f>
              <c:strCache>
                <c:ptCount val="1"/>
                <c:pt idx="0">
                  <c:v>Base</c:v>
                </c:pt>
              </c:strCache>
            </c:strRef>
          </c:tx>
          <c:spPr>
            <a:noFill/>
            <a:ln>
              <a:noFill/>
            </a:ln>
            <a:effectLst>
              <a:innerShdw blurRad="63500" dist="50800" dir="13500000">
                <a:prstClr val="black">
                  <a:alpha val="50000"/>
                </a:prstClr>
              </a:innerShdw>
            </a:effectLst>
          </c:spPr>
          <c:cat>
            <c:strRef>
              <c:f>Sheet1!$A$4:$A$9</c:f>
              <c:strCache>
                <c:ptCount val="6"/>
                <c:pt idx="0">
                  <c:v>2018</c:v>
                </c:pt>
                <c:pt idx="1">
                  <c:v>2019</c:v>
                </c:pt>
                <c:pt idx="2">
                  <c:v>Q1.20</c:v>
                </c:pt>
                <c:pt idx="3">
                  <c:v>Q2.20</c:v>
                </c:pt>
                <c:pt idx="4">
                  <c:v>Q3.20</c:v>
                </c:pt>
                <c:pt idx="5">
                  <c:v>9Μ.20</c:v>
                </c:pt>
              </c:strCache>
            </c:strRef>
          </c:cat>
          <c:val>
            <c:numRef>
              <c:f>Sheet1!$B$4:$B$9</c:f>
              <c:numCache>
                <c:formatCode>#,##0.0</c:formatCode>
                <c:ptCount val="6"/>
                <c:pt idx="0">
                  <c:v>0</c:v>
                </c:pt>
                <c:pt idx="1">
                  <c:v>0</c:v>
                </c:pt>
                <c:pt idx="2">
                  <c:v>0</c:v>
                </c:pt>
                <c:pt idx="3">
                  <c:v>0.6000000000000002</c:v>
                </c:pt>
                <c:pt idx="4">
                  <c:v>1.2</c:v>
                </c:pt>
                <c:pt idx="5">
                  <c:v>0</c:v>
                </c:pt>
              </c:numCache>
            </c:numRef>
          </c:val>
          <c:extLst xmlns:c16r2="http://schemas.microsoft.com/office/drawing/2015/06/chart">
            <c:ext xmlns:c16="http://schemas.microsoft.com/office/drawing/2014/chart" uri="{C3380CC4-5D6E-409C-BE32-E72D297353CC}">
              <c16:uniqueId val="{00000000-7876-4D66-8FC8-1520D6C3D489}"/>
            </c:ext>
          </c:extLst>
        </c:ser>
        <c:ser>
          <c:idx val="1"/>
          <c:order val="1"/>
          <c:tx>
            <c:strRef>
              <c:f>Sheet1!$C$3</c:f>
              <c:strCache>
                <c:ptCount val="1"/>
                <c:pt idx="0">
                  <c:v>Value</c:v>
                </c:pt>
              </c:strCache>
            </c:strRef>
          </c:tx>
          <c:spPr>
            <a:solidFill>
              <a:srgbClr val="002060"/>
            </a:solidFill>
            <a:ln>
              <a:noFill/>
            </a:ln>
            <a:effectLst/>
          </c:spPr>
          <c:dPt>
            <c:idx val="2"/>
            <c:spPr>
              <a:solidFill>
                <a:srgbClr val="FFC000"/>
              </a:solidFill>
              <a:ln>
                <a:noFill/>
              </a:ln>
              <a:effectLst/>
            </c:spPr>
            <c:extLst xmlns:c16r2="http://schemas.microsoft.com/office/drawing/2015/06/chart">
              <c:ext xmlns:c16="http://schemas.microsoft.com/office/drawing/2014/chart" uri="{C3380CC4-5D6E-409C-BE32-E72D297353CC}">
                <c16:uniqueId val="{00000002-7876-4D66-8FC8-1520D6C3D489}"/>
              </c:ext>
            </c:extLst>
          </c:dPt>
          <c:dPt>
            <c:idx val="3"/>
            <c:spPr>
              <a:solidFill>
                <a:srgbClr val="FFC000"/>
              </a:solidFill>
              <a:ln>
                <a:noFill/>
              </a:ln>
              <a:effectLst/>
            </c:spPr>
            <c:extLst xmlns:c16r2="http://schemas.microsoft.com/office/drawing/2015/06/chart">
              <c:ext xmlns:c16="http://schemas.microsoft.com/office/drawing/2014/chart" uri="{C3380CC4-5D6E-409C-BE32-E72D297353CC}">
                <c16:uniqueId val="{00000004-7876-4D66-8FC8-1520D6C3D489}"/>
              </c:ext>
            </c:extLst>
          </c:dPt>
          <c:dPt>
            <c:idx val="4"/>
            <c:spPr>
              <a:solidFill>
                <a:srgbClr val="FFC000"/>
              </a:solidFill>
              <a:ln>
                <a:solidFill>
                  <a:schemeClr val="tx2"/>
                </a:solidFill>
              </a:ln>
              <a:effectLst/>
            </c:spPr>
            <c:extLst xmlns:c16r2="http://schemas.microsoft.com/office/drawing/2015/06/chart">
              <c:ext xmlns:c16="http://schemas.microsoft.com/office/drawing/2014/chart" uri="{C3380CC4-5D6E-409C-BE32-E72D297353CC}">
                <c16:uniqueId val="{00000006-7876-4D66-8FC8-1520D6C3D489}"/>
              </c:ext>
            </c:extLst>
          </c:dPt>
          <c:dLbls>
            <c:dLbl>
              <c:idx val="0"/>
              <c:layout>
                <c:manualLayout>
                  <c:x val="2.0031034735837781E-3"/>
                  <c:y val="-0.17931215160027372"/>
                </c:manualLayout>
              </c:layout>
              <c:tx>
                <c:rich>
                  <a:bodyPr/>
                  <a:lstStyle/>
                  <a:p>
                    <a:r>
                      <a:rPr lang="en-US"/>
                      <a:t>2,0</a:t>
                    </a:r>
                  </a:p>
                </c:rich>
              </c:tx>
              <c:dLblPos val="ct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7876-4D66-8FC8-1520D6C3D489}"/>
                </c:ext>
              </c:extLst>
            </c:dLbl>
            <c:dLbl>
              <c:idx val="1"/>
              <c:layout>
                <c:manualLayout>
                  <c:x val="6.6577896138482022E-3"/>
                  <c:y val="-0.21175062220734422"/>
                </c:manualLayout>
              </c:layout>
              <c:tx>
                <c:rich>
                  <a:bodyPr wrap="square" lIns="38100" tIns="19050" rIns="38100" bIns="19050" anchor="ctr">
                    <a:spAutoFit/>
                  </a:bodyPr>
                  <a:lstStyle/>
                  <a:p>
                    <a:pPr>
                      <a:defRPr sz="800" b="0" strike="noStrike">
                        <a:solidFill>
                          <a:schemeClr val="tx1"/>
                        </a:solidFill>
                      </a:defRPr>
                    </a:pPr>
                    <a:r>
                      <a:rPr lang="en-US" sz="800" b="0" strike="noStrike" smtClean="0">
                        <a:solidFill>
                          <a:schemeClr val="tx1"/>
                        </a:solidFill>
                      </a:rPr>
                      <a:t>2,5</a:t>
                    </a:r>
                    <a:endParaRPr lang="en-US" b="0"/>
                  </a:p>
                </c:rich>
              </c:tx>
              <c:spPr>
                <a:noFill/>
                <a:ln>
                  <a:noFill/>
                </a:ln>
                <a:effectLst/>
              </c:spPr>
              <c:dLblPos val="ct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7876-4D66-8FC8-1520D6C3D489}"/>
                </c:ext>
              </c:extLst>
            </c:dLbl>
            <c:dLbl>
              <c:idx val="2"/>
              <c:layout>
                <c:manualLayout>
                  <c:x val="9.813162502490121E-3"/>
                  <c:y val="-8.6948200328933009E-2"/>
                </c:manualLayout>
              </c:layout>
              <c:tx>
                <c:rich>
                  <a:bodyPr wrap="square" lIns="38100" tIns="19050" rIns="38100" bIns="19050" anchor="ctr">
                    <a:spAutoFit/>
                  </a:bodyPr>
                  <a:lstStyle/>
                  <a:p>
                    <a:pPr>
                      <a:defRPr sz="800" b="0">
                        <a:solidFill>
                          <a:srgbClr val="002060"/>
                        </a:solidFill>
                      </a:defRPr>
                    </a:pPr>
                    <a:r>
                      <a:rPr lang="en-US" b="0" smtClean="0">
                        <a:solidFill>
                          <a:srgbClr val="002060"/>
                        </a:solidFill>
                      </a:rPr>
                      <a:t>0,6</a:t>
                    </a:r>
                    <a:endParaRPr lang="en-US" b="0"/>
                  </a:p>
                </c:rich>
              </c:tx>
              <c:spPr>
                <a:noFill/>
                <a:ln>
                  <a:noFill/>
                </a:ln>
                <a:effectLst/>
              </c:spPr>
              <c:dLblPos val="ct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7876-4D66-8FC8-1520D6C3D489}"/>
                </c:ext>
              </c:extLst>
            </c:dLbl>
            <c:dLbl>
              <c:idx val="3"/>
              <c:layout>
                <c:manualLayout>
                  <c:x val="3.1553728886419183E-3"/>
                  <c:y val="-0.10949903212190899"/>
                </c:manualLayout>
              </c:layout>
              <c:tx>
                <c:rich>
                  <a:bodyPr wrap="square" lIns="38100" tIns="19050" rIns="38100" bIns="19050" anchor="ctr">
                    <a:spAutoFit/>
                  </a:bodyPr>
                  <a:lstStyle/>
                  <a:p>
                    <a:pPr>
                      <a:defRPr sz="800" b="0">
                        <a:solidFill>
                          <a:srgbClr val="002060"/>
                        </a:solidFill>
                      </a:defRPr>
                    </a:pPr>
                    <a:r>
                      <a:rPr lang="en-US" b="0"/>
                      <a:t>0,6</a:t>
                    </a:r>
                  </a:p>
                </c:rich>
              </c:tx>
              <c:spPr>
                <a:noFill/>
                <a:ln>
                  <a:noFill/>
                </a:ln>
                <a:effectLst/>
              </c:spPr>
              <c:dLblPos val="ct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7876-4D66-8FC8-1520D6C3D489}"/>
                </c:ext>
              </c:extLst>
            </c:dLbl>
            <c:dLbl>
              <c:idx val="4"/>
              <c:layout>
                <c:manualLayout>
                  <c:x val="-5.8583306247837524E-4"/>
                  <c:y val="-0.13727058378331175"/>
                </c:manualLayout>
              </c:layout>
              <c:tx>
                <c:rich>
                  <a:bodyPr wrap="square" lIns="38100" tIns="19050" rIns="38100" bIns="19050" anchor="ctr">
                    <a:noAutofit/>
                  </a:bodyPr>
                  <a:lstStyle/>
                  <a:p>
                    <a:pPr>
                      <a:defRPr sz="800" b="0">
                        <a:solidFill>
                          <a:srgbClr val="002060"/>
                        </a:solidFill>
                      </a:defRPr>
                    </a:pPr>
                    <a:r>
                      <a:rPr lang="en-US" sz="800" b="0" smtClean="0">
                        <a:solidFill>
                          <a:srgbClr val="002060"/>
                        </a:solidFill>
                      </a:rPr>
                      <a:t>1,1</a:t>
                    </a:r>
                    <a:endParaRPr lang="en-US" b="0"/>
                  </a:p>
                </c:rich>
              </c:tx>
              <c:spPr>
                <a:noFill/>
                <a:ln>
                  <a:noFill/>
                </a:ln>
                <a:effectLst/>
              </c:spPr>
              <c:dLblPos val="ctr"/>
              <c:showVal val="1"/>
              <c:extLst xmlns:c16r2="http://schemas.microsoft.com/office/drawing/2015/06/chart">
                <c:ext xmlns:c15="http://schemas.microsoft.com/office/drawing/2012/chart" uri="{CE6537A1-D6FC-4f65-9D91-7224C49458BB}">
                  <c15:layout>
                    <c:manualLayout>
                      <c:w val="0.13436205793849668"/>
                      <c:h val="0.10811416595106757"/>
                    </c:manualLayout>
                  </c15:layout>
                </c:ext>
                <c:ext xmlns:c16="http://schemas.microsoft.com/office/drawing/2014/chart" uri="{C3380CC4-5D6E-409C-BE32-E72D297353CC}">
                  <c16:uniqueId val="{00000006-7876-4D66-8FC8-1520D6C3D489}"/>
                </c:ext>
              </c:extLst>
            </c:dLbl>
            <c:dLbl>
              <c:idx val="5"/>
              <c:layout>
                <c:manualLayout>
                  <c:x val="8.4213175084137341E-3"/>
                  <c:y val="-0.20616894930647534"/>
                </c:manualLayout>
              </c:layout>
              <c:tx>
                <c:rich>
                  <a:bodyPr wrap="square" lIns="38100" tIns="19050" rIns="38100" bIns="19050" anchor="ctr">
                    <a:spAutoFit/>
                  </a:bodyPr>
                  <a:lstStyle/>
                  <a:p>
                    <a:pPr>
                      <a:defRPr sz="800" b="0">
                        <a:solidFill>
                          <a:schemeClr val="tx1"/>
                        </a:solidFill>
                      </a:defRPr>
                    </a:pPr>
                    <a:r>
                      <a:rPr lang="en-US" b="0"/>
                      <a:t>2,3</a:t>
                    </a:r>
                  </a:p>
                </c:rich>
              </c:tx>
              <c:numFmt formatCode="#,##0.0" sourceLinked="0"/>
              <c:spPr>
                <a:noFill/>
                <a:ln>
                  <a:noFill/>
                </a:ln>
                <a:effectLst/>
              </c:spPr>
              <c:dLblPos val="ct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7876-4D66-8FC8-1520D6C3D489}"/>
                </c:ext>
              </c:extLst>
            </c:dLbl>
            <c:dLbl>
              <c:idx val="6"/>
              <c:tx>
                <c:rich>
                  <a:bodyPr/>
                  <a:lstStyle/>
                  <a:p>
                    <a:r>
                      <a:rPr lang="en-US" dirty="0"/>
                      <a:t>-</a:t>
                    </a:r>
                    <a:fld id="{51AAF8A2-BE80-43CD-8F75-426AD9B2DB42}" type="VALUE">
                      <a:rPr lang="en-US" smtClean="0"/>
                      <a:pPr/>
                      <a:t>[VALUE]</a:t>
                    </a:fld>
                    <a:endParaRPr lang="en-US" dirty="0"/>
                  </a:p>
                </c:rich>
              </c:tx>
              <c:dLblPos val="in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8-7876-4D66-8FC8-1520D6C3D489}"/>
                </c:ext>
              </c:extLst>
            </c:dLbl>
            <c:dLbl>
              <c:idx val="7"/>
              <c:layout>
                <c:manualLayout>
                  <c:x val="1.3789835732718874E-7"/>
                  <c:y val="-3.406269615626039E-2"/>
                </c:manualLayout>
              </c:layout>
              <c:tx>
                <c:rich>
                  <a:bodyPr wrap="square" lIns="38100" tIns="19050" rIns="38100" bIns="19050" anchor="ctr">
                    <a:noAutofit/>
                  </a:bodyPr>
                  <a:lstStyle/>
                  <a:p>
                    <a:pPr>
                      <a:defRPr sz="800" b="0">
                        <a:solidFill>
                          <a:schemeClr val="tx1"/>
                        </a:solidFill>
                      </a:defRPr>
                    </a:pPr>
                    <a:r>
                      <a:rPr lang="en-US" sz="800" b="0" dirty="0">
                        <a:solidFill>
                          <a:schemeClr val="tx1"/>
                        </a:solidFill>
                      </a:rPr>
                      <a:t>+</a:t>
                    </a:r>
                    <a:fld id="{8ECA1770-2F3F-42F5-892C-61D4E3F22974}" type="VALUE">
                      <a:rPr lang="en-US" sz="800" b="0" smtClean="0">
                        <a:solidFill>
                          <a:schemeClr val="tx1"/>
                        </a:solidFill>
                      </a:rPr>
                      <a:pPr>
                        <a:defRPr sz="800" b="0">
                          <a:solidFill>
                            <a:schemeClr val="tx1"/>
                          </a:solidFill>
                        </a:defRPr>
                      </a:pPr>
                      <a:t>[VALUE]</a:t>
                    </a:fld>
                    <a:endParaRPr lang="en-US" sz="800" b="0" dirty="0">
                      <a:solidFill>
                        <a:schemeClr val="tx1"/>
                      </a:solidFill>
                    </a:endParaRPr>
                  </a:p>
                </c:rich>
              </c:tx>
              <c:spPr>
                <a:noFill/>
                <a:ln>
                  <a:noFill/>
                </a:ln>
                <a:effectLst/>
              </c:spPr>
              <c:dLblPos val="ctr"/>
              <c:showVal val="1"/>
              <c:extLst xmlns:c16r2="http://schemas.microsoft.com/office/drawing/2015/06/chart">
                <c:ext xmlns:c15="http://schemas.microsoft.com/office/drawing/2012/chart" uri="{CE6537A1-D6FC-4f65-9D91-7224C49458BB}">
                  <c15:layout>
                    <c:manualLayout>
                      <c:w val="7.8212350686180057E-2"/>
                      <c:h val="6.5807242665495924E-2"/>
                    </c:manualLayout>
                  </c15:layout>
                  <c15:dlblFieldTable/>
                  <c15:showDataLabelsRange val="0"/>
                </c:ext>
                <c:ext xmlns:c16="http://schemas.microsoft.com/office/drawing/2014/chart" uri="{C3380CC4-5D6E-409C-BE32-E72D297353CC}">
                  <c16:uniqueId val="{0000000C-7876-4D66-8FC8-1520D6C3D489}"/>
                </c:ext>
              </c:extLst>
            </c:dLbl>
            <c:dLbl>
              <c:idx val="8"/>
              <c:layout>
                <c:manualLayout>
                  <c:x val="-2.8591845408219253E-3"/>
                  <c:y val="-5.4200297849819903E-2"/>
                </c:manualLayout>
              </c:layout>
              <c:tx>
                <c:rich>
                  <a:bodyPr/>
                  <a:lstStyle/>
                  <a:p>
                    <a:r>
                      <a:rPr lang="en-US" sz="800" b="1" dirty="0">
                        <a:solidFill>
                          <a:schemeClr val="tx1"/>
                        </a:solidFill>
                      </a:rPr>
                      <a:t>+</a:t>
                    </a:r>
                    <a:fld id="{B62102F7-5E17-4C8B-B1FE-2FB696017A63}" type="VALUE">
                      <a:rPr lang="en-US" sz="800" b="1" smtClean="0">
                        <a:solidFill>
                          <a:schemeClr val="tx1"/>
                        </a:solidFill>
                      </a:rPr>
                      <a:pPr/>
                      <a:t>[VALUE]</a:t>
                    </a:fld>
                    <a:endParaRPr lang="en-US" sz="800" b="1" dirty="0">
                      <a:solidFill>
                        <a:schemeClr val="tx1"/>
                      </a:solidFill>
                    </a:endParaRPr>
                  </a:p>
                </c:rich>
              </c:tx>
              <c:dLblPos val="ctr"/>
              <c:showVal val="1"/>
              <c:extLst xmlns:c16r2="http://schemas.microsoft.com/office/drawing/2015/06/chart">
                <c:ext xmlns:c15="http://schemas.microsoft.com/office/drawing/2012/chart" uri="{CE6537A1-D6FC-4f65-9D91-7224C49458BB}">
                  <c15:layout>
                    <c:manualLayout>
                      <c:w val="8.0785546266415764E-2"/>
                      <c:h val="8.8910878903124962E-2"/>
                    </c:manualLayout>
                  </c15:layout>
                  <c15:dlblFieldTable/>
                  <c15:showDataLabelsRange val="0"/>
                </c:ext>
                <c:ext xmlns:c16="http://schemas.microsoft.com/office/drawing/2014/chart" uri="{C3380CC4-5D6E-409C-BE32-E72D297353CC}">
                  <c16:uniqueId val="{0000000D-7876-4D66-8FC8-1520D6C3D489}"/>
                </c:ext>
              </c:extLst>
            </c:dLbl>
            <c:dLbl>
              <c:idx val="9"/>
              <c:layout>
                <c:manualLayout>
                  <c:x val="-7.3086374473985943E-5"/>
                  <c:y val="-5.8186065154761234E-2"/>
                </c:manualLayout>
              </c:layout>
              <c:tx>
                <c:rich>
                  <a:bodyPr wrap="square" lIns="38100" tIns="19050" rIns="38100" bIns="19050" anchor="ctr">
                    <a:spAutoFit/>
                  </a:bodyPr>
                  <a:lstStyle/>
                  <a:p>
                    <a:pPr>
                      <a:defRPr sz="800" b="0">
                        <a:solidFill>
                          <a:schemeClr val="tx1"/>
                        </a:solidFill>
                      </a:defRPr>
                    </a:pPr>
                    <a:r>
                      <a:rPr lang="en-US" sz="800" b="0" dirty="0">
                        <a:solidFill>
                          <a:schemeClr val="tx1"/>
                        </a:solidFill>
                      </a:rPr>
                      <a:t>+</a:t>
                    </a:r>
                    <a:fld id="{CAFD8BFC-0DE0-4924-8C65-C94BDDE8A294}" type="VALUE">
                      <a:rPr lang="en-US" sz="800" b="0" smtClean="0">
                        <a:solidFill>
                          <a:schemeClr val="tx1"/>
                        </a:solidFill>
                      </a:rPr>
                      <a:pPr>
                        <a:defRPr sz="800" b="0">
                          <a:solidFill>
                            <a:schemeClr val="tx1"/>
                          </a:solidFill>
                        </a:defRPr>
                      </a:pPr>
                      <a:t>[VALUE]</a:t>
                    </a:fld>
                    <a:endParaRPr lang="en-US" sz="800" b="0" dirty="0">
                      <a:solidFill>
                        <a:schemeClr val="tx1"/>
                      </a:solidFill>
                    </a:endParaRPr>
                  </a:p>
                </c:rich>
              </c:tx>
              <c:numFmt formatCode="#,##0.0" sourceLinked="0"/>
              <c:spPr>
                <a:noFill/>
                <a:ln>
                  <a:noFill/>
                </a:ln>
                <a:effectLst/>
              </c:spPr>
              <c:dLblPos val="ct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E-7876-4D66-8FC8-1520D6C3D489}"/>
                </c:ext>
              </c:extLst>
            </c:dLbl>
            <c:dLbl>
              <c:idx val="10"/>
              <c:layout>
                <c:manualLayout>
                  <c:x val="8.3407260181213305E-4"/>
                  <c:y val="-0.2482580708685648"/>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7876-4D66-8FC8-1520D6C3D489}"/>
                </c:ext>
              </c:extLst>
            </c:dLbl>
            <c:dLbl>
              <c:idx val="11"/>
              <c:layout>
                <c:manualLayout>
                  <c:x val="-3.7375520387905024E-3"/>
                  <c:y val="-4.3018903164110694E-2"/>
                </c:manualLayout>
              </c:layout>
              <c:tx>
                <c:rich>
                  <a:bodyPr/>
                  <a:lstStyle/>
                  <a:p>
                    <a:r>
                      <a:rPr lang="en-US" dirty="0"/>
                      <a:t>+</a:t>
                    </a:r>
                    <a:fld id="{C0BBF676-306B-41EE-B67B-8CB6544E154A}" type="VALUE">
                      <a:rPr lang="en-US" smtClean="0"/>
                      <a:pPr/>
                      <a:t>[VALUE]</a:t>
                    </a:fld>
                    <a:endParaRPr lang="en-US" dirty="0"/>
                  </a:p>
                </c:rich>
              </c:tx>
              <c:dLblPos val="ct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0-7876-4D66-8FC8-1520D6C3D489}"/>
                </c:ext>
              </c:extLst>
            </c:dLbl>
            <c:dLbl>
              <c:idx val="12"/>
              <c:layout>
                <c:manualLayout>
                  <c:x val="3.3246151556871781E-4"/>
                  <c:y val="-5.0027938805400844E-2"/>
                </c:manualLayout>
              </c:layout>
              <c:tx>
                <c:rich>
                  <a:bodyPr/>
                  <a:lstStyle/>
                  <a:p>
                    <a:r>
                      <a:rPr lang="en-US" sz="800" b="1" dirty="0">
                        <a:solidFill>
                          <a:schemeClr val="tx1"/>
                        </a:solidFill>
                      </a:rPr>
                      <a:t>+</a:t>
                    </a:r>
                    <a:fld id="{1B45FE49-35A9-467C-A0E8-2F87C18A681B}" type="VALUE">
                      <a:rPr lang="en-US" sz="800" b="1" smtClean="0">
                        <a:solidFill>
                          <a:schemeClr val="tx1"/>
                        </a:solidFill>
                      </a:rPr>
                      <a:pPr/>
                      <a:t>[VALUE]</a:t>
                    </a:fld>
                    <a:endParaRPr lang="en-US" sz="800" b="1" dirty="0">
                      <a:solidFill>
                        <a:schemeClr val="tx1"/>
                      </a:solidFill>
                    </a:endParaRPr>
                  </a:p>
                </c:rich>
              </c:tx>
              <c:dLblPos val="ct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1-7876-4D66-8FC8-1520D6C3D489}"/>
                </c:ext>
              </c:extLst>
            </c:dLbl>
            <c:dLbl>
              <c:idx val="13"/>
              <c:layout>
                <c:manualLayout>
                  <c:x val="1.6253358438825583E-3"/>
                  <c:y val="-4.8002067717756634E-2"/>
                </c:manualLayout>
              </c:layout>
              <c:tx>
                <c:rich>
                  <a:bodyPr/>
                  <a:lstStyle/>
                  <a:p>
                    <a:r>
                      <a:rPr lang="en-US" sz="800" b="1" dirty="0">
                        <a:solidFill>
                          <a:schemeClr val="tx1"/>
                        </a:solidFill>
                      </a:rPr>
                      <a:t>+</a:t>
                    </a:r>
                    <a:fld id="{DB28ADC0-13B2-45A0-AEB5-6A859428BF7A}" type="VALUE">
                      <a:rPr lang="en-US" sz="800" b="1" smtClean="0">
                        <a:solidFill>
                          <a:schemeClr val="tx1"/>
                        </a:solidFill>
                      </a:rPr>
                      <a:pPr/>
                      <a:t>[VALUE]</a:t>
                    </a:fld>
                    <a:endParaRPr lang="en-US" sz="800" b="1" dirty="0">
                      <a:solidFill>
                        <a:schemeClr val="tx1"/>
                      </a:solidFill>
                    </a:endParaRPr>
                  </a:p>
                </c:rich>
              </c:tx>
              <c:dLblPos val="ct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2-7876-4D66-8FC8-1520D6C3D489}"/>
                </c:ext>
              </c:extLst>
            </c:dLbl>
            <c:dLbl>
              <c:idx val="14"/>
              <c:layout>
                <c:manualLayout>
                  <c:x val="-3.1103339015143931E-4"/>
                  <c:y val="-4.2053440657731346E-2"/>
                </c:manualLayout>
              </c:layout>
              <c:tx>
                <c:rich>
                  <a:bodyPr/>
                  <a:lstStyle/>
                  <a:p>
                    <a:r>
                      <a:rPr lang="en-US" sz="800" b="0" i="0" u="none" strike="noStrike" kern="1200" baseline="0" dirty="0">
                        <a:solidFill>
                          <a:schemeClr val="tx1"/>
                        </a:solidFill>
                        <a:latin typeface="+mj-lt"/>
                        <a:ea typeface="+mn-ea"/>
                        <a:cs typeface="+mn-cs"/>
                      </a:rPr>
                      <a:t>+</a:t>
                    </a:r>
                    <a:fld id="{538F8BED-6CBF-43E9-95F5-C3A5F330FBC9}" type="VALUE">
                      <a:rPr lang="en-US" sz="800" b="0" i="0" u="none" strike="noStrike" kern="1200" baseline="0" smtClean="0">
                        <a:solidFill>
                          <a:schemeClr val="tx1"/>
                        </a:solidFill>
                        <a:latin typeface="+mj-lt"/>
                        <a:ea typeface="+mn-ea"/>
                        <a:cs typeface="+mn-cs"/>
                      </a:rPr>
                      <a:pPr/>
                      <a:t>[VALUE]</a:t>
                    </a:fld>
                    <a:endParaRPr lang="en-US" sz="800" b="0" i="0" u="none" strike="noStrike" kern="1200" baseline="0" dirty="0">
                      <a:solidFill>
                        <a:schemeClr val="tx1"/>
                      </a:solidFill>
                      <a:latin typeface="+mj-lt"/>
                      <a:ea typeface="+mn-ea"/>
                      <a:cs typeface="+mn-cs"/>
                    </a:endParaRPr>
                  </a:p>
                </c:rich>
              </c:tx>
              <c:dLblPos val="ct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3-7876-4D66-8FC8-1520D6C3D489}"/>
                </c:ext>
              </c:extLst>
            </c:dLbl>
            <c:dLbl>
              <c:idx val="15"/>
              <c:layout>
                <c:manualLayout>
                  <c:x val="-9.4294921183889316E-5"/>
                  <c:y val="-0.26957771787960566"/>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7876-4D66-8FC8-1520D6C3D489}"/>
                </c:ext>
              </c:extLst>
            </c:dLbl>
            <c:dLbl>
              <c:idx val="16"/>
              <c:layout>
                <c:manualLayout>
                  <c:x val="-1.7797693755225007E-3"/>
                  <c:y val="3.3148469519624885E-2"/>
                </c:manualLayout>
              </c:layout>
              <c:tx>
                <c:rich>
                  <a:bodyPr/>
                  <a:lstStyle/>
                  <a:p>
                    <a:r>
                      <a:rPr lang="en-US" dirty="0"/>
                      <a:t>-</a:t>
                    </a:r>
                    <a:fld id="{78A118A8-19A8-495C-9CB0-5D57EFED573A}" type="VALUE">
                      <a:rPr lang="en-US" smtClean="0"/>
                      <a:pPr/>
                      <a:t>[VALUE]</a:t>
                    </a:fld>
                    <a:endParaRPr lang="en-US" dirty="0"/>
                  </a:p>
                </c:rich>
              </c:tx>
              <c:dLblPos val="ct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5-7876-4D66-8FC8-1520D6C3D489}"/>
                </c:ext>
              </c:extLst>
            </c:dLbl>
            <c:dLbl>
              <c:idx val="17"/>
              <c:layout>
                <c:manualLayout>
                  <c:x val="0"/>
                  <c:y val="-3.5514529409592765E-2"/>
                </c:manualLayout>
              </c:layout>
              <c:tx>
                <c:rich>
                  <a:bodyPr/>
                  <a:lstStyle/>
                  <a:p>
                    <a:r>
                      <a:rPr lang="en-US" sz="800" b="1" i="0" u="none" strike="noStrike" kern="1200" baseline="0" dirty="0">
                        <a:solidFill>
                          <a:schemeClr val="tx1"/>
                        </a:solidFill>
                        <a:latin typeface="+mj-lt"/>
                        <a:ea typeface="+mn-ea"/>
                        <a:cs typeface="+mn-cs"/>
                      </a:rPr>
                      <a:t>+</a:t>
                    </a:r>
                    <a:fld id="{6B3315B9-47DF-48C1-8083-0841C0681CF5}" type="VALUE">
                      <a:rPr lang="en-US" sz="800" b="1" i="0" u="none" strike="noStrike" kern="1200" baseline="0" smtClean="0">
                        <a:solidFill>
                          <a:schemeClr val="tx1"/>
                        </a:solidFill>
                        <a:latin typeface="+mj-lt"/>
                        <a:ea typeface="+mn-ea"/>
                        <a:cs typeface="+mn-cs"/>
                      </a:rPr>
                      <a:pPr/>
                      <a:t>[VALUE]</a:t>
                    </a:fld>
                    <a:endParaRPr lang="en-US" sz="800" b="1" i="0" u="none" strike="noStrike" kern="1200" baseline="0" dirty="0">
                      <a:solidFill>
                        <a:schemeClr val="tx1"/>
                      </a:solidFill>
                      <a:latin typeface="+mj-lt"/>
                      <a:ea typeface="+mn-ea"/>
                      <a:cs typeface="+mn-cs"/>
                    </a:endParaRPr>
                  </a:p>
                </c:rich>
              </c:tx>
              <c:dLblPos val="ct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6-7876-4D66-8FC8-1520D6C3D489}"/>
                </c:ext>
              </c:extLst>
            </c:dLbl>
            <c:dLbl>
              <c:idx val="18"/>
              <c:layout>
                <c:manualLayout>
                  <c:x val="-8.8988468776118738E-4"/>
                  <c:y val="-4.6495833794877477E-2"/>
                </c:manualLayout>
              </c:layout>
              <c:tx>
                <c:rich>
                  <a:bodyPr wrap="square" lIns="38100" tIns="19050" rIns="38100" bIns="19050" anchor="ctr">
                    <a:noAutofit/>
                  </a:bodyPr>
                  <a:lstStyle/>
                  <a:p>
                    <a:pPr>
                      <a:defRPr sz="800" b="0">
                        <a:solidFill>
                          <a:schemeClr val="tx1"/>
                        </a:solidFill>
                      </a:defRPr>
                    </a:pPr>
                    <a:r>
                      <a:rPr lang="en-US" b="0" dirty="0">
                        <a:solidFill>
                          <a:schemeClr val="tx1"/>
                        </a:solidFill>
                      </a:rPr>
                      <a:t>+</a:t>
                    </a:r>
                    <a:fld id="{923CAE52-84B6-4CEA-9DCB-33D5CDBA04C5}" type="VALUE">
                      <a:rPr lang="en-US" b="0" smtClean="0">
                        <a:solidFill>
                          <a:schemeClr val="tx1"/>
                        </a:solidFill>
                      </a:rPr>
                      <a:pPr>
                        <a:defRPr sz="800" b="0">
                          <a:solidFill>
                            <a:schemeClr val="tx1"/>
                          </a:solidFill>
                        </a:defRPr>
                      </a:pPr>
                      <a:t>[VALUE]</a:t>
                    </a:fld>
                    <a:endParaRPr lang="en-US" b="0" dirty="0">
                      <a:solidFill>
                        <a:schemeClr val="tx1"/>
                      </a:solidFill>
                    </a:endParaRPr>
                  </a:p>
                </c:rich>
              </c:tx>
              <c:spPr>
                <a:noFill/>
                <a:ln>
                  <a:noFill/>
                </a:ln>
                <a:effectLst/>
              </c:spPr>
              <c:dLblPos val="ctr"/>
              <c:showVal val="1"/>
              <c:extLst xmlns:c16r2="http://schemas.microsoft.com/office/drawing/2015/06/chart">
                <c:ext xmlns:c15="http://schemas.microsoft.com/office/drawing/2012/chart" uri="{CE6537A1-D6FC-4f65-9D91-7224C49458BB}">
                  <c15:layout>
                    <c:manualLayout>
                      <c:w val="4.2945835031354775E-2"/>
                      <c:h val="8.6064320791640503E-2"/>
                    </c:manualLayout>
                  </c15:layout>
                  <c15:dlblFieldTable/>
                  <c15:showDataLabelsRange val="0"/>
                </c:ext>
                <c:ext xmlns:c16="http://schemas.microsoft.com/office/drawing/2014/chart" uri="{C3380CC4-5D6E-409C-BE32-E72D297353CC}">
                  <c16:uniqueId val="{00000017-7876-4D66-8FC8-1520D6C3D489}"/>
                </c:ext>
              </c:extLst>
            </c:dLbl>
            <c:dLbl>
              <c:idx val="19"/>
              <c:layout>
                <c:manualLayout>
                  <c:x val="-1.7959085725332137E-3"/>
                  <c:y val="-5.3532720402712765E-2"/>
                </c:manualLayout>
              </c:layout>
              <c:tx>
                <c:rich>
                  <a:bodyPr/>
                  <a:lstStyle/>
                  <a:p>
                    <a:r>
                      <a:rPr lang="en-US" b="1" dirty="0">
                        <a:solidFill>
                          <a:schemeClr val="tx1"/>
                        </a:solidFill>
                      </a:rPr>
                      <a:t>+</a:t>
                    </a:r>
                    <a:fld id="{C5B24CF9-4DA6-48C9-BC9E-A93ED788770E}" type="VALUE">
                      <a:rPr lang="en-US" b="1" smtClean="0">
                        <a:solidFill>
                          <a:schemeClr val="tx1"/>
                        </a:solidFill>
                      </a:rPr>
                      <a:pPr/>
                      <a:t>[VALUE]</a:t>
                    </a:fld>
                    <a:endParaRPr lang="en-US" b="1" dirty="0">
                      <a:solidFill>
                        <a:schemeClr val="tx1"/>
                      </a:solidFill>
                    </a:endParaRPr>
                  </a:p>
                </c:rich>
              </c:tx>
              <c:dLblPos val="ct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8-7876-4D66-8FC8-1520D6C3D489}"/>
                </c:ext>
              </c:extLst>
            </c:dLbl>
            <c:dLbl>
              <c:idx val="20"/>
              <c:layout>
                <c:manualLayout>
                  <c:x val="-1.2933577138460035E-16"/>
                  <c:y val="-0.2744944553163731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7876-4D66-8FC8-1520D6C3D489}"/>
                </c:ext>
              </c:extLst>
            </c:dLbl>
            <c:dLbl>
              <c:idx val="21"/>
              <c:layout>
                <c:manualLayout>
                  <c:x val="-2.6455349757777465E-3"/>
                  <c:y val="3.6875284618887616E-2"/>
                </c:manualLayout>
              </c:layout>
              <c:tx>
                <c:rich>
                  <a:bodyPr/>
                  <a:lstStyle/>
                  <a:p>
                    <a:r>
                      <a:rPr lang="en-US" dirty="0"/>
                      <a:t>-</a:t>
                    </a:r>
                    <a:fld id="{03E75786-1EE0-4C2B-82F1-C9CC22BDC022}" type="VALUE">
                      <a:rPr lang="en-US" smtClean="0"/>
                      <a:pPr/>
                      <a:t>[VALUE]</a:t>
                    </a:fld>
                    <a:endParaRPr lang="en-US" dirty="0"/>
                  </a:p>
                </c:rich>
              </c:tx>
              <c:dLblPos val="ctr"/>
              <c:showVal val="1"/>
              <c:extLst xmlns:c16r2="http://schemas.microsoft.com/office/drawing/2015/06/chart">
                <c:ext xmlns:c15="http://schemas.microsoft.com/office/drawing/2012/chart" uri="{CE6537A1-D6FC-4f65-9D91-7224C49458BB}">
                  <c15:layout>
                    <c:manualLayout>
                      <c:w val="3.4489027070835891E-2"/>
                      <c:h val="7.9811936146906404E-2"/>
                    </c:manualLayout>
                  </c15:layout>
                  <c15:dlblFieldTable/>
                  <c15:showDataLabelsRange val="0"/>
                </c:ext>
                <c:ext xmlns:c16="http://schemas.microsoft.com/office/drawing/2014/chart" uri="{C3380CC4-5D6E-409C-BE32-E72D297353CC}">
                  <c16:uniqueId val="{0000001A-7876-4D66-8FC8-1520D6C3D489}"/>
                </c:ext>
              </c:extLst>
            </c:dLbl>
            <c:dLbl>
              <c:idx val="22"/>
              <c:layout>
                <c:manualLayout>
                  <c:x val="8.5184837487772445E-4"/>
                  <c:y val="-0.27013477088948851"/>
                </c:manualLayout>
              </c:layout>
              <c:tx>
                <c:rich>
                  <a:bodyPr wrap="square" lIns="38100" tIns="19050" rIns="38100" bIns="19050" anchor="ctr" anchorCtr="0">
                    <a:noAutofit/>
                  </a:bodyPr>
                  <a:lstStyle/>
                  <a:p>
                    <a:pPr algn="ctr">
                      <a:defRPr sz="800" b="0">
                        <a:solidFill>
                          <a:schemeClr val="tx1"/>
                        </a:solidFill>
                      </a:defRPr>
                    </a:pPr>
                    <a:fld id="{1D9FBD81-FFF4-4C5F-92BE-5CBC295F4D52}" type="VALUE">
                      <a:rPr lang="en-US" sz="800" b="0">
                        <a:solidFill>
                          <a:schemeClr val="tx1"/>
                        </a:solidFill>
                      </a:rPr>
                      <a:pPr algn="ctr">
                        <a:defRPr sz="800" b="0">
                          <a:solidFill>
                            <a:schemeClr val="tx1"/>
                          </a:solidFill>
                        </a:defRPr>
                      </a:pPr>
                      <a:t>[VALUE]</a:t>
                    </a:fld>
                    <a:endParaRPr lang="el-GR"/>
                  </a:p>
                </c:rich>
              </c:tx>
              <c:spPr>
                <a:noFill/>
                <a:ln>
                  <a:noFill/>
                </a:ln>
                <a:effectLst/>
              </c:spPr>
              <c:dLblPos val="ctr"/>
              <c:showVal val="1"/>
              <c:extLst xmlns:c16r2="http://schemas.microsoft.com/office/drawing/2015/06/chart">
                <c:ext xmlns:c15="http://schemas.microsoft.com/office/drawing/2012/chart" uri="{CE6537A1-D6FC-4f65-9D91-7224C49458BB}">
                  <c15:layout>
                    <c:manualLayout>
                      <c:w val="4.0787066791911804E-2"/>
                      <c:h val="9.2259597041194338E-2"/>
                    </c:manualLayout>
                  </c15:layout>
                  <c15:dlblFieldTable/>
                  <c15:showDataLabelsRange val="0"/>
                </c:ext>
                <c:ext xmlns:c16="http://schemas.microsoft.com/office/drawing/2014/chart" uri="{C3380CC4-5D6E-409C-BE32-E72D297353CC}">
                  <c16:uniqueId val="{0000001B-7876-4D66-8FC8-1520D6C3D489}"/>
                </c:ext>
              </c:extLst>
            </c:dLbl>
            <c:spPr>
              <a:noFill/>
              <a:ln>
                <a:noFill/>
              </a:ln>
              <a:effectLst/>
            </c:spPr>
            <c:txPr>
              <a:bodyPr wrap="square" lIns="38100" tIns="19050" rIns="38100" bIns="19050" anchor="ctr">
                <a:spAutoFit/>
              </a:bodyPr>
              <a:lstStyle/>
              <a:p>
                <a:pPr>
                  <a:defRPr sz="800" b="0">
                    <a:solidFill>
                      <a:schemeClr val="tx1"/>
                    </a:solidFill>
                  </a:defRPr>
                </a:pPr>
                <a:endParaRPr lang="en-US"/>
              </a:p>
            </c:txPr>
            <c:dLblPos val="inEnd"/>
            <c:showVal val="1"/>
            <c:extLst xmlns:c16r2="http://schemas.microsoft.com/office/drawing/2015/06/chart">
              <c:ext xmlns:c15="http://schemas.microsoft.com/office/drawing/2012/chart" uri="{CE6537A1-D6FC-4f65-9D91-7224C49458BB}">
                <c15:showLeaderLines val="0"/>
              </c:ext>
            </c:extLst>
          </c:dLbls>
          <c:cat>
            <c:strRef>
              <c:f>Sheet1!$A$4:$A$9</c:f>
              <c:strCache>
                <c:ptCount val="6"/>
                <c:pt idx="0">
                  <c:v>2018</c:v>
                </c:pt>
                <c:pt idx="1">
                  <c:v>2019</c:v>
                </c:pt>
                <c:pt idx="2">
                  <c:v>Q1.20</c:v>
                </c:pt>
                <c:pt idx="3">
                  <c:v>Q2.20</c:v>
                </c:pt>
                <c:pt idx="4">
                  <c:v>Q3.20</c:v>
                </c:pt>
                <c:pt idx="5">
                  <c:v>9Μ.20</c:v>
                </c:pt>
              </c:strCache>
            </c:strRef>
          </c:cat>
          <c:val>
            <c:numRef>
              <c:f>Sheet1!$C$4:$C$9</c:f>
              <c:numCache>
                <c:formatCode>#,##0.0</c:formatCode>
                <c:ptCount val="6"/>
                <c:pt idx="0">
                  <c:v>2</c:v>
                </c:pt>
                <c:pt idx="1">
                  <c:v>2.5</c:v>
                </c:pt>
                <c:pt idx="2">
                  <c:v>0.6000000000000002</c:v>
                </c:pt>
                <c:pt idx="3">
                  <c:v>0.6000000000000002</c:v>
                </c:pt>
                <c:pt idx="4">
                  <c:v>1.1000000000000001</c:v>
                </c:pt>
                <c:pt idx="5">
                  <c:v>2.2999999999999998</c:v>
                </c:pt>
              </c:numCache>
            </c:numRef>
          </c:val>
          <c:extLst xmlns:c16r2="http://schemas.microsoft.com/office/drawing/2015/06/chart">
            <c:ext xmlns:c16="http://schemas.microsoft.com/office/drawing/2014/chart" uri="{C3380CC4-5D6E-409C-BE32-E72D297353CC}">
              <c16:uniqueId val="{0000001C-7876-4D66-8FC8-1520D6C3D489}"/>
            </c:ext>
          </c:extLst>
        </c:ser>
        <c:ser>
          <c:idx val="2"/>
          <c:order val="2"/>
          <c:tx>
            <c:strRef>
              <c:f>Sheet1!$D$3</c:f>
              <c:strCache>
                <c:ptCount val="1"/>
                <c:pt idx="0">
                  <c:v>Total</c:v>
                </c:pt>
              </c:strCache>
            </c:strRef>
          </c:tx>
          <c:spPr>
            <a:noFill/>
            <a:ln>
              <a:noFill/>
            </a:ln>
            <a:effectLst/>
          </c:spPr>
          <c:cat>
            <c:strRef>
              <c:f>Sheet1!$A$4:$A$9</c:f>
              <c:strCache>
                <c:ptCount val="6"/>
                <c:pt idx="0">
                  <c:v>2018</c:v>
                </c:pt>
                <c:pt idx="1">
                  <c:v>2019</c:v>
                </c:pt>
                <c:pt idx="2">
                  <c:v>Q1.20</c:v>
                </c:pt>
                <c:pt idx="3">
                  <c:v>Q2.20</c:v>
                </c:pt>
                <c:pt idx="4">
                  <c:v>Q3.20</c:v>
                </c:pt>
                <c:pt idx="5">
                  <c:v>9Μ.20</c:v>
                </c:pt>
              </c:strCache>
            </c:strRef>
          </c:cat>
          <c:val>
            <c:numRef>
              <c:f>Sheet1!$D$4:$D$9</c:f>
              <c:numCache>
                <c:formatCode>#,##0.0</c:formatCode>
                <c:ptCount val="6"/>
                <c:pt idx="0">
                  <c:v>2</c:v>
                </c:pt>
                <c:pt idx="1">
                  <c:v>2.5</c:v>
                </c:pt>
                <c:pt idx="2">
                  <c:v>0.6000000000000002</c:v>
                </c:pt>
                <c:pt idx="3">
                  <c:v>1.2</c:v>
                </c:pt>
                <c:pt idx="4">
                  <c:v>2.2999999999999998</c:v>
                </c:pt>
                <c:pt idx="5">
                  <c:v>2.2999999999999998</c:v>
                </c:pt>
              </c:numCache>
            </c:numRef>
          </c:val>
          <c:extLst xmlns:c16r2="http://schemas.microsoft.com/office/drawing/2015/06/chart">
            <c:ext xmlns:c16="http://schemas.microsoft.com/office/drawing/2014/chart" uri="{C3380CC4-5D6E-409C-BE32-E72D297353CC}">
              <c16:uniqueId val="{0000001D-7876-4D66-8FC8-1520D6C3D489}"/>
            </c:ext>
          </c:extLst>
        </c:ser>
        <c:gapWidth val="100"/>
        <c:overlap val="100"/>
        <c:axId val="190372864"/>
        <c:axId val="215270144"/>
      </c:barChart>
      <c:catAx>
        <c:axId val="190372864"/>
        <c:scaling>
          <c:orientation val="minMax"/>
        </c:scaling>
        <c:axPos val="b"/>
        <c:numFmt formatCode="General" sourceLinked="1"/>
        <c:tickLblPos val="nextTo"/>
        <c:spPr>
          <a:noFill/>
          <a:ln w="9525" cap="flat" cmpd="sng" algn="ctr">
            <a:noFill/>
            <a:round/>
          </a:ln>
          <a:effectLst/>
        </c:spPr>
        <c:txPr>
          <a:bodyPr rot="-60000000" spcFirstLastPara="1" vertOverflow="ellipsis" vert="horz" wrap="square" anchor="ctr" anchorCtr="1"/>
          <a:lstStyle/>
          <a:p>
            <a:pPr>
              <a:defRPr sz="700" b="0" i="0" u="none" strike="noStrike" kern="1200" baseline="0">
                <a:solidFill>
                  <a:schemeClr val="bg2">
                    <a:lumMod val="25000"/>
                  </a:schemeClr>
                </a:solidFill>
                <a:latin typeface="Calibri" panose="020F0502020204030204" pitchFamily="34" charset="0"/>
                <a:ea typeface="+mn-ea"/>
                <a:cs typeface="+mn-cs"/>
              </a:defRPr>
            </a:pPr>
            <a:endParaRPr lang="en-US"/>
          </a:p>
        </c:txPr>
        <c:crossAx val="215270144"/>
        <c:crosses val="autoZero"/>
        <c:auto val="1"/>
        <c:lblAlgn val="ctr"/>
        <c:lblOffset val="100"/>
      </c:catAx>
      <c:valAx>
        <c:axId val="215270144"/>
        <c:scaling>
          <c:orientation val="minMax"/>
          <c:max val="6"/>
          <c:min val="0"/>
        </c:scaling>
        <c:delete val="1"/>
        <c:axPos val="l"/>
        <c:majorGridlines>
          <c:spPr>
            <a:ln w="9525" cap="flat" cmpd="sng" algn="ctr">
              <a:noFill/>
              <a:round/>
            </a:ln>
            <a:effectLst/>
          </c:spPr>
        </c:majorGridlines>
        <c:numFmt formatCode="#,##0.0" sourceLinked="1"/>
        <c:tickLblPos val="nextTo"/>
        <c:crossAx val="190372864"/>
        <c:crosses val="autoZero"/>
        <c:crossBetween val="between"/>
        <c:majorUnit val="0.1"/>
      </c:valAx>
      <c:spPr>
        <a:noFill/>
        <a:ln>
          <a:noFill/>
        </a:ln>
        <a:effectLst/>
      </c:spPr>
    </c:plotArea>
    <c:plotVisOnly val="1"/>
    <c:dispBlanksAs val="gap"/>
  </c:chart>
  <c:spPr>
    <a:noFill/>
    <a:ln>
      <a:noFill/>
    </a:ln>
    <a:effectLst/>
  </c:spPr>
  <c:txPr>
    <a:bodyPr/>
    <a:lstStyle/>
    <a:p>
      <a:pPr>
        <a:defRPr sz="800">
          <a:latin typeface="+mj-lt"/>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566655761655294E-2"/>
          <c:y val="0.15637009870807569"/>
          <c:w val="0.86960996154550618"/>
          <c:h val="0.71844953155690161"/>
        </c:manualLayout>
      </c:layout>
      <c:barChart>
        <c:barDir val="col"/>
        <c:grouping val="clustered"/>
        <c:ser>
          <c:idx val="0"/>
          <c:order val="0"/>
          <c:tx>
            <c:strRef>
              <c:f>Sheet1!$B$1</c:f>
              <c:strCache>
                <c:ptCount val="1"/>
                <c:pt idx="0">
                  <c:v>Series 2</c:v>
                </c:pt>
              </c:strCache>
            </c:strRef>
          </c:tx>
          <c:spPr>
            <a:solidFill>
              <a:srgbClr val="002060"/>
            </a:solidFill>
            <a:ln w="12700">
              <a:noFill/>
              <a:prstDash val="solid"/>
            </a:ln>
            <a:effectLst/>
          </c:spPr>
          <c:dPt>
            <c:idx val="4"/>
            <c:spPr>
              <a:solidFill>
                <a:srgbClr val="FFC000"/>
              </a:solidFill>
              <a:ln w="12700">
                <a:noFill/>
                <a:prstDash val="solid"/>
              </a:ln>
              <a:effectLst/>
            </c:spPr>
            <c:extLst xmlns:c16r2="http://schemas.microsoft.com/office/drawing/2015/06/chart">
              <c:ext xmlns:c16="http://schemas.microsoft.com/office/drawing/2014/chart" uri="{C3380CC4-5D6E-409C-BE32-E72D297353CC}">
                <c16:uniqueId val="{00000003-B80A-4759-855E-6C828A396F6D}"/>
              </c:ext>
            </c:extLst>
          </c:dPt>
          <c:dLbls>
            <c:dLbl>
              <c:idx val="0"/>
              <c:layout>
                <c:manualLayout>
                  <c:x val="5.5663790704147094E-3"/>
                  <c:y val="2.5359256128486888E-2"/>
                </c:manualLayout>
              </c:layout>
              <c:tx>
                <c:rich>
                  <a:bodyPr/>
                  <a:lstStyle/>
                  <a:p>
                    <a:r>
                      <a:rPr lang="en-US"/>
                      <a:t>23,9</a:t>
                    </a:r>
                  </a:p>
                </c:rich>
              </c:tx>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B80A-4759-855E-6C828A396F6D}"/>
                </c:ext>
              </c:extLst>
            </c:dLbl>
            <c:dLbl>
              <c:idx val="1"/>
              <c:layout>
                <c:manualLayout>
                  <c:x val="-8.5370553780378788E-3"/>
                  <c:y val="2.1132713440405779E-2"/>
                </c:manualLayout>
              </c:layout>
              <c:tx>
                <c:rich>
                  <a:bodyPr wrap="square" lIns="38100" tIns="19050" rIns="38100" bIns="19050" anchor="ctr">
                    <a:noAutofit/>
                  </a:bodyPr>
                  <a:lstStyle/>
                  <a:p>
                    <a:pPr>
                      <a:defRPr sz="800" b="0">
                        <a:solidFill>
                          <a:sysClr val="windowText" lastClr="000000"/>
                        </a:solidFill>
                      </a:defRPr>
                    </a:pPr>
                    <a:r>
                      <a:rPr lang="en-US"/>
                      <a:t>23,7</a:t>
                    </a:r>
                  </a:p>
                </c:rich>
              </c:tx>
              <c:numFmt formatCode="#,##0.0" sourceLinked="0"/>
              <c:spPr>
                <a:noFill/>
                <a:ln>
                  <a:noFill/>
                </a:ln>
                <a:effectLst/>
              </c:spPr>
              <c:dLblPos val="outEnd"/>
              <c:showVal val="1"/>
              <c:extLst xmlns:c16r2="http://schemas.microsoft.com/office/drawing/2015/06/chart">
                <c:ext xmlns:c15="http://schemas.microsoft.com/office/drawing/2012/chart" uri="{CE6537A1-D6FC-4f65-9D91-7224C49458BB}">
                  <c15:layout>
                    <c:manualLayout>
                      <c:w val="0.13096231496959293"/>
                      <c:h val="7.2231947337943705E-2"/>
                    </c:manualLayout>
                  </c15:layout>
                </c:ext>
                <c:ext xmlns:c16="http://schemas.microsoft.com/office/drawing/2014/chart" uri="{C3380CC4-5D6E-409C-BE32-E72D297353CC}">
                  <c16:uniqueId val="{0000000A-B80A-4759-855E-6C828A396F6D}"/>
                </c:ext>
              </c:extLst>
            </c:dLbl>
            <c:dLbl>
              <c:idx val="2"/>
              <c:layout>
                <c:manualLayout>
                  <c:x val="-8.5370553780379568E-3"/>
                  <c:y val="2.535925612848686E-2"/>
                </c:manualLayout>
              </c:layout>
              <c:tx>
                <c:rich>
                  <a:bodyPr wrap="square" lIns="38100" tIns="19050" rIns="38100" bIns="19050" anchor="ctr">
                    <a:noAutofit/>
                  </a:bodyPr>
                  <a:lstStyle/>
                  <a:p>
                    <a:pPr>
                      <a:defRPr sz="800" b="0">
                        <a:solidFill>
                          <a:sysClr val="windowText" lastClr="000000"/>
                        </a:solidFill>
                      </a:defRPr>
                    </a:pPr>
                    <a:r>
                      <a:rPr lang="en-US"/>
                      <a:t>24,1</a:t>
                    </a:r>
                  </a:p>
                </c:rich>
              </c:tx>
              <c:numFmt formatCode="#,##0.0" sourceLinked="0"/>
              <c:spPr>
                <a:noFill/>
                <a:ln>
                  <a:noFill/>
                </a:ln>
                <a:effectLst/>
              </c:spPr>
              <c:dLblPos val="outEnd"/>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11957927569810743"/>
                      <c:h val="0.11449737421875519"/>
                    </c:manualLayout>
                  </c15:layout>
                </c:ext>
                <c:ext xmlns:c16="http://schemas.microsoft.com/office/drawing/2014/chart" uri="{C3380CC4-5D6E-409C-BE32-E72D297353CC}">
                  <c16:uniqueId val="{00000000-B80A-4759-855E-6C828A396F6D}"/>
                </c:ext>
              </c:extLst>
            </c:dLbl>
            <c:dLbl>
              <c:idx val="3"/>
              <c:layout>
                <c:manualLayout>
                  <c:x val="5.6915196357426425E-3"/>
                  <c:y val="8.4530853761622705E-3"/>
                </c:manualLayout>
              </c:layout>
              <c:tx>
                <c:rich>
                  <a:bodyPr/>
                  <a:lstStyle/>
                  <a:p>
                    <a:r>
                      <a:rPr lang="en-US" b="0">
                        <a:solidFill>
                          <a:sysClr val="windowText" lastClr="000000"/>
                        </a:solidFill>
                      </a:rPr>
                      <a:t>24,5</a:t>
                    </a:r>
                    <a:endParaRPr lang="en-US"/>
                  </a:p>
                </c:rich>
              </c:tx>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B80A-4759-855E-6C828A396F6D}"/>
                </c:ext>
              </c:extLst>
            </c:dLbl>
            <c:dLbl>
              <c:idx val="4"/>
              <c:layout>
                <c:manualLayout>
                  <c:x val="0"/>
                  <c:y val="8.453085376162307E-3"/>
                </c:manualLayout>
              </c:layout>
              <c:tx>
                <c:rich>
                  <a:bodyPr wrap="square" lIns="38100" tIns="19050" rIns="38100" bIns="19050" anchor="ctr">
                    <a:spAutoFit/>
                  </a:bodyPr>
                  <a:lstStyle/>
                  <a:p>
                    <a:pPr>
                      <a:defRPr sz="800" b="0">
                        <a:solidFill>
                          <a:srgbClr val="002060"/>
                        </a:solidFill>
                      </a:defRPr>
                    </a:pPr>
                    <a:r>
                      <a:rPr lang="en-US" b="0">
                        <a:solidFill>
                          <a:srgbClr val="002060"/>
                        </a:solidFill>
                      </a:rPr>
                      <a:t>25,4</a:t>
                    </a:r>
                    <a:endParaRPr lang="en-US" b="0"/>
                  </a:p>
                </c:rich>
              </c:tx>
              <c:numFmt formatCode="#,##0.0" sourceLinked="0"/>
              <c:spPr>
                <a:noFill/>
                <a:ln>
                  <a:noFill/>
                </a:ln>
                <a:effectLst/>
              </c:spPr>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B80A-4759-855E-6C828A396F6D}"/>
                </c:ext>
              </c:extLst>
            </c:dLbl>
            <c:dLbl>
              <c:idx val="5"/>
              <c:layout>
                <c:manualLayout>
                  <c:x val="5.5663790704147094E-3"/>
                  <c:y val="2.5359256128486888E-2"/>
                </c:manualLayout>
              </c:layout>
              <c:tx>
                <c:rich>
                  <a:bodyPr/>
                  <a:lstStyle/>
                  <a:p>
                    <a:fld id="{AF711C50-0C61-4F2B-B7E2-FEF5E814FA8B}" type="VALUE">
                      <a:rPr lang="en-US" b="0">
                        <a:solidFill>
                          <a:sysClr val="windowText" lastClr="000000"/>
                        </a:solidFill>
                      </a:rPr>
                      <a:pPr/>
                      <a:t>[VALUE]</a:t>
                    </a:fld>
                    <a:endParaRPr lang="el-G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B80A-4759-855E-6C828A396F6D}"/>
                </c:ext>
              </c:extLst>
            </c:dLbl>
            <c:dLbl>
              <c:idx val="6"/>
              <c:layout>
                <c:manualLayout>
                  <c:x val="5.4414512926919132E-3"/>
                  <c:y val="3.381234150464925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80A-4759-855E-6C828A396F6D}"/>
                </c:ext>
              </c:extLst>
            </c:dLbl>
            <c:dLbl>
              <c:idx val="7"/>
              <c:layout>
                <c:manualLayout>
                  <c:x val="-5.5663790704147094E-3"/>
                  <c:y val="3.381234150464925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80A-4759-855E-6C828A396F6D}"/>
                </c:ext>
              </c:extLst>
            </c:dLbl>
            <c:dLbl>
              <c:idx val="8"/>
              <c:layout>
                <c:manualLayout>
                  <c:x val="5.5663790704147094E-3"/>
                  <c:y val="3.3812341504649193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80A-4759-855E-6C828A396F6D}"/>
                </c:ext>
              </c:extLst>
            </c:dLbl>
            <c:numFmt formatCode="#,##0.0" sourceLinked="0"/>
            <c:spPr>
              <a:noFill/>
              <a:ln>
                <a:noFill/>
              </a:ln>
              <a:effectLst/>
            </c:spPr>
            <c:txPr>
              <a:bodyPr wrap="square" lIns="38100" tIns="19050" rIns="38100" bIns="19050" anchor="ctr">
                <a:spAutoFit/>
              </a:bodyPr>
              <a:lstStyle/>
              <a:p>
                <a:pPr>
                  <a:defRPr sz="800" b="0">
                    <a:solidFill>
                      <a:sysClr val="windowText" lastClr="000000"/>
                    </a:solidFill>
                  </a:defRPr>
                </a:pPr>
                <a:endParaRPr lang="en-US"/>
              </a:p>
            </c:txPr>
            <c:dLblPos val="outEnd"/>
            <c:showVal val="1"/>
            <c:extLst xmlns:c16r2="http://schemas.microsoft.com/office/drawing/2015/06/chart">
              <c:ext xmlns:c15="http://schemas.microsoft.com/office/drawing/2012/chart" uri="{CE6537A1-D6FC-4f65-9D91-7224C49458BB}">
                <c15:showLeaderLines val="1"/>
              </c:ext>
            </c:extLst>
          </c:dLbls>
          <c:cat>
            <c:strRef>
              <c:f>Sheet1!$A$2:$A$10</c:f>
              <c:strCache>
                <c:ptCount val="5"/>
                <c:pt idx="0">
                  <c:v>2018</c:v>
                </c:pt>
                <c:pt idx="1">
                  <c:v>2019</c:v>
                </c:pt>
                <c:pt idx="2">
                  <c:v>Μαρ.20</c:v>
                </c:pt>
                <c:pt idx="3">
                  <c:v>Ιουν.20</c:v>
                </c:pt>
                <c:pt idx="4">
                  <c:v>Σεπ.20</c:v>
                </c:pt>
              </c:strCache>
            </c:strRef>
          </c:cat>
          <c:val>
            <c:numRef>
              <c:f>Sheet1!$B$2:$B$10</c:f>
              <c:numCache>
                <c:formatCode>0.0</c:formatCode>
                <c:ptCount val="5"/>
                <c:pt idx="0">
                  <c:v>23.9</c:v>
                </c:pt>
                <c:pt idx="1">
                  <c:v>23.7</c:v>
                </c:pt>
                <c:pt idx="2">
                  <c:v>24.1</c:v>
                </c:pt>
                <c:pt idx="3">
                  <c:v>24.5</c:v>
                </c:pt>
                <c:pt idx="4">
                  <c:v>25.4</c:v>
                </c:pt>
              </c:numCache>
            </c:numRef>
          </c:val>
          <c:extLst xmlns:c16r2="http://schemas.microsoft.com/office/drawing/2015/06/chart">
            <c:ext xmlns:c16="http://schemas.microsoft.com/office/drawing/2014/chart" uri="{C3380CC4-5D6E-409C-BE32-E72D297353CC}">
              <c16:uniqueId val="{0000000B-B80A-4759-855E-6C828A396F6D}"/>
            </c:ext>
          </c:extLst>
        </c:ser>
        <c:dLbls>
          <c:showVal val="1"/>
        </c:dLbls>
        <c:gapWidth val="130"/>
        <c:overlap val="-24"/>
        <c:axId val="262559232"/>
        <c:axId val="262560768"/>
      </c:barChart>
      <c:catAx>
        <c:axId val="262559232"/>
        <c:scaling>
          <c:orientation val="minMax"/>
        </c:scaling>
        <c:axPos val="b"/>
        <c:numFmt formatCode="General" sourceLinked="1"/>
        <c:majorTickMark val="none"/>
        <c:tickLblPos val="nextTo"/>
        <c:spPr>
          <a:ln w="6350">
            <a:solidFill>
              <a:schemeClr val="bg1"/>
            </a:solidFill>
            <a:prstDash val="solid"/>
          </a:ln>
        </c:spPr>
        <c:txPr>
          <a:bodyPr/>
          <a:lstStyle/>
          <a:p>
            <a:pPr algn="ctr">
              <a:defRPr lang="en-GB" sz="700" b="0" i="0" u="none" strike="noStrike" kern="1200" baseline="0">
                <a:solidFill>
                  <a:schemeClr val="bg2">
                    <a:lumMod val="25000"/>
                  </a:schemeClr>
                </a:solidFill>
                <a:latin typeface="+mn-lt"/>
                <a:ea typeface="+mn-ea"/>
                <a:cs typeface="+mn-cs"/>
              </a:defRPr>
            </a:pPr>
            <a:endParaRPr lang="en-US"/>
          </a:p>
        </c:txPr>
        <c:crossAx val="262560768"/>
        <c:crosses val="autoZero"/>
        <c:auto val="1"/>
        <c:lblAlgn val="ctr"/>
        <c:lblOffset val="100"/>
      </c:catAx>
      <c:valAx>
        <c:axId val="262560768"/>
        <c:scaling>
          <c:orientation val="minMax"/>
          <c:max val="35"/>
          <c:min val="0"/>
        </c:scaling>
        <c:delete val="1"/>
        <c:axPos val="l"/>
        <c:numFmt formatCode="0.0" sourceLinked="1"/>
        <c:tickLblPos val="none"/>
        <c:crossAx val="262559232"/>
        <c:crosses val="autoZero"/>
        <c:crossBetween val="between"/>
      </c:valAx>
      <c:spPr>
        <a:noFill/>
        <a:ln>
          <a:noFill/>
        </a:ln>
      </c:spPr>
    </c:plotArea>
    <c:plotVisOnly val="1"/>
    <c:dispBlanksAs val="gap"/>
  </c:chart>
  <c:spPr>
    <a:noFill/>
    <a:ln w="0">
      <a:noFill/>
    </a:ln>
  </c:spPr>
  <c:txPr>
    <a:bodyPr/>
    <a:lstStyle/>
    <a:p>
      <a:pPr>
        <a:defRPr sz="700">
          <a:latin typeface="+mj-lt"/>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9417416572928561E-2"/>
          <c:y val="0.22399478171737458"/>
          <c:w val="0.86960996154550618"/>
          <c:h val="0.65082500782076924"/>
        </c:manualLayout>
      </c:layout>
      <c:barChart>
        <c:barDir val="col"/>
        <c:grouping val="clustered"/>
        <c:ser>
          <c:idx val="0"/>
          <c:order val="0"/>
          <c:tx>
            <c:strRef>
              <c:f>Sheet1!$B$1</c:f>
              <c:strCache>
                <c:ptCount val="1"/>
                <c:pt idx="0">
                  <c:v>Series 2</c:v>
                </c:pt>
              </c:strCache>
            </c:strRef>
          </c:tx>
          <c:spPr>
            <a:solidFill>
              <a:srgbClr val="002060"/>
            </a:solidFill>
            <a:ln w="12700">
              <a:noFill/>
              <a:prstDash val="solid"/>
            </a:ln>
            <a:effectLst/>
          </c:spPr>
          <c:dPt>
            <c:idx val="4"/>
            <c:spPr>
              <a:solidFill>
                <a:srgbClr val="FFC000"/>
              </a:solidFill>
              <a:ln w="12700">
                <a:noFill/>
                <a:prstDash val="solid"/>
              </a:ln>
              <a:effectLst/>
            </c:spPr>
            <c:extLst xmlns:c16r2="http://schemas.microsoft.com/office/drawing/2015/06/chart">
              <c:ext xmlns:c16="http://schemas.microsoft.com/office/drawing/2014/chart" uri="{C3380CC4-5D6E-409C-BE32-E72D297353CC}">
                <c16:uniqueId val="{00000003-882F-4573-9B93-A94167DBE36A}"/>
              </c:ext>
            </c:extLst>
          </c:dPt>
          <c:dLbls>
            <c:dLbl>
              <c:idx val="0"/>
              <c:layout>
                <c:manualLayout>
                  <c:x val="5.5664854642173724E-3"/>
                  <c:y val="8.4530853761622705E-3"/>
                </c:manualLayout>
              </c:layout>
              <c:tx>
                <c:rich>
                  <a:bodyPr/>
                  <a:lstStyle/>
                  <a:p>
                    <a:r>
                      <a:rPr lang="en-US"/>
                      <a:t>26,5</a:t>
                    </a:r>
                  </a:p>
                </c:rich>
              </c:tx>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882F-4573-9B93-A94167DBE36A}"/>
                </c:ext>
              </c:extLst>
            </c:dLbl>
            <c:dLbl>
              <c:idx val="1"/>
              <c:layout>
                <c:manualLayout>
                  <c:x val="-2.845535742295163E-3"/>
                  <c:y val="-2.1132713440405758E-2"/>
                </c:manualLayout>
              </c:layout>
              <c:tx>
                <c:rich>
                  <a:bodyPr wrap="square" lIns="38100" tIns="19050" rIns="38100" bIns="19050" anchor="ctr">
                    <a:noAutofit/>
                  </a:bodyPr>
                  <a:lstStyle/>
                  <a:p>
                    <a:pPr>
                      <a:defRPr sz="800" b="0">
                        <a:solidFill>
                          <a:sysClr val="windowText" lastClr="000000"/>
                        </a:solidFill>
                      </a:defRPr>
                    </a:pPr>
                    <a:r>
                      <a:rPr lang="en-US"/>
                      <a:t>23,7</a:t>
                    </a:r>
                  </a:p>
                </c:rich>
              </c:tx>
              <c:numFmt formatCode="#,##0.0" sourceLinked="0"/>
              <c:spPr>
                <a:noFill/>
                <a:ln>
                  <a:noFill/>
                </a:ln>
                <a:effectLst/>
              </c:spPr>
              <c:dLblPos val="outEnd"/>
              <c:showVal val="1"/>
              <c:extLst xmlns:c16r2="http://schemas.microsoft.com/office/drawing/2015/06/chart">
                <c:ext xmlns:c15="http://schemas.microsoft.com/office/drawing/2012/chart" uri="{CE6537A1-D6FC-4f65-9D91-7224C49458BB}">
                  <c15:layout>
                    <c:manualLayout>
                      <c:w val="0.13096231496959293"/>
                      <c:h val="7.2231947337943705E-2"/>
                    </c:manualLayout>
                  </c15:layout>
                </c:ext>
                <c:ext xmlns:c16="http://schemas.microsoft.com/office/drawing/2014/chart" uri="{C3380CC4-5D6E-409C-BE32-E72D297353CC}">
                  <c16:uniqueId val="{0000000A-882F-4573-9B93-A94167DBE36A}"/>
                </c:ext>
              </c:extLst>
            </c:dLbl>
            <c:dLbl>
              <c:idx val="2"/>
              <c:layout>
                <c:manualLayout>
                  <c:x val="2.8459838934475306E-3"/>
                  <c:y val="2.535925612848686E-2"/>
                </c:manualLayout>
              </c:layout>
              <c:tx>
                <c:rich>
                  <a:bodyPr wrap="square" lIns="38100" tIns="19050" rIns="38100" bIns="19050" anchor="ctr">
                    <a:noAutofit/>
                  </a:bodyPr>
                  <a:lstStyle/>
                  <a:p>
                    <a:pPr>
                      <a:defRPr sz="800" b="0">
                        <a:solidFill>
                          <a:sysClr val="windowText" lastClr="000000"/>
                        </a:solidFill>
                      </a:defRPr>
                    </a:pPr>
                    <a:r>
                      <a:rPr lang="en-US"/>
                      <a:t>23,4</a:t>
                    </a:r>
                  </a:p>
                </c:rich>
              </c:tx>
              <c:numFmt formatCode="#,##0.0" sourceLinked="0"/>
              <c:spPr>
                <a:noFill/>
                <a:ln>
                  <a:noFill/>
                </a:ln>
                <a:effectLst/>
              </c:spPr>
              <c:dLblPos val="outEnd"/>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11957927569810743"/>
                      <c:h val="0.11449737421875519"/>
                    </c:manualLayout>
                  </c15:layout>
                </c:ext>
                <c:ext xmlns:c16="http://schemas.microsoft.com/office/drawing/2014/chart" uri="{C3380CC4-5D6E-409C-BE32-E72D297353CC}">
                  <c16:uniqueId val="{00000000-882F-4573-9B93-A94167DBE36A}"/>
                </c:ext>
              </c:extLst>
            </c:dLbl>
            <c:dLbl>
              <c:idx val="3"/>
              <c:layout>
                <c:manualLayout>
                  <c:x val="-1.0434332127233299E-16"/>
                  <c:y val="3.3812341504649193E-2"/>
                </c:manualLayout>
              </c:layout>
              <c:tx>
                <c:rich>
                  <a:bodyPr/>
                  <a:lstStyle/>
                  <a:p>
                    <a:r>
                      <a:rPr lang="en-US" b="0">
                        <a:solidFill>
                          <a:sysClr val="windowText" lastClr="000000"/>
                        </a:solidFill>
                      </a:rPr>
                      <a:t>22,6</a:t>
                    </a:r>
                    <a:endParaRPr lang="en-US"/>
                  </a:p>
                </c:rich>
              </c:tx>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882F-4573-9B93-A94167DBE36A}"/>
                </c:ext>
              </c:extLst>
            </c:dLbl>
            <c:dLbl>
              <c:idx val="4"/>
              <c:layout>
                <c:manualLayout>
                  <c:x val="0"/>
                  <c:y val="2.5359256128486888E-2"/>
                </c:manualLayout>
              </c:layout>
              <c:tx>
                <c:rich>
                  <a:bodyPr wrap="square" lIns="38100" tIns="19050" rIns="38100" bIns="19050" anchor="ctr">
                    <a:spAutoFit/>
                  </a:bodyPr>
                  <a:lstStyle/>
                  <a:p>
                    <a:pPr>
                      <a:defRPr sz="800" b="0">
                        <a:solidFill>
                          <a:srgbClr val="002060"/>
                        </a:solidFill>
                      </a:defRPr>
                    </a:pPr>
                    <a:r>
                      <a:rPr lang="en-US" sz="800" b="0">
                        <a:solidFill>
                          <a:srgbClr val="002060"/>
                        </a:solidFill>
                      </a:rPr>
                      <a:t>21,9</a:t>
                    </a:r>
                    <a:endParaRPr lang="en-US" b="0"/>
                  </a:p>
                </c:rich>
              </c:tx>
              <c:numFmt formatCode="#,##0.0" sourceLinked="0"/>
              <c:spPr>
                <a:noFill/>
                <a:ln>
                  <a:noFill/>
                </a:ln>
                <a:effectLst/>
              </c:spPr>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882F-4573-9B93-A94167DBE36A}"/>
                </c:ext>
              </c:extLst>
            </c:dLbl>
            <c:dLbl>
              <c:idx val="5"/>
              <c:layout>
                <c:manualLayout>
                  <c:x val="5.5663790704147094E-3"/>
                  <c:y val="2.5359256128486888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82F-4573-9B93-A94167DBE36A}"/>
                </c:ext>
              </c:extLst>
            </c:dLbl>
            <c:dLbl>
              <c:idx val="6"/>
              <c:layout>
                <c:manualLayout>
                  <c:x val="5.4414512926919132E-3"/>
                  <c:y val="3.381234150464925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82F-4573-9B93-A94167DBE36A}"/>
                </c:ext>
              </c:extLst>
            </c:dLbl>
            <c:dLbl>
              <c:idx val="7"/>
              <c:layout>
                <c:manualLayout>
                  <c:x val="-5.5663790704147094E-3"/>
                  <c:y val="3.381234150464925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82F-4573-9B93-A94167DBE36A}"/>
                </c:ext>
              </c:extLst>
            </c:dLbl>
            <c:dLbl>
              <c:idx val="8"/>
              <c:layout>
                <c:manualLayout>
                  <c:x val="5.5663790704147094E-3"/>
                  <c:y val="3.3812341504649193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82F-4573-9B93-A94167DBE36A}"/>
                </c:ext>
              </c:extLst>
            </c:dLbl>
            <c:numFmt formatCode="#,##0.0" sourceLinked="0"/>
            <c:spPr>
              <a:noFill/>
              <a:ln>
                <a:noFill/>
              </a:ln>
              <a:effectLst/>
            </c:spPr>
            <c:txPr>
              <a:bodyPr wrap="square" lIns="38100" tIns="19050" rIns="38100" bIns="19050" anchor="ctr">
                <a:spAutoFit/>
              </a:bodyPr>
              <a:lstStyle/>
              <a:p>
                <a:pPr>
                  <a:defRPr sz="800" b="0">
                    <a:solidFill>
                      <a:sysClr val="windowText" lastClr="000000"/>
                    </a:solidFill>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strRef>
              <c:f>Sheet1!$A$2:$A$10</c:f>
              <c:strCache>
                <c:ptCount val="5"/>
                <c:pt idx="0">
                  <c:v>2018</c:v>
                </c:pt>
                <c:pt idx="1">
                  <c:v>2019</c:v>
                </c:pt>
                <c:pt idx="2">
                  <c:v>Μαρ.20</c:v>
                </c:pt>
                <c:pt idx="3">
                  <c:v>Ιουν.20</c:v>
                </c:pt>
                <c:pt idx="4">
                  <c:v>Σεπ.20</c:v>
                </c:pt>
              </c:strCache>
            </c:strRef>
          </c:cat>
          <c:val>
            <c:numRef>
              <c:f>Sheet1!$B$2:$B$10</c:f>
              <c:numCache>
                <c:formatCode>0.0</c:formatCode>
                <c:ptCount val="5"/>
                <c:pt idx="0">
                  <c:v>26.5</c:v>
                </c:pt>
                <c:pt idx="1">
                  <c:v>23.7</c:v>
                </c:pt>
                <c:pt idx="2">
                  <c:v>23.4</c:v>
                </c:pt>
                <c:pt idx="3">
                  <c:v>22.6</c:v>
                </c:pt>
                <c:pt idx="4">
                  <c:v>21.9</c:v>
                </c:pt>
              </c:numCache>
            </c:numRef>
          </c:val>
          <c:extLst xmlns:c16r2="http://schemas.microsoft.com/office/drawing/2015/06/chart">
            <c:ext xmlns:c16="http://schemas.microsoft.com/office/drawing/2014/chart" uri="{C3380CC4-5D6E-409C-BE32-E72D297353CC}">
              <c16:uniqueId val="{0000000B-882F-4573-9B93-A94167DBE36A}"/>
            </c:ext>
          </c:extLst>
        </c:ser>
        <c:dLbls>
          <c:showVal val="1"/>
        </c:dLbls>
        <c:gapWidth val="130"/>
        <c:overlap val="-24"/>
        <c:axId val="262672384"/>
        <c:axId val="262673920"/>
      </c:barChart>
      <c:catAx>
        <c:axId val="262672384"/>
        <c:scaling>
          <c:orientation val="minMax"/>
        </c:scaling>
        <c:axPos val="b"/>
        <c:numFmt formatCode="General" sourceLinked="1"/>
        <c:majorTickMark val="none"/>
        <c:tickLblPos val="nextTo"/>
        <c:spPr>
          <a:ln w="6350">
            <a:solidFill>
              <a:schemeClr val="bg1"/>
            </a:solidFill>
            <a:prstDash val="solid"/>
          </a:ln>
        </c:spPr>
        <c:txPr>
          <a:bodyPr/>
          <a:lstStyle/>
          <a:p>
            <a:pPr algn="ctr">
              <a:defRPr lang="en-GB" sz="700" b="0" i="0" u="none" strike="noStrike" kern="1200" baseline="0">
                <a:solidFill>
                  <a:schemeClr val="bg2">
                    <a:lumMod val="25000"/>
                  </a:schemeClr>
                </a:solidFill>
                <a:latin typeface="+mn-lt"/>
                <a:ea typeface="+mn-ea"/>
                <a:cs typeface="+mn-cs"/>
              </a:defRPr>
            </a:pPr>
            <a:endParaRPr lang="en-US"/>
          </a:p>
        </c:txPr>
        <c:crossAx val="262673920"/>
        <c:crosses val="autoZero"/>
        <c:auto val="1"/>
        <c:lblAlgn val="ctr"/>
        <c:lblOffset val="100"/>
      </c:catAx>
      <c:valAx>
        <c:axId val="262673920"/>
        <c:scaling>
          <c:orientation val="minMax"/>
          <c:max val="35"/>
          <c:min val="0"/>
        </c:scaling>
        <c:delete val="1"/>
        <c:axPos val="l"/>
        <c:numFmt formatCode="0.0" sourceLinked="1"/>
        <c:tickLblPos val="none"/>
        <c:crossAx val="262672384"/>
        <c:crosses val="autoZero"/>
        <c:crossBetween val="between"/>
      </c:valAx>
      <c:spPr>
        <a:noFill/>
        <a:ln>
          <a:noFill/>
        </a:ln>
      </c:spPr>
    </c:plotArea>
    <c:plotVisOnly val="1"/>
    <c:dispBlanksAs val="gap"/>
  </c:chart>
  <c:spPr>
    <a:noFill/>
    <a:ln w="0">
      <a:noFill/>
    </a:ln>
  </c:spPr>
  <c:txPr>
    <a:bodyPr/>
    <a:lstStyle/>
    <a:p>
      <a:pPr>
        <a:defRPr sz="700">
          <a:latin typeface="+mj-lt"/>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9417416572928561E-2"/>
          <c:y val="0.15636995706662538"/>
          <c:w val="0.86960996154550618"/>
          <c:h val="0.71844953155690161"/>
        </c:manualLayout>
      </c:layout>
      <c:barChart>
        <c:barDir val="col"/>
        <c:grouping val="clustered"/>
        <c:ser>
          <c:idx val="0"/>
          <c:order val="0"/>
          <c:tx>
            <c:strRef>
              <c:f>Sheet1!$B$1</c:f>
              <c:strCache>
                <c:ptCount val="1"/>
                <c:pt idx="0">
                  <c:v>Series 2</c:v>
                </c:pt>
              </c:strCache>
            </c:strRef>
          </c:tx>
          <c:spPr>
            <a:solidFill>
              <a:srgbClr val="002060"/>
            </a:solidFill>
            <a:ln w="12700">
              <a:noFill/>
              <a:prstDash val="solid"/>
            </a:ln>
            <a:effectLst/>
          </c:spPr>
          <c:dPt>
            <c:idx val="2"/>
            <c:spPr>
              <a:solidFill>
                <a:srgbClr val="FFC000"/>
              </a:solidFill>
              <a:ln w="12700">
                <a:noFill/>
                <a:prstDash val="solid"/>
              </a:ln>
              <a:effectLst/>
            </c:spPr>
            <c:extLst xmlns:c16r2="http://schemas.microsoft.com/office/drawing/2015/06/chart">
              <c:ext xmlns:c16="http://schemas.microsoft.com/office/drawing/2014/chart" uri="{C3380CC4-5D6E-409C-BE32-E72D297353CC}">
                <c16:uniqueId val="{00000000-20A8-4C30-9BFE-D48CC40A8435}"/>
              </c:ext>
            </c:extLst>
          </c:dPt>
          <c:dLbls>
            <c:dLbl>
              <c:idx val="0"/>
              <c:layout>
                <c:manualLayout>
                  <c:x val="5.5663790704147094E-3"/>
                  <c:y val="2.5359256128486888E-2"/>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20A8-4C30-9BFE-D48CC40A8435}"/>
                </c:ext>
              </c:extLst>
            </c:dLbl>
            <c:dLbl>
              <c:idx val="1"/>
              <c:layout>
                <c:manualLayout>
                  <c:x val="-8.5370553780378788E-3"/>
                  <c:y val="2.1132713440405779E-2"/>
                </c:manualLayout>
              </c:layout>
              <c:numFmt formatCode="#,##0" sourceLinked="0"/>
              <c:spPr>
                <a:noFill/>
                <a:ln>
                  <a:noFill/>
                </a:ln>
                <a:effectLst/>
              </c:spPr>
              <c:txPr>
                <a:bodyPr wrap="square" lIns="38100" tIns="19050" rIns="38100" bIns="19050" anchor="ctr">
                  <a:noAutofit/>
                </a:bodyPr>
                <a:lstStyle/>
                <a:p>
                  <a:pPr>
                    <a:defRPr sz="800" b="0">
                      <a:solidFill>
                        <a:schemeClr val="tx1"/>
                      </a:solidFill>
                    </a:defRPr>
                  </a:pPr>
                  <a:endParaRPr lang="en-US"/>
                </a:p>
              </c:txPr>
              <c:dLblPos val="outEnd"/>
              <c:showVal val="1"/>
              <c:extLst xmlns:c16r2="http://schemas.microsoft.com/office/drawing/2015/06/chart">
                <c:ext xmlns:c15="http://schemas.microsoft.com/office/drawing/2012/chart" uri="{CE6537A1-D6FC-4f65-9D91-7224C49458BB}">
                  <c15:layout>
                    <c:manualLayout>
                      <c:w val="0.13096231496959293"/>
                      <c:h val="7.2231947337943705E-2"/>
                    </c:manualLayout>
                  </c15:layout>
                </c:ext>
                <c:ext xmlns:c16="http://schemas.microsoft.com/office/drawing/2014/chart" uri="{C3380CC4-5D6E-409C-BE32-E72D297353CC}">
                  <c16:uniqueId val="{0000000A-20A8-4C30-9BFE-D48CC40A8435}"/>
                </c:ext>
              </c:extLst>
            </c:dLbl>
            <c:dLbl>
              <c:idx val="2"/>
              <c:layout>
                <c:manualLayout>
                  <c:x val="-2.845535742295163E-3"/>
                  <c:y val="2.5359256128486891E-2"/>
                </c:manualLayout>
              </c:layout>
              <c:numFmt formatCode="#,##0" sourceLinked="0"/>
              <c:spPr>
                <a:noFill/>
                <a:ln>
                  <a:noFill/>
                </a:ln>
                <a:effectLst/>
              </c:spPr>
              <c:txPr>
                <a:bodyPr wrap="square" lIns="38100" tIns="19050" rIns="38100" bIns="19050" anchor="ctr">
                  <a:noAutofit/>
                </a:bodyPr>
                <a:lstStyle/>
                <a:p>
                  <a:pPr>
                    <a:defRPr sz="800" b="0">
                      <a:solidFill>
                        <a:schemeClr val="tx2"/>
                      </a:solidFill>
                    </a:defRPr>
                  </a:pPr>
                  <a:endParaRPr lang="en-US"/>
                </a:p>
              </c:txPr>
              <c:dLblPos val="outEnd"/>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11957927569810743"/>
                      <c:h val="0.11449737421875519"/>
                    </c:manualLayout>
                  </c15:layout>
                </c:ext>
                <c:ext xmlns:c16="http://schemas.microsoft.com/office/drawing/2014/chart" uri="{C3380CC4-5D6E-409C-BE32-E72D297353CC}">
                  <c16:uniqueId val="{00000000-20A8-4C30-9BFE-D48CC40A8435}"/>
                </c:ext>
              </c:extLst>
            </c:dLbl>
            <c:dLbl>
              <c:idx val="3"/>
              <c:layout>
                <c:manualLayout>
                  <c:x val="-1.0434332127233299E-16"/>
                  <c:y val="3.3812341504649193E-2"/>
                </c:manualLayout>
              </c:layout>
              <c:tx>
                <c:rich>
                  <a:bodyPr/>
                  <a:lstStyle/>
                  <a:p>
                    <a:fld id="{62419BC0-8783-468B-9029-E1A00A97C425}" type="VALUE">
                      <a:rPr lang="en-US" b="0">
                        <a:solidFill>
                          <a:schemeClr val="tx1"/>
                        </a:solidFill>
                      </a:rPr>
                      <a:pPr/>
                      <a:t>[VALUE]</a:t>
                    </a:fld>
                    <a:endParaRPr lang="el-G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20A8-4C30-9BFE-D48CC40A8435}"/>
                </c:ext>
              </c:extLst>
            </c:dLbl>
            <c:dLbl>
              <c:idx val="4"/>
              <c:layout>
                <c:manualLayout>
                  <c:x val="0"/>
                  <c:y val="2.535925612848686E-2"/>
                </c:manualLayout>
              </c:layout>
              <c:tx>
                <c:rich>
                  <a:bodyPr wrap="square" lIns="38100" tIns="19050" rIns="38100" bIns="19050" anchor="ctr">
                    <a:spAutoFit/>
                  </a:bodyPr>
                  <a:lstStyle/>
                  <a:p>
                    <a:pPr>
                      <a:defRPr sz="800" b="1">
                        <a:solidFill>
                          <a:srgbClr val="002060"/>
                        </a:solidFill>
                      </a:defRPr>
                    </a:pPr>
                    <a:fld id="{C8EF18D2-FE44-45C6-AF4A-6412305388EB}" type="VALUE">
                      <a:rPr lang="en-US" b="1">
                        <a:solidFill>
                          <a:srgbClr val="002060"/>
                        </a:solidFill>
                      </a:rPr>
                      <a:pPr>
                        <a:defRPr sz="800" b="1">
                          <a:solidFill>
                            <a:srgbClr val="002060"/>
                          </a:solidFill>
                        </a:defRPr>
                      </a:pPr>
                      <a:t>[VALUE]</a:t>
                    </a:fld>
                    <a:endParaRPr lang="el-GR"/>
                  </a:p>
                </c:rich>
              </c:tx>
              <c:numFmt formatCode="#,##0" sourceLinked="0"/>
              <c:spPr>
                <a:noFill/>
                <a:ln>
                  <a:noFill/>
                </a:ln>
                <a:effectLst/>
              </c:spPr>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20A8-4C30-9BFE-D48CC40A8435}"/>
                </c:ext>
              </c:extLst>
            </c:dLbl>
            <c:dLbl>
              <c:idx val="5"/>
              <c:layout>
                <c:manualLayout>
                  <c:x val="5.5663790704147094E-3"/>
                  <c:y val="2.5359256128486888E-2"/>
                </c:manualLayout>
              </c:layout>
              <c:tx>
                <c:rich>
                  <a:bodyPr/>
                  <a:lstStyle/>
                  <a:p>
                    <a:fld id="{AF711C50-0C61-4F2B-B7E2-FEF5E814FA8B}" type="VALUE">
                      <a:rPr lang="en-US">
                        <a:solidFill>
                          <a:schemeClr val="tx1"/>
                        </a:solidFill>
                      </a:rPr>
                      <a:pPr/>
                      <a:t>[VALUE]</a:t>
                    </a:fld>
                    <a:endParaRPr lang="el-G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20A8-4C30-9BFE-D48CC40A8435}"/>
                </c:ext>
              </c:extLst>
            </c:dLbl>
            <c:dLbl>
              <c:idx val="6"/>
              <c:layout>
                <c:manualLayout>
                  <c:x val="5.4414512926919132E-3"/>
                  <c:y val="3.381234150464925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0A8-4C30-9BFE-D48CC40A8435}"/>
                </c:ext>
              </c:extLst>
            </c:dLbl>
            <c:dLbl>
              <c:idx val="7"/>
              <c:layout>
                <c:manualLayout>
                  <c:x val="-5.5663790704147094E-3"/>
                  <c:y val="3.381234150464925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20A8-4C30-9BFE-D48CC40A8435}"/>
                </c:ext>
              </c:extLst>
            </c:dLbl>
            <c:dLbl>
              <c:idx val="8"/>
              <c:layout>
                <c:manualLayout>
                  <c:x val="5.5663790704147094E-3"/>
                  <c:y val="3.3812341504649193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20A8-4C30-9BFE-D48CC40A8435}"/>
                </c:ext>
              </c:extLst>
            </c:dLbl>
            <c:numFmt formatCode="#,##0" sourceLinked="0"/>
            <c:spPr>
              <a:noFill/>
              <a:ln>
                <a:noFill/>
              </a:ln>
              <a:effectLst/>
            </c:spPr>
            <c:txPr>
              <a:bodyPr wrap="square" lIns="38100" tIns="19050" rIns="38100" bIns="19050" anchor="ctr">
                <a:spAutoFit/>
              </a:bodyPr>
              <a:lstStyle/>
              <a:p>
                <a:pPr>
                  <a:defRPr sz="800" b="0">
                    <a:solidFill>
                      <a:schemeClr val="tx1"/>
                    </a:solidFill>
                  </a:defRPr>
                </a:pPr>
                <a:endParaRPr lang="en-US"/>
              </a:p>
            </c:txPr>
            <c:dLblPos val="outEnd"/>
            <c:showVal val="1"/>
            <c:extLst xmlns:c16r2="http://schemas.microsoft.com/office/drawing/2015/06/chart">
              <c:ext xmlns:c15="http://schemas.microsoft.com/office/drawing/2012/chart" uri="{CE6537A1-D6FC-4f65-9D91-7224C49458BB}">
                <c15:showLeaderLines val="1"/>
              </c:ext>
            </c:extLst>
          </c:dLbls>
          <c:cat>
            <c:strRef>
              <c:f>Sheet1!$A$2:$A$8</c:f>
              <c:strCache>
                <c:ptCount val="3"/>
                <c:pt idx="0">
                  <c:v>9M.18</c:v>
                </c:pt>
                <c:pt idx="1">
                  <c:v>9M.19</c:v>
                </c:pt>
                <c:pt idx="2">
                  <c:v>9M.20</c:v>
                </c:pt>
              </c:strCache>
            </c:strRef>
          </c:cat>
          <c:val>
            <c:numRef>
              <c:f>Sheet1!$B$2:$B$8</c:f>
              <c:numCache>
                <c:formatCode>0</c:formatCode>
                <c:ptCount val="3"/>
                <c:pt idx="0">
                  <c:v>756</c:v>
                </c:pt>
                <c:pt idx="1">
                  <c:v>713</c:v>
                </c:pt>
                <c:pt idx="2">
                  <c:v>686</c:v>
                </c:pt>
              </c:numCache>
            </c:numRef>
          </c:val>
          <c:extLst xmlns:c16r2="http://schemas.microsoft.com/office/drawing/2015/06/chart">
            <c:ext xmlns:c16="http://schemas.microsoft.com/office/drawing/2014/chart" uri="{C3380CC4-5D6E-409C-BE32-E72D297353CC}">
              <c16:uniqueId val="{0000000B-20A8-4C30-9BFE-D48CC40A8435}"/>
            </c:ext>
          </c:extLst>
        </c:ser>
        <c:dLbls>
          <c:showVal val="1"/>
        </c:dLbls>
        <c:overlap val="-24"/>
        <c:axId val="262732032"/>
        <c:axId val="262443008"/>
      </c:barChart>
      <c:catAx>
        <c:axId val="262732032"/>
        <c:scaling>
          <c:orientation val="minMax"/>
        </c:scaling>
        <c:axPos val="b"/>
        <c:numFmt formatCode="General" sourceLinked="1"/>
        <c:majorTickMark val="none"/>
        <c:tickLblPos val="nextTo"/>
        <c:spPr>
          <a:ln w="6350">
            <a:solidFill>
              <a:schemeClr val="bg1"/>
            </a:solidFill>
            <a:prstDash val="solid"/>
          </a:ln>
        </c:spPr>
        <c:txPr>
          <a:bodyPr/>
          <a:lstStyle/>
          <a:p>
            <a:pPr algn="ctr">
              <a:defRPr lang="en-GB" sz="700" b="0" i="0" u="none" strike="noStrike" kern="1200" baseline="0">
                <a:solidFill>
                  <a:schemeClr val="bg2">
                    <a:lumMod val="25000"/>
                  </a:schemeClr>
                </a:solidFill>
                <a:latin typeface="+mn-lt"/>
                <a:ea typeface="+mn-ea"/>
                <a:cs typeface="+mn-cs"/>
              </a:defRPr>
            </a:pPr>
            <a:endParaRPr lang="en-US"/>
          </a:p>
        </c:txPr>
        <c:crossAx val="262443008"/>
        <c:crosses val="autoZero"/>
        <c:auto val="1"/>
        <c:lblAlgn val="ctr"/>
        <c:lblOffset val="100"/>
      </c:catAx>
      <c:valAx>
        <c:axId val="262443008"/>
        <c:scaling>
          <c:orientation val="minMax"/>
          <c:min val="150"/>
        </c:scaling>
        <c:delete val="1"/>
        <c:axPos val="l"/>
        <c:numFmt formatCode="0" sourceLinked="1"/>
        <c:tickLblPos val="none"/>
        <c:crossAx val="262732032"/>
        <c:crosses val="autoZero"/>
        <c:crossBetween val="between"/>
      </c:valAx>
      <c:spPr>
        <a:noFill/>
        <a:ln>
          <a:noFill/>
        </a:ln>
      </c:spPr>
    </c:plotArea>
    <c:plotVisOnly val="1"/>
    <c:dispBlanksAs val="gap"/>
  </c:chart>
  <c:spPr>
    <a:noFill/>
    <a:ln w="0">
      <a:noFill/>
    </a:ln>
  </c:spPr>
  <c:txPr>
    <a:bodyPr/>
    <a:lstStyle/>
    <a:p>
      <a:pPr>
        <a:defRPr sz="700">
          <a:latin typeface="+mj-lt"/>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9417416572928561E-2"/>
          <c:y val="0.15636995706662538"/>
          <c:w val="0.86960996154550618"/>
          <c:h val="0.71844953155690161"/>
        </c:manualLayout>
      </c:layout>
      <c:barChart>
        <c:barDir val="col"/>
        <c:grouping val="clustered"/>
        <c:ser>
          <c:idx val="0"/>
          <c:order val="0"/>
          <c:tx>
            <c:strRef>
              <c:f>Sheet1!$B$1</c:f>
              <c:strCache>
                <c:ptCount val="1"/>
                <c:pt idx="0">
                  <c:v>Series 2</c:v>
                </c:pt>
              </c:strCache>
            </c:strRef>
          </c:tx>
          <c:spPr>
            <a:solidFill>
              <a:srgbClr val="002060"/>
            </a:solidFill>
            <a:ln w="12700">
              <a:noFill/>
              <a:prstDash val="solid"/>
            </a:ln>
            <a:effectLst/>
          </c:spPr>
          <c:dPt>
            <c:idx val="2"/>
            <c:spPr>
              <a:solidFill>
                <a:srgbClr val="FFC000"/>
              </a:solidFill>
              <a:ln w="12700">
                <a:noFill/>
                <a:prstDash val="solid"/>
              </a:ln>
              <a:effectLst/>
            </c:spPr>
            <c:extLst xmlns:c16r2="http://schemas.microsoft.com/office/drawing/2015/06/chart">
              <c:ext xmlns:c16="http://schemas.microsoft.com/office/drawing/2014/chart" uri="{C3380CC4-5D6E-409C-BE32-E72D297353CC}">
                <c16:uniqueId val="{00000000-E396-44FE-B2B4-338B8D6A3F23}"/>
              </c:ext>
            </c:extLst>
          </c:dPt>
          <c:dLbls>
            <c:dLbl>
              <c:idx val="0"/>
              <c:layout>
                <c:manualLayout>
                  <c:x val="5.5663790704147094E-3"/>
                  <c:y val="2.5359256128486888E-2"/>
                </c:manualLayout>
              </c:layout>
              <c:tx>
                <c:rich>
                  <a:bodyPr/>
                  <a:lstStyle/>
                  <a:p>
                    <a:r>
                      <a:rPr lang="en-US"/>
                      <a:t>1.269</a:t>
                    </a:r>
                  </a:p>
                </c:rich>
              </c:tx>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E396-44FE-B2B4-338B8D6A3F23}"/>
                </c:ext>
              </c:extLst>
            </c:dLbl>
            <c:dLbl>
              <c:idx val="1"/>
              <c:layout>
                <c:manualLayout>
                  <c:x val="4.4815115236851719E-7"/>
                  <c:y val="2.113271344040572E-2"/>
                </c:manualLayout>
              </c:layout>
              <c:tx>
                <c:rich>
                  <a:bodyPr wrap="square" lIns="38100" tIns="19050" rIns="38100" bIns="19050" anchor="ctr">
                    <a:noAutofit/>
                  </a:bodyPr>
                  <a:lstStyle/>
                  <a:p>
                    <a:pPr>
                      <a:defRPr sz="800" b="0">
                        <a:solidFill>
                          <a:schemeClr val="tx1"/>
                        </a:solidFill>
                      </a:defRPr>
                    </a:pPr>
                    <a:r>
                      <a:rPr lang="en-US"/>
                      <a:t>1.299</a:t>
                    </a:r>
                  </a:p>
                </c:rich>
              </c:tx>
              <c:numFmt formatCode="#,##0" sourceLinked="0"/>
              <c:spPr>
                <a:noFill/>
                <a:ln>
                  <a:noFill/>
                </a:ln>
                <a:effectLst/>
              </c:spPr>
              <c:dLblPos val="outEnd"/>
              <c:showVal val="1"/>
              <c:extLst xmlns:c16r2="http://schemas.microsoft.com/office/drawing/2015/06/chart">
                <c:ext xmlns:c15="http://schemas.microsoft.com/office/drawing/2012/chart" uri="{CE6537A1-D6FC-4f65-9D91-7224C49458BB}">
                  <c15:layout>
                    <c:manualLayout>
                      <c:w val="0.18218599169127764"/>
                      <c:h val="8.9138118090268309E-2"/>
                    </c:manualLayout>
                  </c15:layout>
                </c:ext>
                <c:ext xmlns:c16="http://schemas.microsoft.com/office/drawing/2014/chart" uri="{C3380CC4-5D6E-409C-BE32-E72D297353CC}">
                  <c16:uniqueId val="{0000000A-E396-44FE-B2B4-338B8D6A3F23}"/>
                </c:ext>
              </c:extLst>
            </c:dLbl>
            <c:dLbl>
              <c:idx val="2"/>
              <c:layout>
                <c:manualLayout>
                  <c:x val="2.2407557610600114E-7"/>
                  <c:y val="2.5359256128486878E-2"/>
                </c:manualLayout>
              </c:layout>
              <c:tx>
                <c:rich>
                  <a:bodyPr wrap="square" lIns="38100" tIns="19050" rIns="38100" bIns="19050" anchor="ctr">
                    <a:noAutofit/>
                  </a:bodyPr>
                  <a:lstStyle/>
                  <a:p>
                    <a:pPr>
                      <a:defRPr sz="800" b="0">
                        <a:solidFill>
                          <a:schemeClr val="tx2"/>
                        </a:solidFill>
                      </a:defRPr>
                    </a:pPr>
                    <a:r>
                      <a:rPr lang="en-US" b="0">
                        <a:solidFill>
                          <a:schemeClr val="tx2"/>
                        </a:solidFill>
                      </a:rPr>
                      <a:t>1.339</a:t>
                    </a:r>
                  </a:p>
                </c:rich>
              </c:tx>
              <c:numFmt formatCode="#,##0" sourceLinked="0"/>
              <c:spPr>
                <a:noFill/>
                <a:ln>
                  <a:noFill/>
                </a:ln>
                <a:effectLst/>
              </c:spPr>
              <c:dLblPos val="outEnd"/>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17080295241979213"/>
                      <c:h val="0.11449737421875519"/>
                    </c:manualLayout>
                  </c15:layout>
                </c:ext>
                <c:ext xmlns:c16="http://schemas.microsoft.com/office/drawing/2014/chart" uri="{C3380CC4-5D6E-409C-BE32-E72D297353CC}">
                  <c16:uniqueId val="{00000000-E396-44FE-B2B4-338B8D6A3F23}"/>
                </c:ext>
              </c:extLst>
            </c:dLbl>
            <c:dLbl>
              <c:idx val="3"/>
              <c:layout>
                <c:manualLayout>
                  <c:x val="-1.0434332127233299E-16"/>
                  <c:y val="3.3812341504649193E-2"/>
                </c:manualLayout>
              </c:layout>
              <c:tx>
                <c:rich>
                  <a:bodyPr/>
                  <a:lstStyle/>
                  <a:p>
                    <a:fld id="{62419BC0-8783-468B-9029-E1A00A97C425}" type="VALUE">
                      <a:rPr lang="en-US" b="0">
                        <a:solidFill>
                          <a:schemeClr val="tx1"/>
                        </a:solidFill>
                      </a:rPr>
                      <a:pPr/>
                      <a:t>[VALUE]</a:t>
                    </a:fld>
                    <a:endParaRPr lang="el-G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E396-44FE-B2B4-338B8D6A3F23}"/>
                </c:ext>
              </c:extLst>
            </c:dLbl>
            <c:dLbl>
              <c:idx val="4"/>
              <c:layout>
                <c:manualLayout>
                  <c:x val="0"/>
                  <c:y val="2.535925612848686E-2"/>
                </c:manualLayout>
              </c:layout>
              <c:tx>
                <c:rich>
                  <a:bodyPr wrap="square" lIns="38100" tIns="19050" rIns="38100" bIns="19050" anchor="ctr">
                    <a:spAutoFit/>
                  </a:bodyPr>
                  <a:lstStyle/>
                  <a:p>
                    <a:pPr>
                      <a:defRPr sz="800" b="1">
                        <a:solidFill>
                          <a:srgbClr val="002060"/>
                        </a:solidFill>
                      </a:defRPr>
                    </a:pPr>
                    <a:fld id="{C8EF18D2-FE44-45C6-AF4A-6412305388EB}" type="VALUE">
                      <a:rPr lang="en-US" b="1">
                        <a:solidFill>
                          <a:srgbClr val="002060"/>
                        </a:solidFill>
                      </a:rPr>
                      <a:pPr>
                        <a:defRPr sz="800" b="1">
                          <a:solidFill>
                            <a:srgbClr val="002060"/>
                          </a:solidFill>
                        </a:defRPr>
                      </a:pPr>
                      <a:t>[VALUE]</a:t>
                    </a:fld>
                    <a:endParaRPr lang="el-GR"/>
                  </a:p>
                </c:rich>
              </c:tx>
              <c:numFmt formatCode="#,##0" sourceLinked="0"/>
              <c:spPr>
                <a:noFill/>
                <a:ln>
                  <a:noFill/>
                </a:ln>
                <a:effectLst/>
              </c:spPr>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E396-44FE-B2B4-338B8D6A3F23}"/>
                </c:ext>
              </c:extLst>
            </c:dLbl>
            <c:dLbl>
              <c:idx val="5"/>
              <c:layout>
                <c:manualLayout>
                  <c:x val="5.5663790704147094E-3"/>
                  <c:y val="2.5359256128486888E-2"/>
                </c:manualLayout>
              </c:layout>
              <c:tx>
                <c:rich>
                  <a:bodyPr/>
                  <a:lstStyle/>
                  <a:p>
                    <a:fld id="{AF711C50-0C61-4F2B-B7E2-FEF5E814FA8B}" type="VALUE">
                      <a:rPr lang="en-US">
                        <a:solidFill>
                          <a:schemeClr val="tx1"/>
                        </a:solidFill>
                      </a:rPr>
                      <a:pPr/>
                      <a:t>[VALUE]</a:t>
                    </a:fld>
                    <a:endParaRPr lang="el-G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E396-44FE-B2B4-338B8D6A3F23}"/>
                </c:ext>
              </c:extLst>
            </c:dLbl>
            <c:dLbl>
              <c:idx val="6"/>
              <c:layout>
                <c:manualLayout>
                  <c:x val="5.4414512926919132E-3"/>
                  <c:y val="3.381234150464925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396-44FE-B2B4-338B8D6A3F23}"/>
                </c:ext>
              </c:extLst>
            </c:dLbl>
            <c:dLbl>
              <c:idx val="7"/>
              <c:layout>
                <c:manualLayout>
                  <c:x val="-5.5663790704147094E-3"/>
                  <c:y val="3.381234150464925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396-44FE-B2B4-338B8D6A3F23}"/>
                </c:ext>
              </c:extLst>
            </c:dLbl>
            <c:dLbl>
              <c:idx val="8"/>
              <c:layout>
                <c:manualLayout>
                  <c:x val="5.5663790704147094E-3"/>
                  <c:y val="3.3812341504649193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396-44FE-B2B4-338B8D6A3F23}"/>
                </c:ext>
              </c:extLst>
            </c:dLbl>
            <c:numFmt formatCode="#,##0" sourceLinked="0"/>
            <c:spPr>
              <a:noFill/>
              <a:ln>
                <a:noFill/>
              </a:ln>
              <a:effectLst/>
            </c:spPr>
            <c:txPr>
              <a:bodyPr wrap="square" lIns="38100" tIns="19050" rIns="38100" bIns="19050" anchor="ctr">
                <a:spAutoFit/>
              </a:bodyPr>
              <a:lstStyle/>
              <a:p>
                <a:pPr>
                  <a:defRPr sz="800" b="0">
                    <a:solidFill>
                      <a:schemeClr val="tx1"/>
                    </a:solidFill>
                  </a:defRPr>
                </a:pPr>
                <a:endParaRPr lang="en-US"/>
              </a:p>
            </c:txPr>
            <c:dLblPos val="outEnd"/>
            <c:showVal val="1"/>
            <c:extLst xmlns:c16r2="http://schemas.microsoft.com/office/drawing/2015/06/chart">
              <c:ext xmlns:c15="http://schemas.microsoft.com/office/drawing/2012/chart" uri="{CE6537A1-D6FC-4f65-9D91-7224C49458BB}">
                <c15:showLeaderLines val="1"/>
              </c:ext>
            </c:extLst>
          </c:dLbls>
          <c:cat>
            <c:strRef>
              <c:f>Sheet1!$A$2:$A$8</c:f>
              <c:strCache>
                <c:ptCount val="3"/>
                <c:pt idx="0">
                  <c:v>9M.18</c:v>
                </c:pt>
                <c:pt idx="1">
                  <c:v>9M.19</c:v>
                </c:pt>
                <c:pt idx="2">
                  <c:v>9M.20</c:v>
                </c:pt>
              </c:strCache>
            </c:strRef>
          </c:cat>
          <c:val>
            <c:numRef>
              <c:f>Sheet1!$B$2:$B$8</c:f>
              <c:numCache>
                <c:formatCode>0</c:formatCode>
                <c:ptCount val="3"/>
                <c:pt idx="0">
                  <c:v>1269</c:v>
                </c:pt>
                <c:pt idx="1">
                  <c:v>1299</c:v>
                </c:pt>
                <c:pt idx="2">
                  <c:v>1339</c:v>
                </c:pt>
              </c:numCache>
            </c:numRef>
          </c:val>
          <c:extLst xmlns:c16r2="http://schemas.microsoft.com/office/drawing/2015/06/chart">
            <c:ext xmlns:c16="http://schemas.microsoft.com/office/drawing/2014/chart" uri="{C3380CC4-5D6E-409C-BE32-E72D297353CC}">
              <c16:uniqueId val="{0000000B-E396-44FE-B2B4-338B8D6A3F23}"/>
            </c:ext>
          </c:extLst>
        </c:ser>
        <c:dLbls>
          <c:showVal val="1"/>
        </c:dLbls>
        <c:overlap val="-24"/>
        <c:axId val="262865664"/>
        <c:axId val="262867200"/>
      </c:barChart>
      <c:catAx>
        <c:axId val="262865664"/>
        <c:scaling>
          <c:orientation val="minMax"/>
        </c:scaling>
        <c:axPos val="b"/>
        <c:numFmt formatCode="General" sourceLinked="1"/>
        <c:majorTickMark val="none"/>
        <c:tickLblPos val="nextTo"/>
        <c:spPr>
          <a:ln w="6350">
            <a:solidFill>
              <a:schemeClr val="bg1"/>
            </a:solidFill>
            <a:prstDash val="solid"/>
          </a:ln>
        </c:spPr>
        <c:txPr>
          <a:bodyPr/>
          <a:lstStyle/>
          <a:p>
            <a:pPr algn="ctr">
              <a:defRPr lang="en-GB" sz="700" b="0" i="0" u="none" strike="noStrike" kern="1200" baseline="0">
                <a:solidFill>
                  <a:schemeClr val="bg2">
                    <a:lumMod val="25000"/>
                  </a:schemeClr>
                </a:solidFill>
                <a:latin typeface="+mn-lt"/>
                <a:ea typeface="+mn-ea"/>
                <a:cs typeface="+mn-cs"/>
              </a:defRPr>
            </a:pPr>
            <a:endParaRPr lang="en-US"/>
          </a:p>
        </c:txPr>
        <c:crossAx val="262867200"/>
        <c:crosses val="autoZero"/>
        <c:auto val="1"/>
        <c:lblAlgn val="ctr"/>
        <c:lblOffset val="100"/>
      </c:catAx>
      <c:valAx>
        <c:axId val="262867200"/>
        <c:scaling>
          <c:orientation val="minMax"/>
          <c:min val="300"/>
        </c:scaling>
        <c:delete val="1"/>
        <c:axPos val="l"/>
        <c:numFmt formatCode="0" sourceLinked="1"/>
        <c:tickLblPos val="none"/>
        <c:crossAx val="262865664"/>
        <c:crosses val="autoZero"/>
        <c:crossBetween val="between"/>
      </c:valAx>
      <c:spPr>
        <a:noFill/>
        <a:ln>
          <a:noFill/>
        </a:ln>
      </c:spPr>
    </c:plotArea>
    <c:plotVisOnly val="1"/>
    <c:dispBlanksAs val="gap"/>
  </c:chart>
  <c:spPr>
    <a:noFill/>
    <a:ln w="0">
      <a:noFill/>
    </a:ln>
  </c:spPr>
  <c:txPr>
    <a:bodyPr/>
    <a:lstStyle/>
    <a:p>
      <a:pPr>
        <a:defRPr sz="700">
          <a:latin typeface="+mj-lt"/>
        </a:defRPr>
      </a:pPr>
      <a:endParaRPr lang="en-US"/>
    </a:p>
  </c:txPr>
  <c:externalData r:id="rId2"/>
</c:chartSpace>
</file>

<file path=word/theme/theme1.xml><?xml version="1.0" encoding="utf-8"?>
<a:theme xmlns:a="http://schemas.openxmlformats.org/drawingml/2006/main" name="Θέμα του Office">
  <a:themeElements>
    <a:clrScheme name="corporatecolors">
      <a:dk1>
        <a:sysClr val="windowText" lastClr="000000"/>
      </a:dk1>
      <a:lt1>
        <a:sysClr val="window" lastClr="FFFFFF"/>
      </a:lt1>
      <a:dk2>
        <a:srgbClr val="003C96"/>
      </a:dk2>
      <a:lt2>
        <a:srgbClr val="D9D9D9"/>
      </a:lt2>
      <a:accent1>
        <a:srgbClr val="3A73AE"/>
      </a:accent1>
      <a:accent2>
        <a:srgbClr val="D1AA70"/>
      </a:accent2>
      <a:accent3>
        <a:srgbClr val="464646"/>
      </a:accent3>
      <a:accent4>
        <a:srgbClr val="FAB414"/>
      </a:accent4>
      <a:accent5>
        <a:srgbClr val="FF0000"/>
      </a:accent5>
      <a:accent6>
        <a:srgbClr val="00B050"/>
      </a:accent6>
      <a:hlink>
        <a:srgbClr val="0070C0"/>
      </a:hlink>
      <a:folHlink>
        <a:srgbClr val="7030A0"/>
      </a:folHlink>
    </a:clrScheme>
    <a:fontScheme name="Piraeus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iraeus Bank">
    <a:dk1>
      <a:srgbClr val="3C3B2F"/>
    </a:dk1>
    <a:lt1>
      <a:srgbClr val="FFFFFF"/>
    </a:lt1>
    <a:dk2>
      <a:srgbClr val="FAB414"/>
    </a:dk2>
    <a:lt2>
      <a:srgbClr val="E6E6E1"/>
    </a:lt2>
    <a:accent1>
      <a:srgbClr val="DCDCD7"/>
    </a:accent1>
    <a:accent2>
      <a:srgbClr val="003C96"/>
    </a:accent2>
    <a:accent3>
      <a:srgbClr val="D1AA71"/>
    </a:accent3>
    <a:accent4>
      <a:srgbClr val="B84F3E"/>
    </a:accent4>
    <a:accent5>
      <a:srgbClr val="3A73AE"/>
    </a:accent5>
    <a:accent6>
      <a:srgbClr val="A4A96D"/>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iraeus Bank">
    <a:dk1>
      <a:srgbClr val="3C3B2F"/>
    </a:dk1>
    <a:lt1>
      <a:srgbClr val="FFFFFF"/>
    </a:lt1>
    <a:dk2>
      <a:srgbClr val="FAB414"/>
    </a:dk2>
    <a:lt2>
      <a:srgbClr val="E6E6E1"/>
    </a:lt2>
    <a:accent1>
      <a:srgbClr val="DCDCD7"/>
    </a:accent1>
    <a:accent2>
      <a:srgbClr val="003C96"/>
    </a:accent2>
    <a:accent3>
      <a:srgbClr val="D1AA71"/>
    </a:accent3>
    <a:accent4>
      <a:srgbClr val="B84F3E"/>
    </a:accent4>
    <a:accent5>
      <a:srgbClr val="3A73AE"/>
    </a:accent5>
    <a:accent6>
      <a:srgbClr val="A4A96D"/>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orporatecolors">
    <a:dk1>
      <a:sysClr val="windowText" lastClr="000000"/>
    </a:dk1>
    <a:lt1>
      <a:sysClr val="window" lastClr="FFFFFF"/>
    </a:lt1>
    <a:dk2>
      <a:srgbClr val="003C96"/>
    </a:dk2>
    <a:lt2>
      <a:srgbClr val="D9D9D9"/>
    </a:lt2>
    <a:accent1>
      <a:srgbClr val="3A73AE"/>
    </a:accent1>
    <a:accent2>
      <a:srgbClr val="D1AA70"/>
    </a:accent2>
    <a:accent3>
      <a:srgbClr val="464646"/>
    </a:accent3>
    <a:accent4>
      <a:srgbClr val="FAB414"/>
    </a:accent4>
    <a:accent5>
      <a:srgbClr val="FF0000"/>
    </a:accent5>
    <a:accent6>
      <a:srgbClr val="00B050"/>
    </a:accent6>
    <a:hlink>
      <a:srgbClr val="0070C0"/>
    </a:hlink>
    <a:folHlink>
      <a:srgbClr val="7030A0"/>
    </a:folHlink>
  </a:clrScheme>
  <a:fontScheme name="Piraeus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corporatecolors">
    <a:dk1>
      <a:sysClr val="windowText" lastClr="000000"/>
    </a:dk1>
    <a:lt1>
      <a:sysClr val="window" lastClr="FFFFFF"/>
    </a:lt1>
    <a:dk2>
      <a:srgbClr val="003C96"/>
    </a:dk2>
    <a:lt2>
      <a:srgbClr val="D9D9D9"/>
    </a:lt2>
    <a:accent1>
      <a:srgbClr val="3A73AE"/>
    </a:accent1>
    <a:accent2>
      <a:srgbClr val="D1AA70"/>
    </a:accent2>
    <a:accent3>
      <a:srgbClr val="464646"/>
    </a:accent3>
    <a:accent4>
      <a:srgbClr val="FAB414"/>
    </a:accent4>
    <a:accent5>
      <a:srgbClr val="FF0000"/>
    </a:accent5>
    <a:accent6>
      <a:srgbClr val="00B050"/>
    </a:accent6>
    <a:hlink>
      <a:srgbClr val="0070C0"/>
    </a:hlink>
    <a:folHlink>
      <a:srgbClr val="7030A0"/>
    </a:folHlink>
  </a:clrScheme>
  <a:fontScheme name="Piraeus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corporatecolors">
    <a:dk1>
      <a:sysClr val="windowText" lastClr="000000"/>
    </a:dk1>
    <a:lt1>
      <a:sysClr val="window" lastClr="FFFFFF"/>
    </a:lt1>
    <a:dk2>
      <a:srgbClr val="003C96"/>
    </a:dk2>
    <a:lt2>
      <a:srgbClr val="D9D9D9"/>
    </a:lt2>
    <a:accent1>
      <a:srgbClr val="3A73AE"/>
    </a:accent1>
    <a:accent2>
      <a:srgbClr val="D1AA70"/>
    </a:accent2>
    <a:accent3>
      <a:srgbClr val="464646"/>
    </a:accent3>
    <a:accent4>
      <a:srgbClr val="FAB414"/>
    </a:accent4>
    <a:accent5>
      <a:srgbClr val="FF0000"/>
    </a:accent5>
    <a:accent6>
      <a:srgbClr val="00B050"/>
    </a:accent6>
    <a:hlink>
      <a:srgbClr val="0070C0"/>
    </a:hlink>
    <a:folHlink>
      <a:srgbClr val="7030A0"/>
    </a:folHlink>
  </a:clrScheme>
  <a:fontScheme name="Piraeus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corporatecolors">
    <a:dk1>
      <a:sysClr val="windowText" lastClr="000000"/>
    </a:dk1>
    <a:lt1>
      <a:sysClr val="window" lastClr="FFFFFF"/>
    </a:lt1>
    <a:dk2>
      <a:srgbClr val="003C96"/>
    </a:dk2>
    <a:lt2>
      <a:srgbClr val="D9D9D9"/>
    </a:lt2>
    <a:accent1>
      <a:srgbClr val="3A73AE"/>
    </a:accent1>
    <a:accent2>
      <a:srgbClr val="D1AA70"/>
    </a:accent2>
    <a:accent3>
      <a:srgbClr val="464646"/>
    </a:accent3>
    <a:accent4>
      <a:srgbClr val="FAB414"/>
    </a:accent4>
    <a:accent5>
      <a:srgbClr val="FF0000"/>
    </a:accent5>
    <a:accent6>
      <a:srgbClr val="00B050"/>
    </a:accent6>
    <a:hlink>
      <a:srgbClr val="0070C0"/>
    </a:hlink>
    <a:folHlink>
      <a:srgbClr val="7030A0"/>
    </a:folHlink>
  </a:clrScheme>
  <a:fontScheme name="Piraeus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E579B13FAF247ABC28155753603E4" ma:contentTypeVersion="9" ma:contentTypeDescription="Create a new document." ma:contentTypeScope="" ma:versionID="528e67b42b1d3e74eb9fd0ff09ee86d9">
  <xsd:schema xmlns:xsd="http://www.w3.org/2001/XMLSchema" xmlns:xs="http://www.w3.org/2001/XMLSchema" xmlns:p="http://schemas.microsoft.com/office/2006/metadata/properties" xmlns:ns2="ab64be8f-a0a2-413a-81d2-c9001901314f" targetNamespace="http://schemas.microsoft.com/office/2006/metadata/properties" ma:root="true" ma:fieldsID="14f87bdfe59ed82dd52a036566dad4fe" ns2:_="">
    <xsd:import namespace="ab64be8f-a0a2-413a-81d2-c900190131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4be8f-a0a2-413a-81d2-c90019013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7407F-7CAB-4006-8147-D73B79D82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4be8f-a0a2-413a-81d2-c90019013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F8FE3-3DC8-4C91-961F-E6DDA9F001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41AAB0-8DE1-4361-B3D8-091A784C8ECF}">
  <ds:schemaRefs>
    <ds:schemaRef ds:uri="http://schemas.microsoft.com/sharepoint/v3/contenttype/forms"/>
  </ds:schemaRefs>
</ds:datastoreItem>
</file>

<file path=customXml/itemProps4.xml><?xml version="1.0" encoding="utf-8"?>
<ds:datastoreItem xmlns:ds="http://schemas.openxmlformats.org/officeDocument/2006/customXml" ds:itemID="{58914731-58ED-4AA5-9C54-3886E93D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4848</Words>
  <Characters>27639</Characters>
  <Application>Microsoft Office Word</Application>
  <DocSecurity>0</DocSecurity>
  <Lines>230</Lines>
  <Paragraphs>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Μπερμπάτη Χρυσάνθη</dc:creator>
  <cp:lastModifiedBy>User</cp:lastModifiedBy>
  <cp:revision>2</cp:revision>
  <cp:lastPrinted>2020-11-21T23:08:00Z</cp:lastPrinted>
  <dcterms:created xsi:type="dcterms:W3CDTF">2020-11-23T16:26:00Z</dcterms:created>
  <dcterms:modified xsi:type="dcterms:W3CDTF">2020-11-23T16:26:00Z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2056465934</vt:i4>
  </property>
  <property fmtid="{D5CDD505-2E9C-101B-9397-08002B2CF9AE}" pid="3" name="ContentTypeId">
    <vt:lpwstr>0x010100403E579B13FAF247ABC28155753603E4</vt:lpwstr>
  </property>
</Properties>
</file>