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32" w:rsidRPr="002320C6" w:rsidRDefault="00636E20" w:rsidP="001F63AF">
      <w:pPr>
        <w:tabs>
          <w:tab w:val="left" w:pos="142"/>
          <w:tab w:val="left" w:pos="567"/>
        </w:tabs>
        <w:spacing w:after="0"/>
        <w:rPr>
          <w:b/>
          <w:noProof/>
          <w:sz w:val="24"/>
          <w:szCs w:val="24"/>
        </w:rPr>
      </w:pPr>
      <w:r>
        <w:rPr>
          <w:b/>
          <w:noProof/>
          <w:sz w:val="24"/>
          <w:szCs w:val="24"/>
          <w:lang w:eastAsia="el-GR"/>
        </w:rPr>
        <w:drawing>
          <wp:inline distT="0" distB="0" distL="0" distR="0">
            <wp:extent cx="762000" cy="752475"/>
            <wp:effectExtent l="0" t="0" r="0" b="0"/>
            <wp:docPr id="1" name="Εικόνα 1" descr="Copy of ethosh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opy of ethoshmo"/>
                    <pic:cNvPicPr>
                      <a:picLocks noChangeAspect="1" noChangeArrowheads="1"/>
                    </pic:cNvPicPr>
                  </pic:nvPicPr>
                  <pic:blipFill>
                    <a:blip r:embed="rId7" cstate="print"/>
                    <a:srcRect/>
                    <a:stretch>
                      <a:fillRect/>
                    </a:stretch>
                  </pic:blipFill>
                  <pic:spPr bwMode="auto">
                    <a:xfrm>
                      <a:off x="0" y="0"/>
                      <a:ext cx="762000" cy="752475"/>
                    </a:xfrm>
                    <a:prstGeom prst="rect">
                      <a:avLst/>
                    </a:prstGeom>
                    <a:noFill/>
                    <a:ln w="9525">
                      <a:noFill/>
                      <a:miter lim="800000"/>
                      <a:headEnd/>
                      <a:tailEnd/>
                    </a:ln>
                  </pic:spPr>
                </pic:pic>
              </a:graphicData>
            </a:graphic>
          </wp:inline>
        </w:drawing>
      </w:r>
    </w:p>
    <w:p w:rsidR="00D77232" w:rsidRPr="00E21C0D" w:rsidRDefault="00D77232" w:rsidP="001F63AF">
      <w:pPr>
        <w:tabs>
          <w:tab w:val="left" w:pos="142"/>
          <w:tab w:val="left" w:pos="567"/>
        </w:tabs>
        <w:spacing w:after="0"/>
        <w:rPr>
          <w:noProof/>
          <w:sz w:val="24"/>
          <w:szCs w:val="24"/>
        </w:rPr>
      </w:pPr>
      <w:r w:rsidRPr="002320C6">
        <w:rPr>
          <w:b/>
          <w:noProof/>
          <w:sz w:val="24"/>
          <w:szCs w:val="24"/>
        </w:rPr>
        <w:t>ΕΛΛΗΝΙΚΗ ΔΗΜΟΚΡΑΤΙΑ</w:t>
      </w:r>
      <w:r w:rsidRPr="002320C6">
        <w:rPr>
          <w:b/>
          <w:noProof/>
          <w:sz w:val="24"/>
          <w:szCs w:val="24"/>
        </w:rPr>
        <w:tab/>
      </w:r>
      <w:r w:rsidRPr="002320C6">
        <w:rPr>
          <w:b/>
          <w:noProof/>
          <w:sz w:val="24"/>
          <w:szCs w:val="24"/>
        </w:rPr>
        <w:tab/>
      </w:r>
      <w:r w:rsidRPr="002320C6">
        <w:rPr>
          <w:b/>
          <w:noProof/>
          <w:sz w:val="24"/>
          <w:szCs w:val="24"/>
        </w:rPr>
        <w:tab/>
      </w:r>
      <w:r w:rsidRPr="002320C6">
        <w:rPr>
          <w:b/>
          <w:noProof/>
          <w:sz w:val="24"/>
          <w:szCs w:val="24"/>
        </w:rPr>
        <w:tab/>
        <w:t xml:space="preserve">       </w:t>
      </w:r>
      <w:r w:rsidRPr="002320C6">
        <w:rPr>
          <w:noProof/>
          <w:sz w:val="24"/>
          <w:szCs w:val="24"/>
        </w:rPr>
        <w:t xml:space="preserve">Αθήνα, </w:t>
      </w:r>
      <w:bookmarkStart w:id="0" w:name="PROTOCOL_DATE"/>
      <w:bookmarkEnd w:id="0"/>
      <w:r w:rsidR="00FC2492">
        <w:rPr>
          <w:noProof/>
          <w:sz w:val="24"/>
          <w:szCs w:val="24"/>
        </w:rPr>
        <w:t xml:space="preserve">     </w:t>
      </w:r>
      <w:r w:rsidR="004E0A81" w:rsidRPr="00E21C0D">
        <w:rPr>
          <w:noProof/>
          <w:sz w:val="24"/>
          <w:szCs w:val="24"/>
        </w:rPr>
        <w:t>/07/2015</w:t>
      </w:r>
    </w:p>
    <w:p w:rsidR="00D77232" w:rsidRPr="004E0A81" w:rsidRDefault="00D77232" w:rsidP="001F63AF">
      <w:pPr>
        <w:spacing w:after="0"/>
        <w:rPr>
          <w:sz w:val="24"/>
          <w:szCs w:val="24"/>
        </w:rPr>
      </w:pPr>
      <w:r w:rsidRPr="002320C6">
        <w:rPr>
          <w:b/>
          <w:sz w:val="24"/>
          <w:szCs w:val="24"/>
        </w:rPr>
        <w:t>ΥΠΟΥΡΓΕΙΟ ΟΙΚΟΝΟΜΙΚΩΝ</w:t>
      </w:r>
      <w:r w:rsidRPr="002320C6">
        <w:rPr>
          <w:sz w:val="24"/>
          <w:szCs w:val="24"/>
        </w:rPr>
        <w:t xml:space="preserve"> </w:t>
      </w:r>
      <w:r w:rsidRPr="002320C6">
        <w:rPr>
          <w:sz w:val="24"/>
          <w:szCs w:val="24"/>
        </w:rPr>
        <w:tab/>
      </w:r>
      <w:r w:rsidRPr="002320C6">
        <w:rPr>
          <w:sz w:val="24"/>
          <w:szCs w:val="24"/>
        </w:rPr>
        <w:tab/>
      </w:r>
      <w:r w:rsidRPr="002320C6">
        <w:rPr>
          <w:sz w:val="24"/>
          <w:szCs w:val="24"/>
        </w:rPr>
        <w:tab/>
      </w:r>
      <w:r w:rsidRPr="002320C6">
        <w:rPr>
          <w:sz w:val="24"/>
          <w:szCs w:val="24"/>
        </w:rPr>
        <w:tab/>
        <w:t xml:space="preserve">      Α.Π.:</w:t>
      </w:r>
      <w:bookmarkStart w:id="1" w:name="PROTOCOL"/>
      <w:bookmarkEnd w:id="1"/>
      <w:r w:rsidR="004E0A81">
        <w:rPr>
          <w:sz w:val="24"/>
          <w:szCs w:val="24"/>
        </w:rPr>
        <w:t>Γ.Δ.Ο.Π</w:t>
      </w:r>
      <w:r w:rsidR="004E0A81" w:rsidRPr="004E0A81">
        <w:rPr>
          <w:sz w:val="24"/>
          <w:szCs w:val="24"/>
        </w:rPr>
        <w:t>.</w:t>
      </w:r>
      <w:r w:rsidR="00C43C0E">
        <w:rPr>
          <w:sz w:val="24"/>
          <w:szCs w:val="24"/>
        </w:rPr>
        <w:t>000</w:t>
      </w:r>
      <w:r w:rsidR="00FC2492">
        <w:rPr>
          <w:sz w:val="24"/>
          <w:szCs w:val="24"/>
        </w:rPr>
        <w:t xml:space="preserve">         </w:t>
      </w:r>
      <w:r w:rsidR="004E0A81" w:rsidRPr="004E0A81">
        <w:rPr>
          <w:sz w:val="24"/>
          <w:szCs w:val="24"/>
        </w:rPr>
        <w:t>ΕΞ 2015</w:t>
      </w:r>
    </w:p>
    <w:p w:rsidR="00D77232" w:rsidRPr="00DB31FD" w:rsidRDefault="00D77232" w:rsidP="001F63AF">
      <w:pPr>
        <w:spacing w:after="0"/>
        <w:rPr>
          <w:sz w:val="24"/>
          <w:szCs w:val="24"/>
        </w:rPr>
      </w:pPr>
      <w:r w:rsidRPr="002320C6">
        <w:rPr>
          <w:sz w:val="24"/>
          <w:szCs w:val="24"/>
        </w:rPr>
        <w:t>ΓΕΝΙΚΗ ΔΙΕΥΘΥΝΣΗ ΟΙΚΟΝΟΜΙΚΗΣ ΠΟΛΙΤΙΚΗΣ</w:t>
      </w:r>
      <w:r w:rsidRPr="002320C6">
        <w:rPr>
          <w:sz w:val="24"/>
          <w:szCs w:val="24"/>
        </w:rPr>
        <w:tab/>
        <w:t xml:space="preserve">      </w:t>
      </w:r>
      <w:r w:rsidRPr="002320C6">
        <w:rPr>
          <w:sz w:val="24"/>
          <w:szCs w:val="24"/>
        </w:rPr>
        <w:tab/>
        <w:t xml:space="preserve">   /Χ.Π. </w:t>
      </w:r>
    </w:p>
    <w:p w:rsidR="00D77232" w:rsidRPr="00987D69" w:rsidRDefault="00D77232" w:rsidP="001F63AF">
      <w:pPr>
        <w:spacing w:after="0"/>
        <w:rPr>
          <w:sz w:val="24"/>
          <w:szCs w:val="24"/>
        </w:rPr>
      </w:pPr>
      <w:r w:rsidRPr="002320C6">
        <w:rPr>
          <w:sz w:val="24"/>
          <w:szCs w:val="24"/>
        </w:rPr>
        <w:t>ΔΙΕΥΘΥΝΣΗ ΧΡΗΜΑΤΟΟΙΚΟΝΟΜΙΚΗΣ ΠΟΛΙΤΙΚΗΣ</w:t>
      </w:r>
      <w:r w:rsidRPr="002320C6">
        <w:rPr>
          <w:sz w:val="24"/>
          <w:szCs w:val="24"/>
        </w:rPr>
        <w:tab/>
        <w:t xml:space="preserve">       Φ.Ε.Κ.:</w:t>
      </w:r>
      <w:r w:rsidR="00983F71" w:rsidRPr="002320C6">
        <w:rPr>
          <w:sz w:val="24"/>
          <w:szCs w:val="24"/>
        </w:rPr>
        <w:t xml:space="preserve"> </w:t>
      </w:r>
    </w:p>
    <w:p w:rsidR="00D77232" w:rsidRPr="002320C6" w:rsidRDefault="00D77232" w:rsidP="001F63AF">
      <w:pPr>
        <w:spacing w:after="0"/>
        <w:rPr>
          <w:sz w:val="24"/>
          <w:szCs w:val="24"/>
        </w:rPr>
      </w:pP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t xml:space="preserve">       Α.Δ.Α.: </w:t>
      </w:r>
    </w:p>
    <w:p w:rsidR="00D77232" w:rsidRPr="002320C6" w:rsidRDefault="00D77232" w:rsidP="001F63AF">
      <w:pPr>
        <w:spacing w:after="0"/>
        <w:rPr>
          <w:sz w:val="24"/>
          <w:szCs w:val="24"/>
        </w:rPr>
      </w:pP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p>
    <w:p w:rsidR="00D77232" w:rsidRPr="002320C6" w:rsidRDefault="00D77232" w:rsidP="001F63AF">
      <w:pPr>
        <w:spacing w:after="0"/>
        <w:rPr>
          <w:sz w:val="24"/>
          <w:szCs w:val="24"/>
        </w:rPr>
      </w:pP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r w:rsidRPr="002320C6">
        <w:rPr>
          <w:sz w:val="24"/>
          <w:szCs w:val="24"/>
        </w:rPr>
        <w:tab/>
      </w:r>
    </w:p>
    <w:p w:rsidR="00D77232" w:rsidRPr="00775428" w:rsidRDefault="00D77232" w:rsidP="001F63AF">
      <w:pPr>
        <w:spacing w:after="0"/>
        <w:jc w:val="center"/>
        <w:rPr>
          <w:rFonts w:ascii="Arial" w:hAnsi="Arial" w:cs="Arial"/>
          <w:b/>
          <w:sz w:val="24"/>
          <w:szCs w:val="24"/>
        </w:rPr>
      </w:pPr>
      <w:r w:rsidRPr="00775428">
        <w:rPr>
          <w:rFonts w:ascii="Arial" w:hAnsi="Arial" w:cs="Arial"/>
          <w:b/>
          <w:sz w:val="24"/>
          <w:szCs w:val="24"/>
        </w:rPr>
        <w:t>ΑΠΟΦΑΣΗ</w:t>
      </w:r>
    </w:p>
    <w:p w:rsidR="00D77232" w:rsidRPr="00775428" w:rsidRDefault="00D77232" w:rsidP="001F63AF">
      <w:pPr>
        <w:spacing w:after="0"/>
        <w:rPr>
          <w:rFonts w:ascii="Arial" w:hAnsi="Arial" w:cs="Arial"/>
          <w:sz w:val="24"/>
          <w:szCs w:val="24"/>
        </w:rPr>
      </w:pPr>
      <w:r w:rsidRPr="00775428">
        <w:rPr>
          <w:rFonts w:ascii="Arial" w:hAnsi="Arial" w:cs="Arial"/>
          <w:sz w:val="24"/>
          <w:szCs w:val="24"/>
        </w:rPr>
        <w:tab/>
      </w:r>
    </w:p>
    <w:p w:rsidR="00D77232" w:rsidRPr="00775428" w:rsidRDefault="00D77232" w:rsidP="001F63AF">
      <w:pPr>
        <w:jc w:val="center"/>
        <w:rPr>
          <w:rFonts w:ascii="Arial" w:hAnsi="Arial" w:cs="Arial"/>
          <w:b/>
          <w:sz w:val="24"/>
          <w:szCs w:val="24"/>
        </w:rPr>
      </w:pPr>
      <w:r w:rsidRPr="00775428">
        <w:rPr>
          <w:rFonts w:ascii="Arial" w:hAnsi="Arial" w:cs="Arial"/>
          <w:b/>
          <w:sz w:val="24"/>
          <w:szCs w:val="24"/>
        </w:rPr>
        <w:t>Ο ΥΠΟΥΡΓΟΣ ΟΙΚΟΝΟΜΙΚΩΝ</w:t>
      </w:r>
    </w:p>
    <w:p w:rsidR="00D77232" w:rsidRPr="00775428" w:rsidRDefault="00D77232" w:rsidP="001F63AF">
      <w:pPr>
        <w:ind w:left="851" w:hanging="851"/>
        <w:jc w:val="both"/>
        <w:rPr>
          <w:rFonts w:ascii="Arial" w:hAnsi="Arial" w:cs="Arial"/>
          <w:b/>
          <w:sz w:val="24"/>
          <w:szCs w:val="24"/>
        </w:rPr>
      </w:pPr>
      <w:r w:rsidRPr="00775428">
        <w:rPr>
          <w:rFonts w:ascii="Arial" w:hAnsi="Arial" w:cs="Arial"/>
          <w:b/>
          <w:sz w:val="24"/>
          <w:szCs w:val="24"/>
        </w:rPr>
        <w:t>Θέμα: «</w:t>
      </w:r>
      <w:r w:rsidR="00C62B83">
        <w:rPr>
          <w:rFonts w:ascii="Arial" w:hAnsi="Arial" w:cs="Arial"/>
          <w:b/>
          <w:sz w:val="24"/>
          <w:szCs w:val="24"/>
        </w:rPr>
        <w:t>Ά</w:t>
      </w:r>
      <w:r w:rsidR="00C62B83" w:rsidRPr="00C62B83">
        <w:rPr>
          <w:rFonts w:ascii="Arial" w:hAnsi="Arial" w:cs="Arial"/>
          <w:b/>
          <w:sz w:val="24"/>
          <w:szCs w:val="24"/>
        </w:rPr>
        <w:t>ρση περιορισμών της Π</w:t>
      </w:r>
      <w:r w:rsidR="00C62B83">
        <w:rPr>
          <w:rFonts w:ascii="Arial" w:hAnsi="Arial" w:cs="Arial"/>
          <w:b/>
          <w:sz w:val="24"/>
          <w:szCs w:val="24"/>
        </w:rPr>
        <w:t xml:space="preserve">ράξης </w:t>
      </w:r>
      <w:r w:rsidR="00C62B83" w:rsidRPr="00C62B83">
        <w:rPr>
          <w:rFonts w:ascii="Arial" w:hAnsi="Arial" w:cs="Arial"/>
          <w:b/>
          <w:sz w:val="24"/>
          <w:szCs w:val="24"/>
        </w:rPr>
        <w:t>Ν</w:t>
      </w:r>
      <w:r w:rsidR="00C62B83">
        <w:rPr>
          <w:rFonts w:ascii="Arial" w:hAnsi="Arial" w:cs="Arial"/>
          <w:b/>
          <w:sz w:val="24"/>
          <w:szCs w:val="24"/>
        </w:rPr>
        <w:t xml:space="preserve">ομοθετικού </w:t>
      </w:r>
      <w:r w:rsidR="00C62B83" w:rsidRPr="00C62B83">
        <w:rPr>
          <w:rFonts w:ascii="Arial" w:hAnsi="Arial" w:cs="Arial"/>
          <w:b/>
          <w:sz w:val="24"/>
          <w:szCs w:val="24"/>
        </w:rPr>
        <w:t>Π</w:t>
      </w:r>
      <w:r w:rsidR="00C62B83">
        <w:rPr>
          <w:rFonts w:ascii="Arial" w:hAnsi="Arial" w:cs="Arial"/>
          <w:b/>
          <w:sz w:val="24"/>
          <w:szCs w:val="24"/>
        </w:rPr>
        <w:t>εριεχομένου</w:t>
      </w:r>
      <w:r w:rsidR="00C62B83" w:rsidRPr="00C62B83">
        <w:rPr>
          <w:rFonts w:ascii="Arial" w:hAnsi="Arial" w:cs="Arial"/>
          <w:b/>
          <w:sz w:val="24"/>
          <w:szCs w:val="24"/>
        </w:rPr>
        <w:t xml:space="preserve"> της 18.7.2015 (Α΄84) για τη διενέργεια συναλλαγών στις ελληνικές οργανωμένες αγορές επί χρηματοπιστωτικών μέσων</w:t>
      </w:r>
      <w:r w:rsidRPr="00775428">
        <w:rPr>
          <w:rFonts w:ascii="Arial" w:hAnsi="Arial" w:cs="Arial"/>
          <w:b/>
          <w:sz w:val="24"/>
          <w:szCs w:val="24"/>
        </w:rPr>
        <w:t xml:space="preserve">» </w:t>
      </w:r>
    </w:p>
    <w:p w:rsidR="00BC3D38" w:rsidRPr="00775428" w:rsidRDefault="001A02E2" w:rsidP="001F63AF">
      <w:pPr>
        <w:jc w:val="both"/>
        <w:rPr>
          <w:rFonts w:ascii="Arial" w:hAnsi="Arial" w:cs="Arial"/>
          <w:sz w:val="24"/>
          <w:szCs w:val="24"/>
        </w:rPr>
      </w:pPr>
      <w:r w:rsidRPr="00775428">
        <w:rPr>
          <w:rFonts w:ascii="Arial" w:hAnsi="Arial" w:cs="Arial"/>
          <w:sz w:val="24"/>
          <w:szCs w:val="24"/>
        </w:rPr>
        <w:t>Έχοντας υπόψη:</w:t>
      </w:r>
    </w:p>
    <w:p w:rsidR="00D77232" w:rsidRPr="00775428" w:rsidRDefault="00D77232" w:rsidP="001F63AF">
      <w:pPr>
        <w:numPr>
          <w:ilvl w:val="0"/>
          <w:numId w:val="1"/>
        </w:numPr>
        <w:spacing w:after="0"/>
        <w:jc w:val="both"/>
        <w:rPr>
          <w:rFonts w:ascii="Arial" w:hAnsi="Arial" w:cs="Arial"/>
          <w:sz w:val="24"/>
          <w:szCs w:val="24"/>
        </w:rPr>
      </w:pPr>
      <w:r w:rsidRPr="00775428">
        <w:rPr>
          <w:rFonts w:ascii="Arial" w:hAnsi="Arial" w:cs="Arial"/>
          <w:sz w:val="24"/>
          <w:szCs w:val="24"/>
        </w:rPr>
        <w:t>Τις διατάξεις:</w:t>
      </w:r>
      <w:r w:rsidRPr="00775428">
        <w:rPr>
          <w:rFonts w:ascii="Arial" w:hAnsi="Arial" w:cs="Arial"/>
          <w:sz w:val="24"/>
          <w:szCs w:val="24"/>
        </w:rPr>
        <w:tab/>
      </w:r>
    </w:p>
    <w:p w:rsidR="00D77232" w:rsidRPr="00775428" w:rsidRDefault="00D77232" w:rsidP="001F63AF">
      <w:pPr>
        <w:spacing w:after="0"/>
        <w:ind w:left="709"/>
        <w:jc w:val="both"/>
        <w:rPr>
          <w:rFonts w:ascii="Arial" w:hAnsi="Arial" w:cs="Arial"/>
          <w:sz w:val="24"/>
          <w:szCs w:val="24"/>
        </w:rPr>
      </w:pPr>
      <w:r w:rsidRPr="00775428">
        <w:rPr>
          <w:rFonts w:ascii="Arial" w:hAnsi="Arial" w:cs="Arial"/>
          <w:sz w:val="24"/>
          <w:szCs w:val="24"/>
        </w:rPr>
        <w:t>α.</w:t>
      </w:r>
      <w:r w:rsidRPr="00775428">
        <w:rPr>
          <w:rFonts w:ascii="Arial" w:eastAsia="Arial" w:hAnsi="Arial" w:cs="Arial"/>
          <w:sz w:val="24"/>
          <w:szCs w:val="24"/>
        </w:rPr>
        <w:t xml:space="preserve"> </w:t>
      </w:r>
      <w:r w:rsidRPr="00775428">
        <w:rPr>
          <w:rFonts w:ascii="Arial" w:hAnsi="Arial" w:cs="Arial"/>
          <w:sz w:val="24"/>
          <w:szCs w:val="24"/>
        </w:rPr>
        <w:t xml:space="preserve"> </w:t>
      </w:r>
      <w:r w:rsidR="00714B37">
        <w:rPr>
          <w:rFonts w:ascii="Arial" w:hAnsi="Arial" w:cs="Arial"/>
          <w:sz w:val="24"/>
          <w:szCs w:val="24"/>
        </w:rPr>
        <w:t>των παραγράφων</w:t>
      </w:r>
      <w:r w:rsidR="009339D5">
        <w:rPr>
          <w:rFonts w:ascii="Arial" w:hAnsi="Arial" w:cs="Arial"/>
          <w:sz w:val="24"/>
          <w:szCs w:val="24"/>
        </w:rPr>
        <w:t xml:space="preserve"> 10</w:t>
      </w:r>
      <w:r w:rsidR="00086C5A" w:rsidRPr="00086C5A">
        <w:rPr>
          <w:rFonts w:ascii="Arial" w:hAnsi="Arial" w:cs="Arial"/>
          <w:sz w:val="24"/>
          <w:szCs w:val="24"/>
        </w:rPr>
        <w:t xml:space="preserve"> </w:t>
      </w:r>
      <w:r w:rsidR="00714B37">
        <w:rPr>
          <w:rFonts w:ascii="Arial" w:hAnsi="Arial" w:cs="Arial"/>
          <w:sz w:val="24"/>
          <w:szCs w:val="24"/>
        </w:rPr>
        <w:t xml:space="preserve">και 18 </w:t>
      </w:r>
      <w:r w:rsidR="00086C5A" w:rsidRPr="00086C5A">
        <w:rPr>
          <w:rFonts w:ascii="Arial" w:hAnsi="Arial" w:cs="Arial"/>
          <w:sz w:val="24"/>
          <w:szCs w:val="24"/>
        </w:rPr>
        <w:t>του άρθρου πρώτου της Πράξης Νομοθετικού Περιεχομένου της 18ης Ιουλίου 2015 «Επείγουσες ρυθμίσεις για τη θέσπιση περιορισμών στην ανάληψη μετρητών και τη μεταφορά κεφαλαίων και τις τροποποιήσεις των νόμων 4063/2012, 4172/2013, 4331/2015 και 4334/2015» (Α’84)</w:t>
      </w:r>
      <w:r w:rsidRPr="00775428">
        <w:rPr>
          <w:rFonts w:ascii="Arial" w:hAnsi="Arial" w:cs="Arial"/>
          <w:sz w:val="24"/>
          <w:szCs w:val="24"/>
        </w:rPr>
        <w:t>,</w:t>
      </w:r>
    </w:p>
    <w:p w:rsidR="00D77232" w:rsidRPr="00775428" w:rsidRDefault="00D77232" w:rsidP="001F63AF">
      <w:pPr>
        <w:spacing w:after="0"/>
        <w:ind w:left="709"/>
        <w:jc w:val="both"/>
        <w:rPr>
          <w:rFonts w:ascii="Arial" w:hAnsi="Arial" w:cs="Arial"/>
          <w:sz w:val="24"/>
          <w:szCs w:val="24"/>
        </w:rPr>
      </w:pPr>
      <w:r w:rsidRPr="00775428">
        <w:rPr>
          <w:rFonts w:ascii="Arial" w:hAnsi="Arial" w:cs="Arial"/>
          <w:sz w:val="24"/>
          <w:szCs w:val="24"/>
        </w:rPr>
        <w:t xml:space="preserve">β. </w:t>
      </w:r>
      <w:r w:rsidRPr="00775428">
        <w:rPr>
          <w:rFonts w:ascii="Arial" w:eastAsia="Arial" w:hAnsi="Arial" w:cs="Arial"/>
          <w:sz w:val="24"/>
          <w:szCs w:val="24"/>
        </w:rPr>
        <w:t xml:space="preserve">του </w:t>
      </w:r>
      <w:proofErr w:type="spellStart"/>
      <w:r w:rsidRPr="00775428">
        <w:rPr>
          <w:rFonts w:ascii="Arial" w:eastAsia="Arial" w:hAnsi="Arial" w:cs="Arial"/>
          <w:sz w:val="24"/>
          <w:szCs w:val="24"/>
        </w:rPr>
        <w:t>π.δ</w:t>
      </w:r>
      <w:proofErr w:type="spellEnd"/>
      <w:r w:rsidRPr="00775428">
        <w:rPr>
          <w:rFonts w:ascii="Arial" w:eastAsia="Arial" w:hAnsi="Arial" w:cs="Arial"/>
          <w:sz w:val="24"/>
          <w:szCs w:val="24"/>
        </w:rPr>
        <w:t>. 111/2014 «Οργανισμός Υπουργείου Οικονομικών» (Α’ 178), όπως ισχύει,</w:t>
      </w:r>
    </w:p>
    <w:p w:rsidR="00F60F7A" w:rsidRPr="00775428" w:rsidRDefault="007654C8" w:rsidP="001F63AF">
      <w:pPr>
        <w:spacing w:after="0"/>
        <w:ind w:left="709"/>
        <w:jc w:val="both"/>
        <w:rPr>
          <w:rFonts w:ascii="Arial" w:eastAsia="Arial" w:hAnsi="Arial" w:cs="Arial"/>
          <w:sz w:val="24"/>
          <w:szCs w:val="24"/>
        </w:rPr>
      </w:pPr>
      <w:r w:rsidRPr="00775428">
        <w:rPr>
          <w:rFonts w:ascii="Arial" w:eastAsia="Arial" w:hAnsi="Arial" w:cs="Arial"/>
          <w:sz w:val="24"/>
          <w:szCs w:val="24"/>
        </w:rPr>
        <w:t>δ. του</w:t>
      </w:r>
      <w:r w:rsidR="00F60F7A" w:rsidRPr="00775428">
        <w:rPr>
          <w:rFonts w:ascii="Arial" w:eastAsia="Arial" w:hAnsi="Arial" w:cs="Arial"/>
          <w:sz w:val="24"/>
          <w:szCs w:val="24"/>
        </w:rPr>
        <w:t xml:space="preserve"> </w:t>
      </w:r>
      <w:proofErr w:type="spellStart"/>
      <w:r w:rsidR="00224790">
        <w:rPr>
          <w:rFonts w:ascii="Arial" w:eastAsia="Arial" w:hAnsi="Arial" w:cs="Arial"/>
          <w:sz w:val="24"/>
          <w:szCs w:val="24"/>
        </w:rPr>
        <w:t>π.δ</w:t>
      </w:r>
      <w:proofErr w:type="spellEnd"/>
      <w:r w:rsidR="00224790">
        <w:rPr>
          <w:rFonts w:ascii="Arial" w:eastAsia="Arial" w:hAnsi="Arial" w:cs="Arial"/>
          <w:sz w:val="24"/>
          <w:szCs w:val="24"/>
        </w:rPr>
        <w:t xml:space="preserve">. </w:t>
      </w:r>
      <w:r w:rsidR="00F60F7A" w:rsidRPr="00775428">
        <w:rPr>
          <w:rFonts w:ascii="Arial" w:eastAsia="Arial" w:hAnsi="Arial" w:cs="Arial"/>
          <w:sz w:val="24"/>
          <w:szCs w:val="24"/>
        </w:rPr>
        <w:t>45/2015 «Διορισμός Υπουργού Οικονομικών» (Α΄73),</w:t>
      </w:r>
    </w:p>
    <w:p w:rsidR="00F60F7A" w:rsidRPr="00775428" w:rsidRDefault="00F60F7A" w:rsidP="001F63AF">
      <w:pPr>
        <w:spacing w:after="0"/>
        <w:ind w:left="709"/>
        <w:jc w:val="both"/>
        <w:rPr>
          <w:rFonts w:ascii="Arial" w:eastAsia="Arial" w:hAnsi="Arial" w:cs="Arial"/>
          <w:sz w:val="24"/>
          <w:szCs w:val="24"/>
        </w:rPr>
      </w:pPr>
      <w:r w:rsidRPr="00775428">
        <w:rPr>
          <w:rFonts w:ascii="Arial" w:eastAsia="Arial" w:hAnsi="Arial" w:cs="Arial"/>
          <w:sz w:val="24"/>
          <w:szCs w:val="24"/>
        </w:rPr>
        <w:t xml:space="preserve">ε. του άρθρου 90 του </w:t>
      </w:r>
      <w:proofErr w:type="spellStart"/>
      <w:r w:rsidRPr="00775428">
        <w:rPr>
          <w:rFonts w:ascii="Arial" w:eastAsia="Arial" w:hAnsi="Arial" w:cs="Arial"/>
          <w:sz w:val="24"/>
          <w:szCs w:val="24"/>
        </w:rPr>
        <w:t>π.δ</w:t>
      </w:r>
      <w:proofErr w:type="spellEnd"/>
      <w:r w:rsidRPr="00775428">
        <w:rPr>
          <w:rFonts w:ascii="Arial" w:eastAsia="Arial" w:hAnsi="Arial" w:cs="Arial"/>
          <w:sz w:val="24"/>
          <w:szCs w:val="24"/>
        </w:rPr>
        <w:t>. 63/2005 «Κωδικοποίηση της Νομοθεσίας για την  Κυβέρνηση κ</w:t>
      </w:r>
      <w:r w:rsidR="00086C5A">
        <w:rPr>
          <w:rFonts w:ascii="Arial" w:eastAsia="Arial" w:hAnsi="Arial" w:cs="Arial"/>
          <w:sz w:val="24"/>
          <w:szCs w:val="24"/>
        </w:rPr>
        <w:t>αι τα Κυβερνητικά Όργανα» (Α΄98</w:t>
      </w:r>
      <w:r w:rsidRPr="00775428">
        <w:rPr>
          <w:rFonts w:ascii="Arial" w:eastAsia="Arial" w:hAnsi="Arial" w:cs="Arial"/>
          <w:sz w:val="24"/>
          <w:szCs w:val="24"/>
        </w:rPr>
        <w:t>)</w:t>
      </w:r>
      <w:r w:rsidR="00086C5A">
        <w:rPr>
          <w:rFonts w:ascii="Arial" w:eastAsia="Arial" w:hAnsi="Arial" w:cs="Arial"/>
          <w:sz w:val="24"/>
          <w:szCs w:val="24"/>
        </w:rPr>
        <w:t>.</w:t>
      </w:r>
    </w:p>
    <w:p w:rsidR="00D77232" w:rsidRDefault="00086C5A" w:rsidP="001F63AF">
      <w:pPr>
        <w:numPr>
          <w:ilvl w:val="0"/>
          <w:numId w:val="1"/>
        </w:numPr>
        <w:spacing w:after="0"/>
        <w:jc w:val="both"/>
        <w:rPr>
          <w:rFonts w:ascii="Arial" w:hAnsi="Arial" w:cs="Arial"/>
          <w:sz w:val="24"/>
          <w:szCs w:val="24"/>
        </w:rPr>
      </w:pPr>
      <w:r w:rsidRPr="00086C5A">
        <w:rPr>
          <w:rFonts w:ascii="Arial" w:hAnsi="Arial" w:cs="Arial"/>
          <w:sz w:val="24"/>
          <w:szCs w:val="24"/>
        </w:rPr>
        <w:t xml:space="preserve">Την ανάγκη να τροποποιηθούν περιορισμοί και απαγορεύσεις συναλλαγών και πράξεων που προβλέπονται στο άρθρο πρώτο της  από 18 Ιουλίου 2015 Πράξης </w:t>
      </w:r>
      <w:r>
        <w:rPr>
          <w:rFonts w:ascii="Arial" w:hAnsi="Arial" w:cs="Arial"/>
          <w:sz w:val="24"/>
          <w:szCs w:val="24"/>
        </w:rPr>
        <w:t>Νομοθετικού Περιεχομένου (Α’84)</w:t>
      </w:r>
      <w:r w:rsidR="00F60F7A" w:rsidRPr="00775428">
        <w:rPr>
          <w:rFonts w:ascii="Arial" w:hAnsi="Arial" w:cs="Arial"/>
          <w:sz w:val="24"/>
          <w:szCs w:val="24"/>
        </w:rPr>
        <w:t>.</w:t>
      </w:r>
    </w:p>
    <w:p w:rsidR="00FC2492" w:rsidRDefault="00FC2492" w:rsidP="001F63AF">
      <w:pPr>
        <w:numPr>
          <w:ilvl w:val="0"/>
          <w:numId w:val="1"/>
        </w:numPr>
        <w:spacing w:after="0"/>
        <w:jc w:val="both"/>
        <w:rPr>
          <w:rFonts w:ascii="Arial" w:hAnsi="Arial" w:cs="Arial"/>
          <w:sz w:val="24"/>
          <w:szCs w:val="24"/>
        </w:rPr>
      </w:pPr>
      <w:r>
        <w:rPr>
          <w:rFonts w:ascii="Arial" w:hAnsi="Arial" w:cs="Arial"/>
          <w:sz w:val="24"/>
          <w:szCs w:val="24"/>
        </w:rPr>
        <w:t xml:space="preserve">Την </w:t>
      </w:r>
      <w:r w:rsidR="003D55C2">
        <w:rPr>
          <w:rFonts w:ascii="Arial" w:hAnsi="Arial" w:cs="Arial"/>
          <w:sz w:val="24"/>
          <w:szCs w:val="24"/>
        </w:rPr>
        <w:t>από 3</w:t>
      </w:r>
      <w:r w:rsidR="00142116">
        <w:rPr>
          <w:rFonts w:ascii="Arial" w:hAnsi="Arial" w:cs="Arial"/>
          <w:sz w:val="24"/>
          <w:szCs w:val="24"/>
        </w:rPr>
        <w:t>1</w:t>
      </w:r>
      <w:r w:rsidR="003D55C2">
        <w:rPr>
          <w:rFonts w:ascii="Arial" w:hAnsi="Arial" w:cs="Arial"/>
          <w:sz w:val="24"/>
          <w:szCs w:val="24"/>
        </w:rPr>
        <w:t xml:space="preserve">/07/2015 </w:t>
      </w:r>
      <w:r>
        <w:rPr>
          <w:rFonts w:ascii="Arial" w:hAnsi="Arial" w:cs="Arial"/>
          <w:sz w:val="24"/>
          <w:szCs w:val="24"/>
        </w:rPr>
        <w:t>εισήγηση της Τράπεζας της Ελλάδος.</w:t>
      </w:r>
    </w:p>
    <w:p w:rsidR="00FC2492" w:rsidRPr="00775428" w:rsidRDefault="00FC2492" w:rsidP="001F63AF">
      <w:pPr>
        <w:numPr>
          <w:ilvl w:val="0"/>
          <w:numId w:val="1"/>
        </w:numPr>
        <w:spacing w:after="0"/>
        <w:jc w:val="both"/>
        <w:rPr>
          <w:rFonts w:ascii="Arial" w:hAnsi="Arial" w:cs="Arial"/>
          <w:sz w:val="24"/>
          <w:szCs w:val="24"/>
        </w:rPr>
      </w:pPr>
      <w:r>
        <w:rPr>
          <w:rFonts w:ascii="Arial" w:hAnsi="Arial" w:cs="Arial"/>
          <w:sz w:val="24"/>
          <w:szCs w:val="24"/>
        </w:rPr>
        <w:t xml:space="preserve">Την </w:t>
      </w:r>
      <w:r w:rsidR="003D55C2">
        <w:rPr>
          <w:rFonts w:ascii="Arial" w:hAnsi="Arial" w:cs="Arial"/>
          <w:sz w:val="24"/>
          <w:szCs w:val="24"/>
        </w:rPr>
        <w:t xml:space="preserve">από 30/07/2015 </w:t>
      </w:r>
      <w:r>
        <w:rPr>
          <w:rFonts w:ascii="Arial" w:hAnsi="Arial" w:cs="Arial"/>
          <w:sz w:val="24"/>
          <w:szCs w:val="24"/>
        </w:rPr>
        <w:t>εισήγηση τ</w:t>
      </w:r>
      <w:r w:rsidR="00856D9E">
        <w:rPr>
          <w:rFonts w:ascii="Arial" w:hAnsi="Arial" w:cs="Arial"/>
          <w:sz w:val="24"/>
          <w:szCs w:val="24"/>
        </w:rPr>
        <w:t>ου Διοικητικού Συμβουλίου της</w:t>
      </w:r>
      <w:r>
        <w:rPr>
          <w:rFonts w:ascii="Arial" w:hAnsi="Arial" w:cs="Arial"/>
          <w:sz w:val="24"/>
          <w:szCs w:val="24"/>
        </w:rPr>
        <w:t xml:space="preserve"> Επιτροπής Κεφαλαιαγοράς.</w:t>
      </w:r>
    </w:p>
    <w:p w:rsidR="00381756" w:rsidRDefault="00144841" w:rsidP="00381756">
      <w:pPr>
        <w:numPr>
          <w:ilvl w:val="0"/>
          <w:numId w:val="1"/>
        </w:numPr>
        <w:spacing w:after="0"/>
        <w:jc w:val="both"/>
        <w:rPr>
          <w:rFonts w:ascii="Arial" w:hAnsi="Arial" w:cs="Arial"/>
          <w:sz w:val="24"/>
          <w:szCs w:val="24"/>
        </w:rPr>
      </w:pPr>
      <w:r w:rsidRPr="00775428">
        <w:rPr>
          <w:rFonts w:ascii="Arial" w:hAnsi="Arial" w:cs="Arial"/>
          <w:sz w:val="24"/>
          <w:szCs w:val="24"/>
        </w:rPr>
        <w:t xml:space="preserve">Την εισήγηση του Συμβουλίου </w:t>
      </w:r>
      <w:proofErr w:type="spellStart"/>
      <w:r w:rsidRPr="00775428">
        <w:rPr>
          <w:rFonts w:ascii="Arial" w:hAnsi="Arial" w:cs="Arial"/>
          <w:sz w:val="24"/>
          <w:szCs w:val="24"/>
        </w:rPr>
        <w:t>Συστημικής</w:t>
      </w:r>
      <w:proofErr w:type="spellEnd"/>
      <w:r w:rsidRPr="00775428">
        <w:rPr>
          <w:rFonts w:ascii="Arial" w:hAnsi="Arial" w:cs="Arial"/>
          <w:sz w:val="24"/>
          <w:szCs w:val="24"/>
        </w:rPr>
        <w:t xml:space="preserve"> Ευστάθειας.</w:t>
      </w:r>
    </w:p>
    <w:p w:rsidR="001A02E2" w:rsidRPr="00381756" w:rsidRDefault="004408D5" w:rsidP="00775428">
      <w:pPr>
        <w:numPr>
          <w:ilvl w:val="0"/>
          <w:numId w:val="1"/>
        </w:numPr>
        <w:spacing w:after="0"/>
        <w:jc w:val="both"/>
        <w:rPr>
          <w:rFonts w:ascii="Arial" w:hAnsi="Arial" w:cs="Arial"/>
          <w:sz w:val="24"/>
          <w:szCs w:val="24"/>
        </w:rPr>
      </w:pPr>
      <w:r w:rsidRPr="00381756">
        <w:rPr>
          <w:rFonts w:ascii="Arial" w:hAnsi="Arial" w:cs="Arial"/>
          <w:sz w:val="24"/>
          <w:szCs w:val="24"/>
        </w:rPr>
        <w:t>Τ</w:t>
      </w:r>
      <w:r w:rsidR="001A02E2" w:rsidRPr="00381756">
        <w:rPr>
          <w:rFonts w:ascii="Arial" w:hAnsi="Arial" w:cs="Arial"/>
          <w:sz w:val="24"/>
          <w:szCs w:val="24"/>
        </w:rPr>
        <w:t>ο γεγονός ότι από την παρούσα δεν προκαλείται δαπάνη σε βάρος του κρατικού προϋπολογισμού</w:t>
      </w:r>
      <w:r w:rsidR="00144841" w:rsidRPr="00381756">
        <w:rPr>
          <w:rFonts w:ascii="Arial" w:hAnsi="Arial" w:cs="Arial"/>
          <w:sz w:val="24"/>
          <w:szCs w:val="24"/>
        </w:rPr>
        <w:t>.</w:t>
      </w:r>
    </w:p>
    <w:p w:rsidR="00D945F9" w:rsidRPr="00775428" w:rsidRDefault="00D945F9" w:rsidP="001F63AF">
      <w:pPr>
        <w:ind w:left="2880"/>
        <w:rPr>
          <w:rFonts w:ascii="Arial" w:hAnsi="Arial" w:cs="Arial"/>
          <w:b/>
          <w:sz w:val="24"/>
          <w:szCs w:val="24"/>
        </w:rPr>
      </w:pPr>
    </w:p>
    <w:p w:rsidR="00D945F9" w:rsidRPr="00775428" w:rsidRDefault="001A02E2" w:rsidP="001F63AF">
      <w:pPr>
        <w:jc w:val="center"/>
        <w:rPr>
          <w:rFonts w:ascii="Arial" w:hAnsi="Arial" w:cs="Arial"/>
          <w:b/>
          <w:sz w:val="24"/>
          <w:szCs w:val="24"/>
        </w:rPr>
      </w:pPr>
      <w:r w:rsidRPr="00775428">
        <w:rPr>
          <w:rFonts w:ascii="Arial" w:hAnsi="Arial" w:cs="Arial"/>
          <w:b/>
          <w:sz w:val="24"/>
          <w:szCs w:val="24"/>
        </w:rPr>
        <w:t>ΑΠΟΦΑΣΙΖΟΥΜΕ</w:t>
      </w:r>
    </w:p>
    <w:p w:rsidR="009231A1" w:rsidRDefault="009231A1" w:rsidP="006622D3">
      <w:pPr>
        <w:pStyle w:val="-HTML"/>
        <w:shd w:val="clear" w:color="auto" w:fill="FFFFFF"/>
        <w:tabs>
          <w:tab w:val="left" w:pos="426"/>
          <w:tab w:val="left" w:pos="1418"/>
          <w:tab w:val="left" w:pos="8505"/>
          <w:tab w:val="left" w:pos="9214"/>
        </w:tabs>
        <w:ind w:right="96"/>
        <w:jc w:val="center"/>
        <w:rPr>
          <w:rFonts w:ascii="Arial" w:hAnsi="Arial" w:cs="Arial"/>
          <w:color w:val="000000"/>
          <w:sz w:val="24"/>
          <w:szCs w:val="24"/>
        </w:rPr>
      </w:pPr>
      <w:r>
        <w:rPr>
          <w:rFonts w:ascii="Arial" w:hAnsi="Arial" w:cs="Arial"/>
          <w:color w:val="000000"/>
          <w:sz w:val="24"/>
          <w:szCs w:val="24"/>
        </w:rPr>
        <w:t>Άρθρο 1</w:t>
      </w:r>
    </w:p>
    <w:p w:rsidR="009231A1" w:rsidRDefault="009231A1"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lastRenderedPageBreak/>
        <w:t xml:space="preserve">Κατά παρέκκλιση </w:t>
      </w:r>
      <w:r w:rsidR="00CF5339">
        <w:rPr>
          <w:rFonts w:ascii="Arial" w:hAnsi="Arial" w:cs="Arial"/>
          <w:color w:val="000000"/>
          <w:sz w:val="24"/>
          <w:szCs w:val="24"/>
        </w:rPr>
        <w:t>των π</w:t>
      </w:r>
      <w:r w:rsidR="00CF5339" w:rsidRPr="00714B37">
        <w:rPr>
          <w:rFonts w:ascii="Arial" w:hAnsi="Arial" w:cs="Arial"/>
          <w:color w:val="000000"/>
          <w:sz w:val="24"/>
          <w:szCs w:val="24"/>
        </w:rPr>
        <w:t xml:space="preserve">αρ. </w:t>
      </w:r>
      <w:r w:rsidR="00CF5339">
        <w:rPr>
          <w:rFonts w:ascii="Arial" w:hAnsi="Arial" w:cs="Arial"/>
          <w:color w:val="000000"/>
          <w:sz w:val="24"/>
          <w:szCs w:val="24"/>
        </w:rPr>
        <w:t xml:space="preserve">4 και 6 και </w:t>
      </w:r>
      <w:r w:rsidRPr="00714B37">
        <w:rPr>
          <w:rFonts w:ascii="Arial" w:hAnsi="Arial" w:cs="Arial"/>
          <w:color w:val="000000"/>
          <w:sz w:val="24"/>
          <w:szCs w:val="24"/>
        </w:rPr>
        <w:t xml:space="preserve">του στοιχείου </w:t>
      </w:r>
      <w:proofErr w:type="spellStart"/>
      <w:r w:rsidRPr="00714B37">
        <w:rPr>
          <w:rFonts w:ascii="Arial" w:hAnsi="Arial" w:cs="Arial"/>
          <w:color w:val="000000"/>
          <w:sz w:val="24"/>
          <w:szCs w:val="24"/>
        </w:rPr>
        <w:t>δ΄</w:t>
      </w:r>
      <w:proofErr w:type="spellEnd"/>
      <w:r w:rsidRPr="00714B37">
        <w:rPr>
          <w:rFonts w:ascii="Arial" w:hAnsi="Arial" w:cs="Arial"/>
          <w:color w:val="000000"/>
          <w:sz w:val="24"/>
          <w:szCs w:val="24"/>
        </w:rPr>
        <w:t xml:space="preserve"> της παρ. 10 του άρθρου πρώτου της από 18 Ιουλίου 2015 Πράξεως Νομοθετικού Περιεχομένου (</w:t>
      </w:r>
      <w:r w:rsidR="009231A1">
        <w:rPr>
          <w:rFonts w:ascii="Arial" w:hAnsi="Arial" w:cs="Arial"/>
          <w:color w:val="000000"/>
          <w:sz w:val="24"/>
          <w:szCs w:val="24"/>
        </w:rPr>
        <w:t xml:space="preserve"> Α΄84</w:t>
      </w:r>
      <w:r w:rsidRPr="00714B37">
        <w:rPr>
          <w:rFonts w:ascii="Arial" w:hAnsi="Arial" w:cs="Arial"/>
          <w:color w:val="000000"/>
          <w:sz w:val="24"/>
          <w:szCs w:val="24"/>
        </w:rPr>
        <w:t xml:space="preserve">), επιτρέπονται μεταφορές κεφαλαίων από Ίδρυμα, όπως αυτό ορίζεται στην παρ. 1 του άρθρου πρώτου της ως άνω Πράξεως Νομοθετικού Περιεχομένου στις </w:t>
      </w:r>
      <w:r w:rsidR="009231A1">
        <w:rPr>
          <w:rFonts w:ascii="Arial" w:hAnsi="Arial" w:cs="Arial"/>
          <w:color w:val="000000"/>
          <w:sz w:val="24"/>
          <w:szCs w:val="24"/>
        </w:rPr>
        <w:t xml:space="preserve">κατωτέρω </w:t>
      </w:r>
      <w:r w:rsidRPr="00714B37">
        <w:rPr>
          <w:rFonts w:ascii="Arial" w:hAnsi="Arial" w:cs="Arial"/>
          <w:color w:val="000000"/>
          <w:sz w:val="24"/>
          <w:szCs w:val="24"/>
        </w:rPr>
        <w:t>περιπτώσεις:</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1. Προκειμένου για μεταφορές κεφαλαίων στην Ελλάδα μέσω των οικείων συστημάτων εκκαθάρισης και διακανονισμού συναλλαγών α) για την εκκαθάριση, συμπεριλαμβανομένης της διαχείρισης ασφαλειών (</w:t>
      </w:r>
      <w:proofErr w:type="spellStart"/>
      <w:r w:rsidRPr="00714B37">
        <w:rPr>
          <w:rFonts w:ascii="Arial" w:hAnsi="Arial" w:cs="Arial"/>
          <w:color w:val="000000"/>
          <w:sz w:val="24"/>
          <w:szCs w:val="24"/>
        </w:rPr>
        <w:t>margin</w:t>
      </w:r>
      <w:proofErr w:type="spellEnd"/>
      <w:r w:rsidRPr="00714B37">
        <w:rPr>
          <w:rFonts w:ascii="Arial" w:hAnsi="Arial" w:cs="Arial"/>
          <w:color w:val="000000"/>
          <w:sz w:val="24"/>
          <w:szCs w:val="24"/>
        </w:rPr>
        <w:t>), και το διακανονισμό, μέχρι και τον τελικό δικαιούχο, συναλλαγών επί χρηματοπιστωτικών μέσων του άρθρου 5 του ν. 3606/2007</w:t>
      </w:r>
      <w:r w:rsidR="009231A1">
        <w:rPr>
          <w:rFonts w:ascii="Arial" w:hAnsi="Arial" w:cs="Arial"/>
          <w:color w:val="000000"/>
          <w:sz w:val="24"/>
          <w:szCs w:val="24"/>
        </w:rPr>
        <w:t xml:space="preserve"> (Α΄195)</w:t>
      </w:r>
      <w:r w:rsidRPr="00714B37">
        <w:rPr>
          <w:rFonts w:ascii="Arial" w:hAnsi="Arial" w:cs="Arial"/>
          <w:color w:val="000000"/>
          <w:sz w:val="24"/>
          <w:szCs w:val="24"/>
        </w:rPr>
        <w:t>, τα οποία αποτελούν αντικείμενο διαπραγμάτευσης σε Οργανωμένες Αγορές και Πολυμερείς Μηχανισμούς Διαπραγμάτευσης (</w:t>
      </w:r>
      <w:r w:rsidR="009231A1">
        <w:rPr>
          <w:rFonts w:ascii="Arial" w:hAnsi="Arial" w:cs="Arial"/>
          <w:color w:val="000000"/>
          <w:sz w:val="24"/>
          <w:szCs w:val="24"/>
        </w:rPr>
        <w:t xml:space="preserve">εφεξής </w:t>
      </w:r>
      <w:r w:rsidRPr="00714B37">
        <w:rPr>
          <w:rFonts w:ascii="Arial" w:hAnsi="Arial" w:cs="Arial"/>
          <w:color w:val="000000"/>
          <w:sz w:val="24"/>
          <w:szCs w:val="24"/>
        </w:rPr>
        <w:t>ΠΜΔ) στην Ελλάδα (</w:t>
      </w:r>
      <w:r w:rsidR="009231A1">
        <w:rPr>
          <w:rFonts w:ascii="Arial" w:hAnsi="Arial" w:cs="Arial"/>
          <w:color w:val="000000"/>
          <w:sz w:val="24"/>
          <w:szCs w:val="24"/>
        </w:rPr>
        <w:t>εφεξής</w:t>
      </w:r>
      <w:r w:rsidRPr="00714B37">
        <w:rPr>
          <w:rFonts w:ascii="Arial" w:hAnsi="Arial" w:cs="Arial"/>
          <w:color w:val="000000"/>
          <w:sz w:val="24"/>
          <w:szCs w:val="24"/>
        </w:rPr>
        <w:t xml:space="preserve"> «Χρηματοπιστωτικά Μέσα»), περιλαμβανομένων και όλων των τυχόν εξόδων και προμηθειών που αφορούν τις συναλλαγές αυτές και β) για την εκπλήρωση υποχρεώσεων καταβολής χρημάτων και εν γένει χρηματικών διανομών από τους εκδότες προς τους δικαιούχους χρηματοπιστωτικών μέσων του άρθρου 5 του ν. 3606/2007, ενδεικτικώς λόγω τακτικής λήξης τους, εταιρικών ή παρεμφερών πράξεων (πληρωμές τοκομεριδίων, μερισμάτων και άλλες σχετικές μορφές εσόδων), σύμφωνα με τα οριζόμενα στις παραγράφους 2 και 3.</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2. Εάν πρόκειται για αγορά Χρηματοπιστωτικών Μέσων ή το άνοιγμα θέσεων επί παραγώγων σε Χρηματοπιστωτικά Μέσα, τότε πρέπει να έχει πιστωθεί, μετά την έναρξη ισχύος της παρούσας, με νέα κεφάλαια τουλάχιστον ισόποσα με τις ανάγκες της εκκαθάρισης/ διακανονισμού της συναλλαγής αγοράς Χρηματοπιστωτικών Μέσων ή ανοίγματος και διατήρησης θέσεων επί παραγώγων χρηματοπιστωτικών μέσων των περιπτώσεων (δ) έως (ι) του άρθρου 5 του ν. 3606/2007, ο  τραπεζικός λογαριασμός του δικαιούχου, από τον οποίο πραγματοποιείται η μεταφορά, ή ο λογαριασμός πελατείας που τηρεί ο παρέχων τις επενδυτικές υπηρεσίες σε Ίδρυμα, από τον οποίο πραγματοποιείται η μεταφορά, για λογαριασμό του δικαιούχου. </w:t>
      </w: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Ως νέα κεφάλαια νοούνται αυτά που πιστώνονται στους οικείους τραπεζικούς λογαριασμούς στο Ίδρυμα μετά την έναρξη ισχύος της παρούσας (</w:t>
      </w:r>
      <w:r w:rsidR="009231A1">
        <w:rPr>
          <w:rFonts w:ascii="Arial" w:hAnsi="Arial" w:cs="Arial"/>
          <w:color w:val="000000"/>
          <w:sz w:val="24"/>
          <w:szCs w:val="24"/>
        </w:rPr>
        <w:t>εφεξής</w:t>
      </w:r>
      <w:r w:rsidRPr="00714B37">
        <w:rPr>
          <w:rFonts w:ascii="Arial" w:hAnsi="Arial" w:cs="Arial"/>
          <w:color w:val="000000"/>
          <w:sz w:val="24"/>
          <w:szCs w:val="24"/>
        </w:rPr>
        <w:t xml:space="preserve"> «</w:t>
      </w:r>
      <w:r w:rsidR="009231A1">
        <w:rPr>
          <w:rFonts w:ascii="Arial" w:hAnsi="Arial" w:cs="Arial"/>
          <w:color w:val="000000"/>
          <w:sz w:val="24"/>
          <w:szCs w:val="24"/>
        </w:rPr>
        <w:t>ν</w:t>
      </w:r>
      <w:r w:rsidRPr="00714B37">
        <w:rPr>
          <w:rFonts w:ascii="Arial" w:hAnsi="Arial" w:cs="Arial"/>
          <w:color w:val="000000"/>
          <w:sz w:val="24"/>
          <w:szCs w:val="24"/>
        </w:rPr>
        <w:t xml:space="preserve">έα </w:t>
      </w:r>
      <w:r w:rsidR="009231A1">
        <w:rPr>
          <w:rFonts w:ascii="Arial" w:hAnsi="Arial" w:cs="Arial"/>
          <w:color w:val="000000"/>
          <w:sz w:val="24"/>
          <w:szCs w:val="24"/>
        </w:rPr>
        <w:t>κ</w:t>
      </w:r>
      <w:r w:rsidRPr="00714B37">
        <w:rPr>
          <w:rFonts w:ascii="Arial" w:hAnsi="Arial" w:cs="Arial"/>
          <w:color w:val="000000"/>
          <w:sz w:val="24"/>
          <w:szCs w:val="24"/>
        </w:rPr>
        <w:t xml:space="preserve">εφάλαια») και προέρχονται α) από έμβασμα εξωτερικού, β) από το προϊόν πώλησης χρηματοπιστωτικών μέσων του άρθρου 5 του ν. 3606/2007,  εξαιρουμένων εκείνων του στοιχείου </w:t>
      </w:r>
      <w:proofErr w:type="spellStart"/>
      <w:r w:rsidRPr="00714B37">
        <w:rPr>
          <w:rFonts w:ascii="Arial" w:hAnsi="Arial" w:cs="Arial"/>
          <w:color w:val="000000"/>
          <w:sz w:val="24"/>
          <w:szCs w:val="24"/>
        </w:rPr>
        <w:t>γ΄</w:t>
      </w:r>
      <w:proofErr w:type="spellEnd"/>
      <w:r>
        <w:rPr>
          <w:rFonts w:ascii="Arial" w:hAnsi="Arial" w:cs="Arial"/>
          <w:color w:val="000000"/>
          <w:sz w:val="24"/>
          <w:szCs w:val="24"/>
        </w:rPr>
        <w:t xml:space="preserve"> </w:t>
      </w:r>
      <w:r w:rsidRPr="00714B37">
        <w:rPr>
          <w:rFonts w:ascii="Arial" w:hAnsi="Arial" w:cs="Arial"/>
          <w:color w:val="000000"/>
          <w:sz w:val="24"/>
          <w:szCs w:val="24"/>
        </w:rPr>
        <w:t>του ως άνω άρθρου 5, γ) από επιστροφή ασφαλειών (</w:t>
      </w:r>
      <w:proofErr w:type="spellStart"/>
      <w:r w:rsidRPr="00714B37">
        <w:rPr>
          <w:rFonts w:ascii="Arial" w:hAnsi="Arial" w:cs="Arial"/>
          <w:color w:val="000000"/>
          <w:sz w:val="24"/>
          <w:szCs w:val="24"/>
        </w:rPr>
        <w:t>margin</w:t>
      </w:r>
      <w:proofErr w:type="spellEnd"/>
      <w:r w:rsidRPr="00714B37">
        <w:rPr>
          <w:rFonts w:ascii="Arial" w:hAnsi="Arial" w:cs="Arial"/>
          <w:color w:val="000000"/>
          <w:sz w:val="24"/>
          <w:szCs w:val="24"/>
        </w:rPr>
        <w:t xml:space="preserve">), η κάλυψη των οποίων αρχικά προήλθε από κεφάλαια των περιπτώσεων </w:t>
      </w:r>
      <w:proofErr w:type="spellStart"/>
      <w:r w:rsidRPr="00714B37">
        <w:rPr>
          <w:rFonts w:ascii="Arial" w:hAnsi="Arial" w:cs="Arial"/>
          <w:color w:val="000000"/>
          <w:sz w:val="24"/>
          <w:szCs w:val="24"/>
        </w:rPr>
        <w:t>α΄</w:t>
      </w:r>
      <w:proofErr w:type="spellEnd"/>
      <w:r w:rsidRPr="00714B37">
        <w:rPr>
          <w:rFonts w:ascii="Arial" w:hAnsi="Arial" w:cs="Arial"/>
          <w:color w:val="000000"/>
          <w:sz w:val="24"/>
          <w:szCs w:val="24"/>
        </w:rPr>
        <w:t xml:space="preserve">, </w:t>
      </w:r>
      <w:proofErr w:type="spellStart"/>
      <w:r w:rsidRPr="00714B37">
        <w:rPr>
          <w:rFonts w:ascii="Arial" w:hAnsi="Arial" w:cs="Arial"/>
          <w:color w:val="000000"/>
          <w:sz w:val="24"/>
          <w:szCs w:val="24"/>
        </w:rPr>
        <w:t>β΄</w:t>
      </w:r>
      <w:proofErr w:type="spellEnd"/>
      <w:r w:rsidRPr="00714B37">
        <w:rPr>
          <w:rFonts w:ascii="Arial" w:hAnsi="Arial" w:cs="Arial"/>
          <w:color w:val="000000"/>
          <w:sz w:val="24"/>
          <w:szCs w:val="24"/>
        </w:rPr>
        <w:t xml:space="preserve">, δ’, ε’ και ζ’ της παρούσας παραγράφου, δ) από χρηματικές διανομές στους δικαιούχους των χρηματοπιστωτικών μέσων του άρθρου 5 του ν. 3606/2007, συνδεόμενες με τα οικεία χρηματοπιστωτικά μέσα, ενδεικτικώς λόγω τακτικής λήξης τους, εταιρικών ή παρεμφερών πράξεων (πληρωμές τοκομεριδίων, μερισμάτων και άλλες σχετικές μορφές εσόδων), ε) από πιστώσεις προερχόμενες από θέσεις σε παράγωγα χρηματοπιστωτικά μέσα των περιπτώσεων (δ) έως (ι) του άρθρου 5 του ν. 3606/2007, στ) από υφιστάμενα κατά την έναρξη ισχύος της παρούσας ελεύθερα πιστωτικά υπόλοιπα δικαιούχων σε επενδυτικούς λογαριασμούς που τηρούνται σε Ιδρύματα από εταιρείες παροχής επενδυτικών υπηρεσιών κατά την έννοια του ν. 3606/2007 που λειτουργούν στην Ελλάδα και ζ) από  καταβολή σε μετρητά σε πιστωτικά ιδρύματα και εταιρίες παροχής επενδυτικών υπηρεσιών, τα οποία εκτελούν τις οικείες συναλλαγές, του τιμήματος αγοράς των Χρηματοπιστωτικών Μέσων που </w:t>
      </w:r>
      <w:r w:rsidRPr="00714B37">
        <w:rPr>
          <w:rFonts w:ascii="Arial" w:hAnsi="Arial" w:cs="Arial"/>
          <w:color w:val="000000"/>
          <w:sz w:val="24"/>
          <w:szCs w:val="24"/>
        </w:rPr>
        <w:lastRenderedPageBreak/>
        <w:t xml:space="preserve">παραγγέλλονται να αποκτηθούν. Προς υποδοχή των </w:t>
      </w:r>
      <w:r w:rsidR="009231A1">
        <w:rPr>
          <w:rFonts w:ascii="Arial" w:hAnsi="Arial" w:cs="Arial"/>
          <w:color w:val="000000"/>
          <w:sz w:val="24"/>
          <w:szCs w:val="24"/>
        </w:rPr>
        <w:t>ν</w:t>
      </w:r>
      <w:r w:rsidRPr="00714B37">
        <w:rPr>
          <w:rFonts w:ascii="Arial" w:hAnsi="Arial" w:cs="Arial"/>
          <w:color w:val="000000"/>
          <w:sz w:val="24"/>
          <w:szCs w:val="24"/>
        </w:rPr>
        <w:t xml:space="preserve">έων </w:t>
      </w:r>
      <w:r w:rsidR="009231A1">
        <w:rPr>
          <w:rFonts w:ascii="Arial" w:hAnsi="Arial" w:cs="Arial"/>
          <w:color w:val="000000"/>
          <w:sz w:val="24"/>
          <w:szCs w:val="24"/>
        </w:rPr>
        <w:t>κ</w:t>
      </w:r>
      <w:r w:rsidRPr="00714B37">
        <w:rPr>
          <w:rFonts w:ascii="Arial" w:hAnsi="Arial" w:cs="Arial"/>
          <w:color w:val="000000"/>
          <w:sz w:val="24"/>
          <w:szCs w:val="24"/>
        </w:rPr>
        <w:t xml:space="preserve">εφαλαίων, τα ιδρύματα δύνανται, κατά παρέκκλιση της παρ. 6 του πρώτου άρθρου της από 18 Ιουλίου 2015 Πράξεως Νομοθετικού Περιεχομένου, να ανοίγουν ή προσθέτουν νέους ειδικού τύπου λογαριασμούς ή </w:t>
      </w:r>
      <w:proofErr w:type="spellStart"/>
      <w:r w:rsidRPr="00714B37">
        <w:rPr>
          <w:rFonts w:ascii="Arial" w:hAnsi="Arial" w:cs="Arial"/>
          <w:color w:val="000000"/>
          <w:sz w:val="24"/>
          <w:szCs w:val="24"/>
        </w:rPr>
        <w:t>υπολογαριασμούς</w:t>
      </w:r>
      <w:proofErr w:type="spellEnd"/>
      <w:r w:rsidRPr="00714B37">
        <w:rPr>
          <w:rFonts w:ascii="Arial" w:hAnsi="Arial" w:cs="Arial"/>
          <w:color w:val="000000"/>
          <w:sz w:val="24"/>
          <w:szCs w:val="24"/>
        </w:rPr>
        <w:t xml:space="preserve">, πρόσθετους σε ή συνδεδεμένους με υφιστάμενους τραπεζικούς λογαριασμούς, κατόπιν αιτήματος δικαιούχου τους. Οι εν λόγω ειδικού τύπου λογαριασμοί ή </w:t>
      </w:r>
      <w:proofErr w:type="spellStart"/>
      <w:r w:rsidRPr="00714B37">
        <w:rPr>
          <w:rFonts w:ascii="Arial" w:hAnsi="Arial" w:cs="Arial"/>
          <w:color w:val="000000"/>
          <w:sz w:val="24"/>
          <w:szCs w:val="24"/>
        </w:rPr>
        <w:t>υπολογαριασμοί</w:t>
      </w:r>
      <w:proofErr w:type="spellEnd"/>
      <w:r w:rsidRPr="00714B37">
        <w:rPr>
          <w:rFonts w:ascii="Arial" w:hAnsi="Arial" w:cs="Arial"/>
          <w:color w:val="000000"/>
          <w:sz w:val="24"/>
          <w:szCs w:val="24"/>
        </w:rPr>
        <w:t xml:space="preserve"> θα χρησιμοποιούνται αποκλειστικώς προς εξυπηρέτηση των συναλλαγών των παραγράφων 1 και 2 και σ’ αυτούς θα πιστώνονται μόνον </w:t>
      </w:r>
      <w:r w:rsidR="00B97C44">
        <w:rPr>
          <w:rFonts w:ascii="Arial" w:hAnsi="Arial" w:cs="Arial"/>
          <w:color w:val="000000"/>
          <w:sz w:val="24"/>
          <w:szCs w:val="24"/>
        </w:rPr>
        <w:t>ν</w:t>
      </w:r>
      <w:r w:rsidRPr="00714B37">
        <w:rPr>
          <w:rFonts w:ascii="Arial" w:hAnsi="Arial" w:cs="Arial"/>
          <w:color w:val="000000"/>
          <w:sz w:val="24"/>
          <w:szCs w:val="24"/>
        </w:rPr>
        <w:t xml:space="preserve">έα </w:t>
      </w:r>
      <w:r w:rsidR="00B97C44">
        <w:rPr>
          <w:rFonts w:ascii="Arial" w:hAnsi="Arial" w:cs="Arial"/>
          <w:color w:val="000000"/>
          <w:sz w:val="24"/>
          <w:szCs w:val="24"/>
        </w:rPr>
        <w:t>κ</w:t>
      </w:r>
      <w:r w:rsidRPr="00714B37">
        <w:rPr>
          <w:rFonts w:ascii="Arial" w:hAnsi="Arial" w:cs="Arial"/>
          <w:color w:val="000000"/>
          <w:sz w:val="24"/>
          <w:szCs w:val="24"/>
        </w:rPr>
        <w:t xml:space="preserve">εφάλαια. Κεφάλαια που μεταφέρονται από τους ως άνω ειδικού τύπου λογαριασμούς / </w:t>
      </w:r>
      <w:proofErr w:type="spellStart"/>
      <w:r w:rsidRPr="00714B37">
        <w:rPr>
          <w:rFonts w:ascii="Arial" w:hAnsi="Arial" w:cs="Arial"/>
          <w:color w:val="000000"/>
          <w:sz w:val="24"/>
          <w:szCs w:val="24"/>
        </w:rPr>
        <w:t>υπολογαριασμούς</w:t>
      </w:r>
      <w:proofErr w:type="spellEnd"/>
      <w:r w:rsidRPr="00714B37">
        <w:rPr>
          <w:rFonts w:ascii="Arial" w:hAnsi="Arial" w:cs="Arial"/>
          <w:color w:val="000000"/>
          <w:sz w:val="24"/>
          <w:szCs w:val="24"/>
        </w:rPr>
        <w:t xml:space="preserve">, σε άλλους λογαριασμούς, πέραν του σκοπού της εκκαθάρισης και διακανονισμού των συναλλαγών σε Χρηματοπιστωτικά Μέσα της παρ. 1, δεν νοούνται πλέον </w:t>
      </w:r>
      <w:r w:rsidR="00B97C44">
        <w:rPr>
          <w:rFonts w:ascii="Arial" w:hAnsi="Arial" w:cs="Arial"/>
          <w:color w:val="000000"/>
          <w:sz w:val="24"/>
          <w:szCs w:val="24"/>
        </w:rPr>
        <w:t>ν</w:t>
      </w:r>
      <w:r w:rsidRPr="00714B37">
        <w:rPr>
          <w:rFonts w:ascii="Arial" w:hAnsi="Arial" w:cs="Arial"/>
          <w:color w:val="000000"/>
          <w:sz w:val="24"/>
          <w:szCs w:val="24"/>
        </w:rPr>
        <w:t xml:space="preserve">έα </w:t>
      </w:r>
      <w:r w:rsidR="00B97C44">
        <w:rPr>
          <w:rFonts w:ascii="Arial" w:hAnsi="Arial" w:cs="Arial"/>
          <w:color w:val="000000"/>
          <w:sz w:val="24"/>
          <w:szCs w:val="24"/>
        </w:rPr>
        <w:t>κ</w:t>
      </w:r>
      <w:r w:rsidRPr="00714B37">
        <w:rPr>
          <w:rFonts w:ascii="Arial" w:hAnsi="Arial" w:cs="Arial"/>
          <w:color w:val="000000"/>
          <w:sz w:val="24"/>
          <w:szCs w:val="24"/>
        </w:rPr>
        <w:t>εφάλαια.</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3.  </w:t>
      </w:r>
      <w:r w:rsidRPr="0062364D">
        <w:rPr>
          <w:rFonts w:ascii="Arial" w:hAnsi="Arial" w:cs="Arial"/>
          <w:color w:val="000000"/>
          <w:sz w:val="24"/>
          <w:szCs w:val="24"/>
        </w:rPr>
        <w:t>Επιτρέπονται μεταφορές κεφαλαίων εντός</w:t>
      </w:r>
      <w:r w:rsidRPr="00714B37">
        <w:rPr>
          <w:rFonts w:ascii="Arial" w:hAnsi="Arial" w:cs="Arial"/>
          <w:color w:val="000000"/>
          <w:sz w:val="24"/>
          <w:szCs w:val="24"/>
        </w:rPr>
        <w:t xml:space="preserve"> του ελληνικού τραπεζικού συστήματος, χωρίς τους περιορισμούς της παρ. 2</w:t>
      </w:r>
      <w:r w:rsidR="00B97C44">
        <w:rPr>
          <w:rFonts w:ascii="Arial" w:hAnsi="Arial" w:cs="Arial"/>
          <w:color w:val="000000"/>
          <w:sz w:val="24"/>
          <w:szCs w:val="24"/>
        </w:rPr>
        <w:t xml:space="preserve"> του παρόντος</w:t>
      </w:r>
      <w:r w:rsidRPr="00714B37">
        <w:rPr>
          <w:rFonts w:ascii="Arial" w:hAnsi="Arial" w:cs="Arial"/>
          <w:color w:val="000000"/>
          <w:sz w:val="24"/>
          <w:szCs w:val="24"/>
        </w:rPr>
        <w:t>, και στις ακόλουθες περιπτώσεις:</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α) Όταν διενεργούνται για την εκπλήρωση υποχρεώσεων εκκαθάρισης και διακανονισμού (i) συναλλαγών ειδικής διαπραγμάτευσης σε Οργανωμένες Αγορές και ΠΜΔ που λειτουργούν στην Ελλάδα, (ii) συναλλαγών που διενεργούνται προς κάλυψη υποχρεώσεων εκπρόθεσμου διακανονισμού επί χρηματοπιστωτικών μέσων (</w:t>
      </w:r>
      <w:proofErr w:type="spellStart"/>
      <w:r w:rsidRPr="00714B37">
        <w:rPr>
          <w:rFonts w:ascii="Arial" w:hAnsi="Arial" w:cs="Arial"/>
          <w:color w:val="000000"/>
          <w:sz w:val="24"/>
          <w:szCs w:val="24"/>
        </w:rPr>
        <w:t>failed</w:t>
      </w:r>
      <w:proofErr w:type="spellEnd"/>
      <w:r w:rsidRPr="00714B37">
        <w:rPr>
          <w:rFonts w:ascii="Arial" w:hAnsi="Arial" w:cs="Arial"/>
          <w:color w:val="000000"/>
          <w:sz w:val="24"/>
          <w:szCs w:val="24"/>
        </w:rPr>
        <w:t xml:space="preserve"> </w:t>
      </w:r>
      <w:proofErr w:type="spellStart"/>
      <w:r w:rsidRPr="00714B37">
        <w:rPr>
          <w:rFonts w:ascii="Arial" w:hAnsi="Arial" w:cs="Arial"/>
          <w:color w:val="000000"/>
          <w:sz w:val="24"/>
          <w:szCs w:val="24"/>
        </w:rPr>
        <w:t>trades</w:t>
      </w:r>
      <w:proofErr w:type="spellEnd"/>
      <w:r w:rsidRPr="00714B37">
        <w:rPr>
          <w:rFonts w:ascii="Arial" w:hAnsi="Arial" w:cs="Arial"/>
          <w:color w:val="000000"/>
          <w:sz w:val="24"/>
          <w:szCs w:val="24"/>
        </w:rPr>
        <w:t>) και iii) για την κάλυψη υποχρεώσεων παροχής ασφαλειών (</w:t>
      </w:r>
      <w:proofErr w:type="spellStart"/>
      <w:r w:rsidRPr="00714B37">
        <w:rPr>
          <w:rFonts w:ascii="Arial" w:hAnsi="Arial" w:cs="Arial"/>
          <w:color w:val="000000"/>
          <w:sz w:val="24"/>
          <w:szCs w:val="24"/>
        </w:rPr>
        <w:t>margin</w:t>
      </w:r>
      <w:proofErr w:type="spellEnd"/>
      <w:r w:rsidRPr="00714B37">
        <w:rPr>
          <w:rFonts w:ascii="Arial" w:hAnsi="Arial" w:cs="Arial"/>
          <w:color w:val="000000"/>
          <w:sz w:val="24"/>
          <w:szCs w:val="24"/>
        </w:rPr>
        <w:t xml:space="preserve">), </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β) για την εκπλήρωση υποχρεώσεων από επενδυτικές πράξεις ΟΣΕΚΑ του ν. 4099/2012</w:t>
      </w:r>
      <w:r w:rsidR="00B97C44">
        <w:rPr>
          <w:rFonts w:ascii="Arial" w:hAnsi="Arial" w:cs="Arial"/>
          <w:color w:val="000000"/>
          <w:sz w:val="24"/>
          <w:szCs w:val="24"/>
        </w:rPr>
        <w:t xml:space="preserve"> (Α΄250)</w:t>
      </w:r>
      <w:r w:rsidRPr="00714B37">
        <w:rPr>
          <w:rFonts w:ascii="Arial" w:hAnsi="Arial" w:cs="Arial"/>
          <w:color w:val="000000"/>
          <w:sz w:val="24"/>
          <w:szCs w:val="24"/>
        </w:rPr>
        <w:t xml:space="preserve"> που έχουν </w:t>
      </w:r>
      <w:proofErr w:type="spellStart"/>
      <w:r w:rsidRPr="00714B37">
        <w:rPr>
          <w:rFonts w:ascii="Arial" w:hAnsi="Arial" w:cs="Arial"/>
          <w:color w:val="000000"/>
          <w:sz w:val="24"/>
          <w:szCs w:val="24"/>
        </w:rPr>
        <w:t>αδειοδοτηθεί</w:t>
      </w:r>
      <w:proofErr w:type="spellEnd"/>
      <w:r w:rsidRPr="00714B37">
        <w:rPr>
          <w:rFonts w:ascii="Arial" w:hAnsi="Arial" w:cs="Arial"/>
          <w:color w:val="000000"/>
          <w:sz w:val="24"/>
          <w:szCs w:val="24"/>
        </w:rPr>
        <w:t xml:space="preserve">  από την Επιτροπή Κεφαλαιαγοράς, ΟΕΕ του ν. 4209/2013</w:t>
      </w:r>
      <w:r w:rsidR="00B97C44">
        <w:rPr>
          <w:rFonts w:ascii="Arial" w:hAnsi="Arial" w:cs="Arial"/>
          <w:color w:val="000000"/>
          <w:sz w:val="24"/>
          <w:szCs w:val="24"/>
        </w:rPr>
        <w:t xml:space="preserve"> (Α΄253)</w:t>
      </w:r>
      <w:r w:rsidRPr="00714B37">
        <w:rPr>
          <w:rFonts w:ascii="Arial" w:hAnsi="Arial" w:cs="Arial"/>
          <w:color w:val="000000"/>
          <w:sz w:val="24"/>
          <w:szCs w:val="24"/>
        </w:rPr>
        <w:t xml:space="preserve">που αποτελούν αντικείμενο διαχείρισης ΑΕΔΟΕΕ που έχουν </w:t>
      </w:r>
      <w:proofErr w:type="spellStart"/>
      <w:r w:rsidRPr="00714B37">
        <w:rPr>
          <w:rFonts w:ascii="Arial" w:hAnsi="Arial" w:cs="Arial"/>
          <w:color w:val="000000"/>
          <w:sz w:val="24"/>
          <w:szCs w:val="24"/>
        </w:rPr>
        <w:t>αδειοδοτηθεί</w:t>
      </w:r>
      <w:proofErr w:type="spellEnd"/>
      <w:r w:rsidRPr="00714B37">
        <w:rPr>
          <w:rFonts w:ascii="Arial" w:hAnsi="Arial" w:cs="Arial"/>
          <w:color w:val="000000"/>
          <w:sz w:val="24"/>
          <w:szCs w:val="24"/>
        </w:rPr>
        <w:t xml:space="preserve"> από την Επιτροπή Κεφαλαιαγοράς, ανώνυμων εταιριών επενδύσεων χαρτοφυλακίου του ν. 3371/2005</w:t>
      </w:r>
      <w:r w:rsidR="00B97C44">
        <w:rPr>
          <w:rFonts w:ascii="Arial" w:hAnsi="Arial" w:cs="Arial"/>
          <w:color w:val="000000"/>
          <w:sz w:val="24"/>
          <w:szCs w:val="24"/>
        </w:rPr>
        <w:t xml:space="preserve"> (Α΄178)</w:t>
      </w:r>
      <w:r w:rsidRPr="00714B37">
        <w:rPr>
          <w:rFonts w:ascii="Arial" w:hAnsi="Arial" w:cs="Arial"/>
          <w:color w:val="000000"/>
          <w:sz w:val="24"/>
          <w:szCs w:val="24"/>
        </w:rPr>
        <w:t xml:space="preserve"> ασφαλιστικών εταιριών του </w:t>
      </w:r>
      <w:proofErr w:type="spellStart"/>
      <w:r w:rsidRPr="00714B37">
        <w:rPr>
          <w:rFonts w:ascii="Arial" w:hAnsi="Arial" w:cs="Arial"/>
          <w:color w:val="000000"/>
          <w:sz w:val="24"/>
          <w:szCs w:val="24"/>
        </w:rPr>
        <w:t>ν.δ</w:t>
      </w:r>
      <w:proofErr w:type="spellEnd"/>
      <w:r w:rsidRPr="00714B37">
        <w:rPr>
          <w:rFonts w:ascii="Arial" w:hAnsi="Arial" w:cs="Arial"/>
          <w:color w:val="000000"/>
          <w:sz w:val="24"/>
          <w:szCs w:val="24"/>
        </w:rPr>
        <w:t>. 400/1970</w:t>
      </w:r>
      <w:r w:rsidR="00B97C44">
        <w:rPr>
          <w:rFonts w:ascii="Arial" w:hAnsi="Arial" w:cs="Arial"/>
          <w:color w:val="000000"/>
          <w:sz w:val="24"/>
          <w:szCs w:val="24"/>
        </w:rPr>
        <w:t xml:space="preserve"> (Α΄10)</w:t>
      </w:r>
      <w:r w:rsidRPr="00714B37">
        <w:rPr>
          <w:rFonts w:ascii="Arial" w:hAnsi="Arial" w:cs="Arial"/>
          <w:color w:val="000000"/>
          <w:sz w:val="24"/>
          <w:szCs w:val="24"/>
        </w:rPr>
        <w:t xml:space="preserve"> ταμείων επαγγελματικής ασφάλισης και ασφαλιστικών οργανισμών/ φορέων κοινωνικής ασφάλισης. </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γ) </w:t>
      </w:r>
      <w:r w:rsidR="00B97C44">
        <w:rPr>
          <w:rFonts w:ascii="Arial" w:hAnsi="Arial" w:cs="Arial"/>
          <w:color w:val="000000"/>
          <w:sz w:val="24"/>
          <w:szCs w:val="24"/>
        </w:rPr>
        <w:t>ό</w:t>
      </w:r>
      <w:r w:rsidRPr="00714B37">
        <w:rPr>
          <w:rFonts w:ascii="Arial" w:hAnsi="Arial" w:cs="Arial"/>
          <w:color w:val="000000"/>
          <w:sz w:val="24"/>
          <w:szCs w:val="24"/>
        </w:rPr>
        <w:t xml:space="preserve">ταν διενεργούνται για την εκπλήρωση υποχρεώσεων από θέσεις επί παράγωγων χρηματοπιστωτικών μέσων των περιπτώσεων (δ) έως (ι) του άρθρου 5 του ν. 3606/2007, για τη χρονική </w:t>
      </w:r>
      <w:proofErr w:type="spellStart"/>
      <w:r w:rsidRPr="00714B37">
        <w:rPr>
          <w:rFonts w:ascii="Arial" w:hAnsi="Arial" w:cs="Arial"/>
          <w:color w:val="000000"/>
          <w:sz w:val="24"/>
          <w:szCs w:val="24"/>
        </w:rPr>
        <w:t>μετακύλιση</w:t>
      </w:r>
      <w:proofErr w:type="spellEnd"/>
      <w:r w:rsidRPr="00714B37">
        <w:rPr>
          <w:rFonts w:ascii="Arial" w:hAnsi="Arial" w:cs="Arial"/>
          <w:color w:val="000000"/>
          <w:sz w:val="24"/>
          <w:szCs w:val="24"/>
        </w:rPr>
        <w:t xml:space="preserve"> αυτών (</w:t>
      </w:r>
      <w:proofErr w:type="spellStart"/>
      <w:r w:rsidRPr="00714B37">
        <w:rPr>
          <w:rFonts w:ascii="Arial" w:hAnsi="Arial" w:cs="Arial"/>
          <w:color w:val="000000"/>
          <w:sz w:val="24"/>
          <w:szCs w:val="24"/>
        </w:rPr>
        <w:t>rollover</w:t>
      </w:r>
      <w:proofErr w:type="spellEnd"/>
      <w:r w:rsidRPr="00714B37">
        <w:rPr>
          <w:rFonts w:ascii="Arial" w:hAnsi="Arial" w:cs="Arial"/>
          <w:color w:val="000000"/>
          <w:sz w:val="24"/>
          <w:szCs w:val="24"/>
        </w:rPr>
        <w:t>), για τις ανάγκες κάλυψης με μετρητά του ημερήσιου ή τελικού διακανονισμού τους (</w:t>
      </w:r>
      <w:proofErr w:type="spellStart"/>
      <w:r w:rsidRPr="00714B37">
        <w:rPr>
          <w:rFonts w:ascii="Arial" w:hAnsi="Arial" w:cs="Arial"/>
          <w:color w:val="000000"/>
          <w:sz w:val="24"/>
          <w:szCs w:val="24"/>
        </w:rPr>
        <w:t>mark</w:t>
      </w:r>
      <w:proofErr w:type="spellEnd"/>
      <w:r w:rsidRPr="00714B37">
        <w:rPr>
          <w:rFonts w:ascii="Arial" w:hAnsi="Arial" w:cs="Arial"/>
          <w:color w:val="000000"/>
          <w:sz w:val="24"/>
          <w:szCs w:val="24"/>
        </w:rPr>
        <w:t>-</w:t>
      </w:r>
      <w:proofErr w:type="spellStart"/>
      <w:r w:rsidRPr="00714B37">
        <w:rPr>
          <w:rFonts w:ascii="Arial" w:hAnsi="Arial" w:cs="Arial"/>
          <w:color w:val="000000"/>
          <w:sz w:val="24"/>
          <w:szCs w:val="24"/>
        </w:rPr>
        <w:t>to</w:t>
      </w:r>
      <w:proofErr w:type="spellEnd"/>
      <w:r w:rsidRPr="00714B37">
        <w:rPr>
          <w:rFonts w:ascii="Arial" w:hAnsi="Arial" w:cs="Arial"/>
          <w:color w:val="000000"/>
          <w:sz w:val="24"/>
          <w:szCs w:val="24"/>
        </w:rPr>
        <w:t>-</w:t>
      </w:r>
      <w:proofErr w:type="spellStart"/>
      <w:r w:rsidRPr="00714B37">
        <w:rPr>
          <w:rFonts w:ascii="Arial" w:hAnsi="Arial" w:cs="Arial"/>
          <w:color w:val="000000"/>
          <w:sz w:val="24"/>
          <w:szCs w:val="24"/>
        </w:rPr>
        <w:t>market</w:t>
      </w:r>
      <w:proofErr w:type="spellEnd"/>
      <w:r w:rsidRPr="00714B37">
        <w:rPr>
          <w:rFonts w:ascii="Arial" w:hAnsi="Arial" w:cs="Arial"/>
          <w:color w:val="000000"/>
          <w:sz w:val="24"/>
          <w:szCs w:val="24"/>
        </w:rPr>
        <w:t xml:space="preserve">), καθώς και για την κάλυψη ελλειμμάτων περιθωρίων ασφάλειας για χαρτοφυλάκια ασφαλείας </w:t>
      </w:r>
      <w:r w:rsidR="00CA0E41">
        <w:rPr>
          <w:rFonts w:ascii="Arial" w:hAnsi="Arial" w:cs="Arial"/>
          <w:color w:val="000000"/>
          <w:sz w:val="24"/>
          <w:szCs w:val="24"/>
        </w:rPr>
        <w:t xml:space="preserve">του </w:t>
      </w:r>
      <w:r w:rsidRPr="00714B37">
        <w:rPr>
          <w:rFonts w:ascii="Arial" w:hAnsi="Arial" w:cs="Arial"/>
          <w:color w:val="000000"/>
          <w:sz w:val="24"/>
          <w:szCs w:val="24"/>
        </w:rPr>
        <w:t>ν. 2843/2000</w:t>
      </w:r>
      <w:r w:rsidR="00B97C44">
        <w:rPr>
          <w:rFonts w:ascii="Arial" w:hAnsi="Arial" w:cs="Arial"/>
          <w:color w:val="000000"/>
          <w:sz w:val="24"/>
          <w:szCs w:val="24"/>
        </w:rPr>
        <w:t xml:space="preserve"> (Α΄</w:t>
      </w:r>
      <w:r w:rsidR="00CA0E41">
        <w:rPr>
          <w:rFonts w:ascii="Arial" w:hAnsi="Arial" w:cs="Arial"/>
          <w:color w:val="000000"/>
          <w:sz w:val="24"/>
          <w:szCs w:val="24"/>
        </w:rPr>
        <w:t>219)</w:t>
      </w:r>
      <w:r w:rsidRPr="00714B37">
        <w:rPr>
          <w:rFonts w:ascii="Arial" w:hAnsi="Arial" w:cs="Arial"/>
          <w:color w:val="000000"/>
          <w:sz w:val="24"/>
          <w:szCs w:val="24"/>
        </w:rPr>
        <w:t>, που υφίσταντο μέχρι και την 26η Ιουνίου 2015.</w:t>
      </w: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δ) </w:t>
      </w:r>
      <w:r w:rsidR="00CA0E41">
        <w:rPr>
          <w:rFonts w:ascii="Arial" w:hAnsi="Arial" w:cs="Arial"/>
          <w:color w:val="000000"/>
          <w:sz w:val="24"/>
          <w:szCs w:val="24"/>
        </w:rPr>
        <w:t>ό</w:t>
      </w:r>
      <w:r w:rsidRPr="00714B37">
        <w:rPr>
          <w:rFonts w:ascii="Arial" w:hAnsi="Arial" w:cs="Arial"/>
          <w:color w:val="000000"/>
          <w:sz w:val="24"/>
          <w:szCs w:val="24"/>
        </w:rPr>
        <w:t xml:space="preserve">ταν συνδέονται με την ικανοποίηση υφιστάμενων κατά την έναρξη ισχύος της τραπεζικής αργίας στις 28.6.2015 πάγιων εντολών για μεταφορά κεφαλαίων από </w:t>
      </w:r>
      <w:proofErr w:type="spellStart"/>
      <w:r w:rsidRPr="00714B37">
        <w:rPr>
          <w:rFonts w:ascii="Arial" w:hAnsi="Arial" w:cs="Arial"/>
          <w:color w:val="000000"/>
          <w:sz w:val="24"/>
          <w:szCs w:val="24"/>
        </w:rPr>
        <w:t>καταθετικούς</w:t>
      </w:r>
      <w:proofErr w:type="spellEnd"/>
      <w:r w:rsidRPr="00714B37">
        <w:rPr>
          <w:rFonts w:ascii="Arial" w:hAnsi="Arial" w:cs="Arial"/>
          <w:color w:val="000000"/>
          <w:sz w:val="24"/>
          <w:szCs w:val="24"/>
        </w:rPr>
        <w:t xml:space="preserve"> λογαριασμούς προς ΟΣΕΚΑ </w:t>
      </w:r>
      <w:proofErr w:type="spellStart"/>
      <w:r w:rsidRPr="00714B37">
        <w:rPr>
          <w:rFonts w:ascii="Arial" w:hAnsi="Arial" w:cs="Arial"/>
          <w:color w:val="000000"/>
          <w:sz w:val="24"/>
          <w:szCs w:val="24"/>
        </w:rPr>
        <w:t>αδειοδοτημένους</w:t>
      </w:r>
      <w:proofErr w:type="spellEnd"/>
      <w:r w:rsidRPr="00714B37">
        <w:rPr>
          <w:rFonts w:ascii="Arial" w:hAnsi="Arial" w:cs="Arial"/>
          <w:color w:val="000000"/>
          <w:sz w:val="24"/>
          <w:szCs w:val="24"/>
        </w:rPr>
        <w:t xml:space="preserve"> από την Επιτροπή Κεφαλαιαγοράς ή προς ΟΕΕ ή προς αμοιβαία κεφάλαια </w:t>
      </w:r>
      <w:proofErr w:type="spellStart"/>
      <w:r w:rsidRPr="00714B37">
        <w:rPr>
          <w:rFonts w:ascii="Arial" w:hAnsi="Arial" w:cs="Arial"/>
          <w:color w:val="000000"/>
          <w:sz w:val="24"/>
          <w:szCs w:val="24"/>
        </w:rPr>
        <w:t>unit</w:t>
      </w:r>
      <w:proofErr w:type="spellEnd"/>
      <w:r w:rsidRPr="00714B37">
        <w:rPr>
          <w:rFonts w:ascii="Arial" w:hAnsi="Arial" w:cs="Arial"/>
          <w:color w:val="000000"/>
          <w:sz w:val="24"/>
          <w:szCs w:val="24"/>
        </w:rPr>
        <w:t>-</w:t>
      </w:r>
      <w:proofErr w:type="spellStart"/>
      <w:r w:rsidRPr="00714B37">
        <w:rPr>
          <w:rFonts w:ascii="Arial" w:hAnsi="Arial" w:cs="Arial"/>
          <w:color w:val="000000"/>
          <w:sz w:val="24"/>
          <w:szCs w:val="24"/>
        </w:rPr>
        <w:t>linked</w:t>
      </w:r>
      <w:proofErr w:type="spellEnd"/>
      <w:r w:rsidRPr="00714B37">
        <w:rPr>
          <w:rFonts w:ascii="Arial" w:hAnsi="Arial" w:cs="Arial"/>
          <w:color w:val="000000"/>
          <w:sz w:val="24"/>
          <w:szCs w:val="24"/>
        </w:rPr>
        <w:t xml:space="preserve"> στο πλαίσιο αποταμιευτικών-επενδυτικών προγραμμάτων / λογαριασμών.</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4. </w:t>
      </w:r>
      <w:r w:rsidRPr="0062364D">
        <w:rPr>
          <w:rFonts w:ascii="Arial" w:hAnsi="Arial" w:cs="Arial"/>
          <w:color w:val="000000"/>
          <w:sz w:val="24"/>
          <w:szCs w:val="24"/>
        </w:rPr>
        <w:t>Επιτρέπονται μεταφορές κεφαλαίων στην Ελλάδα</w:t>
      </w:r>
      <w:r w:rsidRPr="00714B37">
        <w:rPr>
          <w:rFonts w:ascii="Arial" w:hAnsi="Arial" w:cs="Arial"/>
          <w:color w:val="000000"/>
          <w:sz w:val="24"/>
          <w:szCs w:val="24"/>
        </w:rPr>
        <w:t xml:space="preserve"> για την απόκτηση α) νεοεκδιδόμενων Χρηματοπιστωτικών Μέσων που εκδίδονται στο πλαίσιο αύξησης κεφαλαίου ή έκδοσης ομολογιακού δανείου και β) κάθε είδους τίτλων που εκδίδονται από πιστωτικά ιδρύματα που εδρεύουν στην Ελλάδα, προς </w:t>
      </w:r>
      <w:proofErr w:type="spellStart"/>
      <w:r w:rsidRPr="00714B37">
        <w:rPr>
          <w:rFonts w:ascii="Arial" w:hAnsi="Arial" w:cs="Arial"/>
          <w:color w:val="000000"/>
          <w:sz w:val="24"/>
          <w:szCs w:val="24"/>
        </w:rPr>
        <w:t>ανακεφαλαιοποίησή</w:t>
      </w:r>
      <w:proofErr w:type="spellEnd"/>
      <w:r w:rsidRPr="00714B37">
        <w:rPr>
          <w:rFonts w:ascii="Arial" w:hAnsi="Arial" w:cs="Arial"/>
          <w:color w:val="000000"/>
          <w:sz w:val="24"/>
          <w:szCs w:val="24"/>
        </w:rPr>
        <w:t xml:space="preserve"> τους. </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lastRenderedPageBreak/>
        <w:t xml:space="preserve">5. Το προϊόν εκκαθάρισης και διακανονισμού συναλλαγών επί Χρηματοπιστωτικών Μέσων, καθώς και το ποσό των χρηματικών διανομών της </w:t>
      </w:r>
      <w:proofErr w:type="spellStart"/>
      <w:r w:rsidRPr="00714B37">
        <w:rPr>
          <w:rFonts w:ascii="Arial" w:hAnsi="Arial" w:cs="Arial"/>
          <w:color w:val="000000"/>
          <w:sz w:val="24"/>
          <w:szCs w:val="24"/>
        </w:rPr>
        <w:t>περίπτ</w:t>
      </w:r>
      <w:proofErr w:type="spellEnd"/>
      <w:r w:rsidRPr="00714B37">
        <w:rPr>
          <w:rFonts w:ascii="Arial" w:hAnsi="Arial" w:cs="Arial"/>
          <w:color w:val="000000"/>
          <w:sz w:val="24"/>
          <w:szCs w:val="24"/>
        </w:rPr>
        <w:t xml:space="preserve">. </w:t>
      </w:r>
      <w:proofErr w:type="spellStart"/>
      <w:r w:rsidRPr="00714B37">
        <w:rPr>
          <w:rFonts w:ascii="Arial" w:hAnsi="Arial" w:cs="Arial"/>
          <w:color w:val="000000"/>
          <w:sz w:val="24"/>
          <w:szCs w:val="24"/>
        </w:rPr>
        <w:t>β΄</w:t>
      </w:r>
      <w:proofErr w:type="spellEnd"/>
      <w:r w:rsidRPr="00714B37">
        <w:rPr>
          <w:rFonts w:ascii="Arial" w:hAnsi="Arial" w:cs="Arial"/>
          <w:color w:val="000000"/>
          <w:sz w:val="24"/>
          <w:szCs w:val="24"/>
        </w:rPr>
        <w:t xml:space="preserve"> της παρ. 1, </w:t>
      </w:r>
      <w:r w:rsidRPr="0062364D">
        <w:rPr>
          <w:rFonts w:ascii="Arial" w:hAnsi="Arial" w:cs="Arial"/>
          <w:color w:val="000000"/>
          <w:sz w:val="24"/>
          <w:szCs w:val="24"/>
        </w:rPr>
        <w:t>δύναται να</w:t>
      </w:r>
      <w:r w:rsidRPr="00714B37">
        <w:rPr>
          <w:rFonts w:ascii="Arial" w:hAnsi="Arial" w:cs="Arial"/>
          <w:color w:val="000000"/>
          <w:sz w:val="24"/>
          <w:szCs w:val="24"/>
        </w:rPr>
        <w:t xml:space="preserve"> πιστώνεται σε τραπεζικό λογαριασμό μέχρι και του τελικού δικαιούχου, και εκτός του ελληνικού τραπεζικού συστήματος, εφόσον μέσω του λογαριασμού αυτού γινόταν η εκκαθάριση και ο διακανονισμός των συναλλαγών του οικείου επενδυτικού λογαριασμού πριν από την έναρξη της τραπεζικής αργίας της 28ης Ιουνίου 2015. Εφόσον οι οικείες συναλλαγές καταρτίζονται εκτός οργανωμένων αγορών ή</w:t>
      </w:r>
      <w:r w:rsidR="006622D3">
        <w:rPr>
          <w:rFonts w:ascii="Arial" w:hAnsi="Arial" w:cs="Arial"/>
          <w:color w:val="000000"/>
          <w:sz w:val="24"/>
          <w:szCs w:val="24"/>
        </w:rPr>
        <w:t xml:space="preserve"> </w:t>
      </w:r>
      <w:r w:rsidR="00CA0E41">
        <w:rPr>
          <w:rFonts w:ascii="Arial" w:hAnsi="Arial" w:cs="Arial"/>
          <w:color w:val="000000"/>
          <w:sz w:val="24"/>
          <w:szCs w:val="24"/>
        </w:rPr>
        <w:t xml:space="preserve">ΠΜΔ </w:t>
      </w:r>
      <w:r w:rsidRPr="00714B37">
        <w:rPr>
          <w:rFonts w:ascii="Arial" w:hAnsi="Arial" w:cs="Arial"/>
          <w:color w:val="000000"/>
          <w:sz w:val="24"/>
          <w:szCs w:val="24"/>
        </w:rPr>
        <w:t xml:space="preserve">, ο αιτούμενος τη μεταφορά των κεφαλαίων και το διακανονισμό πρέπει να προσκομίζει στο Ίδρυμα ή το αρμόδιο για την εκκαθάριση και διακανονισμό νομικό πρόσωπο πλήρη τεκμηρίωση της συναλλαγής αυτής, προσκομίζοντας, ενδεικτικά, τα στοιχεία εντολής ή  το έντυπο διακανονισμού, σε ηλεκτρονική ή </w:t>
      </w:r>
      <w:proofErr w:type="spellStart"/>
      <w:r w:rsidRPr="00714B37">
        <w:rPr>
          <w:rFonts w:ascii="Arial" w:hAnsi="Arial" w:cs="Arial"/>
          <w:color w:val="000000"/>
          <w:sz w:val="24"/>
          <w:szCs w:val="24"/>
        </w:rPr>
        <w:t>έγχαρτη</w:t>
      </w:r>
      <w:proofErr w:type="spellEnd"/>
      <w:r w:rsidRPr="00714B37">
        <w:rPr>
          <w:rFonts w:ascii="Arial" w:hAnsi="Arial" w:cs="Arial"/>
          <w:color w:val="000000"/>
          <w:sz w:val="24"/>
          <w:szCs w:val="24"/>
        </w:rPr>
        <w:t xml:space="preserve"> μορφή, που περιλαμβάνει τα στοιχεία και τις λεπτομέρειες του διακανονισμού, ή και άλλα στοιχεία της συναλλαγής, που τεκμηριώνουν τη διενέργειά της. Ως λογαριασμοί τηρούμενοι στο ελληνικό τραπεζικό σύστημα νοούνται οι λογαριασμοί που αντικρίζονται με λογιστικές εγγραφές στην Τράπεζα της Ελλάδος και το IBAN του οικείου ιδρύματος φέρει το πρόσημο GR. Η πίστωση του προϊόντος εκκαθάρισης και διακανονισμού σε τραπεζικό λογαριασμό μέχρι και του τελικού δικαιούχου και εκτός του ελληνικού τραπεζικού συστήματος δύναται να πραγματοποιείται και για νέους επενδυτικούς λογαριασμούς, εφόσον τα κεφάλαια μέσω των οποίων έχουν πραγματοποιηθεί οι αγορές ή το άνοιγμα θέσεων επί παραγώγων έχουν εισρεύσει από τραπεζικούς λογαριασμούς του εξωτερικού.</w:t>
      </w:r>
    </w:p>
    <w:p w:rsidR="00714B37" w:rsidRP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6.  </w:t>
      </w:r>
      <w:r w:rsidR="00CA0E41" w:rsidRPr="0062364D">
        <w:rPr>
          <w:rFonts w:ascii="Arial" w:hAnsi="Arial" w:cs="Arial"/>
          <w:color w:val="000000"/>
          <w:sz w:val="24"/>
          <w:szCs w:val="24"/>
        </w:rPr>
        <w:t>Ε</w:t>
      </w:r>
      <w:r w:rsidRPr="0062364D">
        <w:rPr>
          <w:rFonts w:ascii="Arial" w:hAnsi="Arial" w:cs="Arial"/>
          <w:color w:val="000000"/>
          <w:sz w:val="24"/>
          <w:szCs w:val="24"/>
        </w:rPr>
        <w:t>πιτρέπονται μεταφορές κεφαλαίων από Ί</w:t>
      </w:r>
      <w:r w:rsidRPr="00714B37">
        <w:rPr>
          <w:rFonts w:ascii="Arial" w:hAnsi="Arial" w:cs="Arial"/>
          <w:color w:val="000000"/>
          <w:sz w:val="24"/>
          <w:szCs w:val="24"/>
        </w:rPr>
        <w:t xml:space="preserve">δρυμα, και εκτός Ελλάδος, για  να καθίσταται δυνατή η επανεπένδυση διαθεσίμων α) ΟΣΕΚΑ του ν. 4099/2012, όπως ισχύει, που έχουν </w:t>
      </w:r>
      <w:proofErr w:type="spellStart"/>
      <w:r w:rsidRPr="00714B37">
        <w:rPr>
          <w:rFonts w:ascii="Arial" w:hAnsi="Arial" w:cs="Arial"/>
          <w:color w:val="000000"/>
          <w:sz w:val="24"/>
          <w:szCs w:val="24"/>
        </w:rPr>
        <w:t>αδειοδοτηθεί</w:t>
      </w:r>
      <w:proofErr w:type="spellEnd"/>
      <w:r w:rsidRPr="00714B37">
        <w:rPr>
          <w:rFonts w:ascii="Arial" w:hAnsi="Arial" w:cs="Arial"/>
          <w:color w:val="000000"/>
          <w:sz w:val="24"/>
          <w:szCs w:val="24"/>
        </w:rPr>
        <w:t xml:space="preserve">  από την Επιτροπή Κεφαλαιαγοράς, ΟΕΕ του ν. 4209/2013 που αποτελούν αντικείμενο διαχείρισης ΑΕΔΟΕΕ που έχουν </w:t>
      </w:r>
      <w:proofErr w:type="spellStart"/>
      <w:r w:rsidRPr="00714B37">
        <w:rPr>
          <w:rFonts w:ascii="Arial" w:hAnsi="Arial" w:cs="Arial"/>
          <w:color w:val="000000"/>
          <w:sz w:val="24"/>
          <w:szCs w:val="24"/>
        </w:rPr>
        <w:t>αδειοδοτηθεί</w:t>
      </w:r>
      <w:proofErr w:type="spellEnd"/>
      <w:r w:rsidRPr="00714B37">
        <w:rPr>
          <w:rFonts w:ascii="Arial" w:hAnsi="Arial" w:cs="Arial"/>
          <w:color w:val="000000"/>
          <w:sz w:val="24"/>
          <w:szCs w:val="24"/>
        </w:rPr>
        <w:t xml:space="preserve"> από την Επιτροπή Κεφαλαιαγοράς, β) ανώνυμων εταιριών επενδύσεων χαρτοφυλακίου του ν. 3371/2005, γ) ασφαλιστικών εταιριών του </w:t>
      </w:r>
      <w:proofErr w:type="spellStart"/>
      <w:r w:rsidRPr="00714B37">
        <w:rPr>
          <w:rFonts w:ascii="Arial" w:hAnsi="Arial" w:cs="Arial"/>
          <w:color w:val="000000"/>
          <w:sz w:val="24"/>
          <w:szCs w:val="24"/>
        </w:rPr>
        <w:t>ν.δ</w:t>
      </w:r>
      <w:proofErr w:type="spellEnd"/>
      <w:r w:rsidRPr="00714B37">
        <w:rPr>
          <w:rFonts w:ascii="Arial" w:hAnsi="Arial" w:cs="Arial"/>
          <w:color w:val="000000"/>
          <w:sz w:val="24"/>
          <w:szCs w:val="24"/>
        </w:rPr>
        <w:t xml:space="preserve">. 400/1970, δ) ταμείων επαγγελματικής ασφάλισης και ε) ασφαλιστικών οργανισμών/ φορέων κοινωνικής ασφάλισης, τα οποία διαθέσιμα είναι τοποθετημένα σε χρηματοπιστωτικά μέσα του εξωτερικού. Η επανεπένδυση θα γίνεται σε χρηματοπιστωτικά μέσα σύμφωνα με τη σημερινή επενδυτική πολιτική των ανωτέρω, δεν θα υπερβαίνει σε αξία,  την εκάστοτε διαμορφούμενη αξία του χαρτοφυλακίου που είναι </w:t>
      </w:r>
      <w:proofErr w:type="spellStart"/>
      <w:r w:rsidRPr="00714B37">
        <w:rPr>
          <w:rFonts w:ascii="Arial" w:hAnsi="Arial" w:cs="Arial"/>
          <w:color w:val="000000"/>
          <w:sz w:val="24"/>
          <w:szCs w:val="24"/>
        </w:rPr>
        <w:t>επενδεδυμένο</w:t>
      </w:r>
      <w:proofErr w:type="spellEnd"/>
      <w:r w:rsidRPr="00714B37">
        <w:rPr>
          <w:rFonts w:ascii="Arial" w:hAnsi="Arial" w:cs="Arial"/>
          <w:color w:val="000000"/>
          <w:sz w:val="24"/>
          <w:szCs w:val="24"/>
        </w:rPr>
        <w:t xml:space="preserve"> στο εξωτερικό κατά την έκδοση της παρούσας, και θα αφορά ιδίως τα διαθέσιμα που προέρχονται από πωλήσεις χρηματοπιστωτικών μέσων που αποτελούν αντικείμενο διαπραγμάτευσης σε οργανωμένες αγορές και ΠΜΔ του εξωτερικού, εξόφληση τέτοιων χρηματοπιστωτικών μέσων ή διανομές συνδεόμενες με αυτά τα χρηματοπιστωτικά μέσα.</w:t>
      </w:r>
    </w:p>
    <w:p w:rsidR="00714B37" w:rsidRDefault="00714B37" w:rsidP="00714B37">
      <w:pPr>
        <w:pStyle w:val="-HTML"/>
        <w:shd w:val="clear" w:color="auto" w:fill="FFFFFF"/>
        <w:tabs>
          <w:tab w:val="left" w:pos="426"/>
          <w:tab w:val="left" w:pos="1418"/>
          <w:tab w:val="left" w:pos="8505"/>
          <w:tab w:val="left" w:pos="9214"/>
        </w:tabs>
        <w:ind w:right="96"/>
        <w:jc w:val="both"/>
        <w:rPr>
          <w:rFonts w:ascii="Arial" w:hAnsi="Arial" w:cs="Arial"/>
          <w:color w:val="000000"/>
          <w:sz w:val="24"/>
          <w:szCs w:val="24"/>
        </w:rPr>
      </w:pPr>
    </w:p>
    <w:p w:rsidR="00CA0E41" w:rsidRDefault="00CA0E41" w:rsidP="006622D3">
      <w:pPr>
        <w:pStyle w:val="-HTML"/>
        <w:shd w:val="clear" w:color="auto" w:fill="FFFFFF"/>
        <w:tabs>
          <w:tab w:val="left" w:pos="426"/>
          <w:tab w:val="left" w:pos="1418"/>
          <w:tab w:val="left" w:pos="8505"/>
          <w:tab w:val="left" w:pos="9214"/>
        </w:tabs>
        <w:ind w:right="96"/>
        <w:jc w:val="center"/>
        <w:rPr>
          <w:rFonts w:ascii="Arial" w:hAnsi="Arial" w:cs="Arial"/>
          <w:color w:val="000000"/>
          <w:sz w:val="24"/>
          <w:szCs w:val="24"/>
        </w:rPr>
      </w:pPr>
      <w:r>
        <w:rPr>
          <w:rFonts w:ascii="Arial" w:hAnsi="Arial" w:cs="Arial"/>
          <w:color w:val="000000"/>
          <w:sz w:val="24"/>
          <w:szCs w:val="24"/>
        </w:rPr>
        <w:t>Άρθρο 2</w:t>
      </w:r>
    </w:p>
    <w:p w:rsidR="006622D3" w:rsidRPr="00714B37" w:rsidRDefault="006622D3" w:rsidP="006622D3">
      <w:pPr>
        <w:pStyle w:val="-HTML"/>
        <w:shd w:val="clear" w:color="auto" w:fill="FFFFFF"/>
        <w:tabs>
          <w:tab w:val="left" w:pos="426"/>
          <w:tab w:val="left" w:pos="1418"/>
          <w:tab w:val="left" w:pos="8505"/>
          <w:tab w:val="left" w:pos="9214"/>
        </w:tabs>
        <w:ind w:right="96"/>
        <w:jc w:val="center"/>
        <w:rPr>
          <w:rFonts w:ascii="Arial" w:hAnsi="Arial" w:cs="Arial"/>
          <w:color w:val="000000"/>
          <w:sz w:val="24"/>
          <w:szCs w:val="24"/>
        </w:rPr>
      </w:pPr>
    </w:p>
    <w:p w:rsidR="00714B37" w:rsidRDefault="00714B37" w:rsidP="00714B37">
      <w:pPr>
        <w:pStyle w:val="-HTML"/>
        <w:shd w:val="clear" w:color="auto" w:fill="FFFFFF"/>
        <w:tabs>
          <w:tab w:val="clear" w:pos="916"/>
          <w:tab w:val="clear" w:pos="9160"/>
          <w:tab w:val="left" w:pos="426"/>
          <w:tab w:val="left" w:pos="1418"/>
          <w:tab w:val="left" w:pos="8505"/>
          <w:tab w:val="left" w:pos="9214"/>
        </w:tabs>
        <w:ind w:right="96"/>
        <w:jc w:val="both"/>
        <w:rPr>
          <w:rFonts w:ascii="Arial" w:hAnsi="Arial" w:cs="Arial"/>
          <w:color w:val="000000"/>
          <w:sz w:val="24"/>
          <w:szCs w:val="24"/>
        </w:rPr>
      </w:pPr>
      <w:r w:rsidRPr="00714B37">
        <w:rPr>
          <w:rFonts w:ascii="Arial" w:hAnsi="Arial" w:cs="Arial"/>
          <w:color w:val="000000"/>
          <w:sz w:val="24"/>
          <w:szCs w:val="24"/>
        </w:rPr>
        <w:t xml:space="preserve">Η απαγόρευση του στοιχείου </w:t>
      </w:r>
      <w:proofErr w:type="spellStart"/>
      <w:r w:rsidRPr="00714B37">
        <w:rPr>
          <w:rFonts w:ascii="Arial" w:hAnsi="Arial" w:cs="Arial"/>
          <w:color w:val="000000"/>
          <w:sz w:val="24"/>
          <w:szCs w:val="24"/>
        </w:rPr>
        <w:t>γ΄</w:t>
      </w:r>
      <w:proofErr w:type="spellEnd"/>
      <w:r w:rsidRPr="00714B37">
        <w:rPr>
          <w:rFonts w:ascii="Arial" w:hAnsi="Arial" w:cs="Arial"/>
          <w:color w:val="000000"/>
          <w:sz w:val="24"/>
          <w:szCs w:val="24"/>
        </w:rPr>
        <w:t xml:space="preserve"> της παρ. 10 του άρθρου πρώτου της από 18 Ιουλίου 2015 Πράξης Νομοθετικού Περιεχομένου δεν καταλαμβάνει τη μεταφορά χρηματοπιστωτικών μέσων σε  θεματοφύλακα εκτός Ελλάδος προς εκκαθάριση και διακανονισμό συναλλαγών επί των εν λόγω χρηματοπιστωτικών μέσων. Εφόσον οι οικείες συναλλαγές καταρτίζονται εκτός οργανωμένων αγορών ή</w:t>
      </w:r>
      <w:r w:rsidR="002C3F6F">
        <w:rPr>
          <w:rFonts w:ascii="Arial" w:hAnsi="Arial" w:cs="Arial"/>
          <w:color w:val="000000"/>
          <w:sz w:val="24"/>
          <w:szCs w:val="24"/>
        </w:rPr>
        <w:t xml:space="preserve"> </w:t>
      </w:r>
      <w:r w:rsidR="00CA0E41">
        <w:rPr>
          <w:rFonts w:ascii="Arial" w:hAnsi="Arial" w:cs="Arial"/>
          <w:color w:val="000000"/>
          <w:sz w:val="24"/>
          <w:szCs w:val="24"/>
        </w:rPr>
        <w:t>ΠΜΔ</w:t>
      </w:r>
      <w:r w:rsidRPr="00714B37">
        <w:rPr>
          <w:rFonts w:ascii="Arial" w:hAnsi="Arial" w:cs="Arial"/>
          <w:color w:val="000000"/>
          <w:sz w:val="24"/>
          <w:szCs w:val="24"/>
        </w:rPr>
        <w:t xml:space="preserve">, </w:t>
      </w:r>
      <w:r w:rsidR="00CA0E41" w:rsidRPr="0062364D">
        <w:rPr>
          <w:rFonts w:ascii="Arial" w:hAnsi="Arial" w:cs="Arial"/>
          <w:color w:val="000000"/>
          <w:sz w:val="24"/>
          <w:szCs w:val="24"/>
        </w:rPr>
        <w:t xml:space="preserve">όπως </w:t>
      </w:r>
      <w:r w:rsidRPr="0062364D">
        <w:rPr>
          <w:rFonts w:ascii="Arial" w:hAnsi="Arial" w:cs="Arial"/>
          <w:color w:val="000000"/>
          <w:sz w:val="24"/>
          <w:szCs w:val="24"/>
        </w:rPr>
        <w:t xml:space="preserve">ενδεικτικώς σε περίπτωση </w:t>
      </w:r>
      <w:r w:rsidRPr="0062364D">
        <w:rPr>
          <w:rFonts w:ascii="Arial" w:hAnsi="Arial" w:cs="Arial"/>
          <w:color w:val="000000"/>
          <w:sz w:val="24"/>
          <w:szCs w:val="24"/>
        </w:rPr>
        <w:lastRenderedPageBreak/>
        <w:t>σύστασης ενεχύρου,</w:t>
      </w:r>
      <w:r w:rsidRPr="00714B37">
        <w:rPr>
          <w:rFonts w:ascii="Arial" w:hAnsi="Arial" w:cs="Arial"/>
          <w:color w:val="000000"/>
          <w:sz w:val="24"/>
          <w:szCs w:val="24"/>
        </w:rPr>
        <w:t xml:space="preserve"> ο αιτούμενος τη μεταφορά των χρηματοπιστωτικών μέσων, στο πλαίσιο του διακανονισμού, πρέπει να προσκομίζει στον οικείο θεματοφύλακα πλήρη τεκμηρίωση της συναλλαγής, προσκομίζοντας, ενδεικτικά, τα στοιχεία της συναλλαγής σε συνδυασμό με την εντολή μεταφοράς τίτλων, το έντυπο διακανονισμού σε ηλεκτρονική ή </w:t>
      </w:r>
      <w:proofErr w:type="spellStart"/>
      <w:r w:rsidRPr="00714B37">
        <w:rPr>
          <w:rFonts w:ascii="Arial" w:hAnsi="Arial" w:cs="Arial"/>
          <w:color w:val="000000"/>
          <w:sz w:val="24"/>
          <w:szCs w:val="24"/>
        </w:rPr>
        <w:t>έγχαρτη</w:t>
      </w:r>
      <w:proofErr w:type="spellEnd"/>
      <w:r w:rsidRPr="00714B37">
        <w:rPr>
          <w:rFonts w:ascii="Arial" w:hAnsi="Arial" w:cs="Arial"/>
          <w:color w:val="000000"/>
          <w:sz w:val="24"/>
          <w:szCs w:val="24"/>
        </w:rPr>
        <w:t xml:space="preserve"> μορφή που περιλαμβάνει τα στοιχεία και τις λεπτομέρειες του διακανονισμού και της υποκείμενης συναλλαγής ή άλλα στοιχεία αυτής, που</w:t>
      </w:r>
      <w:r>
        <w:rPr>
          <w:rFonts w:ascii="Arial" w:hAnsi="Arial" w:cs="Arial"/>
          <w:color w:val="000000"/>
          <w:sz w:val="24"/>
          <w:szCs w:val="24"/>
        </w:rPr>
        <w:t xml:space="preserve"> τεκμηριώνουν τη διενέργειά της</w:t>
      </w:r>
      <w:r w:rsidRPr="00714B37">
        <w:rPr>
          <w:rFonts w:ascii="Arial" w:hAnsi="Arial" w:cs="Arial"/>
          <w:color w:val="000000"/>
          <w:sz w:val="24"/>
          <w:szCs w:val="24"/>
        </w:rPr>
        <w:t xml:space="preserve">. </w:t>
      </w:r>
    </w:p>
    <w:p w:rsidR="00714B37" w:rsidRDefault="00714B37" w:rsidP="00714B37">
      <w:pPr>
        <w:pStyle w:val="-HTML"/>
        <w:shd w:val="clear" w:color="auto" w:fill="FFFFFF"/>
        <w:tabs>
          <w:tab w:val="clear" w:pos="916"/>
          <w:tab w:val="clear" w:pos="9160"/>
          <w:tab w:val="left" w:pos="426"/>
          <w:tab w:val="left" w:pos="1418"/>
          <w:tab w:val="left" w:pos="8505"/>
          <w:tab w:val="left" w:pos="9214"/>
        </w:tabs>
        <w:ind w:right="96"/>
        <w:jc w:val="both"/>
        <w:rPr>
          <w:rFonts w:ascii="Arial" w:hAnsi="Arial" w:cs="Arial"/>
          <w:color w:val="000000"/>
          <w:sz w:val="24"/>
          <w:szCs w:val="24"/>
        </w:rPr>
      </w:pPr>
    </w:p>
    <w:p w:rsidR="001A02E2" w:rsidRPr="00775428" w:rsidRDefault="001A02E2" w:rsidP="00714B37">
      <w:pPr>
        <w:pStyle w:val="-HTML"/>
        <w:shd w:val="clear" w:color="auto" w:fill="FFFFFF"/>
        <w:tabs>
          <w:tab w:val="clear" w:pos="916"/>
          <w:tab w:val="clear" w:pos="9160"/>
          <w:tab w:val="left" w:pos="426"/>
          <w:tab w:val="left" w:pos="1418"/>
          <w:tab w:val="left" w:pos="8505"/>
          <w:tab w:val="left" w:pos="9214"/>
        </w:tabs>
        <w:ind w:right="96"/>
        <w:jc w:val="both"/>
        <w:rPr>
          <w:rFonts w:ascii="Arial" w:hAnsi="Arial" w:cs="Arial"/>
          <w:color w:val="000000"/>
          <w:sz w:val="24"/>
          <w:szCs w:val="24"/>
        </w:rPr>
      </w:pPr>
      <w:r w:rsidRPr="00775428">
        <w:rPr>
          <w:rFonts w:ascii="Arial" w:hAnsi="Arial" w:cs="Arial"/>
          <w:color w:val="000000"/>
          <w:sz w:val="24"/>
          <w:szCs w:val="24"/>
        </w:rPr>
        <w:t xml:space="preserve">Η παρούσα </w:t>
      </w:r>
      <w:r w:rsidR="00EB70BB" w:rsidRPr="00775428">
        <w:rPr>
          <w:rFonts w:ascii="Arial" w:hAnsi="Arial" w:cs="Arial"/>
          <w:color w:val="000000"/>
          <w:sz w:val="24"/>
          <w:szCs w:val="24"/>
        </w:rPr>
        <w:t>ι</w:t>
      </w:r>
      <w:r w:rsidRPr="00775428">
        <w:rPr>
          <w:rFonts w:ascii="Arial" w:hAnsi="Arial" w:cs="Arial"/>
          <w:color w:val="000000"/>
          <w:sz w:val="24"/>
          <w:szCs w:val="24"/>
        </w:rPr>
        <w:t>σχύει από τη δημοσίευσή της στην Εφημερίδα της Κυβερνήσεως</w:t>
      </w:r>
      <w:r w:rsidR="002124E5" w:rsidRPr="00775428">
        <w:rPr>
          <w:rFonts w:ascii="Arial" w:hAnsi="Arial" w:cs="Arial"/>
          <w:color w:val="000000"/>
          <w:sz w:val="24"/>
          <w:szCs w:val="24"/>
        </w:rPr>
        <w:t>.</w:t>
      </w:r>
    </w:p>
    <w:p w:rsidR="004408D5" w:rsidRPr="00775428" w:rsidRDefault="004408D5" w:rsidP="001F63AF">
      <w:pPr>
        <w:spacing w:after="0"/>
        <w:rPr>
          <w:rFonts w:ascii="Arial" w:hAnsi="Arial" w:cs="Arial"/>
          <w:sz w:val="24"/>
          <w:szCs w:val="24"/>
        </w:rPr>
      </w:pPr>
    </w:p>
    <w:p w:rsidR="00F44EF7" w:rsidRDefault="001A02E2" w:rsidP="001F63AF">
      <w:pPr>
        <w:spacing w:after="0"/>
        <w:rPr>
          <w:rFonts w:ascii="Arial" w:hAnsi="Arial" w:cs="Arial"/>
          <w:sz w:val="24"/>
          <w:szCs w:val="24"/>
        </w:rPr>
      </w:pPr>
      <w:r w:rsidRPr="00775428">
        <w:rPr>
          <w:rFonts w:ascii="Arial" w:hAnsi="Arial" w:cs="Arial"/>
          <w:sz w:val="24"/>
          <w:szCs w:val="24"/>
        </w:rPr>
        <w:t>Η</w:t>
      </w:r>
      <w:r w:rsidR="00EB70BB" w:rsidRPr="00775428">
        <w:rPr>
          <w:rFonts w:ascii="Arial" w:hAnsi="Arial" w:cs="Arial"/>
          <w:sz w:val="24"/>
          <w:szCs w:val="24"/>
        </w:rPr>
        <w:t xml:space="preserve"> </w:t>
      </w:r>
      <w:r w:rsidRPr="00775428">
        <w:rPr>
          <w:rFonts w:ascii="Arial" w:hAnsi="Arial" w:cs="Arial"/>
          <w:sz w:val="24"/>
          <w:szCs w:val="24"/>
        </w:rPr>
        <w:t xml:space="preserve">απόφαση </w:t>
      </w:r>
      <w:r w:rsidR="00086C5A">
        <w:rPr>
          <w:rFonts w:ascii="Arial" w:hAnsi="Arial" w:cs="Arial"/>
          <w:sz w:val="24"/>
          <w:szCs w:val="24"/>
        </w:rPr>
        <w:t xml:space="preserve">αυτή </w:t>
      </w:r>
      <w:r w:rsidRPr="00775428">
        <w:rPr>
          <w:rFonts w:ascii="Arial" w:hAnsi="Arial" w:cs="Arial"/>
          <w:sz w:val="24"/>
          <w:szCs w:val="24"/>
        </w:rPr>
        <w:t>να δημοσιευθεί στην Εφημερίδα της Κυβερνήσεως</w:t>
      </w:r>
      <w:r w:rsidR="00FC2492">
        <w:rPr>
          <w:rFonts w:ascii="Arial" w:hAnsi="Arial" w:cs="Arial"/>
          <w:sz w:val="24"/>
          <w:szCs w:val="24"/>
        </w:rPr>
        <w:t>.</w:t>
      </w:r>
    </w:p>
    <w:p w:rsidR="00FC2492" w:rsidRDefault="00FC2492" w:rsidP="001F63AF">
      <w:pPr>
        <w:spacing w:after="0"/>
        <w:rPr>
          <w:rFonts w:ascii="Arial" w:hAnsi="Arial" w:cs="Arial"/>
          <w:sz w:val="24"/>
          <w:szCs w:val="24"/>
        </w:rPr>
      </w:pPr>
    </w:p>
    <w:p w:rsidR="00FC2492" w:rsidRPr="00194B3D" w:rsidRDefault="00FC2492" w:rsidP="00FC2492">
      <w:pPr>
        <w:ind w:left="5040" w:right="509"/>
        <w:jc w:val="center"/>
        <w:rPr>
          <w:rFonts w:ascii="Arial" w:hAnsi="Arial" w:cs="Arial"/>
          <w:b/>
        </w:rPr>
      </w:pPr>
      <w:r w:rsidRPr="00194B3D">
        <w:rPr>
          <w:rFonts w:ascii="Arial" w:hAnsi="Arial" w:cs="Arial"/>
          <w:b/>
        </w:rPr>
        <w:t xml:space="preserve">Ο </w:t>
      </w:r>
      <w:r>
        <w:rPr>
          <w:rFonts w:ascii="Arial" w:hAnsi="Arial" w:cs="Arial"/>
          <w:b/>
        </w:rPr>
        <w:t>Υπουργός</w:t>
      </w:r>
    </w:p>
    <w:p w:rsidR="00FC2492" w:rsidRDefault="00FC2492" w:rsidP="00FC2492">
      <w:pPr>
        <w:ind w:right="509"/>
        <w:rPr>
          <w:rFonts w:ascii="Arial" w:hAnsi="Arial" w:cs="Arial"/>
          <w:b/>
          <w:bCs/>
        </w:rPr>
      </w:pPr>
    </w:p>
    <w:p w:rsidR="00FC2492" w:rsidRPr="00194B3D" w:rsidRDefault="00FC2492" w:rsidP="00FC2492">
      <w:pPr>
        <w:ind w:left="5040" w:right="509"/>
        <w:jc w:val="center"/>
        <w:rPr>
          <w:rFonts w:ascii="Arial" w:hAnsi="Arial" w:cs="Arial"/>
          <w:b/>
          <w:bCs/>
        </w:rPr>
      </w:pPr>
      <w:r>
        <w:rPr>
          <w:rFonts w:ascii="Arial" w:hAnsi="Arial" w:cs="Arial"/>
          <w:b/>
          <w:bCs/>
        </w:rPr>
        <w:t xml:space="preserve">Ευκλείδης </w:t>
      </w:r>
      <w:proofErr w:type="spellStart"/>
      <w:r>
        <w:rPr>
          <w:rFonts w:ascii="Arial" w:hAnsi="Arial" w:cs="Arial"/>
          <w:b/>
          <w:bCs/>
        </w:rPr>
        <w:t>Τσακαλώτος</w:t>
      </w:r>
      <w:proofErr w:type="spellEnd"/>
    </w:p>
    <w:p w:rsidR="00FC2492" w:rsidRDefault="00FC2492" w:rsidP="001F63AF">
      <w:pPr>
        <w:spacing w:after="0"/>
        <w:rPr>
          <w:b/>
          <w:sz w:val="24"/>
          <w:szCs w:val="24"/>
          <w:u w:val="single"/>
        </w:rPr>
      </w:pPr>
    </w:p>
    <w:sectPr w:rsidR="00FC2492" w:rsidSect="00086C5A">
      <w:footerReference w:type="even"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97E" w:rsidRDefault="0005097E">
      <w:r>
        <w:separator/>
      </w:r>
    </w:p>
  </w:endnote>
  <w:endnote w:type="continuationSeparator" w:id="0">
    <w:p w:rsidR="0005097E" w:rsidRDefault="00050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CA" w:rsidRDefault="00576766" w:rsidP="00C17115">
    <w:pPr>
      <w:pStyle w:val="a3"/>
      <w:framePr w:wrap="around" w:vAnchor="text" w:hAnchor="margin" w:xAlign="right" w:y="1"/>
      <w:rPr>
        <w:rStyle w:val="a4"/>
      </w:rPr>
    </w:pPr>
    <w:r>
      <w:rPr>
        <w:rStyle w:val="a4"/>
      </w:rPr>
      <w:fldChar w:fldCharType="begin"/>
    </w:r>
    <w:r w:rsidR="005970CA">
      <w:rPr>
        <w:rStyle w:val="a4"/>
      </w:rPr>
      <w:instrText xml:space="preserve">PAGE  </w:instrText>
    </w:r>
    <w:r>
      <w:rPr>
        <w:rStyle w:val="a4"/>
      </w:rPr>
      <w:fldChar w:fldCharType="separate"/>
    </w:r>
    <w:r w:rsidR="00FE61BD">
      <w:rPr>
        <w:rStyle w:val="a4"/>
        <w:noProof/>
      </w:rPr>
      <w:t>4</w:t>
    </w:r>
    <w:r>
      <w:rPr>
        <w:rStyle w:val="a4"/>
      </w:rPr>
      <w:fldChar w:fldCharType="end"/>
    </w:r>
  </w:p>
  <w:p w:rsidR="005970CA" w:rsidRDefault="005970CA" w:rsidP="001A02E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CA" w:rsidRDefault="00576766" w:rsidP="00C17115">
    <w:pPr>
      <w:pStyle w:val="a3"/>
      <w:framePr w:wrap="around" w:vAnchor="text" w:hAnchor="margin" w:xAlign="right" w:y="1"/>
      <w:rPr>
        <w:rStyle w:val="a4"/>
      </w:rPr>
    </w:pPr>
    <w:r>
      <w:rPr>
        <w:rStyle w:val="a4"/>
      </w:rPr>
      <w:fldChar w:fldCharType="begin"/>
    </w:r>
    <w:r w:rsidR="005970CA">
      <w:rPr>
        <w:rStyle w:val="a4"/>
      </w:rPr>
      <w:instrText xml:space="preserve">PAGE  </w:instrText>
    </w:r>
    <w:r>
      <w:rPr>
        <w:rStyle w:val="a4"/>
      </w:rPr>
      <w:fldChar w:fldCharType="separate"/>
    </w:r>
    <w:r w:rsidR="008C62FA">
      <w:rPr>
        <w:rStyle w:val="a4"/>
        <w:noProof/>
      </w:rPr>
      <w:t>5</w:t>
    </w:r>
    <w:r>
      <w:rPr>
        <w:rStyle w:val="a4"/>
      </w:rPr>
      <w:fldChar w:fldCharType="end"/>
    </w:r>
  </w:p>
  <w:p w:rsidR="005970CA" w:rsidRDefault="005970CA" w:rsidP="001A02E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97E" w:rsidRDefault="0005097E">
      <w:r>
        <w:separator/>
      </w:r>
    </w:p>
  </w:footnote>
  <w:footnote w:type="continuationSeparator" w:id="0">
    <w:p w:rsidR="0005097E" w:rsidRDefault="00050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5FF7"/>
    <w:multiLevelType w:val="hybridMultilevel"/>
    <w:tmpl w:val="EFD44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AF5C89"/>
    <w:multiLevelType w:val="hybridMultilevel"/>
    <w:tmpl w:val="11206DAC"/>
    <w:lvl w:ilvl="0" w:tplc="0408000F">
      <w:start w:val="1"/>
      <w:numFmt w:val="decimal"/>
      <w:lvlText w:val="%1."/>
      <w:lvlJc w:val="left"/>
      <w:pPr>
        <w:tabs>
          <w:tab w:val="num" w:pos="720"/>
        </w:tabs>
        <w:ind w:left="720" w:hanging="360"/>
      </w:pPr>
      <w:rPr>
        <w:rFonts w:hint="default"/>
      </w:rPr>
    </w:lvl>
    <w:lvl w:ilvl="1" w:tplc="F1FAB1FE">
      <w:start w:val="1"/>
      <w:numFmt w:val="bullet"/>
      <w:lvlText w:val="-"/>
      <w:lvlJc w:val="left"/>
      <w:pPr>
        <w:tabs>
          <w:tab w:val="num" w:pos="1440"/>
        </w:tabs>
        <w:ind w:left="1440" w:hanging="360"/>
      </w:pPr>
      <w:rPr>
        <w:rFonts w:ascii="Calibri" w:eastAsia="Calibri" w:hAnsi="Calibri"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806219B"/>
    <w:multiLevelType w:val="hybridMultilevel"/>
    <w:tmpl w:val="629C57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82F5EA6"/>
    <w:multiLevelType w:val="hybridMultilevel"/>
    <w:tmpl w:val="BD084F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D355275"/>
    <w:multiLevelType w:val="hybridMultilevel"/>
    <w:tmpl w:val="3D48771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04056B"/>
    <w:rsid w:val="00022D77"/>
    <w:rsid w:val="00032568"/>
    <w:rsid w:val="00033B30"/>
    <w:rsid w:val="00037B87"/>
    <w:rsid w:val="0004056B"/>
    <w:rsid w:val="00047A3A"/>
    <w:rsid w:val="0005097E"/>
    <w:rsid w:val="00077359"/>
    <w:rsid w:val="000777D5"/>
    <w:rsid w:val="00086C5A"/>
    <w:rsid w:val="000B7E2E"/>
    <w:rsid w:val="000D6336"/>
    <w:rsid w:val="000F4E50"/>
    <w:rsid w:val="000F5BCB"/>
    <w:rsid w:val="00107C22"/>
    <w:rsid w:val="00130AC3"/>
    <w:rsid w:val="00142116"/>
    <w:rsid w:val="00144841"/>
    <w:rsid w:val="0014715C"/>
    <w:rsid w:val="00177BED"/>
    <w:rsid w:val="001A02E2"/>
    <w:rsid w:val="001A64C9"/>
    <w:rsid w:val="001C4F26"/>
    <w:rsid w:val="001E526B"/>
    <w:rsid w:val="001F63AF"/>
    <w:rsid w:val="001F6D45"/>
    <w:rsid w:val="002124E5"/>
    <w:rsid w:val="00224790"/>
    <w:rsid w:val="002320C6"/>
    <w:rsid w:val="00263051"/>
    <w:rsid w:val="00273E94"/>
    <w:rsid w:val="00282719"/>
    <w:rsid w:val="00282C02"/>
    <w:rsid w:val="0028698B"/>
    <w:rsid w:val="00295F9C"/>
    <w:rsid w:val="002A3257"/>
    <w:rsid w:val="002C3F6F"/>
    <w:rsid w:val="002E238A"/>
    <w:rsid w:val="002E3F8D"/>
    <w:rsid w:val="003213D5"/>
    <w:rsid w:val="00324535"/>
    <w:rsid w:val="0033275D"/>
    <w:rsid w:val="0038154E"/>
    <w:rsid w:val="00381756"/>
    <w:rsid w:val="00387D7F"/>
    <w:rsid w:val="00391BD6"/>
    <w:rsid w:val="003B0668"/>
    <w:rsid w:val="003C4C80"/>
    <w:rsid w:val="003D55C2"/>
    <w:rsid w:val="003D5667"/>
    <w:rsid w:val="004408D5"/>
    <w:rsid w:val="00440DB7"/>
    <w:rsid w:val="0044769A"/>
    <w:rsid w:val="0045610D"/>
    <w:rsid w:val="004826AD"/>
    <w:rsid w:val="004A6269"/>
    <w:rsid w:val="004B6CB0"/>
    <w:rsid w:val="004E0A81"/>
    <w:rsid w:val="004E6DF3"/>
    <w:rsid w:val="0050633C"/>
    <w:rsid w:val="0050634E"/>
    <w:rsid w:val="00530D4F"/>
    <w:rsid w:val="00536087"/>
    <w:rsid w:val="00576766"/>
    <w:rsid w:val="005863A9"/>
    <w:rsid w:val="00595CA3"/>
    <w:rsid w:val="005970CA"/>
    <w:rsid w:val="005D20F8"/>
    <w:rsid w:val="0062364D"/>
    <w:rsid w:val="006275F6"/>
    <w:rsid w:val="00636E20"/>
    <w:rsid w:val="0064154B"/>
    <w:rsid w:val="006439B7"/>
    <w:rsid w:val="00645EE1"/>
    <w:rsid w:val="006622D3"/>
    <w:rsid w:val="006967AD"/>
    <w:rsid w:val="006B32B0"/>
    <w:rsid w:val="006D540D"/>
    <w:rsid w:val="007018DE"/>
    <w:rsid w:val="0071059A"/>
    <w:rsid w:val="00714B37"/>
    <w:rsid w:val="0073095B"/>
    <w:rsid w:val="00756D6D"/>
    <w:rsid w:val="007654C8"/>
    <w:rsid w:val="00766145"/>
    <w:rsid w:val="00775428"/>
    <w:rsid w:val="0077608F"/>
    <w:rsid w:val="007977ED"/>
    <w:rsid w:val="007B24C3"/>
    <w:rsid w:val="00800285"/>
    <w:rsid w:val="00807D58"/>
    <w:rsid w:val="008251B6"/>
    <w:rsid w:val="00856257"/>
    <w:rsid w:val="00856D9E"/>
    <w:rsid w:val="00862C9E"/>
    <w:rsid w:val="00892F6D"/>
    <w:rsid w:val="00895412"/>
    <w:rsid w:val="0089636A"/>
    <w:rsid w:val="008A34F0"/>
    <w:rsid w:val="008C059E"/>
    <w:rsid w:val="008C62FA"/>
    <w:rsid w:val="008D018A"/>
    <w:rsid w:val="008E142A"/>
    <w:rsid w:val="009231A1"/>
    <w:rsid w:val="00923208"/>
    <w:rsid w:val="009339D5"/>
    <w:rsid w:val="009433A5"/>
    <w:rsid w:val="009677DD"/>
    <w:rsid w:val="0097111E"/>
    <w:rsid w:val="00981713"/>
    <w:rsid w:val="00983F71"/>
    <w:rsid w:val="00987D69"/>
    <w:rsid w:val="0099553E"/>
    <w:rsid w:val="009C2B2B"/>
    <w:rsid w:val="009D6B1A"/>
    <w:rsid w:val="009F48DB"/>
    <w:rsid w:val="00A0134B"/>
    <w:rsid w:val="00A05080"/>
    <w:rsid w:val="00A07576"/>
    <w:rsid w:val="00A36988"/>
    <w:rsid w:val="00A95174"/>
    <w:rsid w:val="00AA041F"/>
    <w:rsid w:val="00AB1BA1"/>
    <w:rsid w:val="00B20480"/>
    <w:rsid w:val="00B2769A"/>
    <w:rsid w:val="00B51637"/>
    <w:rsid w:val="00B73999"/>
    <w:rsid w:val="00B835DF"/>
    <w:rsid w:val="00B97C44"/>
    <w:rsid w:val="00BA2482"/>
    <w:rsid w:val="00BC3D38"/>
    <w:rsid w:val="00C00C2A"/>
    <w:rsid w:val="00C03C1C"/>
    <w:rsid w:val="00C17115"/>
    <w:rsid w:val="00C21CDB"/>
    <w:rsid w:val="00C2765F"/>
    <w:rsid w:val="00C43C0E"/>
    <w:rsid w:val="00C62B83"/>
    <w:rsid w:val="00C643E9"/>
    <w:rsid w:val="00C846DE"/>
    <w:rsid w:val="00CA0E41"/>
    <w:rsid w:val="00CA506F"/>
    <w:rsid w:val="00CF5339"/>
    <w:rsid w:val="00D30E03"/>
    <w:rsid w:val="00D626BE"/>
    <w:rsid w:val="00D77232"/>
    <w:rsid w:val="00D945F9"/>
    <w:rsid w:val="00D94ECA"/>
    <w:rsid w:val="00DA450C"/>
    <w:rsid w:val="00DB31FD"/>
    <w:rsid w:val="00DB5DC5"/>
    <w:rsid w:val="00DF02FA"/>
    <w:rsid w:val="00E21C0D"/>
    <w:rsid w:val="00E35F45"/>
    <w:rsid w:val="00E4634F"/>
    <w:rsid w:val="00E476AB"/>
    <w:rsid w:val="00E76150"/>
    <w:rsid w:val="00EB1C6F"/>
    <w:rsid w:val="00EB70BB"/>
    <w:rsid w:val="00EC05F7"/>
    <w:rsid w:val="00ED3CE8"/>
    <w:rsid w:val="00EE60B3"/>
    <w:rsid w:val="00F44EF7"/>
    <w:rsid w:val="00F5431E"/>
    <w:rsid w:val="00F56F4A"/>
    <w:rsid w:val="00F60F7A"/>
    <w:rsid w:val="00F81F06"/>
    <w:rsid w:val="00F9394C"/>
    <w:rsid w:val="00FA33B5"/>
    <w:rsid w:val="00FA67FC"/>
    <w:rsid w:val="00FB6B07"/>
    <w:rsid w:val="00FC2492"/>
    <w:rsid w:val="00FC7D5A"/>
    <w:rsid w:val="00FE61BD"/>
    <w:rsid w:val="00FE6B86"/>
    <w:rsid w:val="00FE7E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7DD"/>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2E2"/>
    <w:pPr>
      <w:tabs>
        <w:tab w:val="center" w:pos="4153"/>
        <w:tab w:val="right" w:pos="8306"/>
      </w:tabs>
    </w:pPr>
  </w:style>
  <w:style w:type="character" w:styleId="a4">
    <w:name w:val="page number"/>
    <w:basedOn w:val="a0"/>
    <w:rsid w:val="001A02E2"/>
  </w:style>
  <w:style w:type="paragraph" w:styleId="-HTML">
    <w:name w:val="HTML Preformatted"/>
    <w:basedOn w:val="a"/>
    <w:link w:val="-HTMLChar"/>
    <w:unhideWhenUsed/>
    <w:rsid w:val="00ED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rsid w:val="00ED3CE8"/>
    <w:rPr>
      <w:rFonts w:ascii="Courier New" w:hAnsi="Courier New"/>
      <w:lang w:bidi="ar-SA"/>
    </w:rPr>
  </w:style>
  <w:style w:type="paragraph" w:styleId="a5">
    <w:name w:val="List Paragraph"/>
    <w:basedOn w:val="a"/>
    <w:uiPriority w:val="99"/>
    <w:qFormat/>
    <w:rsid w:val="00ED3CE8"/>
    <w:pPr>
      <w:spacing w:after="160" w:line="256" w:lineRule="auto"/>
      <w:ind w:left="720"/>
      <w:contextualSpacing/>
    </w:pPr>
  </w:style>
  <w:style w:type="paragraph" w:styleId="a6">
    <w:name w:val="Balloon Text"/>
    <w:basedOn w:val="a"/>
    <w:link w:val="Char"/>
    <w:rsid w:val="00856257"/>
    <w:pPr>
      <w:spacing w:after="0" w:line="240" w:lineRule="auto"/>
    </w:pPr>
    <w:rPr>
      <w:rFonts w:ascii="Segoe UI" w:hAnsi="Segoe UI"/>
      <w:sz w:val="18"/>
      <w:szCs w:val="18"/>
    </w:rPr>
  </w:style>
  <w:style w:type="character" w:customStyle="1" w:styleId="Char">
    <w:name w:val="Κείμενο πλαισίου Char"/>
    <w:link w:val="a6"/>
    <w:rsid w:val="00856257"/>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9778</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matina</dc:creator>
  <cp:lastModifiedBy>Anastasia Kyrianidi Nikolaidi</cp:lastModifiedBy>
  <cp:revision>2</cp:revision>
  <cp:lastPrinted>2015-07-31T11:08:00Z</cp:lastPrinted>
  <dcterms:created xsi:type="dcterms:W3CDTF">2015-07-31T17:09:00Z</dcterms:created>
  <dcterms:modified xsi:type="dcterms:W3CDTF">2015-07-31T17:09:00Z</dcterms:modified>
</cp:coreProperties>
</file>