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F0B5A" w14:textId="60821402" w:rsidR="00A249A6" w:rsidRPr="00A5765C" w:rsidRDefault="00C84FDD" w:rsidP="00A249A6">
      <w:pPr>
        <w:rPr>
          <w:rFonts w:ascii="Ping LCG Regular" w:hAnsi="Ping LCG Regular" w:cs="Arial"/>
          <w:b/>
          <w:spacing w:val="-14"/>
          <w:lang w:val="el-GR"/>
        </w:rPr>
      </w:pPr>
      <w:bookmarkStart w:id="0" w:name="_GoBack"/>
      <w:bookmarkEnd w:id="0"/>
      <w:r>
        <w:rPr>
          <w:rFonts w:ascii="Ping LCG Regular" w:hAnsi="Ping LCG Regular" w:cs="Arial"/>
          <w:b/>
          <w:spacing w:val="-14"/>
          <w:lang w:val="el-GR"/>
        </w:rPr>
        <w:t>30</w:t>
      </w:r>
      <w:r w:rsidR="00A249A6" w:rsidRPr="004C4F51">
        <w:rPr>
          <w:rFonts w:ascii="Ping LCG Regular" w:hAnsi="Ping LCG Regular" w:cs="Arial"/>
          <w:b/>
          <w:spacing w:val="-14"/>
          <w:lang w:val="el-GR"/>
        </w:rPr>
        <w:t xml:space="preserve"> </w:t>
      </w:r>
      <w:r>
        <w:rPr>
          <w:rFonts w:ascii="Ping LCG Regular" w:hAnsi="Ping LCG Regular" w:cs="Arial"/>
          <w:b/>
          <w:spacing w:val="-14"/>
          <w:lang w:val="el-GR"/>
        </w:rPr>
        <w:t>Νοεμβρίου</w:t>
      </w:r>
      <w:r w:rsidR="00A249A6" w:rsidRPr="00D05C62">
        <w:rPr>
          <w:rFonts w:ascii="Ping LCG Regular" w:hAnsi="Ping LCG Regular" w:cs="Arial"/>
          <w:b/>
          <w:spacing w:val="-14"/>
          <w:lang w:val="el-GR"/>
        </w:rPr>
        <w:t xml:space="preserve"> 202</w:t>
      </w:r>
      <w:r w:rsidR="00D952CA" w:rsidRPr="00D05C62">
        <w:rPr>
          <w:rFonts w:ascii="Ping LCG Regular" w:hAnsi="Ping LCG Regular" w:cs="Arial"/>
          <w:b/>
          <w:spacing w:val="-14"/>
          <w:lang w:val="el-GR"/>
        </w:rPr>
        <w:t>1</w:t>
      </w:r>
    </w:p>
    <w:p w14:paraId="78AA2DAA" w14:textId="1264D710" w:rsidR="00A249A6" w:rsidRPr="00A5765C" w:rsidRDefault="00A249A6" w:rsidP="00A249A6">
      <w:pPr>
        <w:rPr>
          <w:rFonts w:ascii="Ping LCG Regular" w:hAnsi="Ping LCG Regular" w:cs="Arial"/>
          <w:b/>
          <w:spacing w:val="-14"/>
          <w:lang w:val="el-GR"/>
        </w:rPr>
      </w:pPr>
    </w:p>
    <w:p w14:paraId="34DC0DE6" w14:textId="53C36D6A" w:rsidR="00A249A6" w:rsidRDefault="00D24192" w:rsidP="00A249A6">
      <w:pPr>
        <w:jc w:val="center"/>
        <w:rPr>
          <w:rFonts w:ascii="Ping LCG Bold" w:hAnsi="Ping LCG Bold" w:cs="Arial"/>
          <w:b/>
          <w:spacing w:val="-14"/>
          <w:sz w:val="26"/>
          <w:szCs w:val="26"/>
          <w:lang w:val="el-GR"/>
        </w:rPr>
      </w:pPr>
      <w:r w:rsidRPr="00D24192">
        <w:rPr>
          <w:rFonts w:ascii="Ping LCG Bold" w:hAnsi="Ping LCG Bold" w:cs="Arial"/>
          <w:b/>
          <w:spacing w:val="-14"/>
          <w:sz w:val="26"/>
          <w:szCs w:val="26"/>
          <w:lang w:val="el-GR"/>
        </w:rPr>
        <w:t>ΑΠΟΤΕΛΕΣΜΑΤΑ  ΕΝΝΕΑΜΗΝΟΥ / Γ’ ΤΡΙΜΗΝΟΥ 2021 ΟΜΙΛΟΥ ΔΕΗ</w:t>
      </w:r>
    </w:p>
    <w:p w14:paraId="0B496071" w14:textId="77777777" w:rsidR="00D24192" w:rsidRPr="00A5765C" w:rsidRDefault="00D24192" w:rsidP="00A249A6">
      <w:pPr>
        <w:jc w:val="center"/>
        <w:rPr>
          <w:rFonts w:ascii="Ping LCG Regular" w:hAnsi="Ping LCG Regular" w:cs="Arial"/>
          <w:b/>
          <w:spacing w:val="-14"/>
          <w:sz w:val="28"/>
          <w:szCs w:val="28"/>
          <w:lang w:val="el-GR"/>
        </w:rPr>
      </w:pPr>
    </w:p>
    <w:p w14:paraId="117C0CDF" w14:textId="0A16B32B" w:rsidR="006307C9" w:rsidRPr="009E0DEA" w:rsidRDefault="00A249A6" w:rsidP="006C2EBB">
      <w:pPr>
        <w:pStyle w:val="ListParagraph"/>
        <w:numPr>
          <w:ilvl w:val="0"/>
          <w:numId w:val="1"/>
        </w:numPr>
        <w:spacing w:before="80" w:after="80"/>
        <w:ind w:left="357" w:hanging="357"/>
        <w:contextualSpacing w:val="0"/>
        <w:jc w:val="both"/>
        <w:rPr>
          <w:rFonts w:ascii="Ping LCG Regular" w:hAnsi="Ping LCG Regular" w:cs="Arial"/>
          <w:b/>
          <w:spacing w:val="-14"/>
          <w:szCs w:val="26"/>
        </w:rPr>
      </w:pPr>
      <w:r w:rsidRPr="009E0DEA">
        <w:rPr>
          <w:rFonts w:ascii="Ping LCG Regular" w:hAnsi="Ping LCG Regular" w:cs="Arial"/>
          <w:b/>
          <w:spacing w:val="-14"/>
          <w:szCs w:val="26"/>
        </w:rPr>
        <w:t>Επαναλαμβανόμενο EBITDA ύψους €</w:t>
      </w:r>
      <w:r w:rsidR="0000478F">
        <w:rPr>
          <w:rFonts w:ascii="Ping LCG Regular" w:hAnsi="Ping LCG Regular" w:cs="Arial"/>
          <w:b/>
          <w:spacing w:val="-14"/>
          <w:szCs w:val="26"/>
        </w:rPr>
        <w:t>6</w:t>
      </w:r>
      <w:r w:rsidR="007E3185" w:rsidRPr="007E3185">
        <w:rPr>
          <w:rFonts w:ascii="Ping LCG Regular" w:hAnsi="Ping LCG Regular" w:cs="Arial"/>
          <w:b/>
          <w:spacing w:val="-14"/>
          <w:szCs w:val="26"/>
        </w:rPr>
        <w:t>2</w:t>
      </w:r>
      <w:r w:rsidR="000D7348" w:rsidRPr="00605E8C">
        <w:rPr>
          <w:rFonts w:ascii="Ping LCG Regular" w:hAnsi="Ping LCG Regular" w:cs="Arial"/>
          <w:b/>
          <w:spacing w:val="-14"/>
          <w:szCs w:val="26"/>
        </w:rPr>
        <w:t>6</w:t>
      </w:r>
      <w:r w:rsidR="00DA0811">
        <w:rPr>
          <w:rFonts w:ascii="Ping LCG Regular" w:hAnsi="Ping LCG Regular" w:cs="Arial"/>
          <w:b/>
          <w:spacing w:val="-14"/>
          <w:szCs w:val="26"/>
        </w:rPr>
        <w:t>,</w:t>
      </w:r>
      <w:r w:rsidR="000D7348" w:rsidRPr="00605E8C">
        <w:rPr>
          <w:rFonts w:ascii="Ping LCG Regular" w:hAnsi="Ping LCG Regular" w:cs="Arial"/>
          <w:b/>
          <w:spacing w:val="-14"/>
          <w:szCs w:val="26"/>
        </w:rPr>
        <w:t>5</w:t>
      </w:r>
      <w:r w:rsidR="00617101" w:rsidRPr="009E0DEA">
        <w:rPr>
          <w:rFonts w:ascii="Ping LCG Regular" w:hAnsi="Ping LCG Regular" w:cs="Arial"/>
          <w:b/>
          <w:spacing w:val="-14"/>
          <w:szCs w:val="26"/>
        </w:rPr>
        <w:t xml:space="preserve"> </w:t>
      </w:r>
      <w:r w:rsidRPr="009E0DEA">
        <w:rPr>
          <w:rFonts w:ascii="Ping LCG Regular" w:hAnsi="Ping LCG Regular" w:cs="Arial"/>
          <w:b/>
          <w:spacing w:val="-14"/>
          <w:szCs w:val="26"/>
        </w:rPr>
        <w:t>εκατ. το</w:t>
      </w:r>
      <w:r w:rsidR="00645440" w:rsidRPr="009E0DEA">
        <w:rPr>
          <w:rFonts w:ascii="Ping LCG Regular" w:hAnsi="Ping LCG Regular" w:cs="Arial"/>
          <w:b/>
          <w:spacing w:val="-14"/>
          <w:szCs w:val="26"/>
        </w:rPr>
        <w:t xml:space="preserve"> </w:t>
      </w:r>
      <w:r w:rsidR="00A63D69">
        <w:rPr>
          <w:rFonts w:ascii="Ping LCG Regular" w:hAnsi="Ping LCG Regular" w:cs="Arial"/>
          <w:b/>
          <w:spacing w:val="-14"/>
          <w:szCs w:val="26"/>
        </w:rPr>
        <w:t>ε</w:t>
      </w:r>
      <w:r w:rsidR="00B26EE8">
        <w:rPr>
          <w:rFonts w:ascii="Ping LCG Regular" w:hAnsi="Ping LCG Regular" w:cs="Arial"/>
          <w:b/>
          <w:spacing w:val="-14"/>
          <w:szCs w:val="26"/>
        </w:rPr>
        <w:t>ννε</w:t>
      </w:r>
      <w:r w:rsidR="00A63D69">
        <w:rPr>
          <w:rFonts w:ascii="Ping LCG Regular" w:hAnsi="Ping LCG Regular" w:cs="Arial"/>
          <w:b/>
          <w:spacing w:val="-14"/>
          <w:szCs w:val="26"/>
        </w:rPr>
        <w:t>άμ</w:t>
      </w:r>
      <w:r w:rsidR="00645440" w:rsidRPr="009E0DEA">
        <w:rPr>
          <w:rFonts w:ascii="Ping LCG Regular" w:hAnsi="Ping LCG Regular" w:cs="Arial"/>
          <w:b/>
          <w:spacing w:val="-14"/>
          <w:szCs w:val="26"/>
        </w:rPr>
        <w:t>ηνο του</w:t>
      </w:r>
      <w:r w:rsidRPr="009E0DEA">
        <w:rPr>
          <w:rFonts w:ascii="Ping LCG Regular" w:hAnsi="Ping LCG Regular" w:cs="Arial"/>
          <w:b/>
          <w:spacing w:val="-14"/>
          <w:szCs w:val="26"/>
        </w:rPr>
        <w:t xml:space="preserve"> 202</w:t>
      </w:r>
      <w:r w:rsidR="00645440" w:rsidRPr="009E0DEA">
        <w:rPr>
          <w:rFonts w:ascii="Ping LCG Regular" w:hAnsi="Ping LCG Regular" w:cs="Arial"/>
          <w:b/>
          <w:spacing w:val="-14"/>
          <w:szCs w:val="26"/>
        </w:rPr>
        <w:t>1</w:t>
      </w:r>
      <w:r w:rsidRPr="009E0DEA">
        <w:rPr>
          <w:rFonts w:ascii="Ping LCG Regular" w:hAnsi="Ping LCG Regular" w:cs="Arial"/>
          <w:b/>
          <w:spacing w:val="-14"/>
          <w:szCs w:val="26"/>
        </w:rPr>
        <w:t xml:space="preserve"> (από €</w:t>
      </w:r>
      <w:r w:rsidR="00DA0811">
        <w:rPr>
          <w:rFonts w:ascii="Ping LCG Regular" w:hAnsi="Ping LCG Regular" w:cs="Arial"/>
          <w:b/>
          <w:spacing w:val="-14"/>
          <w:szCs w:val="26"/>
        </w:rPr>
        <w:t>696</w:t>
      </w:r>
      <w:r w:rsidRPr="009E0DEA">
        <w:rPr>
          <w:rFonts w:ascii="Ping LCG Regular" w:hAnsi="Ping LCG Regular" w:cs="Arial"/>
          <w:b/>
          <w:spacing w:val="-14"/>
          <w:szCs w:val="26"/>
        </w:rPr>
        <w:t xml:space="preserve"> εκατ. </w:t>
      </w:r>
      <w:r w:rsidR="00A63D69">
        <w:rPr>
          <w:rFonts w:ascii="Ping LCG Regular" w:hAnsi="Ping LCG Regular" w:cs="Arial"/>
          <w:b/>
          <w:spacing w:val="-14"/>
          <w:szCs w:val="26"/>
        </w:rPr>
        <w:t>ε</w:t>
      </w:r>
      <w:r w:rsidR="00B26EE8">
        <w:rPr>
          <w:rFonts w:ascii="Ping LCG Regular" w:hAnsi="Ping LCG Regular" w:cs="Arial"/>
          <w:b/>
          <w:spacing w:val="-14"/>
          <w:szCs w:val="26"/>
        </w:rPr>
        <w:t>ννε</w:t>
      </w:r>
      <w:r w:rsidR="00A63D69">
        <w:rPr>
          <w:rFonts w:ascii="Ping LCG Regular" w:hAnsi="Ping LCG Regular" w:cs="Arial"/>
          <w:b/>
          <w:spacing w:val="-14"/>
          <w:szCs w:val="26"/>
        </w:rPr>
        <w:t>ά</w:t>
      </w:r>
      <w:r w:rsidR="00645440" w:rsidRPr="009E0DEA">
        <w:rPr>
          <w:rFonts w:ascii="Ping LCG Regular" w:hAnsi="Ping LCG Regular" w:cs="Arial"/>
          <w:b/>
          <w:spacing w:val="-14"/>
          <w:szCs w:val="26"/>
        </w:rPr>
        <w:t>μηνο του 2020</w:t>
      </w:r>
      <w:r w:rsidRPr="009E0DEA">
        <w:rPr>
          <w:rFonts w:ascii="Ping LCG Regular" w:hAnsi="Ping LCG Regular" w:cs="Arial"/>
          <w:b/>
          <w:spacing w:val="-14"/>
          <w:szCs w:val="26"/>
        </w:rPr>
        <w:t>)</w:t>
      </w:r>
      <w:r w:rsidR="005B0AF2" w:rsidRPr="005B0AF2">
        <w:rPr>
          <w:rFonts w:ascii="Ping LCG Regular" w:hAnsi="Ping LCG Regular" w:cs="Arial"/>
          <w:b/>
          <w:spacing w:val="-14"/>
          <w:szCs w:val="26"/>
        </w:rPr>
        <w:t xml:space="preserve">, </w:t>
      </w:r>
      <w:r w:rsidR="005B0AF2">
        <w:rPr>
          <w:rFonts w:ascii="Ping LCG Regular" w:hAnsi="Ping LCG Regular" w:cs="Arial"/>
          <w:b/>
          <w:spacing w:val="-14"/>
          <w:szCs w:val="26"/>
        </w:rPr>
        <w:t xml:space="preserve">επιδεικνύοντας σημαντική ανθεκτικότητα στην ενεργειακή κρίση </w:t>
      </w:r>
    </w:p>
    <w:p w14:paraId="55B65087" w14:textId="06311CA1" w:rsidR="00B46BC3" w:rsidRPr="00564158" w:rsidRDefault="00B46BC3" w:rsidP="006C2EBB">
      <w:pPr>
        <w:pStyle w:val="ListParagraph"/>
        <w:numPr>
          <w:ilvl w:val="0"/>
          <w:numId w:val="1"/>
        </w:numPr>
        <w:spacing w:before="80" w:after="80"/>
        <w:ind w:left="357" w:hanging="357"/>
        <w:contextualSpacing w:val="0"/>
        <w:jc w:val="both"/>
        <w:rPr>
          <w:rFonts w:ascii="Ping LCG Regular" w:hAnsi="Ping LCG Regular" w:cs="Arial"/>
          <w:b/>
          <w:spacing w:val="-14"/>
          <w:szCs w:val="26"/>
        </w:rPr>
      </w:pPr>
      <w:r w:rsidRPr="00F250B5">
        <w:rPr>
          <w:rFonts w:ascii="Ping LCG Regular" w:hAnsi="Ping LCG Regular" w:cs="Arial"/>
          <w:b/>
          <w:spacing w:val="-14"/>
          <w:szCs w:val="26"/>
        </w:rPr>
        <w:t xml:space="preserve">Μείωση της συμμετοχής </w:t>
      </w:r>
      <w:r w:rsidR="009934BB">
        <w:rPr>
          <w:rFonts w:ascii="Ping LCG Regular" w:hAnsi="Ping LCG Regular" w:cs="Arial"/>
          <w:b/>
          <w:spacing w:val="-14"/>
          <w:szCs w:val="26"/>
        </w:rPr>
        <w:t xml:space="preserve">του λιγνίτη </w:t>
      </w:r>
      <w:r w:rsidR="00465824" w:rsidRPr="00F250B5">
        <w:rPr>
          <w:rFonts w:ascii="Ping LCG Regular" w:hAnsi="Ping LCG Regular" w:cs="Arial"/>
          <w:b/>
          <w:spacing w:val="-14"/>
          <w:szCs w:val="26"/>
        </w:rPr>
        <w:t>στο 2</w:t>
      </w:r>
      <w:r w:rsidR="00B26EE8">
        <w:rPr>
          <w:rFonts w:ascii="Ping LCG Regular" w:hAnsi="Ping LCG Regular" w:cs="Arial"/>
          <w:b/>
          <w:spacing w:val="-14"/>
          <w:szCs w:val="26"/>
        </w:rPr>
        <w:t>1</w:t>
      </w:r>
      <w:r w:rsidR="00465824" w:rsidRPr="00F250B5">
        <w:rPr>
          <w:rFonts w:ascii="Ping LCG Regular" w:hAnsi="Ping LCG Regular" w:cs="Arial"/>
          <w:b/>
          <w:spacing w:val="-14"/>
          <w:szCs w:val="26"/>
        </w:rPr>
        <w:t>%</w:t>
      </w:r>
      <w:r w:rsidR="002416BB" w:rsidRPr="00F250B5">
        <w:rPr>
          <w:rFonts w:ascii="Ping LCG Regular" w:hAnsi="Ping LCG Regular" w:cs="Arial"/>
          <w:b/>
          <w:spacing w:val="-14"/>
          <w:szCs w:val="26"/>
        </w:rPr>
        <w:t xml:space="preserve"> </w:t>
      </w:r>
      <w:r w:rsidR="009934BB">
        <w:rPr>
          <w:rFonts w:ascii="Ping LCG Regular" w:hAnsi="Ping LCG Regular" w:cs="Arial"/>
          <w:b/>
          <w:spacing w:val="-14"/>
          <w:szCs w:val="26"/>
        </w:rPr>
        <w:t>της παραγωγής</w:t>
      </w:r>
      <w:r w:rsidRPr="00F250B5">
        <w:rPr>
          <w:rFonts w:ascii="Ping LCG Regular" w:hAnsi="Ping LCG Regular" w:cs="Arial"/>
          <w:b/>
          <w:spacing w:val="-14"/>
          <w:szCs w:val="26"/>
        </w:rPr>
        <w:t xml:space="preserve"> της ΔΕΗ</w:t>
      </w:r>
      <w:r w:rsidR="00465824" w:rsidRPr="00F250B5">
        <w:rPr>
          <w:rFonts w:ascii="Ping LCG Regular" w:hAnsi="Ping LCG Regular" w:cs="Arial"/>
          <w:b/>
          <w:spacing w:val="-14"/>
          <w:szCs w:val="26"/>
        </w:rPr>
        <w:t xml:space="preserve"> από </w:t>
      </w:r>
      <w:r w:rsidR="00B26EE8">
        <w:rPr>
          <w:rFonts w:ascii="Ping LCG Regular" w:hAnsi="Ping LCG Regular" w:cs="Arial"/>
          <w:b/>
          <w:spacing w:val="-14"/>
          <w:szCs w:val="26"/>
        </w:rPr>
        <w:t>26</w:t>
      </w:r>
      <w:r w:rsidR="00465824" w:rsidRPr="00F250B5">
        <w:rPr>
          <w:rFonts w:ascii="Ping LCG Regular" w:hAnsi="Ping LCG Regular" w:cs="Arial"/>
          <w:b/>
          <w:spacing w:val="-14"/>
          <w:szCs w:val="26"/>
        </w:rPr>
        <w:t>%</w:t>
      </w:r>
      <w:r w:rsidR="0037302D">
        <w:rPr>
          <w:rFonts w:ascii="Ping LCG Regular" w:hAnsi="Ping LCG Regular" w:cs="Arial"/>
          <w:b/>
          <w:spacing w:val="-14"/>
          <w:szCs w:val="26"/>
        </w:rPr>
        <w:t xml:space="preserve"> </w:t>
      </w:r>
    </w:p>
    <w:p w14:paraId="6E97F74D" w14:textId="2ABF271C" w:rsidR="00B96BFC" w:rsidRPr="00605E8C" w:rsidRDefault="00B96BFC" w:rsidP="006C2EBB">
      <w:pPr>
        <w:pStyle w:val="ListParagraph"/>
        <w:numPr>
          <w:ilvl w:val="0"/>
          <w:numId w:val="1"/>
        </w:numPr>
        <w:spacing w:before="80" w:after="80"/>
        <w:ind w:left="357" w:hanging="357"/>
        <w:contextualSpacing w:val="0"/>
        <w:jc w:val="both"/>
        <w:rPr>
          <w:rFonts w:ascii="Ping LCG Regular" w:hAnsi="Ping LCG Regular" w:cs="Arial"/>
          <w:b/>
          <w:spacing w:val="-14"/>
          <w:szCs w:val="26"/>
        </w:rPr>
      </w:pPr>
      <w:r w:rsidRPr="00605E8C">
        <w:rPr>
          <w:rFonts w:ascii="Ping LCG Regular" w:hAnsi="Ping LCG Regular" w:cs="Arial"/>
          <w:b/>
          <w:spacing w:val="-14"/>
          <w:szCs w:val="26"/>
        </w:rPr>
        <w:t>Θετική επίπτωση από τη διενέργεια πράξεων για την αντιστάθμιση του κινδύνου της διακύμανσης των τιμών ηλεκτρικής ενέργειας και φυσικού αερίου</w:t>
      </w:r>
    </w:p>
    <w:p w14:paraId="024C379D" w14:textId="390B7EF4" w:rsidR="00564158" w:rsidRPr="00605E8C" w:rsidRDefault="00564158" w:rsidP="006C2EBB">
      <w:pPr>
        <w:pStyle w:val="ListParagraph"/>
        <w:numPr>
          <w:ilvl w:val="0"/>
          <w:numId w:val="1"/>
        </w:numPr>
        <w:spacing w:before="80" w:after="80"/>
        <w:ind w:left="357" w:hanging="357"/>
        <w:contextualSpacing w:val="0"/>
        <w:jc w:val="both"/>
        <w:rPr>
          <w:rFonts w:ascii="Ping LCG Regular" w:hAnsi="Ping LCG Regular" w:cs="Arial"/>
          <w:b/>
          <w:spacing w:val="-14"/>
          <w:szCs w:val="26"/>
        </w:rPr>
      </w:pPr>
      <w:bookmarkStart w:id="1" w:name="_Hlk89091054"/>
      <w:r w:rsidRPr="00605E8C">
        <w:rPr>
          <w:rFonts w:ascii="Ping LCG Regular" w:hAnsi="Ping LCG Regular" w:cs="Arial"/>
          <w:b/>
          <w:spacing w:val="-14"/>
          <w:szCs w:val="26"/>
        </w:rPr>
        <w:t>Μεταβατικό έτος το 2021 – σε τροχιά επίτευξης των ετήσιων στόχων</w:t>
      </w:r>
    </w:p>
    <w:bookmarkEnd w:id="1"/>
    <w:p w14:paraId="4785EB7F" w14:textId="77777777" w:rsidR="00A249A6" w:rsidRPr="00465824" w:rsidRDefault="00A249A6" w:rsidP="00256E4B">
      <w:pPr>
        <w:pStyle w:val="ListParagraph"/>
        <w:spacing w:before="80" w:after="80"/>
        <w:ind w:left="357"/>
        <w:contextualSpacing w:val="0"/>
        <w:jc w:val="both"/>
        <w:rPr>
          <w:sz w:val="26"/>
        </w:rPr>
      </w:pPr>
    </w:p>
    <w:p w14:paraId="69F8AAD4" w14:textId="0010DB57" w:rsidR="00887E3D" w:rsidRPr="000D358B" w:rsidRDefault="00A249A6" w:rsidP="00A249A6">
      <w:pPr>
        <w:spacing w:line="276" w:lineRule="auto"/>
        <w:rPr>
          <w:rFonts w:ascii="Ping LCG Regular" w:hAnsi="Ping LCG Regular" w:cs="Arial"/>
          <w:b/>
          <w:spacing w:val="-14"/>
          <w:szCs w:val="28"/>
          <w:lang w:val="el-GR"/>
        </w:rPr>
      </w:pPr>
      <w:r w:rsidRPr="000D358B">
        <w:rPr>
          <w:rFonts w:ascii="Ping LCG Regular" w:hAnsi="Ping LCG Regular" w:cs="Arial"/>
          <w:b/>
          <w:spacing w:val="-14"/>
          <w:szCs w:val="28"/>
          <w:lang w:val="el-GR"/>
        </w:rPr>
        <w:t>Συνοπτικά Οικονομικά Αποτελέσματα Ομίλου</w:t>
      </w:r>
    </w:p>
    <w:p w14:paraId="577DDC1F" w14:textId="5271B705" w:rsidR="00D05C62" w:rsidRPr="00B26EE8" w:rsidRDefault="003F1279" w:rsidP="00570F84">
      <w:pPr>
        <w:spacing w:line="276" w:lineRule="auto"/>
        <w:rPr>
          <w:rFonts w:ascii="Ping LCG Regular" w:hAnsi="Ping LCG Regular" w:cs="Arial"/>
          <w:b/>
          <w:spacing w:val="-14"/>
          <w:szCs w:val="28"/>
          <w:highlight w:val="yellow"/>
          <w:lang w:val="el-GR"/>
        </w:rPr>
      </w:pPr>
      <w:r>
        <w:rPr>
          <w:rFonts w:ascii="Ping LCG Regular" w:hAnsi="Ping LCG Regular" w:cs="Arial"/>
          <w:b/>
          <w:spacing w:val="-14"/>
          <w:szCs w:val="28"/>
          <w:lang w:val="el-GR"/>
        </w:rPr>
        <w:pict w14:anchorId="0090E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524.25pt;height:334.5pt">
            <v:imagedata r:id="rId8" o:title=""/>
          </v:shape>
        </w:pict>
      </w:r>
    </w:p>
    <w:p w14:paraId="3150CF73" w14:textId="46E5D9B5" w:rsidR="009E0DEA" w:rsidRPr="007F675C" w:rsidRDefault="009E0DEA" w:rsidP="00D05C62">
      <w:pPr>
        <w:spacing w:line="276" w:lineRule="auto"/>
        <w:jc w:val="both"/>
        <w:rPr>
          <w:rFonts w:ascii="Ping LCG Regular" w:hAnsi="Ping LCG Regular" w:cs="Arial"/>
          <w:b/>
          <w:strike/>
          <w:spacing w:val="-14"/>
          <w:szCs w:val="28"/>
          <w:lang w:val="el-GR"/>
        </w:rPr>
      </w:pPr>
      <w:r w:rsidRPr="007F675C">
        <w:rPr>
          <w:rFonts w:ascii="Ping LCG Regular" w:hAnsi="Ping LCG Regular" w:cs="Arial"/>
          <w:b/>
          <w:strike/>
          <w:spacing w:val="-14"/>
          <w:szCs w:val="28"/>
          <w:lang w:val="el-GR"/>
        </w:rPr>
        <w:br w:type="page"/>
      </w:r>
    </w:p>
    <w:p w14:paraId="3626C79F" w14:textId="20238C67" w:rsidR="00A10725" w:rsidRPr="00A45FE7" w:rsidRDefault="00A10725" w:rsidP="00A10725">
      <w:pPr>
        <w:spacing w:line="276" w:lineRule="auto"/>
        <w:rPr>
          <w:rFonts w:ascii="Ping LCG Regular" w:hAnsi="Ping LCG Regular" w:cs="Arial"/>
          <w:b/>
          <w:spacing w:val="-14"/>
          <w:szCs w:val="28"/>
          <w:lang w:val="el-GR"/>
        </w:rPr>
      </w:pPr>
      <w:r w:rsidRPr="00A45FE7">
        <w:rPr>
          <w:rFonts w:ascii="Ping LCG Regular" w:hAnsi="Ping LCG Regular" w:cs="Arial"/>
          <w:b/>
          <w:spacing w:val="-14"/>
          <w:szCs w:val="28"/>
          <w:lang w:val="el-GR"/>
        </w:rPr>
        <w:lastRenderedPageBreak/>
        <w:t>Εξέλιξη Βασικών Μεγεθών</w:t>
      </w:r>
    </w:p>
    <w:p w14:paraId="0ECE135A" w14:textId="3877BAE6" w:rsidR="001B31C9" w:rsidRPr="00A45FE7" w:rsidRDefault="002D5FF9" w:rsidP="00A10725">
      <w:pPr>
        <w:spacing w:line="276" w:lineRule="auto"/>
        <w:rPr>
          <w:rFonts w:ascii="Ping LCG Regular" w:hAnsi="Ping LCG Regular" w:cs="Arial"/>
          <w:b/>
          <w:spacing w:val="-14"/>
          <w:szCs w:val="28"/>
          <w:lang w:val="el-GR"/>
        </w:rPr>
      </w:pPr>
      <w:r>
        <w:rPr>
          <w:rFonts w:ascii="Ping LCG Regular" w:hAnsi="Ping LCG Regular" w:cs="Arial"/>
          <w:b/>
          <w:noProof/>
          <w:spacing w:val="-14"/>
          <w:szCs w:val="28"/>
          <w:lang w:val="el-GR"/>
        </w:rPr>
        <w:drawing>
          <wp:inline distT="0" distB="0" distL="0" distR="0" wp14:anchorId="4218BF7C" wp14:editId="749CC4EE">
            <wp:extent cx="6743269" cy="169027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2673" cy="1712682"/>
                    </a:xfrm>
                    <a:prstGeom prst="rect">
                      <a:avLst/>
                    </a:prstGeom>
                    <a:noFill/>
                  </pic:spPr>
                </pic:pic>
              </a:graphicData>
            </a:graphic>
          </wp:inline>
        </w:drawing>
      </w:r>
    </w:p>
    <w:p w14:paraId="25B3EBD7" w14:textId="7FA2366D" w:rsidR="00B83B0C" w:rsidRPr="00A45FE7" w:rsidRDefault="00B83B0C" w:rsidP="00A10725">
      <w:pPr>
        <w:spacing w:line="276" w:lineRule="auto"/>
        <w:rPr>
          <w:rFonts w:ascii="Ping LCG Regular" w:hAnsi="Ping LCG Regular" w:cs="Arial"/>
          <w:b/>
          <w:spacing w:val="-14"/>
          <w:szCs w:val="28"/>
          <w:lang w:val="el-GR"/>
        </w:rPr>
      </w:pPr>
    </w:p>
    <w:p w14:paraId="55ADDCE4" w14:textId="77777777" w:rsidR="00B83B0C" w:rsidRPr="00B26EE8" w:rsidRDefault="00B83B0C" w:rsidP="00851841">
      <w:pPr>
        <w:rPr>
          <w:highlight w:val="yellow"/>
          <w:lang w:val="el-GR"/>
        </w:rPr>
      </w:pPr>
    </w:p>
    <w:p w14:paraId="2B81C35B" w14:textId="7486C991" w:rsidR="0038307E" w:rsidRPr="00DD5F68" w:rsidRDefault="0038307E" w:rsidP="00851841">
      <w:pPr>
        <w:rPr>
          <w:rFonts w:ascii="Ping LCG Regular" w:hAnsi="Ping LCG Regular" w:cs="Arial"/>
          <w:b/>
          <w:bCs/>
          <w:spacing w:val="-14"/>
          <w:lang w:val="el-GR"/>
        </w:rPr>
      </w:pPr>
      <w:r w:rsidRPr="00DD5F68">
        <w:rPr>
          <w:rFonts w:ascii="Ping LCG Regular" w:hAnsi="Ping LCG Regular" w:cs="Arial"/>
          <w:b/>
          <w:bCs/>
          <w:spacing w:val="-14"/>
          <w:lang w:val="el-GR"/>
        </w:rPr>
        <w:t>Εξέλιξη κερδοφορίας</w:t>
      </w:r>
    </w:p>
    <w:p w14:paraId="6A289F9C" w14:textId="77777777" w:rsidR="00B83B0C" w:rsidRPr="00DD5F68" w:rsidRDefault="00B83B0C" w:rsidP="003C1261">
      <w:pPr>
        <w:jc w:val="both"/>
        <w:rPr>
          <w:rFonts w:ascii="Ping LCG Regular" w:hAnsi="Ping LCG Regular" w:cs="Arial"/>
          <w:spacing w:val="-14"/>
          <w:lang w:val="el-GR"/>
        </w:rPr>
      </w:pPr>
    </w:p>
    <w:p w14:paraId="074B0C70" w14:textId="50A83316" w:rsidR="00B95D17" w:rsidRDefault="00B95D17" w:rsidP="00AF6CD1">
      <w:pPr>
        <w:jc w:val="both"/>
        <w:rPr>
          <w:rFonts w:ascii="Ping LCG Regular" w:hAnsi="Ping LCG Regular" w:cs="Arial"/>
          <w:spacing w:val="-14"/>
          <w:lang w:val="el-GR"/>
        </w:rPr>
      </w:pPr>
      <w:r w:rsidRPr="00DD5F68">
        <w:rPr>
          <w:rFonts w:ascii="Ping LCG Regular" w:hAnsi="Ping LCG Regular" w:cs="Arial"/>
          <w:spacing w:val="-14"/>
          <w:lang w:val="el-GR"/>
        </w:rPr>
        <w:t xml:space="preserve">Τα κέρδη προ τόκων, φόρων και αποσβέσεων  (EBITDA) σε επαναλαμβανόμενη βάση διαμορφώθηκαν σε </w:t>
      </w:r>
      <w:r w:rsidRPr="00256E4B">
        <w:rPr>
          <w:rFonts w:ascii="Ping LCG Regular" w:hAnsi="Ping LCG Regular" w:cs="Arial"/>
          <w:spacing w:val="-14"/>
          <w:lang w:val="el-GR"/>
        </w:rPr>
        <w:t>€</w:t>
      </w:r>
      <w:r w:rsidR="0000478F" w:rsidRPr="00256E4B">
        <w:rPr>
          <w:rFonts w:ascii="Ping LCG Regular" w:hAnsi="Ping LCG Regular" w:cs="Arial"/>
          <w:spacing w:val="-14"/>
          <w:lang w:val="el-GR"/>
        </w:rPr>
        <w:t>6</w:t>
      </w:r>
      <w:r w:rsidR="007E3185" w:rsidRPr="00256E4B">
        <w:rPr>
          <w:rFonts w:ascii="Ping LCG Regular" w:hAnsi="Ping LCG Regular" w:cs="Arial"/>
          <w:spacing w:val="-14"/>
          <w:lang w:val="el-GR"/>
        </w:rPr>
        <w:t>2</w:t>
      </w:r>
      <w:r w:rsidR="000D7348" w:rsidRPr="00605E8C">
        <w:rPr>
          <w:rFonts w:ascii="Ping LCG Regular" w:hAnsi="Ping LCG Regular" w:cs="Arial"/>
          <w:spacing w:val="-14"/>
          <w:lang w:val="el-GR"/>
        </w:rPr>
        <w:t>6</w:t>
      </w:r>
      <w:r w:rsidR="001516D6" w:rsidRPr="00256E4B">
        <w:rPr>
          <w:rFonts w:ascii="Ping LCG Regular" w:hAnsi="Ping LCG Regular" w:cs="Arial"/>
          <w:spacing w:val="-14"/>
          <w:lang w:val="el-GR"/>
        </w:rPr>
        <w:t>,</w:t>
      </w:r>
      <w:r w:rsidR="000D7348" w:rsidRPr="00605E8C">
        <w:rPr>
          <w:rFonts w:ascii="Ping LCG Regular" w:hAnsi="Ping LCG Regular" w:cs="Arial"/>
          <w:spacing w:val="-14"/>
          <w:lang w:val="el-GR"/>
        </w:rPr>
        <w:t>5</w:t>
      </w:r>
      <w:r w:rsidRPr="00256E4B">
        <w:rPr>
          <w:rFonts w:ascii="Ping LCG Regular" w:hAnsi="Ping LCG Regular" w:cs="Arial"/>
          <w:spacing w:val="-14"/>
          <w:lang w:val="el-GR"/>
        </w:rPr>
        <w:t xml:space="preserve"> εκατ.</w:t>
      </w:r>
      <w:r w:rsidRPr="003D3228">
        <w:rPr>
          <w:rFonts w:ascii="Ping LCG Regular" w:hAnsi="Ping LCG Regular" w:cs="Arial"/>
          <w:spacing w:val="-14"/>
          <w:lang w:val="el-GR"/>
        </w:rPr>
        <w:t xml:space="preserve"> </w:t>
      </w:r>
      <w:r w:rsidR="00645440" w:rsidRPr="003D3228">
        <w:rPr>
          <w:rFonts w:ascii="Ping LCG Regular" w:hAnsi="Ping LCG Regular" w:cs="Arial"/>
          <w:spacing w:val="-14"/>
          <w:lang w:val="el-GR"/>
        </w:rPr>
        <w:t xml:space="preserve">το </w:t>
      </w:r>
      <w:r w:rsidR="00A63D69" w:rsidRPr="004A424A">
        <w:rPr>
          <w:rFonts w:ascii="Ping LCG Regular" w:hAnsi="Ping LCG Regular" w:cs="Arial"/>
          <w:spacing w:val="-14"/>
          <w:lang w:val="el-GR"/>
        </w:rPr>
        <w:t>ε</w:t>
      </w:r>
      <w:r w:rsidR="00DD5F68" w:rsidRPr="004A424A">
        <w:rPr>
          <w:rFonts w:ascii="Ping LCG Regular" w:hAnsi="Ping LCG Regular" w:cs="Arial"/>
          <w:spacing w:val="-14"/>
          <w:lang w:val="el-GR"/>
        </w:rPr>
        <w:t>ννε</w:t>
      </w:r>
      <w:r w:rsidR="00A63D69" w:rsidRPr="004A424A">
        <w:rPr>
          <w:rFonts w:ascii="Ping LCG Regular" w:hAnsi="Ping LCG Regular" w:cs="Arial"/>
          <w:spacing w:val="-14"/>
          <w:lang w:val="el-GR"/>
        </w:rPr>
        <w:t>άμηνο</w:t>
      </w:r>
      <w:r w:rsidR="00645440" w:rsidRPr="004A424A">
        <w:rPr>
          <w:rFonts w:ascii="Ping LCG Regular" w:hAnsi="Ping LCG Regular" w:cs="Arial"/>
          <w:spacing w:val="-14"/>
          <w:lang w:val="el-GR"/>
        </w:rPr>
        <w:t xml:space="preserve"> του 2021 </w:t>
      </w:r>
      <w:r w:rsidRPr="004A424A">
        <w:rPr>
          <w:rFonts w:ascii="Ping LCG Regular" w:hAnsi="Ping LCG Regular" w:cs="Arial"/>
          <w:spacing w:val="-14"/>
          <w:lang w:val="el-GR"/>
        </w:rPr>
        <w:t>έναντι €</w:t>
      </w:r>
      <w:r w:rsidR="001516D6" w:rsidRPr="004A424A">
        <w:rPr>
          <w:rFonts w:ascii="Ping LCG Regular" w:hAnsi="Ping LCG Regular" w:cs="Arial"/>
          <w:spacing w:val="-14"/>
          <w:lang w:val="el-GR"/>
        </w:rPr>
        <w:t>696</w:t>
      </w:r>
      <w:r w:rsidRPr="004A424A">
        <w:rPr>
          <w:rFonts w:ascii="Ping LCG Regular" w:hAnsi="Ping LCG Regular" w:cs="Arial"/>
          <w:spacing w:val="-14"/>
          <w:lang w:val="el-GR"/>
        </w:rPr>
        <w:t xml:space="preserve"> εκατ</w:t>
      </w:r>
      <w:r w:rsidRPr="004A424A">
        <w:rPr>
          <w:rFonts w:ascii="Ping LCG Regular" w:hAnsi="Ping LCG Regular" w:cs="Arial"/>
          <w:b/>
          <w:bCs/>
          <w:spacing w:val="-14"/>
          <w:lang w:val="el-GR"/>
        </w:rPr>
        <w:t>.</w:t>
      </w:r>
      <w:r w:rsidRPr="004A424A">
        <w:rPr>
          <w:rFonts w:ascii="Ping LCG Regular" w:hAnsi="Ping LCG Regular" w:cs="Arial"/>
          <w:spacing w:val="-14"/>
          <w:lang w:val="el-GR"/>
        </w:rPr>
        <w:t xml:space="preserve"> το </w:t>
      </w:r>
      <w:r w:rsidR="00A63D69" w:rsidRPr="004A424A">
        <w:rPr>
          <w:rFonts w:ascii="Ping LCG Regular" w:hAnsi="Ping LCG Regular" w:cs="Arial"/>
          <w:spacing w:val="-14"/>
          <w:szCs w:val="26"/>
          <w:lang w:val="el-GR"/>
        </w:rPr>
        <w:t>ε</w:t>
      </w:r>
      <w:r w:rsidR="00DD5F68" w:rsidRPr="004A424A">
        <w:rPr>
          <w:rFonts w:ascii="Ping LCG Regular" w:hAnsi="Ping LCG Regular" w:cs="Arial"/>
          <w:spacing w:val="-14"/>
          <w:szCs w:val="26"/>
          <w:lang w:val="el-GR"/>
        </w:rPr>
        <w:t>ννε</w:t>
      </w:r>
      <w:r w:rsidR="00A63D69" w:rsidRPr="004A424A">
        <w:rPr>
          <w:rFonts w:ascii="Ping LCG Regular" w:hAnsi="Ping LCG Regular" w:cs="Arial"/>
          <w:spacing w:val="-14"/>
          <w:szCs w:val="26"/>
          <w:lang w:val="el-GR"/>
        </w:rPr>
        <w:t>ά</w:t>
      </w:r>
      <w:r w:rsidR="00645440" w:rsidRPr="004A424A">
        <w:rPr>
          <w:rFonts w:ascii="Ping LCG Regular" w:hAnsi="Ping LCG Regular" w:cs="Arial"/>
          <w:spacing w:val="-14"/>
          <w:szCs w:val="26"/>
          <w:lang w:val="el-GR"/>
        </w:rPr>
        <w:t>μηνο του 2020</w:t>
      </w:r>
      <w:r w:rsidRPr="004A424A">
        <w:rPr>
          <w:rFonts w:ascii="Ping LCG Regular" w:hAnsi="Ping LCG Regular" w:cs="Arial"/>
          <w:spacing w:val="-14"/>
          <w:lang w:val="el-GR"/>
        </w:rPr>
        <w:t xml:space="preserve"> για το σύνολο του Ομίλου</w:t>
      </w:r>
      <w:r w:rsidR="003C1261" w:rsidRPr="004A424A">
        <w:rPr>
          <w:rFonts w:ascii="Ping LCG Regular" w:hAnsi="Ping LCG Regular" w:cs="Arial"/>
          <w:spacing w:val="-14"/>
          <w:lang w:val="el-GR"/>
        </w:rPr>
        <w:t xml:space="preserve">, με το αντίστοιχο περιθώριο να </w:t>
      </w:r>
      <w:r w:rsidR="009C5070" w:rsidRPr="004A424A">
        <w:rPr>
          <w:rFonts w:ascii="Ping LCG Regular" w:hAnsi="Ping LCG Regular" w:cs="Arial"/>
          <w:spacing w:val="-14"/>
          <w:lang w:val="el-GR"/>
        </w:rPr>
        <w:t>διαμορφώνεται</w:t>
      </w:r>
      <w:r w:rsidR="003C1261" w:rsidRPr="004A424A">
        <w:rPr>
          <w:rFonts w:ascii="Ping LCG Regular" w:hAnsi="Ping LCG Regular" w:cs="Arial"/>
          <w:spacing w:val="-14"/>
          <w:lang w:val="el-GR"/>
        </w:rPr>
        <w:t xml:space="preserve"> σε </w:t>
      </w:r>
      <w:r w:rsidR="00DD5F68" w:rsidRPr="004A424A">
        <w:rPr>
          <w:rFonts w:ascii="Ping LCG Regular" w:hAnsi="Ping LCG Regular" w:cs="Arial"/>
          <w:spacing w:val="-14"/>
          <w:lang w:val="el-GR"/>
        </w:rPr>
        <w:t>1</w:t>
      </w:r>
      <w:r w:rsidR="0000478F" w:rsidRPr="004A424A">
        <w:rPr>
          <w:rFonts w:ascii="Ping LCG Regular" w:hAnsi="Ping LCG Regular" w:cs="Arial"/>
          <w:spacing w:val="-14"/>
          <w:lang w:val="el-GR"/>
        </w:rPr>
        <w:t>6,</w:t>
      </w:r>
      <w:r w:rsidR="007E3185" w:rsidRPr="004A424A">
        <w:rPr>
          <w:rFonts w:ascii="Ping LCG Regular" w:hAnsi="Ping LCG Regular" w:cs="Arial"/>
          <w:spacing w:val="-14"/>
          <w:lang w:val="el-GR"/>
        </w:rPr>
        <w:t>9</w:t>
      </w:r>
      <w:r w:rsidR="003C1261" w:rsidRPr="004A424A">
        <w:rPr>
          <w:rFonts w:ascii="Ping LCG Regular" w:hAnsi="Ping LCG Regular" w:cs="Arial"/>
          <w:spacing w:val="-14"/>
          <w:lang w:val="el-GR"/>
        </w:rPr>
        <w:t xml:space="preserve">% από </w:t>
      </w:r>
      <w:r w:rsidR="001516D6" w:rsidRPr="004A424A">
        <w:rPr>
          <w:rFonts w:ascii="Ping LCG Regular" w:hAnsi="Ping LCG Regular" w:cs="Arial"/>
          <w:spacing w:val="-14"/>
          <w:lang w:val="el-GR"/>
        </w:rPr>
        <w:t>19,8</w:t>
      </w:r>
      <w:r w:rsidR="003C1261" w:rsidRPr="004A424A">
        <w:rPr>
          <w:rFonts w:ascii="Ping LCG Regular" w:hAnsi="Ping LCG Regular" w:cs="Arial"/>
          <w:spacing w:val="-14"/>
          <w:lang w:val="el-GR"/>
        </w:rPr>
        <w:t>%.</w:t>
      </w:r>
      <w:r w:rsidR="00C56856" w:rsidRPr="004A424A">
        <w:rPr>
          <w:rFonts w:ascii="Ping LCG Regular" w:hAnsi="Ping LCG Regular" w:cs="Arial"/>
          <w:spacing w:val="-14"/>
          <w:lang w:val="el-GR"/>
        </w:rPr>
        <w:t xml:space="preserve"> </w:t>
      </w:r>
      <w:r w:rsidR="004C196C" w:rsidRPr="00C158D9">
        <w:rPr>
          <w:rFonts w:ascii="Ping LCG Regular" w:hAnsi="Ping LCG Regular" w:cs="Arial"/>
          <w:spacing w:val="-14"/>
          <w:lang w:val="el-GR"/>
        </w:rPr>
        <w:t xml:space="preserve">Ειδικότερα για το γ΄ τρίμηνο του 2021 το </w:t>
      </w:r>
      <w:r w:rsidR="004C196C" w:rsidRPr="00C158D9">
        <w:rPr>
          <w:rFonts w:ascii="Ping LCG Regular" w:hAnsi="Ping LCG Regular" w:cs="Arial"/>
          <w:spacing w:val="-14"/>
        </w:rPr>
        <w:t>EBITDA</w:t>
      </w:r>
      <w:r w:rsidR="004C196C" w:rsidRPr="00C158D9">
        <w:rPr>
          <w:rFonts w:ascii="Ping LCG Regular" w:hAnsi="Ping LCG Regular" w:cs="Arial"/>
          <w:spacing w:val="-14"/>
          <w:lang w:val="el-GR"/>
        </w:rPr>
        <w:t xml:space="preserve"> </w:t>
      </w:r>
      <w:r w:rsidR="00467266" w:rsidRPr="00C158D9">
        <w:rPr>
          <w:rFonts w:ascii="Ping LCG Regular" w:hAnsi="Ping LCG Regular" w:cs="Arial"/>
          <w:spacing w:val="-14"/>
          <w:lang w:val="el-GR"/>
        </w:rPr>
        <w:t xml:space="preserve">σε επαναλαμβανόμενη βάση </w:t>
      </w:r>
      <w:r w:rsidR="00204B2B" w:rsidRPr="00C158D9">
        <w:rPr>
          <w:rFonts w:ascii="Ping LCG Regular" w:hAnsi="Ping LCG Regular" w:cs="Arial"/>
          <w:spacing w:val="-14"/>
          <w:lang w:val="el-GR"/>
        </w:rPr>
        <w:t>διαμορφώθηκε σε €1</w:t>
      </w:r>
      <w:r w:rsidR="007E3185" w:rsidRPr="00C158D9">
        <w:rPr>
          <w:rFonts w:ascii="Ping LCG Regular" w:hAnsi="Ping LCG Regular" w:cs="Arial"/>
          <w:spacing w:val="-14"/>
          <w:lang w:val="el-GR"/>
        </w:rPr>
        <w:t>5</w:t>
      </w:r>
      <w:r w:rsidR="000D7348" w:rsidRPr="00605E8C">
        <w:rPr>
          <w:rFonts w:ascii="Ping LCG Regular" w:hAnsi="Ping LCG Regular" w:cs="Arial"/>
          <w:spacing w:val="-14"/>
          <w:lang w:val="el-GR"/>
        </w:rPr>
        <w:t>5</w:t>
      </w:r>
      <w:r w:rsidR="00204B2B" w:rsidRPr="00C158D9">
        <w:rPr>
          <w:rFonts w:ascii="Ping LCG Regular" w:hAnsi="Ping LCG Regular" w:cs="Arial"/>
          <w:spacing w:val="-14"/>
          <w:lang w:val="el-GR"/>
        </w:rPr>
        <w:t xml:space="preserve"> εκατ. έναντι €238,7 εκατ. του αντίστοιχου τριμήνου του 2020.</w:t>
      </w:r>
    </w:p>
    <w:p w14:paraId="41E8F4AF" w14:textId="77777777" w:rsidR="007F675C" w:rsidRPr="007F675C" w:rsidRDefault="007F675C" w:rsidP="00AF6CD1">
      <w:pPr>
        <w:jc w:val="both"/>
        <w:rPr>
          <w:rFonts w:ascii="Ping LCG Regular" w:hAnsi="Ping LCG Regular" w:cs="Arial"/>
          <w:spacing w:val="-14"/>
          <w:lang w:val="el-GR"/>
        </w:rPr>
      </w:pPr>
    </w:p>
    <w:p w14:paraId="195C9307" w14:textId="367B1F0F" w:rsidR="008E7CA2" w:rsidRDefault="008E7CA2" w:rsidP="00F04145">
      <w:pPr>
        <w:jc w:val="both"/>
        <w:rPr>
          <w:rFonts w:ascii="Ping LCG Regular" w:hAnsi="Ping LCG Regular" w:cs="Arial"/>
          <w:spacing w:val="-14"/>
          <w:lang w:val="el-GR"/>
        </w:rPr>
      </w:pPr>
      <w:r w:rsidRPr="00605E8C">
        <w:rPr>
          <w:rFonts w:ascii="Ping LCG Regular" w:hAnsi="Ping LCG Regular" w:cs="Arial"/>
          <w:spacing w:val="-14"/>
          <w:lang w:val="el-GR"/>
        </w:rPr>
        <w:t>Οι αυξημένες δαπάνες λόγω της ανόδου των τιμών φυσικού αερίου και δικαιωμάτων εκπομπών CO</w:t>
      </w:r>
      <w:r w:rsidRPr="00605E8C">
        <w:rPr>
          <w:rFonts w:ascii="Ping LCG Regular" w:hAnsi="Ping LCG Regular" w:cs="Arial"/>
          <w:spacing w:val="-14"/>
          <w:vertAlign w:val="subscript"/>
          <w:lang w:val="el-GR"/>
        </w:rPr>
        <w:t>2</w:t>
      </w:r>
      <w:r w:rsidR="00DD5F68" w:rsidRPr="00605E8C">
        <w:rPr>
          <w:rFonts w:ascii="Ping LCG Regular" w:hAnsi="Ping LCG Regular" w:cs="Arial"/>
          <w:spacing w:val="-14"/>
          <w:lang w:val="el-GR"/>
        </w:rPr>
        <w:t xml:space="preserve"> κ</w:t>
      </w:r>
      <w:r w:rsidRPr="00605E8C">
        <w:rPr>
          <w:rFonts w:ascii="Ping LCG Regular" w:hAnsi="Ping LCG Regular" w:cs="Arial"/>
          <w:spacing w:val="-14"/>
          <w:lang w:val="el-GR"/>
        </w:rPr>
        <w:t xml:space="preserve">αι συνακόλουθα </w:t>
      </w:r>
      <w:r w:rsidR="00330B05" w:rsidRPr="00605E8C">
        <w:rPr>
          <w:rFonts w:ascii="Ping LCG Regular" w:hAnsi="Ping LCG Regular" w:cs="Arial"/>
          <w:spacing w:val="-14"/>
          <w:lang w:val="el-GR"/>
        </w:rPr>
        <w:t xml:space="preserve">και </w:t>
      </w:r>
      <w:r w:rsidR="00AC6D79" w:rsidRPr="00605E8C">
        <w:rPr>
          <w:rFonts w:ascii="Ping LCG Regular" w:hAnsi="Ping LCG Regular" w:cs="Arial"/>
          <w:spacing w:val="-14"/>
          <w:lang w:val="el-GR"/>
        </w:rPr>
        <w:t xml:space="preserve">των τιμών </w:t>
      </w:r>
      <w:r w:rsidRPr="00605E8C">
        <w:rPr>
          <w:rFonts w:ascii="Ping LCG Regular" w:hAnsi="Ping LCG Regular" w:cs="Arial"/>
          <w:spacing w:val="-14"/>
          <w:lang w:val="el-GR"/>
        </w:rPr>
        <w:t xml:space="preserve">της </w:t>
      </w:r>
      <w:proofErr w:type="spellStart"/>
      <w:r w:rsidRPr="00605E8C">
        <w:rPr>
          <w:rFonts w:ascii="Ping LCG Regular" w:hAnsi="Ping LCG Regular" w:cs="Arial"/>
          <w:spacing w:val="-14"/>
          <w:lang w:val="el-GR"/>
        </w:rPr>
        <w:t>χονδρεμπορικής</w:t>
      </w:r>
      <w:proofErr w:type="spellEnd"/>
      <w:r w:rsidRPr="00605E8C">
        <w:rPr>
          <w:rFonts w:ascii="Ping LCG Regular" w:hAnsi="Ping LCG Regular" w:cs="Arial"/>
          <w:spacing w:val="-14"/>
          <w:lang w:val="el-GR"/>
        </w:rPr>
        <w:t xml:space="preserve"> αγοράς ηλεκτρικής ενέργειας</w:t>
      </w:r>
      <w:r w:rsidR="00330B05" w:rsidRPr="00605E8C">
        <w:rPr>
          <w:rFonts w:ascii="Ping LCG Regular" w:hAnsi="Ping LCG Regular" w:cs="Arial"/>
          <w:spacing w:val="-14"/>
          <w:lang w:val="el-GR"/>
        </w:rPr>
        <w:t>,</w:t>
      </w:r>
      <w:r w:rsidRPr="00605E8C">
        <w:rPr>
          <w:rFonts w:ascii="Ping LCG Regular" w:hAnsi="Ping LCG Regular" w:cs="Arial"/>
          <w:spacing w:val="-14"/>
          <w:lang w:val="el-GR"/>
        </w:rPr>
        <w:t xml:space="preserve"> επηρέασαν αρνητικά την λειτουργική κερδοφορία της δραστηριότητας της Εμπορίας. Αυτή η αρνητική επίπτωση αντισταθμίστηκε σε μεγάλο βαθμό  από την</w:t>
      </w:r>
      <w:r w:rsidR="006A47E4" w:rsidRPr="00605E8C">
        <w:rPr>
          <w:rFonts w:ascii="Ping LCG Regular" w:hAnsi="Ping LCG Regular" w:cs="Arial"/>
          <w:spacing w:val="-14"/>
          <w:lang w:val="el-GR"/>
        </w:rPr>
        <w:t xml:space="preserve"> </w:t>
      </w:r>
      <w:r w:rsidR="009D6D21" w:rsidRPr="00605E8C">
        <w:rPr>
          <w:rFonts w:ascii="Ping LCG Regular" w:hAnsi="Ping LCG Regular" w:cs="Arial"/>
          <w:spacing w:val="-14"/>
          <w:lang w:val="el-GR"/>
        </w:rPr>
        <w:t>αύξηση του μέσου εσόδου</w:t>
      </w:r>
      <w:r w:rsidR="006A47E4" w:rsidRPr="00605E8C">
        <w:rPr>
          <w:rFonts w:ascii="Ping LCG Regular" w:hAnsi="Ping LCG Regular" w:cs="Arial"/>
          <w:spacing w:val="-14"/>
          <w:lang w:val="el-GR"/>
        </w:rPr>
        <w:t xml:space="preserve"> καθώς και από την</w:t>
      </w:r>
      <w:r w:rsidRPr="00605E8C">
        <w:rPr>
          <w:rFonts w:ascii="Ping LCG Regular" w:hAnsi="Ping LCG Regular" w:cs="Arial"/>
          <w:spacing w:val="-14"/>
          <w:lang w:val="el-GR"/>
        </w:rPr>
        <w:t xml:space="preserve"> βελτίωση του ενεργειακού μείγματος της δραστηριότητας της Παραγωγής</w:t>
      </w:r>
      <w:r w:rsidR="006A47E4" w:rsidRPr="00605E8C">
        <w:rPr>
          <w:rFonts w:ascii="Ping LCG Regular" w:hAnsi="Ping LCG Regular" w:cs="Arial"/>
          <w:spacing w:val="-14"/>
          <w:lang w:val="el-GR"/>
        </w:rPr>
        <w:t xml:space="preserve">. Επιπλέον, θετικά </w:t>
      </w:r>
      <w:proofErr w:type="spellStart"/>
      <w:r w:rsidR="006A47E4" w:rsidRPr="00605E8C">
        <w:rPr>
          <w:rFonts w:ascii="Ping LCG Regular" w:hAnsi="Ping LCG Regular" w:cs="Arial"/>
          <w:spacing w:val="-14"/>
          <w:lang w:val="el-GR"/>
        </w:rPr>
        <w:t>επέδρασε</w:t>
      </w:r>
      <w:proofErr w:type="spellEnd"/>
      <w:r w:rsidR="006A47E4" w:rsidRPr="00605E8C">
        <w:rPr>
          <w:rFonts w:ascii="Ping LCG Regular" w:hAnsi="Ping LCG Regular" w:cs="Arial"/>
          <w:spacing w:val="-14"/>
          <w:lang w:val="el-GR"/>
        </w:rPr>
        <w:t xml:space="preserve"> και η </w:t>
      </w:r>
      <w:r w:rsidR="001447F2" w:rsidRPr="00605E8C">
        <w:rPr>
          <w:rFonts w:ascii="Ping LCG Regular" w:hAnsi="Ping LCG Regular" w:cs="Arial"/>
          <w:spacing w:val="-14"/>
          <w:lang w:val="el-GR"/>
        </w:rPr>
        <w:t>διενέργεια</w:t>
      </w:r>
      <w:r w:rsidR="00B152E5" w:rsidRPr="00605E8C">
        <w:rPr>
          <w:rFonts w:ascii="Ping LCG Regular" w:hAnsi="Ping LCG Regular" w:cs="Arial"/>
          <w:spacing w:val="-14"/>
          <w:lang w:val="el-GR"/>
        </w:rPr>
        <w:t xml:space="preserve"> </w:t>
      </w:r>
      <w:r w:rsidR="001447F2" w:rsidRPr="00605E8C">
        <w:rPr>
          <w:rFonts w:ascii="Ping LCG Regular" w:hAnsi="Ping LCG Regular" w:cs="Arial"/>
          <w:spacing w:val="-14"/>
          <w:lang w:val="el-GR"/>
        </w:rPr>
        <w:t xml:space="preserve"> πράξεων για την </w:t>
      </w:r>
      <w:r w:rsidR="00113920" w:rsidRPr="00605E8C">
        <w:rPr>
          <w:rFonts w:ascii="Ping LCG Regular" w:hAnsi="Ping LCG Regular" w:cs="Arial"/>
          <w:spacing w:val="-14"/>
          <w:lang w:val="el-GR"/>
        </w:rPr>
        <w:t>αντιστάθμιση του κινδύνου της διακύμανσης των τιμών ηλεκτρικής ενέργειας και φυσικού αερίου.</w:t>
      </w:r>
      <w:r w:rsidR="00E92EFC" w:rsidRPr="00C158D9">
        <w:rPr>
          <w:rFonts w:ascii="Ping LCG Regular" w:hAnsi="Ping LCG Regular" w:cs="Arial"/>
          <w:spacing w:val="-14"/>
          <w:lang w:val="el-GR"/>
        </w:rPr>
        <w:t xml:space="preserve"> </w:t>
      </w:r>
      <w:r w:rsidR="001447F2" w:rsidRPr="00C158D9">
        <w:rPr>
          <w:rFonts w:ascii="Ping LCG Regular" w:hAnsi="Ping LCG Regular" w:cs="Arial"/>
          <w:spacing w:val="-14"/>
          <w:lang w:val="el-GR"/>
        </w:rPr>
        <w:t xml:space="preserve"> </w:t>
      </w:r>
    </w:p>
    <w:p w14:paraId="0DE63342" w14:textId="53491BC1" w:rsidR="007F5A82" w:rsidRDefault="007F5A82" w:rsidP="00F04145">
      <w:pPr>
        <w:jc w:val="both"/>
        <w:rPr>
          <w:rFonts w:ascii="Ping LCG Regular" w:hAnsi="Ping LCG Regular" w:cs="Arial"/>
          <w:spacing w:val="-14"/>
          <w:lang w:val="el-GR"/>
        </w:rPr>
      </w:pPr>
    </w:p>
    <w:p w14:paraId="58D1A8C1" w14:textId="7796BA0E" w:rsidR="00623FA8" w:rsidRPr="00F9541A" w:rsidRDefault="00B95D17">
      <w:pPr>
        <w:jc w:val="both"/>
        <w:rPr>
          <w:rFonts w:ascii="Ping LCG Regular" w:hAnsi="Ping LCG Regular" w:cs="Arial"/>
          <w:spacing w:val="-14"/>
          <w:lang w:val="el-GR"/>
        </w:rPr>
      </w:pPr>
      <w:r w:rsidRPr="00DD5F68">
        <w:rPr>
          <w:rFonts w:ascii="Ping LCG Regular" w:hAnsi="Ping LCG Regular" w:cs="Arial"/>
          <w:spacing w:val="-14"/>
          <w:lang w:val="el-GR"/>
        </w:rPr>
        <w:t xml:space="preserve">Το </w:t>
      </w:r>
      <w:r w:rsidRPr="00DD5F68">
        <w:rPr>
          <w:rFonts w:ascii="Ping LCG Regular" w:hAnsi="Ping LCG Regular" w:cs="Arial"/>
          <w:spacing w:val="-14"/>
        </w:rPr>
        <w:t>EBITDA</w:t>
      </w:r>
      <w:r w:rsidRPr="00DD5F68">
        <w:rPr>
          <w:rFonts w:ascii="Ping LCG Regular" w:hAnsi="Ping LCG Regular" w:cs="Arial"/>
          <w:spacing w:val="-14"/>
          <w:lang w:val="el-GR"/>
        </w:rPr>
        <w:t xml:space="preserve"> του </w:t>
      </w:r>
      <w:proofErr w:type="spellStart"/>
      <w:r w:rsidR="003A19E2" w:rsidRPr="00DD5F68">
        <w:rPr>
          <w:rFonts w:ascii="Ping LCG Regular" w:hAnsi="Ping LCG Regular" w:cs="Arial"/>
          <w:spacing w:val="-14"/>
          <w:szCs w:val="26"/>
          <w:lang w:val="el-GR"/>
        </w:rPr>
        <w:t>ε</w:t>
      </w:r>
      <w:r w:rsidR="00DD5F68" w:rsidRPr="00DD5F68">
        <w:rPr>
          <w:rFonts w:ascii="Ping LCG Regular" w:hAnsi="Ping LCG Regular" w:cs="Arial"/>
          <w:spacing w:val="-14"/>
          <w:szCs w:val="26"/>
          <w:lang w:val="el-GR"/>
        </w:rPr>
        <w:t>ννε</w:t>
      </w:r>
      <w:r w:rsidR="003A19E2" w:rsidRPr="00DD5F68">
        <w:rPr>
          <w:rFonts w:ascii="Ping LCG Regular" w:hAnsi="Ping LCG Regular" w:cs="Arial"/>
          <w:spacing w:val="-14"/>
          <w:szCs w:val="26"/>
          <w:lang w:val="el-GR"/>
        </w:rPr>
        <w:t>αμ</w:t>
      </w:r>
      <w:r w:rsidR="009F7459" w:rsidRPr="00DD5F68">
        <w:rPr>
          <w:rFonts w:ascii="Ping LCG Regular" w:hAnsi="Ping LCG Regular" w:cs="Arial"/>
          <w:spacing w:val="-14"/>
          <w:szCs w:val="26"/>
          <w:lang w:val="el-GR"/>
        </w:rPr>
        <w:t>ήνου</w:t>
      </w:r>
      <w:proofErr w:type="spellEnd"/>
      <w:r w:rsidR="00645440" w:rsidRPr="00DD5F68">
        <w:rPr>
          <w:rFonts w:ascii="Ping LCG Regular" w:hAnsi="Ping LCG Regular" w:cs="Arial"/>
          <w:spacing w:val="-14"/>
          <w:szCs w:val="26"/>
          <w:lang w:val="el-GR"/>
        </w:rPr>
        <w:t xml:space="preserve"> του 2021 </w:t>
      </w:r>
      <w:r w:rsidRPr="00DD5F68">
        <w:rPr>
          <w:rFonts w:ascii="Ping LCG Regular" w:hAnsi="Ping LCG Regular" w:cs="Arial"/>
          <w:spacing w:val="-14"/>
          <w:lang w:val="el-GR"/>
        </w:rPr>
        <w:t xml:space="preserve"> </w:t>
      </w:r>
      <w:r w:rsidR="003C1261" w:rsidRPr="00DD5F68">
        <w:rPr>
          <w:rFonts w:ascii="Ping LCG Regular" w:hAnsi="Ping LCG Regular" w:cs="Arial"/>
          <w:spacing w:val="-14"/>
          <w:lang w:val="el-GR"/>
        </w:rPr>
        <w:t xml:space="preserve">όπως και αυτό του </w:t>
      </w:r>
      <w:proofErr w:type="spellStart"/>
      <w:r w:rsidR="00DD5F68" w:rsidRPr="00DD5F68">
        <w:rPr>
          <w:rFonts w:ascii="Ping LCG Regular" w:hAnsi="Ping LCG Regular" w:cs="Arial"/>
          <w:spacing w:val="-14"/>
          <w:lang w:val="el-GR"/>
        </w:rPr>
        <w:t>εννε</w:t>
      </w:r>
      <w:r w:rsidR="003A19E2" w:rsidRPr="00DD5F68">
        <w:rPr>
          <w:rFonts w:ascii="Ping LCG Regular" w:hAnsi="Ping LCG Regular" w:cs="Arial"/>
          <w:spacing w:val="-14"/>
          <w:szCs w:val="26"/>
          <w:lang w:val="el-GR"/>
        </w:rPr>
        <w:t>α</w:t>
      </w:r>
      <w:r w:rsidR="009F7459" w:rsidRPr="00DD5F68">
        <w:rPr>
          <w:rFonts w:ascii="Ping LCG Regular" w:hAnsi="Ping LCG Regular" w:cs="Arial"/>
          <w:spacing w:val="-14"/>
          <w:szCs w:val="26"/>
          <w:lang w:val="el-GR"/>
        </w:rPr>
        <w:t>μήνου</w:t>
      </w:r>
      <w:proofErr w:type="spellEnd"/>
      <w:r w:rsidR="00645440" w:rsidRPr="00DD5F68">
        <w:rPr>
          <w:rFonts w:ascii="Ping LCG Regular" w:hAnsi="Ping LCG Regular" w:cs="Arial"/>
          <w:spacing w:val="-14"/>
          <w:szCs w:val="26"/>
          <w:lang w:val="el-GR"/>
        </w:rPr>
        <w:t xml:space="preserve"> του 2020 </w:t>
      </w:r>
      <w:r w:rsidR="003C1261" w:rsidRPr="00DD5F68">
        <w:rPr>
          <w:rFonts w:ascii="Ping LCG Regular" w:hAnsi="Ping LCG Regular" w:cs="Arial"/>
          <w:spacing w:val="-14"/>
          <w:lang w:val="el-GR"/>
        </w:rPr>
        <w:t xml:space="preserve"> </w:t>
      </w:r>
      <w:r w:rsidRPr="00DD5F68">
        <w:rPr>
          <w:rFonts w:ascii="Ping LCG Regular" w:hAnsi="Ping LCG Regular" w:cs="Arial"/>
          <w:spacing w:val="-14"/>
          <w:lang w:val="el-GR"/>
        </w:rPr>
        <w:t xml:space="preserve">επηρεάστηκε </w:t>
      </w:r>
      <w:r w:rsidR="00AA3C6E" w:rsidRPr="00DD5F68">
        <w:rPr>
          <w:rFonts w:ascii="Ping LCG Regular" w:hAnsi="Ping LCG Regular" w:cs="Arial"/>
          <w:spacing w:val="-14"/>
          <w:lang w:val="el-GR"/>
        </w:rPr>
        <w:t xml:space="preserve">επίσης </w:t>
      </w:r>
      <w:r w:rsidRPr="00DD5F68">
        <w:rPr>
          <w:rFonts w:ascii="Ping LCG Regular" w:hAnsi="Ping LCG Regular" w:cs="Arial"/>
          <w:spacing w:val="-14"/>
          <w:lang w:val="el-GR"/>
        </w:rPr>
        <w:t>από ορισμένες εφάπαξ επιπτώσεις</w:t>
      </w:r>
      <w:r w:rsidR="00204B2B">
        <w:rPr>
          <w:rFonts w:ascii="Ping LCG Regular" w:hAnsi="Ping LCG Regular" w:cs="Arial"/>
          <w:spacing w:val="-14"/>
          <w:lang w:val="el-GR"/>
        </w:rPr>
        <w:t xml:space="preserve">. Συνυπολογίζοντας τις επιπτώσεις αυτές το </w:t>
      </w:r>
      <w:r w:rsidR="00204B2B">
        <w:rPr>
          <w:rFonts w:ascii="Ping LCG Regular" w:hAnsi="Ping LCG Regular" w:cs="Arial"/>
          <w:spacing w:val="-14"/>
        </w:rPr>
        <w:t>EBITDA</w:t>
      </w:r>
      <w:r w:rsidR="00B22E18" w:rsidRPr="00DD5F68">
        <w:rPr>
          <w:rFonts w:ascii="Ping LCG Regular" w:hAnsi="Ping LCG Regular" w:cs="Arial"/>
          <w:spacing w:val="-14"/>
          <w:lang w:val="el-GR"/>
        </w:rPr>
        <w:t xml:space="preserve"> </w:t>
      </w:r>
      <w:r w:rsidR="003C1261" w:rsidRPr="00DD5F68">
        <w:rPr>
          <w:rFonts w:ascii="Ping LCG Regular" w:hAnsi="Ping LCG Regular" w:cs="Arial"/>
          <w:spacing w:val="-14"/>
          <w:lang w:val="el-GR"/>
        </w:rPr>
        <w:t xml:space="preserve"> διαμορφώθηκε σε </w:t>
      </w:r>
      <w:r w:rsidR="003C1261" w:rsidRPr="00F9541A">
        <w:rPr>
          <w:rFonts w:ascii="Ping LCG Regular" w:hAnsi="Ping LCG Regular" w:cs="Arial"/>
          <w:spacing w:val="-14"/>
          <w:lang w:val="el-GR"/>
        </w:rPr>
        <w:t>€</w:t>
      </w:r>
      <w:r w:rsidR="001516D6" w:rsidRPr="00F9541A">
        <w:rPr>
          <w:rFonts w:ascii="Ping LCG Regular" w:hAnsi="Ping LCG Regular" w:cs="Arial"/>
          <w:spacing w:val="-14"/>
          <w:lang w:val="el-GR"/>
        </w:rPr>
        <w:t>5</w:t>
      </w:r>
      <w:r w:rsidR="007E3185" w:rsidRPr="00F9541A">
        <w:rPr>
          <w:rFonts w:ascii="Ping LCG Regular" w:hAnsi="Ping LCG Regular" w:cs="Arial"/>
          <w:spacing w:val="-14"/>
          <w:lang w:val="el-GR"/>
        </w:rPr>
        <w:t>7</w:t>
      </w:r>
      <w:r w:rsidR="000D7348" w:rsidRPr="00605E8C">
        <w:rPr>
          <w:rFonts w:ascii="Ping LCG Regular" w:hAnsi="Ping LCG Regular" w:cs="Arial"/>
          <w:spacing w:val="-14"/>
          <w:lang w:val="el-GR"/>
        </w:rPr>
        <w:t>6</w:t>
      </w:r>
      <w:r w:rsidR="0000478F" w:rsidRPr="00F9541A">
        <w:rPr>
          <w:rFonts w:ascii="Ping LCG Regular" w:hAnsi="Ping LCG Regular" w:cs="Arial"/>
          <w:spacing w:val="-14"/>
          <w:lang w:val="el-GR"/>
        </w:rPr>
        <w:t>,</w:t>
      </w:r>
      <w:r w:rsidR="000D7348" w:rsidRPr="00605E8C">
        <w:rPr>
          <w:rFonts w:ascii="Ping LCG Regular" w:hAnsi="Ping LCG Regular" w:cs="Arial"/>
          <w:spacing w:val="-14"/>
          <w:lang w:val="el-GR"/>
        </w:rPr>
        <w:t>9</w:t>
      </w:r>
      <w:r w:rsidR="00735AEE" w:rsidRPr="00F9541A">
        <w:rPr>
          <w:rFonts w:ascii="Ping LCG Regular" w:hAnsi="Ping LCG Regular" w:cs="Arial"/>
          <w:spacing w:val="-14"/>
          <w:lang w:val="el-GR"/>
        </w:rPr>
        <w:t xml:space="preserve"> </w:t>
      </w:r>
      <w:r w:rsidR="003C1261" w:rsidRPr="00F9541A">
        <w:rPr>
          <w:rFonts w:ascii="Ping LCG Regular" w:hAnsi="Ping LCG Regular" w:cs="Arial"/>
          <w:spacing w:val="-14"/>
          <w:lang w:val="el-GR"/>
        </w:rPr>
        <w:t xml:space="preserve">εκατ. </w:t>
      </w:r>
      <w:r w:rsidR="002A066F" w:rsidRPr="00F9541A">
        <w:rPr>
          <w:rFonts w:ascii="Ping LCG Regular" w:hAnsi="Ping LCG Regular" w:cs="Arial"/>
          <w:spacing w:val="-14"/>
          <w:lang w:val="el-GR"/>
        </w:rPr>
        <w:t>έναντι €</w:t>
      </w:r>
      <w:r w:rsidR="00DD5F68" w:rsidRPr="00F9541A">
        <w:rPr>
          <w:rFonts w:ascii="Ping LCG Regular" w:hAnsi="Ping LCG Regular" w:cs="Arial"/>
          <w:spacing w:val="-14"/>
          <w:lang w:val="el-GR"/>
        </w:rPr>
        <w:t>708</w:t>
      </w:r>
      <w:r w:rsidR="003A19E2" w:rsidRPr="00F9541A">
        <w:rPr>
          <w:rFonts w:ascii="Ping LCG Regular" w:hAnsi="Ping LCG Regular" w:cs="Arial"/>
          <w:spacing w:val="-14"/>
          <w:lang w:val="el-GR"/>
        </w:rPr>
        <w:t>,</w:t>
      </w:r>
      <w:r w:rsidR="00DD5F68" w:rsidRPr="00F9541A">
        <w:rPr>
          <w:rFonts w:ascii="Ping LCG Regular" w:hAnsi="Ping LCG Regular" w:cs="Arial"/>
          <w:spacing w:val="-14"/>
          <w:lang w:val="el-GR"/>
        </w:rPr>
        <w:t>3</w:t>
      </w:r>
      <w:r w:rsidR="003C1261" w:rsidRPr="00F9541A">
        <w:rPr>
          <w:rFonts w:ascii="Ping LCG Regular" w:hAnsi="Ping LCG Regular" w:cs="Arial"/>
          <w:spacing w:val="-14"/>
          <w:lang w:val="el-GR"/>
        </w:rPr>
        <w:t xml:space="preserve"> εκατ</w:t>
      </w:r>
      <w:r w:rsidR="00590E16" w:rsidRPr="00F9541A">
        <w:rPr>
          <w:rFonts w:ascii="Ping LCG Regular" w:hAnsi="Ping LCG Regular" w:cs="Arial"/>
          <w:spacing w:val="-14"/>
          <w:lang w:val="el-GR"/>
        </w:rPr>
        <w:t xml:space="preserve">. το </w:t>
      </w:r>
      <w:r w:rsidR="003A19E2" w:rsidRPr="00F9541A">
        <w:rPr>
          <w:rFonts w:ascii="Ping LCG Regular" w:hAnsi="Ping LCG Regular" w:cs="Arial"/>
          <w:spacing w:val="-14"/>
          <w:szCs w:val="26"/>
          <w:lang w:val="el-GR"/>
        </w:rPr>
        <w:t>ε</w:t>
      </w:r>
      <w:r w:rsidR="00DD5F68" w:rsidRPr="00F9541A">
        <w:rPr>
          <w:rFonts w:ascii="Ping LCG Regular" w:hAnsi="Ping LCG Regular" w:cs="Arial"/>
          <w:spacing w:val="-14"/>
          <w:szCs w:val="26"/>
          <w:lang w:val="el-GR"/>
        </w:rPr>
        <w:t>ννε</w:t>
      </w:r>
      <w:r w:rsidR="003A19E2" w:rsidRPr="00F9541A">
        <w:rPr>
          <w:rFonts w:ascii="Ping LCG Regular" w:hAnsi="Ping LCG Regular" w:cs="Arial"/>
          <w:spacing w:val="-14"/>
          <w:szCs w:val="26"/>
          <w:lang w:val="el-GR"/>
        </w:rPr>
        <w:t>άμην</w:t>
      </w:r>
      <w:r w:rsidR="00645440" w:rsidRPr="00F9541A">
        <w:rPr>
          <w:rFonts w:ascii="Ping LCG Regular" w:hAnsi="Ping LCG Regular" w:cs="Arial"/>
          <w:spacing w:val="-14"/>
          <w:szCs w:val="26"/>
          <w:lang w:val="el-GR"/>
        </w:rPr>
        <w:t>ο του 2020</w:t>
      </w:r>
      <w:r w:rsidR="00FE7DED" w:rsidRPr="00F9541A">
        <w:rPr>
          <w:rStyle w:val="FootnoteReference"/>
          <w:rFonts w:ascii="Ping LCG Regular" w:hAnsi="Ping LCG Regular" w:cs="Arial"/>
          <w:spacing w:val="-14"/>
          <w:lang w:val="el-GR"/>
        </w:rPr>
        <w:footnoteReference w:id="1"/>
      </w:r>
      <w:r w:rsidR="003C1261" w:rsidRPr="00F9541A">
        <w:rPr>
          <w:rFonts w:ascii="Ping LCG Regular" w:hAnsi="Ping LCG Regular" w:cs="Arial"/>
          <w:spacing w:val="-14"/>
          <w:lang w:val="el-GR"/>
        </w:rPr>
        <w:t xml:space="preserve">.  </w:t>
      </w:r>
    </w:p>
    <w:p w14:paraId="0CB5DB93" w14:textId="77777777" w:rsidR="001A31CD" w:rsidRPr="00F9541A" w:rsidRDefault="001A31CD" w:rsidP="001A31CD">
      <w:pPr>
        <w:ind w:firstLine="11"/>
        <w:jc w:val="both"/>
        <w:rPr>
          <w:rFonts w:ascii="Ping LCG Regular" w:hAnsi="Ping LCG Regular" w:cs="Arial"/>
          <w:spacing w:val="-14"/>
          <w:lang w:val="el-GR"/>
        </w:rPr>
      </w:pPr>
    </w:p>
    <w:p w14:paraId="1320D335" w14:textId="2778CF72" w:rsidR="003812C2" w:rsidRPr="004A424A" w:rsidRDefault="001B4B5B" w:rsidP="00FC2CF5">
      <w:pPr>
        <w:ind w:firstLine="11"/>
        <w:jc w:val="both"/>
        <w:rPr>
          <w:rFonts w:ascii="Ping LCG Regular" w:hAnsi="Ping LCG Regular" w:cs="Arial"/>
          <w:spacing w:val="-14"/>
          <w:szCs w:val="26"/>
          <w:lang w:val="el-GR"/>
        </w:rPr>
      </w:pPr>
      <w:r w:rsidRPr="00302545">
        <w:rPr>
          <w:rFonts w:ascii="Ping LCG Regular" w:hAnsi="Ping LCG Regular" w:cs="Arial"/>
          <w:spacing w:val="-14"/>
          <w:lang w:val="el-GR"/>
        </w:rPr>
        <w:t xml:space="preserve">Τα </w:t>
      </w:r>
      <w:r w:rsidR="00DD5F68" w:rsidRPr="00302545">
        <w:rPr>
          <w:rFonts w:ascii="Ping LCG Regular" w:hAnsi="Ping LCG Regular" w:cs="Arial"/>
          <w:spacing w:val="-14"/>
          <w:lang w:val="el-GR"/>
        </w:rPr>
        <w:t>αποτελέσματα</w:t>
      </w:r>
      <w:r w:rsidRPr="00302545">
        <w:rPr>
          <w:rFonts w:ascii="Ping LCG Regular" w:hAnsi="Ping LCG Regular" w:cs="Arial"/>
          <w:spacing w:val="-14"/>
          <w:lang w:val="el-GR"/>
        </w:rPr>
        <w:t xml:space="preserve"> </w:t>
      </w:r>
      <w:r w:rsidR="003812C2" w:rsidRPr="00302545">
        <w:rPr>
          <w:rFonts w:ascii="Ping LCG Regular" w:hAnsi="Ping LCG Regular" w:cs="Arial"/>
          <w:spacing w:val="-14"/>
          <w:lang w:val="el-GR"/>
        </w:rPr>
        <w:t xml:space="preserve">μετά από φόρους διαμορφώθηκαν σε </w:t>
      </w:r>
      <w:r w:rsidR="00DD5F68" w:rsidRPr="00302545">
        <w:rPr>
          <w:rFonts w:ascii="Ping LCG Regular" w:hAnsi="Ping LCG Regular" w:cs="Arial"/>
          <w:spacing w:val="-14"/>
          <w:lang w:val="el-GR"/>
        </w:rPr>
        <w:t xml:space="preserve">ζημιές </w:t>
      </w:r>
      <w:r w:rsidRPr="00302545">
        <w:rPr>
          <w:rFonts w:ascii="Ping LCG Regular" w:hAnsi="Ping LCG Regular" w:cs="Arial"/>
          <w:spacing w:val="-14"/>
          <w:lang w:val="el-GR"/>
        </w:rPr>
        <w:t>€</w:t>
      </w:r>
      <w:r w:rsidR="00302545" w:rsidRPr="00302545">
        <w:rPr>
          <w:rFonts w:ascii="Ping LCG Regular" w:hAnsi="Ping LCG Regular" w:cs="Arial"/>
          <w:spacing w:val="-14"/>
          <w:lang w:val="el-GR"/>
        </w:rPr>
        <w:t>42</w:t>
      </w:r>
      <w:r w:rsidR="00DD5F68" w:rsidRPr="00302545">
        <w:rPr>
          <w:rFonts w:ascii="Ping LCG Regular" w:hAnsi="Ping LCG Regular" w:cs="Arial"/>
          <w:spacing w:val="-14"/>
          <w:lang w:val="el-GR"/>
        </w:rPr>
        <w:t>,</w:t>
      </w:r>
      <w:r w:rsidR="00302545" w:rsidRPr="00302545">
        <w:rPr>
          <w:rFonts w:ascii="Ping LCG Regular" w:hAnsi="Ping LCG Regular" w:cs="Arial"/>
          <w:spacing w:val="-14"/>
          <w:lang w:val="el-GR"/>
        </w:rPr>
        <w:t>2</w:t>
      </w:r>
      <w:r w:rsidRPr="00302545">
        <w:rPr>
          <w:rFonts w:ascii="Ping LCG Regular" w:hAnsi="Ping LCG Regular" w:cs="Arial"/>
          <w:spacing w:val="-14"/>
          <w:lang w:val="el-GR"/>
        </w:rPr>
        <w:t xml:space="preserve"> εκατ. </w:t>
      </w:r>
      <w:r w:rsidR="00DD5F68" w:rsidRPr="00302545">
        <w:rPr>
          <w:rFonts w:ascii="Ping LCG Regular" w:hAnsi="Ping LCG Regular" w:cs="Arial"/>
          <w:spacing w:val="-14"/>
          <w:lang w:val="el-GR"/>
        </w:rPr>
        <w:t>έναντι κερδών</w:t>
      </w:r>
      <w:r w:rsidR="002C17BB" w:rsidRPr="00302545">
        <w:rPr>
          <w:rFonts w:ascii="Ping LCG Regular" w:hAnsi="Ping LCG Regular" w:cs="Arial"/>
          <w:spacing w:val="-14"/>
          <w:lang w:val="el-GR"/>
        </w:rPr>
        <w:t xml:space="preserve"> </w:t>
      </w:r>
      <w:r w:rsidRPr="00302545">
        <w:rPr>
          <w:rFonts w:ascii="Ping LCG Regular" w:hAnsi="Ping LCG Regular" w:cs="Arial"/>
          <w:spacing w:val="-14"/>
          <w:lang w:val="el-GR"/>
        </w:rPr>
        <w:t>€</w:t>
      </w:r>
      <w:r w:rsidR="001516D6" w:rsidRPr="00302545">
        <w:rPr>
          <w:rFonts w:ascii="Ping LCG Regular" w:hAnsi="Ping LCG Regular" w:cs="Arial"/>
          <w:spacing w:val="-14"/>
          <w:lang w:val="el-GR"/>
        </w:rPr>
        <w:t>12,8</w:t>
      </w:r>
      <w:r w:rsidRPr="00302545">
        <w:rPr>
          <w:rFonts w:ascii="Ping LCG Regular" w:hAnsi="Ping LCG Regular" w:cs="Arial"/>
          <w:spacing w:val="-14"/>
          <w:lang w:val="el-GR"/>
        </w:rPr>
        <w:t xml:space="preserve"> εκατ.</w:t>
      </w:r>
      <w:r w:rsidR="003D3F41" w:rsidRPr="00302545">
        <w:rPr>
          <w:rFonts w:ascii="Ping LCG Regular" w:hAnsi="Ping LCG Regular" w:cs="Arial"/>
          <w:spacing w:val="-14"/>
          <w:lang w:val="el-GR"/>
        </w:rPr>
        <w:t xml:space="preserve"> </w:t>
      </w:r>
      <w:r w:rsidR="002C17BB" w:rsidRPr="00302545">
        <w:rPr>
          <w:rFonts w:ascii="Ping LCG Regular" w:hAnsi="Ping LCG Regular" w:cs="Arial"/>
          <w:spacing w:val="-14"/>
          <w:lang w:val="el-GR"/>
        </w:rPr>
        <w:t xml:space="preserve">το </w:t>
      </w:r>
      <w:r w:rsidR="003A19E2" w:rsidRPr="00302545">
        <w:rPr>
          <w:rFonts w:ascii="Ping LCG Regular" w:hAnsi="Ping LCG Regular" w:cs="Arial"/>
          <w:spacing w:val="-14"/>
          <w:szCs w:val="26"/>
          <w:lang w:val="el-GR"/>
        </w:rPr>
        <w:t>ε</w:t>
      </w:r>
      <w:r w:rsidR="00DD5F68" w:rsidRPr="00302545">
        <w:rPr>
          <w:rFonts w:ascii="Ping LCG Regular" w:hAnsi="Ping LCG Regular" w:cs="Arial"/>
          <w:spacing w:val="-14"/>
          <w:szCs w:val="26"/>
          <w:lang w:val="el-GR"/>
        </w:rPr>
        <w:t>ννε</w:t>
      </w:r>
      <w:r w:rsidR="003A19E2" w:rsidRPr="00302545">
        <w:rPr>
          <w:rFonts w:ascii="Ping LCG Regular" w:hAnsi="Ping LCG Regular" w:cs="Arial"/>
          <w:spacing w:val="-14"/>
          <w:szCs w:val="26"/>
          <w:lang w:val="el-GR"/>
        </w:rPr>
        <w:t>άμ</w:t>
      </w:r>
      <w:r w:rsidR="003D3F41" w:rsidRPr="00302545">
        <w:rPr>
          <w:rFonts w:ascii="Ping LCG Regular" w:hAnsi="Ping LCG Regular" w:cs="Arial"/>
          <w:spacing w:val="-14"/>
          <w:szCs w:val="26"/>
          <w:lang w:val="el-GR"/>
        </w:rPr>
        <w:t>ηνο του 2020</w:t>
      </w:r>
      <w:r w:rsidR="003812C2" w:rsidRPr="00302545">
        <w:rPr>
          <w:rFonts w:ascii="Ping LCG Regular" w:hAnsi="Ping LCG Regular" w:cs="Arial"/>
          <w:spacing w:val="-14"/>
          <w:szCs w:val="26"/>
          <w:lang w:val="el-GR"/>
        </w:rPr>
        <w:t>.</w:t>
      </w:r>
      <w:r w:rsidR="00204B2B" w:rsidRPr="00302545">
        <w:rPr>
          <w:rFonts w:ascii="Ping LCG Regular" w:hAnsi="Ping LCG Regular" w:cs="Arial"/>
          <w:spacing w:val="-14"/>
          <w:szCs w:val="26"/>
          <w:lang w:val="el-GR"/>
        </w:rPr>
        <w:t xml:space="preserve"> Αντίστοιχα για το γ’ τρίμηνο του 2021 τα αποτελέσματα μετά από φόρους διαμορφώθηκαν σε ζημίες €</w:t>
      </w:r>
      <w:r w:rsidR="00302545" w:rsidRPr="00302545">
        <w:rPr>
          <w:rFonts w:ascii="Ping LCG Regular" w:hAnsi="Ping LCG Regular" w:cs="Arial"/>
          <w:spacing w:val="-14"/>
          <w:szCs w:val="26"/>
          <w:lang w:val="el-GR"/>
        </w:rPr>
        <w:t>69,1</w:t>
      </w:r>
      <w:r w:rsidR="00204B2B" w:rsidRPr="00302545">
        <w:rPr>
          <w:rFonts w:ascii="Ping LCG Regular" w:hAnsi="Ping LCG Regular" w:cs="Arial"/>
          <w:spacing w:val="-14"/>
          <w:szCs w:val="26"/>
          <w:lang w:val="el-GR"/>
        </w:rPr>
        <w:t xml:space="preserve"> εκατ. έναντι ζημιών €16,5 εκατ. το γ’ τρίμηνο 2020.</w:t>
      </w:r>
    </w:p>
    <w:p w14:paraId="1CDC2B93" w14:textId="30DA879B" w:rsidR="00765C46" w:rsidRPr="00C158D9" w:rsidRDefault="003812C2" w:rsidP="00FC2CF5">
      <w:pPr>
        <w:ind w:firstLine="11"/>
        <w:jc w:val="both"/>
        <w:rPr>
          <w:rFonts w:ascii="Ping LCG Regular" w:hAnsi="Ping LCG Regular"/>
          <w:b/>
          <w:bCs/>
          <w:lang w:val="el-GR"/>
        </w:rPr>
      </w:pPr>
      <w:r w:rsidRPr="00C158D9">
        <w:rPr>
          <w:rFonts w:ascii="Ping LCG Regular" w:hAnsi="Ping LCG Regular" w:cs="Arial"/>
          <w:spacing w:val="-14"/>
          <w:szCs w:val="26"/>
          <w:lang w:val="el-GR"/>
        </w:rPr>
        <w:t xml:space="preserve"> </w:t>
      </w:r>
    </w:p>
    <w:p w14:paraId="168804E1" w14:textId="7B2FEC79" w:rsidR="004F3806" w:rsidRDefault="004F3806" w:rsidP="007F675C">
      <w:pPr>
        <w:jc w:val="both"/>
        <w:rPr>
          <w:rFonts w:ascii="Ping LCG Regular" w:hAnsi="Ping LCG Regular" w:cs="Arial"/>
          <w:spacing w:val="-14"/>
          <w:lang w:val="el-GR"/>
        </w:rPr>
      </w:pPr>
    </w:p>
    <w:p w14:paraId="1C839519" w14:textId="77777777" w:rsidR="00D91B19" w:rsidRPr="00605E8C" w:rsidRDefault="00D91B19" w:rsidP="00D91B19">
      <w:pPr>
        <w:jc w:val="both"/>
        <w:rPr>
          <w:rFonts w:ascii="Ping LCG Regular" w:hAnsi="Ping LCG Regular" w:cs="Arial"/>
          <w:b/>
          <w:bCs/>
          <w:spacing w:val="-14"/>
          <w:lang w:val="el-GR"/>
        </w:rPr>
      </w:pPr>
      <w:r w:rsidRPr="00605E8C">
        <w:rPr>
          <w:rFonts w:ascii="Ping LCG Regular" w:hAnsi="Ping LCG Regular" w:cs="Arial"/>
          <w:b/>
          <w:bCs/>
          <w:spacing w:val="-14"/>
          <w:lang w:val="el-GR"/>
        </w:rPr>
        <w:t xml:space="preserve">Επιπτώσεις από την πανδημία </w:t>
      </w:r>
      <w:r w:rsidRPr="00605E8C">
        <w:rPr>
          <w:rFonts w:ascii="Ping LCG Regular" w:hAnsi="Ping LCG Regular" w:cs="Arial"/>
          <w:b/>
          <w:bCs/>
          <w:spacing w:val="-14"/>
        </w:rPr>
        <w:t>COVID</w:t>
      </w:r>
      <w:r w:rsidRPr="00605E8C">
        <w:rPr>
          <w:rFonts w:ascii="Ping LCG Regular" w:hAnsi="Ping LCG Regular" w:cs="Arial"/>
          <w:b/>
          <w:bCs/>
          <w:spacing w:val="-14"/>
          <w:lang w:val="el-GR"/>
        </w:rPr>
        <w:t>-19</w:t>
      </w:r>
    </w:p>
    <w:p w14:paraId="7EFB9D25" w14:textId="77777777" w:rsidR="00D91B19" w:rsidRPr="00605E8C" w:rsidRDefault="00D91B19" w:rsidP="00D91B19">
      <w:pPr>
        <w:jc w:val="both"/>
        <w:rPr>
          <w:rFonts w:ascii="Ping LCG Regular" w:hAnsi="Ping LCG Regular"/>
          <w:lang w:val="el-GR"/>
        </w:rPr>
      </w:pPr>
    </w:p>
    <w:p w14:paraId="15C89612" w14:textId="1637A56E" w:rsidR="00D91B19" w:rsidRPr="00605E8C" w:rsidRDefault="00D91B19" w:rsidP="00D91B19">
      <w:pPr>
        <w:jc w:val="both"/>
        <w:rPr>
          <w:rFonts w:ascii="Ping LCG Regular" w:hAnsi="Ping LCG Regular"/>
          <w:lang w:val="el-GR"/>
        </w:rPr>
      </w:pPr>
      <w:r w:rsidRPr="00605E8C">
        <w:rPr>
          <w:rFonts w:ascii="Ping LCG Regular" w:hAnsi="Ping LCG Regular"/>
          <w:lang w:val="el-GR"/>
        </w:rPr>
        <w:t xml:space="preserve">Η πανδημία COVID-19 συνεχίζει και το έτος 2021 να επηρεάζει την παγκόσμια κοινωνική και οικονομική ζωή. Στην Ελλάδα, μετά την επαναφορά των περιοριστικών μέτρων από τον Οκτώβριο 2020 μέχρι περίπου και τα τέλη Μαρτίου 2021, από τα μέσα Απριλίου 2021 τα μέτρα περιορισμού της κυκλοφορίας άρχισαν σταδιακά να αίρονται σαν αποτέλεσμα του </w:t>
      </w:r>
      <w:r w:rsidRPr="00605E8C">
        <w:rPr>
          <w:rFonts w:ascii="Ping LCG Regular" w:hAnsi="Ping LCG Regular"/>
          <w:lang w:val="el-GR"/>
        </w:rPr>
        <w:lastRenderedPageBreak/>
        <w:t>προγράμματος μαζικού εμβολιασμού που εφαρμόστηκε, ενώ υπήρξε και σχεδόν πλήρης απελευθέρωση της λειτουργίας των καταστημάτων.</w:t>
      </w:r>
    </w:p>
    <w:p w14:paraId="008CA8D3" w14:textId="4D55FC99" w:rsidR="00D91B19" w:rsidRPr="00564158" w:rsidRDefault="00D91B19" w:rsidP="00D91B19">
      <w:pPr>
        <w:jc w:val="both"/>
        <w:rPr>
          <w:rFonts w:ascii="Ping LCG Regular" w:hAnsi="Ping LCG Regular"/>
          <w:lang w:val="el-GR"/>
        </w:rPr>
      </w:pPr>
      <w:r w:rsidRPr="00605E8C">
        <w:rPr>
          <w:rFonts w:ascii="Ping LCG Regular" w:hAnsi="Ping LCG Regular"/>
          <w:lang w:val="el-GR"/>
        </w:rPr>
        <w:t xml:space="preserve">Η συνολική τελική οικονομική επίδραση, από την πανδημία COVID-19, στην παγκόσμια και την ελληνική οικονομία και τις επιχειρηματικές δραστηριότητες, δεν μπορεί επί του παρόντος να εκτιμηθεί, λόγω του υψηλού βαθμού αβεβαιότητας που προκύπτει από την αδυναμία πρόβλεψης της τελικής κατάληξης, αλλά και λόγω  των δευτερογενών επιπτώσεών της που αναφέρονται παραπάνω. Σε κάθε περίπτωση όμως, </w:t>
      </w:r>
      <w:r w:rsidR="003A4869" w:rsidRPr="00605E8C">
        <w:rPr>
          <w:rFonts w:ascii="Ping LCG Regular" w:hAnsi="Ping LCG Regular"/>
          <w:lang w:val="el-GR"/>
        </w:rPr>
        <w:t>η</w:t>
      </w:r>
      <w:r w:rsidRPr="00605E8C">
        <w:rPr>
          <w:rFonts w:ascii="Ping LCG Regular" w:hAnsi="Ping LCG Regular"/>
          <w:lang w:val="el-GR"/>
        </w:rPr>
        <w:t xml:space="preserve"> Διοίκηση του Ομίλου και της Μητρικής Εταιρείας παρακολουθεί συνεχώς τις εξελίξεις στο μέτωπο του COVID-19 και αξιολογεί τυχόν πιθανές περαιτέρω επιπτώσεις στη λειτουργία, την οικονομική θέση και τα αποτελέσματα του Ομίλου και της Μητρικής Εταιρείας, ευρισκόμενη σε κατάσταση αυξημένης εγρήγορσης για τη λήψη περαιτέρω κατάλληλων προληπτικών μέτρων για τη διαφύλαξη της ρευστότητας και των επιχειρηματικών δραστηριοτήτων του Ομίλου και της Μητρικής Εταιρείας.</w:t>
      </w:r>
    </w:p>
    <w:p w14:paraId="4F9FA7DF" w14:textId="77777777" w:rsidR="00765C46" w:rsidRPr="00605E8C" w:rsidRDefault="00765C46" w:rsidP="00A469D4">
      <w:pPr>
        <w:jc w:val="both"/>
        <w:rPr>
          <w:rFonts w:ascii="Ping LCG Regular" w:hAnsi="Ping LCG Regular"/>
          <w:lang w:val="el-GR"/>
        </w:rPr>
      </w:pPr>
    </w:p>
    <w:p w14:paraId="5FD3E462" w14:textId="77777777" w:rsidR="00564158" w:rsidRPr="00564158" w:rsidRDefault="00564158" w:rsidP="00564158">
      <w:pPr>
        <w:jc w:val="both"/>
        <w:rPr>
          <w:rFonts w:ascii="Ping LCG Regular" w:hAnsi="Ping LCG Regular"/>
          <w:b/>
          <w:bCs/>
          <w:lang w:val="el-GR"/>
        </w:rPr>
      </w:pPr>
      <w:bookmarkStart w:id="4" w:name="_Hlk89091260"/>
      <w:r w:rsidRPr="00564158">
        <w:rPr>
          <w:rFonts w:ascii="Ping LCG Regular" w:hAnsi="Ping LCG Regular"/>
          <w:b/>
          <w:bCs/>
          <w:lang w:val="el-GR"/>
        </w:rPr>
        <w:t>Διαχείριση των επιπτώσεων της ενεργειακής κρίσης</w:t>
      </w:r>
    </w:p>
    <w:p w14:paraId="5EED5A97" w14:textId="77777777" w:rsidR="00564158" w:rsidRPr="00564158" w:rsidRDefault="00564158" w:rsidP="00564158">
      <w:pPr>
        <w:jc w:val="both"/>
        <w:rPr>
          <w:rFonts w:ascii="Ping LCG Regular" w:hAnsi="Ping LCG Regular"/>
          <w:b/>
          <w:bCs/>
          <w:lang w:val="el-GR"/>
        </w:rPr>
      </w:pPr>
    </w:p>
    <w:p w14:paraId="52B94EA3" w14:textId="77777777" w:rsidR="00564158" w:rsidRPr="00605E8C" w:rsidRDefault="00564158" w:rsidP="00564158">
      <w:pPr>
        <w:jc w:val="both"/>
        <w:rPr>
          <w:rFonts w:ascii="Ping LCG Regular" w:hAnsi="Ping LCG Regular"/>
          <w:lang w:val="el-GR"/>
        </w:rPr>
      </w:pPr>
      <w:r w:rsidRPr="00605E8C">
        <w:rPr>
          <w:rFonts w:ascii="Ping LCG Regular" w:hAnsi="Ping LCG Regular"/>
          <w:lang w:val="el-GR"/>
        </w:rPr>
        <w:t xml:space="preserve">Κατά τη διάρκεια του δεύτερου εξαμήνου του 2021 και ενώ οι επιπτώσεις από την πανδημία COVID-19 συνεχίζουν να υφίστανται και να επηρεάζουν την κοινωνική και οικονομική ζωή, εξελίσσεται μια σημαντική ενεργειακή κρίση, η οποία, σε συνδυασμό με τις ήδη υπάρχουσες πληθωριστικές πιέσεις, απειλεί να επιβραδύνει την οικονομική ανάπτυξη. Οι εξελίξεις αυτές, επηρεάζουν άμεσα την </w:t>
      </w:r>
      <w:proofErr w:type="spellStart"/>
      <w:r w:rsidRPr="00605E8C">
        <w:rPr>
          <w:rFonts w:ascii="Ping LCG Regular" w:hAnsi="Ping LCG Regular"/>
          <w:lang w:val="el-GR"/>
        </w:rPr>
        <w:t>χονδρεμπορική</w:t>
      </w:r>
      <w:proofErr w:type="spellEnd"/>
      <w:r w:rsidRPr="00605E8C">
        <w:rPr>
          <w:rFonts w:ascii="Ping LCG Regular" w:hAnsi="Ping LCG Regular"/>
          <w:lang w:val="el-GR"/>
        </w:rPr>
        <w:t xml:space="preserve"> αγορά ηλεκτρικής ενέργειας, με τις τιμές στο Χρηματιστήριο Ενέργειας στο γ’ τρίμηνο του έτους να σημειώνουν αύξηση έως και 167%, γεγονός που θέτει σημαντικές προκλήσεις τόσο για τους προμηθευτές, όσο και τους καταναλωτές ηλεκτρικής ενέργειας. </w:t>
      </w:r>
    </w:p>
    <w:p w14:paraId="53D35A36" w14:textId="2A0A9FC1" w:rsidR="00765C46" w:rsidRPr="00605E8C" w:rsidRDefault="00564158" w:rsidP="00564158">
      <w:pPr>
        <w:jc w:val="both"/>
        <w:rPr>
          <w:rFonts w:ascii="Ping LCG Regular" w:hAnsi="Ping LCG Regular"/>
          <w:lang w:val="el-GR"/>
        </w:rPr>
      </w:pPr>
      <w:r w:rsidRPr="00605E8C">
        <w:rPr>
          <w:rFonts w:ascii="Ping LCG Regular" w:hAnsi="Ping LCG Regular"/>
          <w:lang w:val="el-GR"/>
        </w:rPr>
        <w:t>Ο Όμιλος έχοντας έγκαιρα διαγνώσει τις αρνητικές εξελίξεις στις αγορές ενέργειας, δραστηριοποιήθηκε άμεσα στην ελληνική και στις ευρωπαϊκές αγορές εμπορευμάτων, μέσω παράγωγων χρηματοοικονομικών μέσων, με στόχο την κατά το δυνατόν αντιστάθμιση του κινδύνου από τις μεταβολές των τιμών στις αγορές εμπορευμάτων και την προστασία της κερδοφορίας του.</w:t>
      </w:r>
    </w:p>
    <w:bookmarkEnd w:id="4"/>
    <w:p w14:paraId="113C2AA4" w14:textId="77777777" w:rsidR="00765C46" w:rsidRPr="00B26EE8" w:rsidRDefault="00765C46" w:rsidP="00A469D4">
      <w:pPr>
        <w:jc w:val="both"/>
        <w:rPr>
          <w:rFonts w:ascii="Ping LCG Regular" w:hAnsi="Ping LCG Regular"/>
          <w:b/>
          <w:bCs/>
          <w:highlight w:val="yellow"/>
          <w:lang w:val="el-GR"/>
        </w:rPr>
      </w:pPr>
    </w:p>
    <w:p w14:paraId="0DBA1EE8" w14:textId="6410ABD7" w:rsidR="00555B95" w:rsidRPr="00B26EE8" w:rsidRDefault="00E31DA3" w:rsidP="00A52F74">
      <w:pPr>
        <w:rPr>
          <w:rFonts w:ascii="Ping LCG Regular" w:hAnsi="Ping LCG Regular"/>
          <w:highlight w:val="yellow"/>
          <w:lang w:val="el-GR"/>
        </w:rPr>
      </w:pPr>
      <w:r w:rsidRPr="00B26EE8">
        <w:rPr>
          <w:rFonts w:ascii="Ping LCG Regular" w:hAnsi="Ping LCG Regular"/>
          <w:b/>
          <w:bCs/>
          <w:highlight w:val="yellow"/>
          <w:lang w:val="el-GR"/>
        </w:rPr>
        <w:br w:type="page"/>
      </w:r>
    </w:p>
    <w:p w14:paraId="5F248B1B" w14:textId="77777777" w:rsidR="00654F44" w:rsidRPr="005E7E6C" w:rsidRDefault="00654F44" w:rsidP="00654F44">
      <w:pPr>
        <w:jc w:val="both"/>
        <w:rPr>
          <w:rFonts w:ascii="Ping LCG Regular" w:hAnsi="Ping LCG Regular"/>
          <w:b/>
          <w:bCs/>
          <w:lang w:val="el-GR"/>
        </w:rPr>
      </w:pPr>
      <w:r w:rsidRPr="005E7E6C">
        <w:rPr>
          <w:rFonts w:ascii="Ping LCG Regular" w:hAnsi="Ping LCG Regular"/>
          <w:b/>
          <w:bCs/>
          <w:lang w:val="el-GR"/>
        </w:rPr>
        <w:lastRenderedPageBreak/>
        <w:t>Σχολιάζοντας τα οικονομικά αποτελέσματα, ο Πρόεδρος και Διευθύνων Σύμβουλος της ΔΕΗ Α.Ε. κ. Γεώργιος Στάσσης δήλωσε:</w:t>
      </w:r>
    </w:p>
    <w:p w14:paraId="17F96360" w14:textId="77777777" w:rsidR="00654F44" w:rsidRPr="005E7E6C" w:rsidRDefault="00654F44" w:rsidP="00654F44">
      <w:pPr>
        <w:pStyle w:val="Default"/>
        <w:jc w:val="both"/>
        <w:rPr>
          <w:rFonts w:ascii="Ping LCG Regular" w:hAnsi="Ping LCG Regular" w:cs="Arial"/>
          <w:i/>
        </w:rPr>
      </w:pPr>
    </w:p>
    <w:p w14:paraId="5566282D" w14:textId="0EAC4286" w:rsidR="00654F44" w:rsidRPr="00F81F81" w:rsidRDefault="00654F44" w:rsidP="00654F44">
      <w:pPr>
        <w:jc w:val="both"/>
        <w:rPr>
          <w:rFonts w:ascii="Ping LCG Regular" w:hAnsi="Ping LCG Regular"/>
          <w:color w:val="FF0000"/>
          <w:lang w:val="el-GR"/>
        </w:rPr>
      </w:pPr>
      <w:r w:rsidRPr="00820344">
        <w:rPr>
          <w:rFonts w:ascii="Ping LCG Regular" w:hAnsi="Ping LCG Regular"/>
          <w:lang w:val="el-GR"/>
        </w:rPr>
        <w:t>“</w:t>
      </w:r>
      <w:r>
        <w:rPr>
          <w:rFonts w:ascii="Ping LCG Regular" w:hAnsi="Ping LCG Regular"/>
          <w:lang w:val="el-GR"/>
        </w:rPr>
        <w:t>Το γ΄ τρίμηνο του έτους, παρά την συνεχιζόμενη αύξηση των τιμών του φυσικού αερίου και της ηλεκτρικής ενέργειας, επιδείξαμε την απαραίτητη κοινωνική ευαισθησία προκειμένου να βοηθήσουμε τους πελάτες μας, και παράλληλα καταφέραμε να διατηρήσουμε την ανθεκτικότητα των επιδόσεών μας σε επίπεδο λειτουργικής κερδοφορίας</w:t>
      </w:r>
      <w:r w:rsidRPr="002964F5">
        <w:rPr>
          <w:rFonts w:ascii="Ping LCG Regular" w:hAnsi="Ping LCG Regular"/>
          <w:lang w:val="el-GR"/>
        </w:rPr>
        <w:t>,</w:t>
      </w:r>
      <w:r>
        <w:rPr>
          <w:rFonts w:ascii="Ping LCG Regular" w:hAnsi="Ping LCG Regular"/>
          <w:lang w:val="el-GR"/>
        </w:rPr>
        <w:t xml:space="preserve"> μέσα από την διενέργεια </w:t>
      </w:r>
      <w:r>
        <w:rPr>
          <w:rFonts w:ascii="Ping LCG Regular" w:hAnsi="Ping LCG Regular"/>
        </w:rPr>
        <w:t>hedging</w:t>
      </w:r>
      <w:r>
        <w:rPr>
          <w:rFonts w:ascii="Ping LCG Regular" w:hAnsi="Ping LCG Regular"/>
          <w:lang w:val="el-GR"/>
        </w:rPr>
        <w:t xml:space="preserve"> και την καλύτερη αξιοποίηση του παραγωγικού δυναμικού μας. Το 2021 είναι ένα μεταβ</w:t>
      </w:r>
      <w:r w:rsidRPr="008E7B6C">
        <w:rPr>
          <w:rFonts w:ascii="Ping LCG Regular" w:hAnsi="Ping LCG Regular"/>
          <w:lang w:val="el-GR"/>
        </w:rPr>
        <w:t xml:space="preserve">ατικό έτος για τη ΔΕΗ. Παρά τις ιστορικά υψηλές τιμές των εμπορευμάτων το 2021 έναντι των εξαιρετικά χαμηλών τιμών του 2020, αναμένουμε την επίτευξη του στόχου που είχαμε εξαρχής θέσει για επανάληψη της λειτουργικής κερδοφορίας </w:t>
      </w:r>
      <w:r w:rsidR="005B0AF2">
        <w:rPr>
          <w:rFonts w:ascii="Ping LCG Regular" w:hAnsi="Ping LCG Regular"/>
          <w:lang w:val="el-GR"/>
        </w:rPr>
        <w:t xml:space="preserve">κοντά </w:t>
      </w:r>
      <w:r w:rsidRPr="00696549">
        <w:rPr>
          <w:rFonts w:ascii="Ping LCG Regular" w:hAnsi="Ping LCG Regular"/>
          <w:lang w:val="el-GR"/>
        </w:rPr>
        <w:t xml:space="preserve">στα επίπεδα </w:t>
      </w:r>
      <w:r w:rsidRPr="008E7B6C">
        <w:rPr>
          <w:rFonts w:ascii="Ping LCG Regular" w:hAnsi="Ping LCG Regular"/>
          <w:lang w:val="el-GR"/>
        </w:rPr>
        <w:t>του 2020.</w:t>
      </w:r>
      <w:r>
        <w:rPr>
          <w:rFonts w:ascii="Ping LCG Regular" w:hAnsi="Ping LCG Regular"/>
          <w:lang w:val="el-GR"/>
        </w:rPr>
        <w:t xml:space="preserve"> </w:t>
      </w:r>
    </w:p>
    <w:p w14:paraId="4B201911" w14:textId="77777777" w:rsidR="00654F44" w:rsidRPr="006E4F6B" w:rsidRDefault="00654F44" w:rsidP="00654F44">
      <w:pPr>
        <w:jc w:val="both"/>
        <w:rPr>
          <w:rFonts w:ascii="Ping LCG Regular" w:hAnsi="Ping LCG Regular"/>
          <w:lang w:val="el-GR"/>
        </w:rPr>
      </w:pPr>
    </w:p>
    <w:p w14:paraId="296E8F66" w14:textId="77777777" w:rsidR="00654F44" w:rsidRPr="008E7B6C" w:rsidRDefault="00654F44" w:rsidP="00654F44">
      <w:pPr>
        <w:jc w:val="both"/>
        <w:rPr>
          <w:rFonts w:ascii="Ping LCG Regular" w:hAnsi="Ping LCG Regular"/>
          <w:highlight w:val="yellow"/>
          <w:lang w:val="el-GR"/>
        </w:rPr>
      </w:pPr>
      <w:r>
        <w:rPr>
          <w:rFonts w:ascii="Ping LCG Regular" w:hAnsi="Ping LCG Regular"/>
          <w:lang w:val="el-GR"/>
        </w:rPr>
        <w:t xml:space="preserve">Αυξήσαμε τις </w:t>
      </w:r>
      <w:r w:rsidRPr="00E26EE2">
        <w:rPr>
          <w:rFonts w:ascii="Ping LCG Regular" w:hAnsi="Ping LCG Regular"/>
          <w:lang w:val="el-GR"/>
        </w:rPr>
        <w:t>επενδύσεις για την ενίσχυση και τον εκσυγχρονισμό του Δικτύου Διανομής και συνεχίσαμε τον μετασχηματισμό των Εμπορικών δραστηριοτήτων μας. Παράλληλα, αναπτύξαμε περαιτέρω το χαρτοφυλάκιο</w:t>
      </w:r>
      <w:r w:rsidRPr="00696549">
        <w:rPr>
          <w:rFonts w:ascii="Ping LCG Regular" w:hAnsi="Ping LCG Regular"/>
          <w:lang w:val="el-GR"/>
        </w:rPr>
        <w:t xml:space="preserve"> </w:t>
      </w:r>
      <w:r w:rsidRPr="00E26EE2">
        <w:rPr>
          <w:rFonts w:ascii="Ping LCG Regular" w:hAnsi="Ping LCG Regular"/>
          <w:lang w:val="el-GR"/>
        </w:rPr>
        <w:t xml:space="preserve">μας </w:t>
      </w:r>
      <w:r w:rsidRPr="00696549">
        <w:rPr>
          <w:rFonts w:ascii="Ping LCG Regular" w:hAnsi="Ping LCG Regular"/>
          <w:lang w:val="el-GR"/>
        </w:rPr>
        <w:t xml:space="preserve">για έργα </w:t>
      </w:r>
      <w:r w:rsidRPr="00E26EE2">
        <w:rPr>
          <w:rFonts w:ascii="Ping LCG Regular" w:hAnsi="Ping LCG Regular"/>
          <w:lang w:val="el-GR"/>
        </w:rPr>
        <w:t xml:space="preserve">σε Ανανεώσιμες Πηγές Ενέργειας κατά </w:t>
      </w:r>
      <w:r w:rsidRPr="00696549">
        <w:rPr>
          <w:rFonts w:ascii="Ping LCG Regular" w:hAnsi="Ping LCG Regular"/>
          <w:lang w:val="el-GR"/>
        </w:rPr>
        <w:t>περίπου 3</w:t>
      </w:r>
      <w:r w:rsidRPr="00E26EE2">
        <w:rPr>
          <w:rFonts w:ascii="Ping LCG Regular" w:hAnsi="Ping LCG Regular"/>
        </w:rPr>
        <w:t>GW</w:t>
      </w:r>
      <w:r w:rsidRPr="00696549">
        <w:rPr>
          <w:rFonts w:ascii="Ping LCG Regular" w:hAnsi="Ping LCG Regular"/>
          <w:lang w:val="el-GR"/>
        </w:rPr>
        <w:t xml:space="preserve"> φτάνοντας τα 10 </w:t>
      </w:r>
      <w:r w:rsidRPr="00696549">
        <w:rPr>
          <w:rFonts w:ascii="Ping LCG Regular" w:hAnsi="Ping LCG Regular"/>
        </w:rPr>
        <w:t>GW</w:t>
      </w:r>
      <w:r w:rsidRPr="00696549">
        <w:rPr>
          <w:rFonts w:ascii="Ping LCG Regular" w:hAnsi="Ping LCG Regular"/>
          <w:lang w:val="el-GR"/>
        </w:rPr>
        <w:t xml:space="preserve">, με την είσοδό μας σε νέες τεχνολογίες όπως η αποθήκευση και τα πλωτά </w:t>
      </w:r>
      <w:proofErr w:type="spellStart"/>
      <w:r w:rsidRPr="00696549">
        <w:rPr>
          <w:rFonts w:ascii="Ping LCG Regular" w:hAnsi="Ping LCG Regular"/>
          <w:lang w:val="el-GR"/>
        </w:rPr>
        <w:t>Φωτοβολταϊκά</w:t>
      </w:r>
      <w:proofErr w:type="spellEnd"/>
      <w:r w:rsidRPr="00696549">
        <w:rPr>
          <w:rFonts w:ascii="Ping LCG Regular" w:hAnsi="Ping LCG Regular"/>
          <w:lang w:val="el-GR"/>
        </w:rPr>
        <w:t xml:space="preserve">. </w:t>
      </w:r>
    </w:p>
    <w:p w14:paraId="117FF6F4" w14:textId="77777777" w:rsidR="00654F44" w:rsidRDefault="00654F44" w:rsidP="00654F44">
      <w:pPr>
        <w:jc w:val="both"/>
        <w:rPr>
          <w:rFonts w:ascii="Ping LCG Regular" w:hAnsi="Ping LCG Regular"/>
          <w:highlight w:val="yellow"/>
          <w:lang w:val="el-GR"/>
        </w:rPr>
      </w:pPr>
    </w:p>
    <w:p w14:paraId="75319946" w14:textId="77777777" w:rsidR="00654F44" w:rsidRDefault="00654F44" w:rsidP="00654F44">
      <w:pPr>
        <w:jc w:val="both"/>
        <w:rPr>
          <w:rFonts w:ascii="Ping LCG Regular" w:hAnsi="Ping LCG Regular"/>
          <w:lang w:val="el-GR"/>
        </w:rPr>
      </w:pPr>
      <w:r>
        <w:rPr>
          <w:rFonts w:ascii="Ping LCG Regular" w:hAnsi="Ping LCG Regular"/>
          <w:lang w:val="el-GR"/>
        </w:rPr>
        <w:t xml:space="preserve">Ολοκληρώσαμε με επιτυχία την αύξηση μετοχικού κεφαλαίου ύψους €1,35 </w:t>
      </w:r>
      <w:proofErr w:type="spellStart"/>
      <w:r>
        <w:rPr>
          <w:rFonts w:ascii="Ping LCG Regular" w:hAnsi="Ping LCG Regular"/>
          <w:lang w:val="el-GR"/>
        </w:rPr>
        <w:t>δισ</w:t>
      </w:r>
      <w:proofErr w:type="spellEnd"/>
      <w:r>
        <w:rPr>
          <w:rFonts w:ascii="Ping LCG Regular" w:hAnsi="Ping LCG Regular"/>
          <w:lang w:val="el-GR"/>
        </w:rPr>
        <w:t>, μία εξέλιξη ορόσημο για την ΔΕΗ, η οποία θα μας επιτρέψει να υλοποιήσουμε με ταχύτερους ρυθμούς το επιχειρηματικό μας πλάνο για την ενεργειακή μετάβαση, την αύξηση ισχύος σε Ανανεώσιμες Πηγές Ενέργειας και την επιτάχυνση του μετασχηματισμού μας σε μία πράσινη</w:t>
      </w:r>
      <w:r w:rsidRPr="00B67173">
        <w:rPr>
          <w:rFonts w:ascii="Ping LCG Regular" w:hAnsi="Ping LCG Regular"/>
          <w:lang w:val="el-GR"/>
        </w:rPr>
        <w:t xml:space="preserve">, </w:t>
      </w:r>
      <w:r>
        <w:rPr>
          <w:rFonts w:ascii="Ping LCG Regular" w:hAnsi="Ping LCG Regular"/>
          <w:lang w:val="el-GR"/>
        </w:rPr>
        <w:t>ψηφιακή εταιρεία ενέργειας. Επιπρόσθετα, μέσω αυτής της συναλλαγής,</w:t>
      </w:r>
      <w:r w:rsidRPr="005A25B7">
        <w:rPr>
          <w:rFonts w:ascii="Ping LCG Regular" w:hAnsi="Ping LCG Regular"/>
          <w:lang w:val="el-GR"/>
        </w:rPr>
        <w:t xml:space="preserve"> </w:t>
      </w:r>
      <w:r>
        <w:rPr>
          <w:rFonts w:ascii="Ping LCG Regular" w:hAnsi="Ping LCG Regular"/>
          <w:lang w:val="el-GR"/>
        </w:rPr>
        <w:t>διευρύναμε</w:t>
      </w:r>
      <w:r w:rsidRPr="005A25B7">
        <w:rPr>
          <w:rFonts w:ascii="Ping LCG Regular" w:hAnsi="Ping LCG Regular"/>
          <w:lang w:val="el-GR"/>
        </w:rPr>
        <w:t xml:space="preserve"> </w:t>
      </w:r>
      <w:r>
        <w:rPr>
          <w:rFonts w:ascii="Ping LCG Regular" w:hAnsi="Ping LCG Regular"/>
          <w:lang w:val="el-GR"/>
        </w:rPr>
        <w:t>την</w:t>
      </w:r>
      <w:r w:rsidRPr="005A25B7">
        <w:rPr>
          <w:rFonts w:ascii="Ping LCG Regular" w:hAnsi="Ping LCG Regular"/>
          <w:lang w:val="el-GR"/>
        </w:rPr>
        <w:t xml:space="preserve"> </w:t>
      </w:r>
      <w:r>
        <w:rPr>
          <w:rFonts w:ascii="Ping LCG Regular" w:hAnsi="Ping LCG Regular"/>
          <w:lang w:val="el-GR"/>
        </w:rPr>
        <w:t>μετοχική</w:t>
      </w:r>
      <w:r w:rsidRPr="005A25B7">
        <w:rPr>
          <w:rFonts w:ascii="Ping LCG Regular" w:hAnsi="Ping LCG Regular"/>
          <w:lang w:val="el-GR"/>
        </w:rPr>
        <w:t xml:space="preserve"> </w:t>
      </w:r>
      <w:r>
        <w:rPr>
          <w:rFonts w:ascii="Ping LCG Regular" w:hAnsi="Ping LCG Regular"/>
          <w:lang w:val="el-GR"/>
        </w:rPr>
        <w:t>μας</w:t>
      </w:r>
      <w:r w:rsidRPr="005A25B7">
        <w:rPr>
          <w:rFonts w:ascii="Ping LCG Regular" w:hAnsi="Ping LCG Regular"/>
          <w:lang w:val="el-GR"/>
        </w:rPr>
        <w:t xml:space="preserve"> </w:t>
      </w:r>
      <w:r>
        <w:rPr>
          <w:rFonts w:ascii="Ping LCG Regular" w:hAnsi="Ping LCG Regular"/>
          <w:lang w:val="el-GR"/>
        </w:rPr>
        <w:t>βάση</w:t>
      </w:r>
      <w:r w:rsidRPr="005A25B7">
        <w:rPr>
          <w:rFonts w:ascii="Ping LCG Regular" w:hAnsi="Ping LCG Regular"/>
          <w:lang w:val="el-GR"/>
        </w:rPr>
        <w:t xml:space="preserve"> </w:t>
      </w:r>
      <w:r>
        <w:rPr>
          <w:rFonts w:ascii="Ping LCG Regular" w:hAnsi="Ping LCG Regular"/>
          <w:lang w:val="el-GR"/>
        </w:rPr>
        <w:t>και</w:t>
      </w:r>
      <w:r w:rsidRPr="005A25B7">
        <w:rPr>
          <w:rFonts w:ascii="Ping LCG Regular" w:hAnsi="Ping LCG Regular"/>
          <w:lang w:val="el-GR"/>
        </w:rPr>
        <w:t xml:space="preserve"> </w:t>
      </w:r>
      <w:r>
        <w:rPr>
          <w:rFonts w:ascii="Ping LCG Regular" w:hAnsi="Ping LCG Regular"/>
          <w:lang w:val="el-GR"/>
        </w:rPr>
        <w:t>αυξήσαμε</w:t>
      </w:r>
      <w:r w:rsidRPr="005A25B7">
        <w:rPr>
          <w:rFonts w:ascii="Ping LCG Regular" w:hAnsi="Ping LCG Regular"/>
          <w:lang w:val="el-GR"/>
        </w:rPr>
        <w:t xml:space="preserve"> </w:t>
      </w:r>
      <w:r>
        <w:rPr>
          <w:rFonts w:ascii="Ping LCG Regular" w:hAnsi="Ping LCG Regular"/>
          <w:lang w:val="el-GR"/>
        </w:rPr>
        <w:t>το</w:t>
      </w:r>
      <w:r w:rsidRPr="005A25B7">
        <w:rPr>
          <w:rFonts w:ascii="Ping LCG Regular" w:hAnsi="Ping LCG Regular"/>
          <w:lang w:val="el-GR"/>
        </w:rPr>
        <w:t xml:space="preserve"> </w:t>
      </w:r>
      <w:r>
        <w:rPr>
          <w:rFonts w:ascii="Ping LCG Regular" w:hAnsi="Ping LCG Regular"/>
        </w:rPr>
        <w:t>free</w:t>
      </w:r>
      <w:r w:rsidRPr="005A25B7">
        <w:rPr>
          <w:rFonts w:ascii="Ping LCG Regular" w:hAnsi="Ping LCG Regular"/>
          <w:lang w:val="el-GR"/>
        </w:rPr>
        <w:t xml:space="preserve"> </w:t>
      </w:r>
      <w:r>
        <w:rPr>
          <w:rFonts w:ascii="Ping LCG Regular" w:hAnsi="Ping LCG Regular"/>
        </w:rPr>
        <w:t>float</w:t>
      </w:r>
      <w:r w:rsidRPr="005A25B7">
        <w:rPr>
          <w:rFonts w:ascii="Ping LCG Regular" w:hAnsi="Ping LCG Regular"/>
          <w:lang w:val="el-GR"/>
        </w:rPr>
        <w:t xml:space="preserve"> </w:t>
      </w:r>
      <w:r>
        <w:rPr>
          <w:rFonts w:ascii="Ping LCG Regular" w:hAnsi="Ping LCG Regular"/>
          <w:lang w:val="el-GR"/>
        </w:rPr>
        <w:t>στη</w:t>
      </w:r>
      <w:r w:rsidRPr="005A25B7">
        <w:rPr>
          <w:rFonts w:ascii="Ping LCG Regular" w:hAnsi="Ping LCG Regular"/>
          <w:lang w:val="el-GR"/>
        </w:rPr>
        <w:t xml:space="preserve"> </w:t>
      </w:r>
      <w:r>
        <w:rPr>
          <w:rFonts w:ascii="Ping LCG Regular" w:hAnsi="Ping LCG Regular"/>
          <w:lang w:val="el-GR"/>
        </w:rPr>
        <w:t>μετοχή</w:t>
      </w:r>
      <w:r w:rsidRPr="005A25B7">
        <w:rPr>
          <w:rFonts w:ascii="Ping LCG Regular" w:hAnsi="Ping LCG Regular"/>
          <w:lang w:val="el-GR"/>
        </w:rPr>
        <w:t xml:space="preserve"> </w:t>
      </w:r>
      <w:r>
        <w:rPr>
          <w:rFonts w:ascii="Ping LCG Regular" w:hAnsi="Ping LCG Regular"/>
          <w:lang w:val="el-GR"/>
        </w:rPr>
        <w:t>μας</w:t>
      </w:r>
      <w:r w:rsidRPr="005A25B7">
        <w:rPr>
          <w:rFonts w:ascii="Ping LCG Regular" w:hAnsi="Ping LCG Regular"/>
          <w:lang w:val="el-GR"/>
        </w:rPr>
        <w:t xml:space="preserve">, </w:t>
      </w:r>
      <w:r>
        <w:rPr>
          <w:rFonts w:ascii="Ping LCG Regular" w:hAnsi="Ping LCG Regular"/>
          <w:lang w:val="el-GR"/>
        </w:rPr>
        <w:t>ενώ</w:t>
      </w:r>
      <w:r w:rsidRPr="005A25B7">
        <w:rPr>
          <w:rFonts w:ascii="Ping LCG Regular" w:hAnsi="Ping LCG Regular"/>
          <w:lang w:val="el-GR"/>
        </w:rPr>
        <w:t xml:space="preserve"> </w:t>
      </w:r>
      <w:r>
        <w:rPr>
          <w:rFonts w:ascii="Ping LCG Regular" w:hAnsi="Ping LCG Regular"/>
          <w:lang w:val="el-GR"/>
        </w:rPr>
        <w:t>ενταχθήκαμε</w:t>
      </w:r>
      <w:r w:rsidRPr="005A25B7">
        <w:rPr>
          <w:rFonts w:ascii="Ping LCG Regular" w:hAnsi="Ping LCG Regular"/>
          <w:lang w:val="el-GR"/>
        </w:rPr>
        <w:t xml:space="preserve"> </w:t>
      </w:r>
      <w:r>
        <w:rPr>
          <w:rFonts w:ascii="Ping LCG Regular" w:hAnsi="Ping LCG Regular"/>
          <w:lang w:val="el-GR"/>
        </w:rPr>
        <w:t>και</w:t>
      </w:r>
      <w:r w:rsidRPr="005A25B7">
        <w:rPr>
          <w:rFonts w:ascii="Ping LCG Regular" w:hAnsi="Ping LCG Regular"/>
          <w:lang w:val="el-GR"/>
        </w:rPr>
        <w:t xml:space="preserve"> </w:t>
      </w:r>
      <w:r>
        <w:rPr>
          <w:rFonts w:ascii="Ping LCG Regular" w:hAnsi="Ping LCG Regular"/>
          <w:lang w:val="el-GR"/>
        </w:rPr>
        <w:t>στον</w:t>
      </w:r>
      <w:r w:rsidRPr="005A25B7">
        <w:rPr>
          <w:rFonts w:ascii="Ping LCG Regular" w:hAnsi="Ping LCG Regular"/>
          <w:lang w:val="el-GR"/>
        </w:rPr>
        <w:t xml:space="preserve"> </w:t>
      </w:r>
      <w:r>
        <w:rPr>
          <w:rFonts w:ascii="Ping LCG Regular" w:hAnsi="Ping LCG Regular"/>
          <w:lang w:val="el-GR"/>
        </w:rPr>
        <w:t>δείκτη</w:t>
      </w:r>
      <w:r w:rsidRPr="005A25B7">
        <w:rPr>
          <w:rFonts w:ascii="Ping LCG Regular" w:hAnsi="Ping LCG Regular"/>
          <w:lang w:val="el-GR"/>
        </w:rPr>
        <w:t xml:space="preserve"> </w:t>
      </w:r>
      <w:r>
        <w:rPr>
          <w:rFonts w:ascii="Ping LCG Regular" w:hAnsi="Ping LCG Regular"/>
        </w:rPr>
        <w:t>MSCI</w:t>
      </w:r>
      <w:r w:rsidRPr="005A25B7">
        <w:rPr>
          <w:rFonts w:ascii="Ping LCG Regular" w:hAnsi="Ping LCG Regular"/>
          <w:lang w:val="el-GR"/>
        </w:rPr>
        <w:t>.</w:t>
      </w:r>
    </w:p>
    <w:p w14:paraId="0AD1F9D6" w14:textId="77777777" w:rsidR="00654F44" w:rsidRDefault="00654F44" w:rsidP="00654F44">
      <w:pPr>
        <w:jc w:val="both"/>
        <w:rPr>
          <w:rFonts w:ascii="Ping LCG Regular" w:hAnsi="Ping LCG Regular"/>
          <w:lang w:val="el-GR"/>
        </w:rPr>
      </w:pPr>
    </w:p>
    <w:p w14:paraId="346A2D55" w14:textId="77777777" w:rsidR="00654F44" w:rsidRPr="009F319E" w:rsidRDefault="00654F44" w:rsidP="00654F44">
      <w:pPr>
        <w:jc w:val="both"/>
        <w:rPr>
          <w:rFonts w:ascii="Ping LCG Regular" w:hAnsi="Ping LCG Regular"/>
          <w:lang w:val="el-GR"/>
        </w:rPr>
      </w:pPr>
      <w:r w:rsidRPr="00A65835">
        <w:rPr>
          <w:rFonts w:ascii="Ping LCG Regular" w:hAnsi="Ping LCG Regular"/>
          <w:lang w:val="el-GR"/>
        </w:rPr>
        <w:t>Η πρόοδος που έχει συντελεστεί αναγνωρίστηκε και από την S&amp;P, η οποία πριν από μερικές ημέρες επιβεβαίωσε την αξιολόγηση «Β+» με θετικές προοπτικές, επισημαίνοντας ότι θα μπορούσε να αναβαθμίσει περαιτέρω την πιστοληπτική αξιολόγηση της ΔΕΗ σε ΒΒ- μέσα στους επόμενους 6-12 μήνες εφόσον η</w:t>
      </w:r>
      <w:r w:rsidRPr="00B67173">
        <w:rPr>
          <w:rFonts w:ascii="Ping LCG Regular" w:hAnsi="Ping LCG Regular"/>
          <w:lang w:val="el-GR"/>
        </w:rPr>
        <w:t xml:space="preserve"> </w:t>
      </w:r>
      <w:r>
        <w:rPr>
          <w:rFonts w:ascii="Ping LCG Regular" w:hAnsi="Ping LCG Regular"/>
          <w:lang w:val="el-GR"/>
        </w:rPr>
        <w:t xml:space="preserve">ΔΕΗ υλοποιήσει το πλάνο της και η </w:t>
      </w:r>
      <w:r w:rsidRPr="00A65835">
        <w:rPr>
          <w:rFonts w:ascii="Ping LCG Regular" w:hAnsi="Ping LCG Regular"/>
          <w:lang w:val="el-GR"/>
        </w:rPr>
        <w:t>λειτουργική απόδοση παραμένει ίδια ή η Ελληνική Δημοκρατία αναβαθμιστεί σε ΒΒ+.</w:t>
      </w:r>
      <w:r w:rsidRPr="002D3A37">
        <w:rPr>
          <w:rFonts w:ascii="Ping LCG Regular" w:hAnsi="Ping LCG Regular"/>
          <w:lang w:val="el-GR"/>
        </w:rPr>
        <w:t>”</w:t>
      </w:r>
      <w:r>
        <w:rPr>
          <w:rFonts w:ascii="Ping LCG Regular" w:hAnsi="Ping LCG Regular"/>
          <w:lang w:val="el-GR"/>
        </w:rPr>
        <w:t xml:space="preserve"> </w:t>
      </w:r>
    </w:p>
    <w:p w14:paraId="5BBD54DA" w14:textId="77777777" w:rsidR="00A52F74" w:rsidRPr="00B26EE8" w:rsidRDefault="00A52F74" w:rsidP="003A19E2">
      <w:pPr>
        <w:jc w:val="both"/>
        <w:rPr>
          <w:rFonts w:ascii="Ping LCG Regular" w:hAnsi="Ping LCG Regular"/>
          <w:highlight w:val="yellow"/>
          <w:lang w:val="el-GR"/>
        </w:rPr>
      </w:pPr>
    </w:p>
    <w:p w14:paraId="59F3132D" w14:textId="77777777" w:rsidR="00B26EE8" w:rsidRDefault="00B26EE8">
      <w:pPr>
        <w:rPr>
          <w:rFonts w:ascii="Ping LCG Regular" w:hAnsi="Ping LCG Regular" w:cs="Arial"/>
          <w:b/>
          <w:bCs/>
          <w:color w:val="000000"/>
          <w:highlight w:val="yellow"/>
          <w:lang w:val="el-GR"/>
        </w:rPr>
      </w:pPr>
      <w:r>
        <w:rPr>
          <w:rFonts w:ascii="Ping LCG Regular" w:hAnsi="Ping LCG Regular" w:cs="Arial"/>
          <w:b/>
          <w:bCs/>
          <w:color w:val="000000"/>
          <w:highlight w:val="yellow"/>
          <w:lang w:val="el-GR"/>
        </w:rPr>
        <w:br w:type="page"/>
      </w:r>
    </w:p>
    <w:p w14:paraId="448FB247" w14:textId="5B718AA5" w:rsidR="00A249A6" w:rsidRPr="00B667D8" w:rsidRDefault="00A249A6" w:rsidP="00CD3233">
      <w:pPr>
        <w:autoSpaceDE w:val="0"/>
        <w:autoSpaceDN w:val="0"/>
        <w:adjustRightInd w:val="0"/>
        <w:rPr>
          <w:rFonts w:ascii="Ping LCG Regular" w:hAnsi="Ping LCG Regular" w:cs="Arial"/>
          <w:b/>
          <w:bCs/>
          <w:color w:val="000000"/>
          <w:lang w:val="el-GR"/>
        </w:rPr>
      </w:pPr>
      <w:r w:rsidRPr="00B667D8">
        <w:rPr>
          <w:rFonts w:ascii="Ping LCG Regular" w:hAnsi="Ping LCG Regular" w:cs="Arial"/>
          <w:b/>
          <w:bCs/>
          <w:color w:val="000000"/>
          <w:lang w:val="el-GR"/>
        </w:rPr>
        <w:lastRenderedPageBreak/>
        <w:t xml:space="preserve">ΠΑΡΑΡΤΗΜΑ 1 </w:t>
      </w:r>
    </w:p>
    <w:p w14:paraId="57B72E60" w14:textId="77777777" w:rsidR="00A249A6" w:rsidRPr="00B667D8" w:rsidRDefault="00A249A6" w:rsidP="00CD3233">
      <w:pPr>
        <w:autoSpaceDE w:val="0"/>
        <w:autoSpaceDN w:val="0"/>
        <w:adjustRightInd w:val="0"/>
        <w:rPr>
          <w:rFonts w:ascii="Ping LCG Regular" w:hAnsi="Ping LCG Regular" w:cs="Arial"/>
          <w:b/>
          <w:bCs/>
          <w:color w:val="000000"/>
          <w:lang w:val="el-GR"/>
        </w:rPr>
      </w:pPr>
      <w:r w:rsidRPr="00B667D8">
        <w:rPr>
          <w:rFonts w:ascii="Ping LCG Regular" w:hAnsi="Ping LCG Regular" w:cs="Arial"/>
          <w:b/>
          <w:bCs/>
          <w:color w:val="000000"/>
          <w:lang w:val="el-GR"/>
        </w:rPr>
        <w:t>Ανάλυση Εσόδων &amp; Λειτουργικών δαπανών Ομίλου ΔΕΗ</w:t>
      </w:r>
    </w:p>
    <w:p w14:paraId="297AF7E3" w14:textId="77777777" w:rsidR="00A249A6" w:rsidRPr="00B667D8" w:rsidRDefault="00A249A6" w:rsidP="00A249A6">
      <w:pPr>
        <w:widowControl w:val="0"/>
        <w:autoSpaceDE w:val="0"/>
        <w:autoSpaceDN w:val="0"/>
        <w:adjustRightInd w:val="0"/>
        <w:ind w:right="20"/>
        <w:jc w:val="both"/>
        <w:rPr>
          <w:rFonts w:ascii="Ping LCG Regular" w:hAnsi="Ping LCG Regular" w:cs="Arial"/>
          <w:b/>
          <w:spacing w:val="-14"/>
          <w:sz w:val="26"/>
          <w:szCs w:val="26"/>
          <w:u w:val="single"/>
          <w:lang w:val="el-GR"/>
        </w:rPr>
      </w:pPr>
    </w:p>
    <w:p w14:paraId="426DC15A" w14:textId="77777777" w:rsidR="00851841" w:rsidRPr="00B667D8" w:rsidRDefault="00851841" w:rsidP="00A469D4">
      <w:pPr>
        <w:jc w:val="both"/>
        <w:rPr>
          <w:rFonts w:ascii="Ping LCG Regular" w:hAnsi="Ping LCG Regular" w:cs="Arial"/>
          <w:b/>
          <w:bCs/>
          <w:spacing w:val="-14"/>
          <w:lang w:val="el-GR"/>
        </w:rPr>
      </w:pPr>
      <w:bookmarkStart w:id="5" w:name="_Hlk69205105"/>
    </w:p>
    <w:p w14:paraId="6D847F3A" w14:textId="0B471E9A" w:rsidR="00A249A6" w:rsidRPr="00B667D8" w:rsidRDefault="00A249A6" w:rsidP="00A469D4">
      <w:pPr>
        <w:jc w:val="both"/>
        <w:rPr>
          <w:rFonts w:ascii="Ping LCG Regular" w:hAnsi="Ping LCG Regular" w:cs="Arial"/>
          <w:b/>
          <w:bCs/>
          <w:spacing w:val="-14"/>
          <w:lang w:val="el-GR"/>
        </w:rPr>
      </w:pPr>
      <w:r w:rsidRPr="00B667D8">
        <w:rPr>
          <w:rFonts w:ascii="Ping LCG Regular" w:hAnsi="Ping LCG Regular" w:cs="Arial"/>
          <w:b/>
          <w:bCs/>
          <w:spacing w:val="-14"/>
          <w:lang w:val="el-GR"/>
        </w:rPr>
        <w:t>Έσοδα</w:t>
      </w:r>
    </w:p>
    <w:p w14:paraId="0F11C404" w14:textId="77777777" w:rsidR="00A249A6" w:rsidRPr="00B667D8" w:rsidRDefault="00A249A6" w:rsidP="00A249A6">
      <w:pPr>
        <w:widowControl w:val="0"/>
        <w:autoSpaceDE w:val="0"/>
        <w:autoSpaceDN w:val="0"/>
        <w:adjustRightInd w:val="0"/>
        <w:ind w:right="20"/>
        <w:jc w:val="both"/>
        <w:rPr>
          <w:rFonts w:ascii="Ping LCG Regular" w:hAnsi="Ping LCG Regular" w:cs="Arial"/>
          <w:spacing w:val="-14"/>
          <w:lang w:val="el-GR"/>
        </w:rPr>
      </w:pPr>
    </w:p>
    <w:p w14:paraId="7D030B79" w14:textId="4D18B375" w:rsidR="007F675C" w:rsidRDefault="00A249A6" w:rsidP="007F675C">
      <w:pPr>
        <w:jc w:val="both"/>
        <w:rPr>
          <w:rFonts w:ascii="Ping LCG Regular" w:hAnsi="Ping LCG Regular" w:cs="Arial"/>
          <w:spacing w:val="-14"/>
          <w:lang w:val="el-GR"/>
        </w:rPr>
      </w:pPr>
      <w:r w:rsidRPr="00B667D8">
        <w:rPr>
          <w:rFonts w:ascii="Ping LCG Regular" w:hAnsi="Ping LCG Regular" w:cs="Arial"/>
          <w:spacing w:val="-14"/>
          <w:lang w:val="el-GR"/>
        </w:rPr>
        <w:t xml:space="preserve">Ο κύκλος </w:t>
      </w:r>
      <w:r w:rsidRPr="005A58DE">
        <w:rPr>
          <w:rFonts w:ascii="Ping LCG Regular" w:hAnsi="Ping LCG Regular" w:cs="Arial"/>
          <w:spacing w:val="-14"/>
          <w:lang w:val="el-GR"/>
        </w:rPr>
        <w:t xml:space="preserve">εργασιών, </w:t>
      </w:r>
      <w:r w:rsidR="00DD5F68" w:rsidRPr="005A58DE">
        <w:rPr>
          <w:rFonts w:ascii="Ping LCG Regular" w:hAnsi="Ping LCG Regular" w:cs="Arial"/>
          <w:spacing w:val="-14"/>
          <w:lang w:val="el-GR"/>
        </w:rPr>
        <w:t>αυξήθηκε</w:t>
      </w:r>
      <w:r w:rsidRPr="005A58DE">
        <w:rPr>
          <w:rFonts w:ascii="Ping LCG Regular" w:hAnsi="Ping LCG Regular" w:cs="Arial"/>
          <w:spacing w:val="-14"/>
          <w:lang w:val="el-GR"/>
        </w:rPr>
        <w:t xml:space="preserve"> το</w:t>
      </w:r>
      <w:r w:rsidR="00BF7FC6" w:rsidRPr="005A58DE">
        <w:rPr>
          <w:rFonts w:ascii="Ping LCG Regular" w:hAnsi="Ping LCG Regular" w:cs="Arial"/>
          <w:spacing w:val="-14"/>
          <w:lang w:val="el-GR"/>
        </w:rPr>
        <w:t xml:space="preserve"> </w:t>
      </w:r>
      <w:r w:rsidR="003A19E2" w:rsidRPr="005A58DE">
        <w:rPr>
          <w:rFonts w:ascii="Ping LCG Regular" w:hAnsi="Ping LCG Regular" w:cs="Arial"/>
          <w:spacing w:val="-14"/>
          <w:lang w:val="el-GR"/>
        </w:rPr>
        <w:t>ε</w:t>
      </w:r>
      <w:r w:rsidR="00DD5F68" w:rsidRPr="005A58DE">
        <w:rPr>
          <w:rFonts w:ascii="Ping LCG Regular" w:hAnsi="Ping LCG Regular" w:cs="Arial"/>
          <w:spacing w:val="-14"/>
          <w:lang w:val="el-GR"/>
        </w:rPr>
        <w:t>ννε</w:t>
      </w:r>
      <w:r w:rsidR="003A19E2" w:rsidRPr="005A58DE">
        <w:rPr>
          <w:rFonts w:ascii="Ping LCG Regular" w:hAnsi="Ping LCG Regular" w:cs="Arial"/>
          <w:spacing w:val="-14"/>
          <w:lang w:val="el-GR"/>
        </w:rPr>
        <w:t>ά</w:t>
      </w:r>
      <w:r w:rsidR="0032552F" w:rsidRPr="005A58DE">
        <w:rPr>
          <w:rFonts w:ascii="Ping LCG Regular" w:hAnsi="Ping LCG Regular" w:cs="Arial"/>
          <w:spacing w:val="-14"/>
          <w:lang w:val="el-GR"/>
        </w:rPr>
        <w:t xml:space="preserve">μηνο </w:t>
      </w:r>
      <w:r w:rsidRPr="005A58DE">
        <w:rPr>
          <w:rFonts w:ascii="Ping LCG Regular" w:hAnsi="Ping LCG Regular" w:cs="Arial"/>
          <w:spacing w:val="-14"/>
          <w:lang w:val="el-GR"/>
        </w:rPr>
        <w:t>202</w:t>
      </w:r>
      <w:r w:rsidR="0032552F" w:rsidRPr="005A58DE">
        <w:rPr>
          <w:rFonts w:ascii="Ping LCG Regular" w:hAnsi="Ping LCG Regular" w:cs="Arial"/>
          <w:spacing w:val="-14"/>
          <w:lang w:val="el-GR"/>
        </w:rPr>
        <w:t xml:space="preserve">1 </w:t>
      </w:r>
      <w:r w:rsidRPr="005A58DE">
        <w:rPr>
          <w:rFonts w:ascii="Ping LCG Regular" w:hAnsi="Ping LCG Regular" w:cs="Arial"/>
          <w:spacing w:val="-14"/>
          <w:lang w:val="el-GR"/>
        </w:rPr>
        <w:t>κατά €</w:t>
      </w:r>
      <w:r w:rsidR="001516D6" w:rsidRPr="005A58DE">
        <w:rPr>
          <w:rFonts w:ascii="Ping LCG Regular" w:hAnsi="Ping LCG Regular" w:cs="Arial"/>
          <w:spacing w:val="-14"/>
          <w:lang w:val="el-GR"/>
        </w:rPr>
        <w:t>1</w:t>
      </w:r>
      <w:r w:rsidR="0000478F" w:rsidRPr="005A58DE">
        <w:rPr>
          <w:rFonts w:ascii="Ping LCG Regular" w:hAnsi="Ping LCG Regular" w:cs="Arial"/>
          <w:spacing w:val="-14"/>
          <w:lang w:val="el-GR"/>
        </w:rPr>
        <w:t>7</w:t>
      </w:r>
      <w:r w:rsidR="001516D6" w:rsidRPr="005A58DE">
        <w:rPr>
          <w:rFonts w:ascii="Ping LCG Regular" w:hAnsi="Ping LCG Regular" w:cs="Arial"/>
          <w:spacing w:val="-14"/>
          <w:lang w:val="el-GR"/>
        </w:rPr>
        <w:t>7</w:t>
      </w:r>
      <w:r w:rsidR="0000478F" w:rsidRPr="005A58DE">
        <w:rPr>
          <w:rFonts w:ascii="Ping LCG Regular" w:hAnsi="Ping LCG Regular" w:cs="Arial"/>
          <w:spacing w:val="-14"/>
          <w:lang w:val="el-GR"/>
        </w:rPr>
        <w:t>,</w:t>
      </w:r>
      <w:r w:rsidR="00414AE3" w:rsidRPr="005A58DE">
        <w:rPr>
          <w:rFonts w:ascii="Ping LCG Regular" w:hAnsi="Ping LCG Regular" w:cs="Arial"/>
          <w:spacing w:val="-14"/>
          <w:lang w:val="el-GR"/>
        </w:rPr>
        <w:t>4</w:t>
      </w:r>
      <w:r w:rsidRPr="005A58DE">
        <w:rPr>
          <w:rFonts w:ascii="Ping LCG Regular" w:hAnsi="Ping LCG Regular" w:cs="Arial"/>
          <w:spacing w:val="-14"/>
          <w:lang w:val="el-GR"/>
        </w:rPr>
        <w:t xml:space="preserve"> εκατ. ή </w:t>
      </w:r>
      <w:r w:rsidR="0000478F" w:rsidRPr="005A58DE">
        <w:rPr>
          <w:rFonts w:ascii="Ping LCG Regular" w:hAnsi="Ping LCG Regular" w:cs="Arial"/>
          <w:spacing w:val="-14"/>
          <w:lang w:val="el-GR"/>
        </w:rPr>
        <w:t>5</w:t>
      </w:r>
      <w:r w:rsidRPr="005A58DE">
        <w:rPr>
          <w:rFonts w:ascii="Ping LCG Regular" w:hAnsi="Ping LCG Regular" w:cs="Arial"/>
          <w:spacing w:val="-14"/>
          <w:lang w:val="el-GR"/>
        </w:rPr>
        <w:t>%</w:t>
      </w:r>
      <w:r w:rsidR="001B0ECE" w:rsidRPr="005A58DE">
        <w:rPr>
          <w:rFonts w:ascii="Ping LCG Regular" w:hAnsi="Ping LCG Regular" w:cs="Arial"/>
          <w:spacing w:val="-14"/>
          <w:lang w:val="el-GR"/>
        </w:rPr>
        <w:t xml:space="preserve"> λόγω της </w:t>
      </w:r>
      <w:r w:rsidRPr="005A58DE">
        <w:rPr>
          <w:rFonts w:ascii="Ping LCG Regular" w:hAnsi="Ping LCG Regular" w:cs="Arial"/>
          <w:spacing w:val="-14"/>
          <w:lang w:val="el-GR"/>
        </w:rPr>
        <w:t xml:space="preserve"> </w:t>
      </w:r>
      <w:r w:rsidR="001B0ECE" w:rsidRPr="005A58DE">
        <w:rPr>
          <w:rFonts w:ascii="Ping LCG Regular" w:hAnsi="Ping LCG Regular" w:cs="Arial"/>
          <w:spacing w:val="-14"/>
          <w:lang w:val="el-GR"/>
        </w:rPr>
        <w:t xml:space="preserve">αύξησης της εγχώριας ζήτησης κατά </w:t>
      </w:r>
      <w:r w:rsidR="00A06143" w:rsidRPr="005A58DE">
        <w:rPr>
          <w:rFonts w:ascii="Ping LCG Regular" w:hAnsi="Ping LCG Regular" w:cs="Arial"/>
          <w:spacing w:val="-14"/>
          <w:lang w:val="el-GR"/>
        </w:rPr>
        <w:t>3</w:t>
      </w:r>
      <w:r w:rsidR="001B0ECE" w:rsidRPr="005A58DE">
        <w:rPr>
          <w:rFonts w:ascii="Ping LCG Regular" w:hAnsi="Ping LCG Regular" w:cs="Arial"/>
          <w:spacing w:val="-14"/>
          <w:lang w:val="el-GR"/>
        </w:rPr>
        <w:t xml:space="preserve">% και της </w:t>
      </w:r>
      <w:r w:rsidR="009D2C9E" w:rsidRPr="005A58DE">
        <w:rPr>
          <w:rFonts w:ascii="Ping LCG Regular" w:hAnsi="Ping LCG Regular" w:cs="Arial"/>
          <w:spacing w:val="-14"/>
          <w:lang w:val="el-GR"/>
        </w:rPr>
        <w:t>αύξησης του μέσου εσόδου</w:t>
      </w:r>
      <w:r w:rsidR="00B667D8" w:rsidRPr="005A58DE">
        <w:rPr>
          <w:rFonts w:ascii="Ping LCG Regular" w:hAnsi="Ping LCG Regular" w:cs="Arial"/>
          <w:spacing w:val="-14"/>
          <w:lang w:val="el-GR"/>
        </w:rPr>
        <w:t>,</w:t>
      </w:r>
      <w:r w:rsidR="001B0ECE" w:rsidRPr="005A58DE">
        <w:rPr>
          <w:rFonts w:ascii="Ping LCG Regular" w:hAnsi="Ping LCG Regular" w:cs="Arial"/>
          <w:spacing w:val="-14"/>
          <w:lang w:val="el-GR"/>
        </w:rPr>
        <w:t xml:space="preserve"> παρά</w:t>
      </w:r>
      <w:r w:rsidR="001B0ECE" w:rsidRPr="004A424A">
        <w:rPr>
          <w:rFonts w:ascii="Ping LCG Regular" w:hAnsi="Ping LCG Regular" w:cs="Arial"/>
          <w:spacing w:val="-14"/>
          <w:lang w:val="el-GR"/>
        </w:rPr>
        <w:t xml:space="preserve"> την μείωση του μεριδίου αγοράς κατά 5,</w:t>
      </w:r>
      <w:r w:rsidR="00A06143" w:rsidRPr="00C158D9">
        <w:rPr>
          <w:rFonts w:ascii="Ping LCG Regular" w:hAnsi="Ping LCG Regular" w:cs="Arial"/>
          <w:spacing w:val="-14"/>
          <w:lang w:val="el-GR"/>
        </w:rPr>
        <w:t>6</w:t>
      </w:r>
      <w:r w:rsidR="001B0ECE" w:rsidRPr="00C158D9">
        <w:rPr>
          <w:rFonts w:ascii="Ping LCG Regular" w:hAnsi="Ping LCG Regular" w:cs="Arial"/>
          <w:spacing w:val="-14"/>
          <w:lang w:val="el-GR"/>
        </w:rPr>
        <w:t xml:space="preserve"> </w:t>
      </w:r>
      <w:r w:rsidR="00055140" w:rsidRPr="00C158D9">
        <w:rPr>
          <w:rFonts w:ascii="Ping LCG Regular" w:hAnsi="Ping LCG Regular" w:cs="Arial"/>
          <w:spacing w:val="-14"/>
          <w:lang w:val="el-GR"/>
        </w:rPr>
        <w:t>ποσοστιαίες μονάδες</w:t>
      </w:r>
      <w:r w:rsidR="00B667D8" w:rsidRPr="00C158D9">
        <w:rPr>
          <w:rFonts w:ascii="Ping LCG Regular" w:hAnsi="Ping LCG Regular" w:cs="Arial"/>
          <w:spacing w:val="-14"/>
          <w:lang w:val="el-GR"/>
        </w:rPr>
        <w:t>.</w:t>
      </w:r>
      <w:r w:rsidR="00204B2B" w:rsidRPr="00C158D9">
        <w:rPr>
          <w:rFonts w:ascii="Ping LCG Regular" w:hAnsi="Ping LCG Regular" w:cs="Arial"/>
          <w:spacing w:val="-14"/>
          <w:lang w:val="el-GR"/>
        </w:rPr>
        <w:t xml:space="preserve"> Ειδικότερα το γ’ τρίμηνο 2021</w:t>
      </w:r>
      <w:r w:rsidR="00667226" w:rsidRPr="00C158D9">
        <w:rPr>
          <w:rFonts w:ascii="Ping LCG Regular" w:hAnsi="Ping LCG Regular" w:cs="Arial"/>
          <w:spacing w:val="-14"/>
          <w:lang w:val="el-GR"/>
        </w:rPr>
        <w:t>,</w:t>
      </w:r>
      <w:r w:rsidR="00204B2B" w:rsidRPr="00C158D9">
        <w:rPr>
          <w:rFonts w:ascii="Ping LCG Regular" w:hAnsi="Ping LCG Regular" w:cs="Arial"/>
          <w:spacing w:val="-14"/>
          <w:lang w:val="el-GR"/>
        </w:rPr>
        <w:t xml:space="preserve"> ο κύκλος εργασιών ανήλθε σε €1.</w:t>
      </w:r>
      <w:r w:rsidR="0000478F" w:rsidRPr="00C158D9">
        <w:rPr>
          <w:rFonts w:ascii="Ping LCG Regular" w:hAnsi="Ping LCG Regular" w:cs="Arial"/>
          <w:spacing w:val="-14"/>
          <w:lang w:val="el-GR"/>
        </w:rPr>
        <w:t>504,</w:t>
      </w:r>
      <w:r w:rsidR="00414AE3" w:rsidRPr="00C158D9">
        <w:rPr>
          <w:rFonts w:ascii="Ping LCG Regular" w:hAnsi="Ping LCG Regular" w:cs="Arial"/>
          <w:spacing w:val="-14"/>
          <w:lang w:val="el-GR"/>
        </w:rPr>
        <w:t>1</w:t>
      </w:r>
      <w:r w:rsidR="00204B2B" w:rsidRPr="00C158D9">
        <w:rPr>
          <w:rFonts w:ascii="Ping LCG Regular" w:hAnsi="Ping LCG Regular" w:cs="Arial"/>
          <w:spacing w:val="-14"/>
          <w:lang w:val="el-GR"/>
        </w:rPr>
        <w:t xml:space="preserve"> εκατ. αυξημένος κατά 1</w:t>
      </w:r>
      <w:r w:rsidR="0000478F" w:rsidRPr="00C158D9">
        <w:rPr>
          <w:rFonts w:ascii="Ping LCG Regular" w:hAnsi="Ping LCG Regular" w:cs="Arial"/>
          <w:spacing w:val="-14"/>
          <w:lang w:val="el-GR"/>
        </w:rPr>
        <w:t>8,4</w:t>
      </w:r>
      <w:r w:rsidR="00204B2B" w:rsidRPr="00C158D9">
        <w:rPr>
          <w:rFonts w:ascii="Ping LCG Regular" w:hAnsi="Ping LCG Regular" w:cs="Arial"/>
          <w:spacing w:val="-14"/>
          <w:lang w:val="el-GR"/>
        </w:rPr>
        <w:t>% σε σχέση με το γ’ τρίμηνο 2020</w:t>
      </w:r>
      <w:r w:rsidR="00AF28B9" w:rsidRPr="00C158D9">
        <w:rPr>
          <w:rFonts w:ascii="Ping LCG Regular" w:hAnsi="Ping LCG Regular" w:cs="Arial"/>
          <w:spacing w:val="-14"/>
          <w:lang w:val="el-GR"/>
        </w:rPr>
        <w:t xml:space="preserve"> με την</w:t>
      </w:r>
      <w:r w:rsidR="004903E8" w:rsidRPr="00C158D9">
        <w:rPr>
          <w:rFonts w:ascii="Ping LCG Regular" w:hAnsi="Ping LCG Regular" w:cs="Arial"/>
          <w:spacing w:val="-14"/>
          <w:lang w:val="el-GR"/>
        </w:rPr>
        <w:t xml:space="preserve"> αύξηση της εγχώριας ζήτησης να ανέρχεται σε 7</w:t>
      </w:r>
      <w:r w:rsidR="00FA05F2" w:rsidRPr="00FA05F2">
        <w:rPr>
          <w:rFonts w:ascii="Ping LCG Regular" w:hAnsi="Ping LCG Regular" w:cs="Arial"/>
          <w:spacing w:val="-14"/>
          <w:lang w:val="el-GR"/>
        </w:rPr>
        <w:t>,6</w:t>
      </w:r>
      <w:r w:rsidR="004903E8" w:rsidRPr="00C158D9">
        <w:rPr>
          <w:rFonts w:ascii="Ping LCG Regular" w:hAnsi="Ping LCG Regular" w:cs="Arial"/>
          <w:spacing w:val="-14"/>
          <w:lang w:val="el-GR"/>
        </w:rPr>
        <w:t>%</w:t>
      </w:r>
      <w:r w:rsidR="00204B2B" w:rsidRPr="00C158D9">
        <w:rPr>
          <w:rFonts w:ascii="Ping LCG Regular" w:hAnsi="Ping LCG Regular" w:cs="Arial"/>
          <w:spacing w:val="-14"/>
          <w:lang w:val="el-GR"/>
        </w:rPr>
        <w:t>.</w:t>
      </w:r>
      <w:r w:rsidR="007F675C" w:rsidRPr="00C158D9">
        <w:rPr>
          <w:rFonts w:ascii="Ping LCG Regular" w:hAnsi="Ping LCG Regular" w:cs="Arial"/>
          <w:spacing w:val="-14"/>
          <w:lang w:val="el-GR"/>
        </w:rPr>
        <w:t xml:space="preserve"> </w:t>
      </w:r>
    </w:p>
    <w:p w14:paraId="149F87FE" w14:textId="4730C4C9" w:rsidR="00F7256B" w:rsidRPr="00B667D8" w:rsidRDefault="00F7256B" w:rsidP="00A249A6">
      <w:pPr>
        <w:widowControl w:val="0"/>
        <w:autoSpaceDE w:val="0"/>
        <w:autoSpaceDN w:val="0"/>
        <w:adjustRightInd w:val="0"/>
        <w:ind w:right="20"/>
        <w:jc w:val="both"/>
        <w:rPr>
          <w:rFonts w:ascii="Ping LCG Regular" w:hAnsi="Ping LCG Regular" w:cs="Arial"/>
          <w:spacing w:val="-14"/>
          <w:lang w:val="el-GR"/>
        </w:rPr>
      </w:pPr>
    </w:p>
    <w:bookmarkEnd w:id="5"/>
    <w:p w14:paraId="3E4CD72E" w14:textId="77777777" w:rsidR="00A249A6" w:rsidRPr="00B667D8" w:rsidRDefault="00A249A6" w:rsidP="00A249A6">
      <w:pPr>
        <w:widowControl w:val="0"/>
        <w:autoSpaceDE w:val="0"/>
        <w:autoSpaceDN w:val="0"/>
        <w:adjustRightInd w:val="0"/>
        <w:ind w:right="18"/>
        <w:rPr>
          <w:rFonts w:ascii="Ping LCG Regular" w:hAnsi="Ping LCG Regular" w:cs="Arial"/>
          <w:b/>
          <w:spacing w:val="-14"/>
          <w:sz w:val="26"/>
          <w:szCs w:val="26"/>
          <w:u w:val="single"/>
          <w:lang w:val="el-GR"/>
        </w:rPr>
      </w:pPr>
    </w:p>
    <w:p w14:paraId="24E7D9DA" w14:textId="77777777" w:rsidR="00A249A6" w:rsidRPr="00D836E2" w:rsidRDefault="00A249A6" w:rsidP="00A249A6">
      <w:pPr>
        <w:widowControl w:val="0"/>
        <w:autoSpaceDE w:val="0"/>
        <w:autoSpaceDN w:val="0"/>
        <w:adjustRightInd w:val="0"/>
        <w:ind w:right="20"/>
        <w:jc w:val="both"/>
        <w:rPr>
          <w:rFonts w:ascii="Ping LCG Regular" w:hAnsi="Ping LCG Regular" w:cs="Arial"/>
          <w:b/>
          <w:spacing w:val="-14"/>
          <w:szCs w:val="26"/>
          <w:lang w:val="el-GR"/>
        </w:rPr>
      </w:pPr>
      <w:r w:rsidRPr="00D836E2">
        <w:rPr>
          <w:rFonts w:ascii="Ping LCG Regular" w:hAnsi="Ping LCG Regular" w:cs="Arial"/>
          <w:b/>
          <w:spacing w:val="-14"/>
          <w:szCs w:val="26"/>
          <w:lang w:val="el-GR"/>
        </w:rPr>
        <w:t xml:space="preserve">Λειτουργικές Δαπάνες </w:t>
      </w:r>
    </w:p>
    <w:p w14:paraId="6D9D4760" w14:textId="77777777" w:rsidR="00A249A6" w:rsidRPr="00D836E2" w:rsidRDefault="00A249A6" w:rsidP="00A249A6">
      <w:pPr>
        <w:widowControl w:val="0"/>
        <w:autoSpaceDE w:val="0"/>
        <w:autoSpaceDN w:val="0"/>
        <w:adjustRightInd w:val="0"/>
        <w:ind w:right="20"/>
        <w:jc w:val="both"/>
        <w:rPr>
          <w:rFonts w:ascii="Ping LCG Regular" w:hAnsi="Ping LCG Regular" w:cs="Arial"/>
          <w:spacing w:val="-14"/>
          <w:lang w:val="el-GR"/>
        </w:rPr>
      </w:pPr>
    </w:p>
    <w:p w14:paraId="06795E0F" w14:textId="29902279" w:rsidR="00A249A6" w:rsidRPr="007D0E22" w:rsidRDefault="00A249A6" w:rsidP="006C2EBB">
      <w:pPr>
        <w:ind w:firstLine="11"/>
        <w:jc w:val="both"/>
        <w:rPr>
          <w:rFonts w:ascii="Ping LCG Regular" w:hAnsi="Ping LCG Regular" w:cs="Arial"/>
          <w:spacing w:val="-14"/>
          <w:lang w:val="el-GR"/>
        </w:rPr>
      </w:pPr>
      <w:r w:rsidRPr="00D836E2">
        <w:rPr>
          <w:rFonts w:ascii="Ping LCG Regular" w:hAnsi="Ping LCG Regular" w:cs="Arial"/>
          <w:spacing w:val="-14"/>
          <w:lang w:val="el-GR"/>
        </w:rPr>
        <w:t xml:space="preserve">Οι προ αποσβέσεων λειτουργικές δαπάνες το </w:t>
      </w:r>
      <w:r w:rsidR="00044325" w:rsidRPr="00D836E2">
        <w:rPr>
          <w:rFonts w:ascii="Ping LCG Regular" w:hAnsi="Ping LCG Regular" w:cs="Arial"/>
          <w:spacing w:val="-14"/>
          <w:szCs w:val="26"/>
          <w:lang w:val="el-GR"/>
        </w:rPr>
        <w:t>ε</w:t>
      </w:r>
      <w:r w:rsidR="00B667D8" w:rsidRPr="00D836E2">
        <w:rPr>
          <w:rFonts w:ascii="Ping LCG Regular" w:hAnsi="Ping LCG Regular" w:cs="Arial"/>
          <w:spacing w:val="-14"/>
          <w:szCs w:val="26"/>
          <w:lang w:val="el-GR"/>
        </w:rPr>
        <w:t>ννε</w:t>
      </w:r>
      <w:r w:rsidR="00044325" w:rsidRPr="00D836E2">
        <w:rPr>
          <w:rFonts w:ascii="Ping LCG Regular" w:hAnsi="Ping LCG Regular" w:cs="Arial"/>
          <w:spacing w:val="-14"/>
          <w:szCs w:val="26"/>
          <w:lang w:val="el-GR"/>
        </w:rPr>
        <w:t>ά</w:t>
      </w:r>
      <w:r w:rsidR="00984692" w:rsidRPr="00D836E2">
        <w:rPr>
          <w:rFonts w:ascii="Ping LCG Regular" w:hAnsi="Ping LCG Regular" w:cs="Arial"/>
          <w:spacing w:val="-14"/>
          <w:szCs w:val="26"/>
          <w:lang w:val="el-GR"/>
        </w:rPr>
        <w:t>μηνο του 2021</w:t>
      </w:r>
      <w:r w:rsidRPr="00D836E2">
        <w:rPr>
          <w:rFonts w:ascii="Ping LCG Regular" w:hAnsi="Ping LCG Regular" w:cs="Arial"/>
          <w:spacing w:val="-14"/>
          <w:lang w:val="el-GR"/>
        </w:rPr>
        <w:t xml:space="preserve">, </w:t>
      </w:r>
      <w:r w:rsidR="00B667D8" w:rsidRPr="00D836E2">
        <w:rPr>
          <w:rFonts w:ascii="Ping LCG Regular" w:hAnsi="Ping LCG Regular" w:cs="Arial"/>
          <w:spacing w:val="-14"/>
          <w:lang w:val="el-GR"/>
        </w:rPr>
        <w:t xml:space="preserve">αυξήθηκαν </w:t>
      </w:r>
      <w:r w:rsidRPr="00D836E2">
        <w:rPr>
          <w:rFonts w:ascii="Ping LCG Regular" w:hAnsi="Ping LCG Regular" w:cs="Arial"/>
          <w:spacing w:val="-14"/>
          <w:lang w:val="el-GR"/>
        </w:rPr>
        <w:t>κατά €</w:t>
      </w:r>
      <w:r w:rsidR="00B667D8" w:rsidRPr="00D836E2">
        <w:rPr>
          <w:rFonts w:ascii="Ping LCG Regular" w:hAnsi="Ping LCG Regular" w:cs="Arial"/>
          <w:spacing w:val="-14"/>
          <w:lang w:val="el-GR"/>
        </w:rPr>
        <w:t>2</w:t>
      </w:r>
      <w:r w:rsidR="006F01F3" w:rsidRPr="00605E8C">
        <w:rPr>
          <w:rFonts w:ascii="Ping LCG Regular" w:hAnsi="Ping LCG Regular" w:cs="Arial"/>
          <w:spacing w:val="-14"/>
          <w:lang w:val="el-GR"/>
        </w:rPr>
        <w:t>46</w:t>
      </w:r>
      <w:r w:rsidR="00B667D8" w:rsidRPr="00D836E2">
        <w:rPr>
          <w:rFonts w:ascii="Ping LCG Regular" w:hAnsi="Ping LCG Regular" w:cs="Arial"/>
          <w:spacing w:val="-14"/>
          <w:lang w:val="el-GR"/>
        </w:rPr>
        <w:t>,</w:t>
      </w:r>
      <w:r w:rsidR="006F01F3" w:rsidRPr="00605E8C">
        <w:rPr>
          <w:rFonts w:ascii="Ping LCG Regular" w:hAnsi="Ping LCG Regular" w:cs="Arial"/>
          <w:spacing w:val="-14"/>
          <w:lang w:val="el-GR"/>
        </w:rPr>
        <w:t>9</w:t>
      </w:r>
      <w:r w:rsidRPr="00D836E2">
        <w:rPr>
          <w:rFonts w:ascii="Ping LCG Regular" w:hAnsi="Ping LCG Regular" w:cs="Arial"/>
          <w:spacing w:val="-14"/>
          <w:lang w:val="el-GR"/>
        </w:rPr>
        <w:t xml:space="preserve"> εκατ. (ή κατά </w:t>
      </w:r>
      <w:r w:rsidR="007170AD" w:rsidRPr="00D836E2">
        <w:rPr>
          <w:rFonts w:ascii="Ping LCG Regular" w:hAnsi="Ping LCG Regular" w:cs="Arial"/>
          <w:spacing w:val="-14"/>
          <w:lang w:val="el-GR"/>
        </w:rPr>
        <w:t xml:space="preserve">  </w:t>
      </w:r>
      <w:r w:rsidR="007E3185" w:rsidRPr="007E3185">
        <w:rPr>
          <w:rFonts w:ascii="Ping LCG Regular" w:hAnsi="Ping LCG Regular" w:cs="Arial"/>
          <w:spacing w:val="-14"/>
          <w:lang w:val="el-GR"/>
        </w:rPr>
        <w:t>8</w:t>
      </w:r>
      <w:r w:rsidR="00B667D8" w:rsidRPr="00D836E2">
        <w:rPr>
          <w:rFonts w:ascii="Ping LCG Regular" w:hAnsi="Ping LCG Regular" w:cs="Arial"/>
          <w:spacing w:val="-14"/>
          <w:lang w:val="el-GR"/>
        </w:rPr>
        <w:t>,</w:t>
      </w:r>
      <w:r w:rsidR="006F01F3" w:rsidRPr="00605E8C">
        <w:rPr>
          <w:rFonts w:ascii="Ping LCG Regular" w:hAnsi="Ping LCG Regular" w:cs="Arial"/>
          <w:spacing w:val="-14"/>
          <w:lang w:val="el-GR"/>
        </w:rPr>
        <w:t>7</w:t>
      </w:r>
      <w:r w:rsidRPr="00D836E2">
        <w:rPr>
          <w:rFonts w:ascii="Ping LCG Regular" w:hAnsi="Ping LCG Regular" w:cs="Arial"/>
          <w:spacing w:val="-14"/>
          <w:lang w:val="el-GR"/>
        </w:rPr>
        <w:t>%) σε €</w:t>
      </w:r>
      <w:r w:rsidR="00B667D8" w:rsidRPr="00D836E2">
        <w:rPr>
          <w:rFonts w:ascii="Ping LCG Regular" w:hAnsi="Ping LCG Regular" w:cs="Arial"/>
          <w:spacing w:val="-14"/>
          <w:lang w:val="el-GR"/>
        </w:rPr>
        <w:t>3</w:t>
      </w:r>
      <w:r w:rsidR="00DC12C0" w:rsidRPr="00D836E2">
        <w:rPr>
          <w:rFonts w:ascii="Ping LCG Regular" w:hAnsi="Ping LCG Regular" w:cs="Arial"/>
          <w:spacing w:val="-14"/>
          <w:lang w:val="el-GR"/>
        </w:rPr>
        <w:t>.</w:t>
      </w:r>
      <w:r w:rsidR="00B667D8" w:rsidRPr="00D836E2">
        <w:rPr>
          <w:rFonts w:ascii="Ping LCG Regular" w:hAnsi="Ping LCG Regular" w:cs="Arial"/>
          <w:spacing w:val="-14"/>
          <w:lang w:val="el-GR"/>
        </w:rPr>
        <w:t>0</w:t>
      </w:r>
      <w:r w:rsidR="007E3185" w:rsidRPr="007E3185">
        <w:rPr>
          <w:rFonts w:ascii="Ping LCG Regular" w:hAnsi="Ping LCG Regular" w:cs="Arial"/>
          <w:spacing w:val="-14"/>
          <w:lang w:val="el-GR"/>
        </w:rPr>
        <w:t>7</w:t>
      </w:r>
      <w:r w:rsidR="006F01F3" w:rsidRPr="00605E8C">
        <w:rPr>
          <w:rFonts w:ascii="Ping LCG Regular" w:hAnsi="Ping LCG Regular" w:cs="Arial"/>
          <w:spacing w:val="-14"/>
          <w:lang w:val="el-GR"/>
        </w:rPr>
        <w:t>1</w:t>
      </w:r>
      <w:r w:rsidR="00065351" w:rsidRPr="00D836E2">
        <w:rPr>
          <w:rFonts w:ascii="Ping LCG Regular" w:hAnsi="Ping LCG Regular" w:cs="Arial"/>
          <w:spacing w:val="-14"/>
          <w:lang w:val="el-GR"/>
        </w:rPr>
        <w:t xml:space="preserve"> </w:t>
      </w:r>
      <w:r w:rsidRPr="00D836E2">
        <w:rPr>
          <w:rFonts w:ascii="Ping LCG Regular" w:hAnsi="Ping LCG Regular" w:cs="Arial"/>
          <w:spacing w:val="-14"/>
          <w:lang w:val="el-GR"/>
        </w:rPr>
        <w:t>εκατ. έναντι €</w:t>
      </w:r>
      <w:r w:rsidR="00B667D8" w:rsidRPr="00D836E2">
        <w:rPr>
          <w:rFonts w:ascii="Ping LCG Regular" w:hAnsi="Ping LCG Regular" w:cs="Arial"/>
          <w:spacing w:val="-14"/>
          <w:lang w:val="el-GR"/>
        </w:rPr>
        <w:t>2</w:t>
      </w:r>
      <w:r w:rsidRPr="00D836E2">
        <w:rPr>
          <w:rFonts w:ascii="Ping LCG Regular" w:hAnsi="Ping LCG Regular" w:cs="Arial"/>
          <w:spacing w:val="-14"/>
          <w:lang w:val="el-GR"/>
        </w:rPr>
        <w:t>.</w:t>
      </w:r>
      <w:r w:rsidR="00B667D8" w:rsidRPr="00D836E2">
        <w:rPr>
          <w:rFonts w:ascii="Ping LCG Regular" w:hAnsi="Ping LCG Regular" w:cs="Arial"/>
          <w:spacing w:val="-14"/>
          <w:lang w:val="el-GR"/>
        </w:rPr>
        <w:t>824,1</w:t>
      </w:r>
      <w:r w:rsidRPr="00D836E2">
        <w:rPr>
          <w:rFonts w:ascii="Ping LCG Regular" w:hAnsi="Ping LCG Regular" w:cs="Arial"/>
          <w:spacing w:val="-14"/>
          <w:lang w:val="el-GR"/>
        </w:rPr>
        <w:t xml:space="preserve"> εκατ. το </w:t>
      </w:r>
      <w:r w:rsidR="007B3176" w:rsidRPr="00D836E2">
        <w:rPr>
          <w:rFonts w:ascii="Ping LCG Regular" w:hAnsi="Ping LCG Regular" w:cs="Arial"/>
          <w:spacing w:val="-14"/>
          <w:szCs w:val="26"/>
          <w:lang w:val="el-GR"/>
        </w:rPr>
        <w:t>ε</w:t>
      </w:r>
      <w:r w:rsidR="00B667D8" w:rsidRPr="00D836E2">
        <w:rPr>
          <w:rFonts w:ascii="Ping LCG Regular" w:hAnsi="Ping LCG Regular" w:cs="Arial"/>
          <w:spacing w:val="-14"/>
          <w:szCs w:val="26"/>
          <w:lang w:val="el-GR"/>
        </w:rPr>
        <w:t>ννε</w:t>
      </w:r>
      <w:r w:rsidR="007B3176" w:rsidRPr="00D836E2">
        <w:rPr>
          <w:rFonts w:ascii="Ping LCG Regular" w:hAnsi="Ping LCG Regular" w:cs="Arial"/>
          <w:spacing w:val="-14"/>
          <w:szCs w:val="26"/>
          <w:lang w:val="el-GR"/>
        </w:rPr>
        <w:t>ά</w:t>
      </w:r>
      <w:r w:rsidR="00984692" w:rsidRPr="00D836E2">
        <w:rPr>
          <w:rFonts w:ascii="Ping LCG Regular" w:hAnsi="Ping LCG Regular" w:cs="Arial"/>
          <w:spacing w:val="-14"/>
          <w:szCs w:val="26"/>
          <w:lang w:val="el-GR"/>
        </w:rPr>
        <w:t>μηνο του 2020</w:t>
      </w:r>
      <w:r w:rsidRPr="00D836E2">
        <w:rPr>
          <w:rFonts w:ascii="Ping LCG Regular" w:hAnsi="Ping LCG Regular" w:cs="Arial"/>
          <w:spacing w:val="-14"/>
          <w:lang w:val="el-GR"/>
        </w:rPr>
        <w:t xml:space="preserve">, </w:t>
      </w:r>
      <w:r w:rsidR="00DD21AB" w:rsidRPr="00D836E2">
        <w:rPr>
          <w:rFonts w:ascii="Ping LCG Regular" w:hAnsi="Ping LCG Regular" w:cs="Arial"/>
          <w:spacing w:val="-14"/>
          <w:lang w:val="el-GR"/>
        </w:rPr>
        <w:t xml:space="preserve">κυρίως </w:t>
      </w:r>
      <w:r w:rsidRPr="00D836E2">
        <w:rPr>
          <w:rFonts w:ascii="Ping LCG Regular" w:hAnsi="Ping LCG Regular" w:cs="Arial"/>
          <w:spacing w:val="-14"/>
          <w:lang w:val="el-GR"/>
        </w:rPr>
        <w:t xml:space="preserve">ως </w:t>
      </w:r>
      <w:r w:rsidR="007A11DA" w:rsidRPr="00D836E2">
        <w:rPr>
          <w:rFonts w:ascii="Ping LCG Regular" w:hAnsi="Ping LCG Regular" w:cs="Arial"/>
          <w:spacing w:val="-14"/>
          <w:lang w:val="el-GR"/>
        </w:rPr>
        <w:t xml:space="preserve">αποτέλεσμα </w:t>
      </w:r>
      <w:r w:rsidR="003577C9" w:rsidRPr="00D836E2">
        <w:rPr>
          <w:rFonts w:ascii="Ping LCG Regular" w:hAnsi="Ping LCG Regular" w:cs="Arial"/>
          <w:spacing w:val="-14"/>
          <w:lang w:val="el-GR"/>
        </w:rPr>
        <w:t>τ</w:t>
      </w:r>
      <w:r w:rsidR="00B667D8" w:rsidRPr="00D836E2">
        <w:rPr>
          <w:rFonts w:ascii="Ping LCG Regular" w:hAnsi="Ping LCG Regular" w:cs="Arial"/>
          <w:spacing w:val="-14"/>
          <w:lang w:val="el-GR"/>
        </w:rPr>
        <w:t xml:space="preserve">ων </w:t>
      </w:r>
      <w:r w:rsidR="00BB0835" w:rsidRPr="00D836E2">
        <w:rPr>
          <w:rFonts w:ascii="Ping LCG Regular" w:hAnsi="Ping LCG Regular" w:cs="Arial"/>
          <w:spacing w:val="-14"/>
          <w:lang w:val="el-GR"/>
        </w:rPr>
        <w:t xml:space="preserve">ιδιαίτερα </w:t>
      </w:r>
      <w:r w:rsidR="00B667D8" w:rsidRPr="00D836E2">
        <w:rPr>
          <w:rFonts w:ascii="Ping LCG Regular" w:hAnsi="Ping LCG Regular" w:cs="Arial"/>
          <w:spacing w:val="-14"/>
          <w:lang w:val="el-GR"/>
        </w:rPr>
        <w:t>αυξημένων δαπανών για αγορά καυσίμων</w:t>
      </w:r>
      <w:r w:rsidR="00D836E2" w:rsidRPr="00D836E2">
        <w:rPr>
          <w:rFonts w:ascii="Ping LCG Regular" w:hAnsi="Ping LCG Regular" w:cs="Arial"/>
          <w:spacing w:val="-14"/>
          <w:lang w:val="el-GR"/>
        </w:rPr>
        <w:t xml:space="preserve"> οι οποίες μετριάστηκαν από την </w:t>
      </w:r>
      <w:r w:rsidRPr="00D836E2">
        <w:rPr>
          <w:rFonts w:ascii="Ping LCG Regular" w:hAnsi="Ping LCG Regular" w:cs="Arial"/>
          <w:spacing w:val="-14"/>
          <w:lang w:val="el-GR"/>
        </w:rPr>
        <w:t>μειωμέν</w:t>
      </w:r>
      <w:r w:rsidR="003577C9" w:rsidRPr="00D836E2">
        <w:rPr>
          <w:rFonts w:ascii="Ping LCG Regular" w:hAnsi="Ping LCG Regular" w:cs="Arial"/>
          <w:spacing w:val="-14"/>
          <w:lang w:val="el-GR"/>
        </w:rPr>
        <w:t>η</w:t>
      </w:r>
      <w:r w:rsidRPr="00D836E2">
        <w:rPr>
          <w:rFonts w:ascii="Ping LCG Regular" w:hAnsi="Ping LCG Regular" w:cs="Arial"/>
          <w:spacing w:val="-14"/>
          <w:lang w:val="el-GR"/>
        </w:rPr>
        <w:t xml:space="preserve"> δαπ</w:t>
      </w:r>
      <w:r w:rsidR="003577C9" w:rsidRPr="00D836E2">
        <w:rPr>
          <w:rFonts w:ascii="Ping LCG Regular" w:hAnsi="Ping LCG Regular" w:cs="Arial"/>
          <w:spacing w:val="-14"/>
          <w:lang w:val="el-GR"/>
        </w:rPr>
        <w:t>άνη</w:t>
      </w:r>
      <w:r w:rsidRPr="00D836E2">
        <w:rPr>
          <w:rFonts w:ascii="Ping LCG Regular" w:hAnsi="Ping LCG Regular" w:cs="Arial"/>
          <w:spacing w:val="-14"/>
          <w:lang w:val="el-GR"/>
        </w:rPr>
        <w:t xml:space="preserve"> για αγορές ενέργειας</w:t>
      </w:r>
      <w:r w:rsidR="00B42E0A" w:rsidRPr="00D836E2">
        <w:rPr>
          <w:rFonts w:ascii="Ping LCG Regular" w:hAnsi="Ping LCG Regular" w:cs="Arial"/>
          <w:spacing w:val="-14"/>
          <w:lang w:val="el-GR"/>
        </w:rPr>
        <w:t>,</w:t>
      </w:r>
      <w:r w:rsidRPr="00D836E2">
        <w:rPr>
          <w:rFonts w:ascii="Ping LCG Regular" w:hAnsi="Ping LCG Regular" w:cs="Arial"/>
          <w:spacing w:val="-14"/>
          <w:lang w:val="el-GR"/>
        </w:rPr>
        <w:t xml:space="preserve"> </w:t>
      </w:r>
      <w:r w:rsidR="00AD0E8E" w:rsidRPr="00D836E2">
        <w:rPr>
          <w:rFonts w:ascii="Ping LCG Regular" w:hAnsi="Ping LCG Regular" w:cs="Arial"/>
          <w:spacing w:val="-14"/>
          <w:lang w:val="el-GR"/>
        </w:rPr>
        <w:t>τη</w:t>
      </w:r>
      <w:r w:rsidR="00D836E2" w:rsidRPr="00D836E2">
        <w:rPr>
          <w:rFonts w:ascii="Ping LCG Regular" w:hAnsi="Ping LCG Regular" w:cs="Arial"/>
          <w:spacing w:val="-14"/>
          <w:lang w:val="el-GR"/>
        </w:rPr>
        <w:t>ν</w:t>
      </w:r>
      <w:r w:rsidR="00AD0E8E" w:rsidRPr="00D836E2">
        <w:rPr>
          <w:rFonts w:ascii="Ping LCG Regular" w:hAnsi="Ping LCG Regular" w:cs="Arial"/>
          <w:spacing w:val="-14"/>
          <w:lang w:val="el-GR"/>
        </w:rPr>
        <w:t xml:space="preserve"> αντιστροφή προβλέψεων για επισφαλείς απαιτήσεις </w:t>
      </w:r>
      <w:r w:rsidR="00452B6D" w:rsidRPr="00D836E2">
        <w:rPr>
          <w:rFonts w:ascii="Ping LCG Regular" w:hAnsi="Ping LCG Regular" w:cs="Arial"/>
          <w:spacing w:val="-14"/>
          <w:lang w:val="el-GR"/>
        </w:rPr>
        <w:t xml:space="preserve">καθώς και </w:t>
      </w:r>
      <w:r w:rsidR="000F49BB">
        <w:rPr>
          <w:rFonts w:ascii="Ping LCG Regular" w:hAnsi="Ping LCG Regular" w:cs="Arial"/>
          <w:spacing w:val="-14"/>
          <w:lang w:val="el-GR"/>
        </w:rPr>
        <w:t xml:space="preserve">από </w:t>
      </w:r>
      <w:r w:rsidR="00452B6D" w:rsidRPr="00D836E2">
        <w:rPr>
          <w:rFonts w:ascii="Ping LCG Regular" w:hAnsi="Ping LCG Regular" w:cs="Arial"/>
          <w:spacing w:val="-14"/>
          <w:lang w:val="el-GR"/>
        </w:rPr>
        <w:t>τη συνεχιζόμενη μείωση της δαπάνης μισθοδοσίας</w:t>
      </w:r>
      <w:r w:rsidR="00B42E0A" w:rsidRPr="00D836E2">
        <w:rPr>
          <w:rFonts w:ascii="Ping LCG Regular" w:hAnsi="Ping LCG Regular" w:cs="Arial"/>
          <w:spacing w:val="-14"/>
          <w:lang w:val="el-GR"/>
        </w:rPr>
        <w:t xml:space="preserve">. </w:t>
      </w:r>
      <w:r w:rsidR="001B24AD" w:rsidRPr="00D836E2">
        <w:rPr>
          <w:rFonts w:ascii="Ping LCG Regular" w:hAnsi="Ping LCG Regular" w:cs="Arial"/>
          <w:spacing w:val="-14"/>
          <w:lang w:val="el-GR"/>
        </w:rPr>
        <w:t xml:space="preserve">Στις προ αποσβέσεων λειτουργικές δαπάνες δεν έχουν συνυπολογισθεί </w:t>
      </w:r>
      <w:r w:rsidR="000E2125" w:rsidRPr="00D836E2">
        <w:rPr>
          <w:rFonts w:ascii="Ping LCG Regular" w:hAnsi="Ping LCG Regular" w:cs="Arial"/>
          <w:spacing w:val="-14"/>
          <w:lang w:val="el-GR"/>
        </w:rPr>
        <w:t>οι εφάπαξ επιπτώσεις</w:t>
      </w:r>
      <w:r w:rsidR="001B24AD" w:rsidRPr="00D836E2">
        <w:rPr>
          <w:rFonts w:ascii="Ping LCG Regular" w:hAnsi="Ping LCG Regular" w:cs="Arial"/>
          <w:spacing w:val="-14"/>
          <w:lang w:val="el-GR"/>
        </w:rPr>
        <w:t xml:space="preserve"> </w:t>
      </w:r>
      <w:r w:rsidR="000E2125" w:rsidRPr="00D836E2">
        <w:rPr>
          <w:rFonts w:ascii="Ping LCG Regular" w:hAnsi="Ping LCG Regular" w:cs="Arial"/>
          <w:spacing w:val="-14"/>
          <w:lang w:val="el-GR"/>
        </w:rPr>
        <w:t xml:space="preserve">από την </w:t>
      </w:r>
      <w:r w:rsidR="005F3323" w:rsidRPr="00D836E2">
        <w:rPr>
          <w:rFonts w:ascii="Ping LCG Regular" w:hAnsi="Ping LCG Regular" w:cs="Arial"/>
          <w:spacing w:val="-14"/>
          <w:lang w:val="el-GR"/>
        </w:rPr>
        <w:t xml:space="preserve"> </w:t>
      </w:r>
      <w:r w:rsidR="00DD21AB" w:rsidRPr="00D836E2">
        <w:rPr>
          <w:rFonts w:ascii="Ping LCG Regular" w:hAnsi="Ping LCG Regular" w:cs="Arial"/>
          <w:spacing w:val="-14"/>
          <w:lang w:val="el-GR"/>
        </w:rPr>
        <w:t xml:space="preserve">αναδρομική χρέωση </w:t>
      </w:r>
      <w:r w:rsidR="0030398C" w:rsidRPr="00D836E2">
        <w:rPr>
          <w:rFonts w:ascii="Ping LCG Regular" w:hAnsi="Ping LCG Regular" w:cs="Arial"/>
          <w:spacing w:val="-14"/>
          <w:lang w:val="el-GR"/>
        </w:rPr>
        <w:t xml:space="preserve">λόγω ανάκτησης </w:t>
      </w:r>
      <w:r w:rsidR="00DD21AB" w:rsidRPr="00D836E2">
        <w:rPr>
          <w:rFonts w:ascii="Ping LCG Regular" w:hAnsi="Ping LCG Regular" w:cs="Arial"/>
          <w:spacing w:val="-14"/>
          <w:lang w:val="el-GR"/>
        </w:rPr>
        <w:t xml:space="preserve">ειδικών επιδομάτων </w:t>
      </w:r>
      <w:r w:rsidR="0030398C" w:rsidRPr="00D836E2">
        <w:rPr>
          <w:rFonts w:ascii="Ping LCG Regular" w:hAnsi="Ping LCG Regular" w:cs="Arial"/>
          <w:spacing w:val="-14"/>
          <w:lang w:val="el-GR"/>
        </w:rPr>
        <w:t xml:space="preserve">από την </w:t>
      </w:r>
      <w:r w:rsidR="00DD21AB" w:rsidRPr="00D836E2">
        <w:rPr>
          <w:rFonts w:ascii="Ping LCG Regular" w:hAnsi="Ping LCG Regular" w:cs="Arial"/>
          <w:spacing w:val="-14"/>
          <w:lang w:val="el-GR"/>
        </w:rPr>
        <w:t xml:space="preserve">εφαρμογή της </w:t>
      </w:r>
      <w:r w:rsidR="00DD21AB" w:rsidRPr="005A58DE">
        <w:rPr>
          <w:rFonts w:ascii="Ping LCG Regular" w:hAnsi="Ping LCG Regular" w:cs="Arial"/>
          <w:spacing w:val="-14"/>
          <w:lang w:val="el-GR"/>
        </w:rPr>
        <w:t xml:space="preserve">ΕΣΣΕ 2021-2024, από την πρόβλεψη για αποζημιώσεις προσωπικού </w:t>
      </w:r>
      <w:r w:rsidR="00984692" w:rsidRPr="005A58DE">
        <w:rPr>
          <w:rFonts w:ascii="Ping LCG Regular" w:hAnsi="Ping LCG Regular" w:cs="Arial"/>
          <w:spacing w:val="-14"/>
          <w:lang w:val="el-GR"/>
        </w:rPr>
        <w:t xml:space="preserve">και </w:t>
      </w:r>
      <w:r w:rsidR="00DD21AB" w:rsidRPr="005A58DE">
        <w:rPr>
          <w:rFonts w:ascii="Ping LCG Regular" w:hAnsi="Ping LCG Regular" w:cs="Arial"/>
          <w:spacing w:val="-14"/>
          <w:lang w:val="el-GR"/>
        </w:rPr>
        <w:t xml:space="preserve">από </w:t>
      </w:r>
      <w:r w:rsidR="000057C4" w:rsidRPr="005A58DE">
        <w:rPr>
          <w:rFonts w:ascii="Ping LCG Regular" w:hAnsi="Ping LCG Regular" w:cs="Arial"/>
          <w:spacing w:val="-14"/>
          <w:lang w:val="el-GR"/>
        </w:rPr>
        <w:t>το πιστωτικό τιμολόγιο για την προμήθεια</w:t>
      </w:r>
      <w:r w:rsidR="001B24AD" w:rsidRPr="005A58DE">
        <w:rPr>
          <w:rFonts w:ascii="Ping LCG Regular" w:hAnsi="Ping LCG Regular" w:cs="Arial"/>
          <w:spacing w:val="-14"/>
          <w:lang w:val="el-GR"/>
        </w:rPr>
        <w:t xml:space="preserve"> φυσικού αερίου παρελθόντων ετών από την ΔΕΠΑ</w:t>
      </w:r>
      <w:r w:rsidR="00984692" w:rsidRPr="005A58DE">
        <w:rPr>
          <w:rFonts w:ascii="Ping LCG Regular" w:hAnsi="Ping LCG Regular" w:cs="Arial"/>
          <w:spacing w:val="-14"/>
          <w:lang w:val="el-GR"/>
        </w:rPr>
        <w:t>.</w:t>
      </w:r>
      <w:r w:rsidR="001B24AD" w:rsidRPr="005A58DE">
        <w:rPr>
          <w:rFonts w:ascii="Ping LCG Regular" w:hAnsi="Ping LCG Regular" w:cs="Arial"/>
          <w:spacing w:val="-14"/>
          <w:lang w:val="el-GR"/>
        </w:rPr>
        <w:t xml:space="preserve"> </w:t>
      </w:r>
      <w:r w:rsidR="007D0E22" w:rsidRPr="005A58DE">
        <w:rPr>
          <w:rFonts w:ascii="Ping LCG Regular" w:hAnsi="Ping LCG Regular" w:cs="Arial"/>
          <w:spacing w:val="-14"/>
          <w:lang w:val="el-GR"/>
        </w:rPr>
        <w:t>Ειδικότερα</w:t>
      </w:r>
      <w:r w:rsidR="00E1334D" w:rsidRPr="005A58DE">
        <w:rPr>
          <w:rFonts w:ascii="Ping LCG Regular" w:hAnsi="Ping LCG Regular" w:cs="Arial"/>
          <w:spacing w:val="-14"/>
          <w:lang w:val="el-GR"/>
        </w:rPr>
        <w:t>,</w:t>
      </w:r>
      <w:r w:rsidR="007D0E22" w:rsidRPr="005A58DE">
        <w:rPr>
          <w:rFonts w:ascii="Ping LCG Regular" w:hAnsi="Ping LCG Regular" w:cs="Arial"/>
          <w:spacing w:val="-14"/>
          <w:lang w:val="el-GR"/>
        </w:rPr>
        <w:t xml:space="preserve"> στο γ</w:t>
      </w:r>
      <w:r w:rsidR="00204B2B" w:rsidRPr="005A58DE">
        <w:rPr>
          <w:rFonts w:ascii="Ping LCG Regular" w:hAnsi="Ping LCG Regular" w:cs="Arial"/>
          <w:spacing w:val="-14"/>
          <w:lang w:val="el-GR"/>
        </w:rPr>
        <w:t xml:space="preserve">’ τρίμηνο 2021, οι προ αποσβέσεων λειτουργικές δαπάνες (εξαιρώντας τις αντίστοιχες </w:t>
      </w:r>
      <w:r w:rsidR="00F74A63" w:rsidRPr="005A58DE">
        <w:rPr>
          <w:rFonts w:ascii="Ping LCG Regular" w:hAnsi="Ping LCG Regular" w:cs="Arial"/>
          <w:spacing w:val="-14"/>
          <w:lang w:val="el-GR"/>
        </w:rPr>
        <w:t>ε</w:t>
      </w:r>
      <w:r w:rsidR="00204B2B" w:rsidRPr="005A58DE">
        <w:rPr>
          <w:rFonts w:ascii="Ping LCG Regular" w:hAnsi="Ping LCG Regular" w:cs="Arial"/>
          <w:spacing w:val="-14"/>
          <w:lang w:val="el-GR"/>
        </w:rPr>
        <w:t>φάπαξ επιπτώσεις</w:t>
      </w:r>
      <w:r w:rsidR="00F74A63" w:rsidRPr="005A58DE">
        <w:rPr>
          <w:rFonts w:ascii="Ping LCG Regular" w:hAnsi="Ping LCG Regular" w:cs="Arial"/>
          <w:spacing w:val="-14"/>
          <w:lang w:val="el-GR"/>
        </w:rPr>
        <w:t xml:space="preserve">) </w:t>
      </w:r>
      <w:r w:rsidR="007D0E22" w:rsidRPr="005A58DE">
        <w:rPr>
          <w:rFonts w:ascii="Ping LCG Regular" w:hAnsi="Ping LCG Regular" w:cs="Arial"/>
          <w:spacing w:val="-14"/>
          <w:lang w:val="el-GR"/>
        </w:rPr>
        <w:t>ανήλθαν σε €1.3</w:t>
      </w:r>
      <w:r w:rsidR="001C51DF" w:rsidRPr="00605E8C">
        <w:rPr>
          <w:rFonts w:ascii="Ping LCG Regular" w:hAnsi="Ping LCG Regular" w:cs="Arial"/>
          <w:spacing w:val="-14"/>
          <w:lang w:val="el-GR"/>
        </w:rPr>
        <w:t>49</w:t>
      </w:r>
      <w:r w:rsidR="007D0E22" w:rsidRPr="005A58DE">
        <w:rPr>
          <w:rFonts w:ascii="Ping LCG Regular" w:hAnsi="Ping LCG Regular" w:cs="Arial"/>
          <w:spacing w:val="-14"/>
          <w:lang w:val="el-GR"/>
        </w:rPr>
        <w:t>,</w:t>
      </w:r>
      <w:r w:rsidR="001C51DF" w:rsidRPr="00605E8C">
        <w:rPr>
          <w:rFonts w:ascii="Ping LCG Regular" w:hAnsi="Ping LCG Regular" w:cs="Arial"/>
          <w:spacing w:val="-14"/>
          <w:lang w:val="el-GR"/>
        </w:rPr>
        <w:t>1</w:t>
      </w:r>
      <w:r w:rsidR="007D0E22" w:rsidRPr="005A58DE">
        <w:rPr>
          <w:rFonts w:ascii="Ping LCG Regular" w:hAnsi="Ping LCG Regular" w:cs="Arial"/>
          <w:spacing w:val="-14"/>
          <w:lang w:val="el-GR"/>
        </w:rPr>
        <w:t xml:space="preserve"> εκατ. αυξημένες κατά 3</w:t>
      </w:r>
      <w:r w:rsidR="001C51DF" w:rsidRPr="00605E8C">
        <w:rPr>
          <w:rFonts w:ascii="Ping LCG Regular" w:hAnsi="Ping LCG Regular" w:cs="Arial"/>
          <w:spacing w:val="-14"/>
          <w:lang w:val="el-GR"/>
        </w:rPr>
        <w:t>0</w:t>
      </w:r>
      <w:r w:rsidR="007D0E22" w:rsidRPr="005A58DE">
        <w:rPr>
          <w:rFonts w:ascii="Ping LCG Regular" w:hAnsi="Ping LCG Regular" w:cs="Arial"/>
          <w:spacing w:val="-14"/>
          <w:lang w:val="el-GR"/>
        </w:rPr>
        <w:t>,</w:t>
      </w:r>
      <w:r w:rsidR="001C51DF" w:rsidRPr="00605E8C">
        <w:rPr>
          <w:rFonts w:ascii="Ping LCG Regular" w:hAnsi="Ping LCG Regular" w:cs="Arial"/>
          <w:spacing w:val="-14"/>
          <w:lang w:val="el-GR"/>
        </w:rPr>
        <w:t>8</w:t>
      </w:r>
      <w:r w:rsidR="007D0E22" w:rsidRPr="005A58DE">
        <w:rPr>
          <w:rFonts w:ascii="Ping LCG Regular" w:hAnsi="Ping LCG Regular" w:cs="Arial"/>
          <w:spacing w:val="-14"/>
          <w:lang w:val="el-GR"/>
        </w:rPr>
        <w:t>% έναντι του γ’ τριμήνου 2020</w:t>
      </w:r>
      <w:r w:rsidR="004F7805" w:rsidRPr="005A58DE">
        <w:rPr>
          <w:rFonts w:ascii="Ping LCG Regular" w:hAnsi="Ping LCG Regular" w:cs="Arial"/>
          <w:spacing w:val="-14"/>
          <w:lang w:val="el-GR"/>
        </w:rPr>
        <w:t xml:space="preserve">, κυρίως λόγω των </w:t>
      </w:r>
      <w:r w:rsidR="00D21DDA" w:rsidRPr="005A58DE">
        <w:rPr>
          <w:rFonts w:ascii="Ping LCG Regular" w:hAnsi="Ping LCG Regular" w:cs="Arial"/>
          <w:spacing w:val="-14"/>
          <w:lang w:val="el-GR"/>
        </w:rPr>
        <w:t xml:space="preserve">ιδιαίτερα </w:t>
      </w:r>
      <w:r w:rsidR="004F7805" w:rsidRPr="005A58DE">
        <w:rPr>
          <w:rFonts w:ascii="Ping LCG Regular" w:hAnsi="Ping LCG Regular" w:cs="Arial"/>
          <w:spacing w:val="-14"/>
          <w:lang w:val="el-GR"/>
        </w:rPr>
        <w:t>αυξημένων ενεργ</w:t>
      </w:r>
      <w:r w:rsidR="00D21DDA" w:rsidRPr="005A58DE">
        <w:rPr>
          <w:rFonts w:ascii="Ping LCG Regular" w:hAnsi="Ping LCG Regular" w:cs="Arial"/>
          <w:spacing w:val="-14"/>
          <w:lang w:val="el-GR"/>
        </w:rPr>
        <w:t>ειακών δαπανών</w:t>
      </w:r>
      <w:r w:rsidR="007D0E22" w:rsidRPr="005A58DE">
        <w:rPr>
          <w:rFonts w:ascii="Ping LCG Regular" w:hAnsi="Ping LCG Regular" w:cs="Arial"/>
          <w:spacing w:val="-14"/>
          <w:lang w:val="el-GR"/>
        </w:rPr>
        <w:t>.</w:t>
      </w:r>
    </w:p>
    <w:p w14:paraId="5A174209" w14:textId="77777777" w:rsidR="00DD21AB" w:rsidRPr="00D836E2" w:rsidRDefault="00DD21AB" w:rsidP="00A249A6">
      <w:pPr>
        <w:widowControl w:val="0"/>
        <w:autoSpaceDE w:val="0"/>
        <w:autoSpaceDN w:val="0"/>
        <w:adjustRightInd w:val="0"/>
        <w:ind w:right="21"/>
        <w:jc w:val="both"/>
        <w:rPr>
          <w:rFonts w:ascii="Ping LCG Regular" w:hAnsi="Ping LCG Regular" w:cs="Arial"/>
          <w:spacing w:val="-14"/>
          <w:lang w:val="el-GR"/>
        </w:rPr>
      </w:pPr>
    </w:p>
    <w:p w14:paraId="791A27D5" w14:textId="19C2B74D" w:rsidR="00A249A6" w:rsidRPr="00A06143" w:rsidRDefault="00A249A6" w:rsidP="00A249A6">
      <w:pPr>
        <w:widowControl w:val="0"/>
        <w:autoSpaceDE w:val="0"/>
        <w:autoSpaceDN w:val="0"/>
        <w:adjustRightInd w:val="0"/>
        <w:ind w:left="1" w:right="18"/>
        <w:rPr>
          <w:rFonts w:ascii="Ping LCG Regular" w:hAnsi="Ping LCG Regular" w:cs="Arial"/>
          <w:bCs/>
          <w:spacing w:val="-14"/>
          <w:szCs w:val="26"/>
          <w:u w:val="single"/>
          <w:lang w:val="el-GR"/>
        </w:rPr>
      </w:pPr>
      <w:bookmarkStart w:id="6" w:name="_Hlk69239273"/>
      <w:r w:rsidRPr="00A06143">
        <w:rPr>
          <w:rFonts w:ascii="Ping LCG Regular" w:hAnsi="Ping LCG Regular" w:cs="Arial"/>
          <w:bCs/>
          <w:spacing w:val="-14"/>
          <w:szCs w:val="26"/>
          <w:u w:val="single"/>
          <w:lang w:val="el-GR"/>
        </w:rPr>
        <w:t xml:space="preserve">Λειτουργικά μεγέθη (παραγωγή - εισαγωγές - εξαγωγές)  </w:t>
      </w:r>
    </w:p>
    <w:p w14:paraId="7B771408" w14:textId="77777777" w:rsidR="00A249A6" w:rsidRPr="00A06143" w:rsidRDefault="00A249A6" w:rsidP="00A249A6">
      <w:pPr>
        <w:autoSpaceDE w:val="0"/>
        <w:autoSpaceDN w:val="0"/>
        <w:adjustRightInd w:val="0"/>
        <w:jc w:val="both"/>
        <w:rPr>
          <w:rFonts w:ascii="Ping LCG Regular" w:hAnsi="Ping LCG Regular" w:cs="Arial"/>
          <w:spacing w:val="-14"/>
          <w:lang w:val="el-GR"/>
        </w:rPr>
      </w:pPr>
    </w:p>
    <w:p w14:paraId="22486846" w14:textId="47A96E83" w:rsidR="00A249A6" w:rsidRPr="00C158D9" w:rsidRDefault="00A249A6">
      <w:pPr>
        <w:ind w:firstLine="11"/>
        <w:jc w:val="both"/>
        <w:rPr>
          <w:rFonts w:ascii="Ping LCG Regular" w:hAnsi="Ping LCG Regular" w:cs="Arial"/>
          <w:spacing w:val="-14"/>
          <w:lang w:val="el-GR"/>
        </w:rPr>
      </w:pPr>
      <w:bookmarkStart w:id="7" w:name="_Hlk68250179"/>
      <w:r w:rsidRPr="00A06143">
        <w:rPr>
          <w:rFonts w:ascii="Ping LCG Regular" w:hAnsi="Ping LCG Regular" w:cs="Arial"/>
          <w:spacing w:val="-14"/>
          <w:lang w:val="el-GR"/>
        </w:rPr>
        <w:t>Το</w:t>
      </w:r>
      <w:r w:rsidR="00285C46" w:rsidRPr="00A06143">
        <w:rPr>
          <w:rFonts w:ascii="Ping LCG Regular" w:hAnsi="Ping LCG Regular" w:cs="Arial"/>
          <w:spacing w:val="-14"/>
          <w:lang w:val="el-GR"/>
        </w:rPr>
        <w:t xml:space="preserve"> </w:t>
      </w:r>
      <w:r w:rsidR="007B3176" w:rsidRPr="00A06143">
        <w:rPr>
          <w:rFonts w:ascii="Ping LCG Regular" w:hAnsi="Ping LCG Regular" w:cs="Arial"/>
          <w:spacing w:val="-14"/>
          <w:lang w:val="el-GR"/>
        </w:rPr>
        <w:t>ε</w:t>
      </w:r>
      <w:r w:rsidR="00A06143" w:rsidRPr="00A06143">
        <w:rPr>
          <w:rFonts w:ascii="Ping LCG Regular" w:hAnsi="Ping LCG Regular" w:cs="Arial"/>
          <w:spacing w:val="-14"/>
          <w:lang w:val="el-GR"/>
        </w:rPr>
        <w:t>ννε</w:t>
      </w:r>
      <w:r w:rsidR="007B3176" w:rsidRPr="00A06143">
        <w:rPr>
          <w:rFonts w:ascii="Ping LCG Regular" w:hAnsi="Ping LCG Regular" w:cs="Arial"/>
          <w:spacing w:val="-14"/>
          <w:lang w:val="el-GR"/>
        </w:rPr>
        <w:t>άμ</w:t>
      </w:r>
      <w:r w:rsidR="00285C46" w:rsidRPr="00A06143">
        <w:rPr>
          <w:rFonts w:ascii="Ping LCG Regular" w:hAnsi="Ping LCG Regular" w:cs="Arial"/>
          <w:spacing w:val="-14"/>
          <w:lang w:val="el-GR"/>
        </w:rPr>
        <w:t>ηνο</w:t>
      </w:r>
      <w:r w:rsidRPr="00A06143">
        <w:rPr>
          <w:rFonts w:ascii="Ping LCG Regular" w:hAnsi="Ping LCG Regular" w:cs="Arial"/>
          <w:spacing w:val="-14"/>
          <w:lang w:val="el-GR"/>
        </w:rPr>
        <w:t xml:space="preserve"> 202</w:t>
      </w:r>
      <w:r w:rsidR="00285C46" w:rsidRPr="00A06143">
        <w:rPr>
          <w:rFonts w:ascii="Ping LCG Regular" w:hAnsi="Ping LCG Regular" w:cs="Arial"/>
          <w:spacing w:val="-14"/>
          <w:lang w:val="el-GR"/>
        </w:rPr>
        <w:t>1</w:t>
      </w:r>
      <w:r w:rsidRPr="00A06143">
        <w:rPr>
          <w:rFonts w:ascii="Ping LCG Regular" w:hAnsi="Ping LCG Regular" w:cs="Arial"/>
          <w:spacing w:val="-14"/>
          <w:lang w:val="el-GR"/>
        </w:rPr>
        <w:t xml:space="preserve"> η εγχώρια ζήτηση ηλεκτρικής ενέργειας </w:t>
      </w:r>
      <w:r w:rsidR="007B3176" w:rsidRPr="00A06143">
        <w:rPr>
          <w:rFonts w:ascii="Ping LCG Regular" w:hAnsi="Ping LCG Regular" w:cs="Arial"/>
          <w:spacing w:val="-14"/>
          <w:lang w:val="el-GR"/>
        </w:rPr>
        <w:t>αυξήθηκε</w:t>
      </w:r>
      <w:r w:rsidRPr="00A06143">
        <w:rPr>
          <w:rFonts w:ascii="Ping LCG Regular" w:hAnsi="Ping LCG Regular" w:cs="Arial"/>
          <w:spacing w:val="-14"/>
          <w:lang w:val="el-GR"/>
        </w:rPr>
        <w:t xml:space="preserve"> κατά </w:t>
      </w:r>
      <w:r w:rsidR="00A06143" w:rsidRPr="00A06143">
        <w:rPr>
          <w:rFonts w:ascii="Ping LCG Regular" w:hAnsi="Ping LCG Regular" w:cs="Arial"/>
          <w:spacing w:val="-14"/>
          <w:lang w:val="el-GR"/>
        </w:rPr>
        <w:t>3</w:t>
      </w:r>
      <w:r w:rsidRPr="00A06143">
        <w:rPr>
          <w:rFonts w:ascii="Ping LCG Regular" w:hAnsi="Ping LCG Regular" w:cs="Arial"/>
          <w:spacing w:val="-14"/>
          <w:lang w:val="el-GR"/>
        </w:rPr>
        <w:t xml:space="preserve">% στις </w:t>
      </w:r>
      <w:r w:rsidR="00A06143" w:rsidRPr="00A06143">
        <w:rPr>
          <w:rFonts w:ascii="Ping LCG Regular" w:hAnsi="Ping LCG Regular" w:cs="Arial"/>
          <w:spacing w:val="-14"/>
          <w:lang w:val="el-GR"/>
        </w:rPr>
        <w:t>42.948</w:t>
      </w:r>
      <w:r w:rsidRPr="00A06143">
        <w:rPr>
          <w:rFonts w:ascii="Ping LCG Regular" w:hAnsi="Ping LCG Regular" w:cs="Arial"/>
          <w:spacing w:val="-14"/>
          <w:lang w:val="el-GR"/>
        </w:rPr>
        <w:t xml:space="preserve"> </w:t>
      </w:r>
      <w:r w:rsidRPr="00A06143">
        <w:rPr>
          <w:rFonts w:ascii="Ping LCG Regular" w:hAnsi="Ping LCG Regular" w:cs="Arial"/>
          <w:spacing w:val="-14"/>
        </w:rPr>
        <w:t>GWh</w:t>
      </w:r>
      <w:r w:rsidRPr="00A06143">
        <w:rPr>
          <w:rFonts w:ascii="Ping LCG Regular" w:hAnsi="Ping LCG Regular" w:cs="Arial"/>
          <w:spacing w:val="-14"/>
          <w:lang w:val="el-GR"/>
        </w:rPr>
        <w:t xml:space="preserve"> έναντι </w:t>
      </w:r>
      <w:r w:rsidR="00A06143" w:rsidRPr="00A06143">
        <w:rPr>
          <w:rFonts w:ascii="Ping LCG Regular" w:hAnsi="Ping LCG Regular" w:cs="Arial"/>
          <w:spacing w:val="-14"/>
          <w:lang w:val="el-GR"/>
        </w:rPr>
        <w:t>41.687</w:t>
      </w:r>
      <w:r w:rsidRPr="00A06143">
        <w:rPr>
          <w:rFonts w:ascii="Ping LCG Regular" w:hAnsi="Ping LCG Regular" w:cs="Arial"/>
          <w:spacing w:val="-14"/>
          <w:lang w:val="el-GR"/>
        </w:rPr>
        <w:t xml:space="preserve"> </w:t>
      </w:r>
      <w:r w:rsidRPr="00A06143">
        <w:rPr>
          <w:rFonts w:ascii="Ping LCG Regular" w:hAnsi="Ping LCG Regular" w:cs="Arial"/>
          <w:spacing w:val="-14"/>
        </w:rPr>
        <w:t>GWh</w:t>
      </w:r>
      <w:r w:rsidRPr="00A06143">
        <w:rPr>
          <w:rFonts w:ascii="Ping LCG Regular" w:hAnsi="Ping LCG Regular" w:cs="Arial"/>
          <w:spacing w:val="-14"/>
          <w:lang w:val="el-GR"/>
        </w:rPr>
        <w:t xml:space="preserve"> το </w:t>
      </w:r>
      <w:r w:rsidR="007B3176" w:rsidRPr="00A06143">
        <w:rPr>
          <w:rFonts w:ascii="Ping LCG Regular" w:hAnsi="Ping LCG Regular" w:cs="Arial"/>
          <w:spacing w:val="-14"/>
          <w:szCs w:val="26"/>
          <w:lang w:val="el-GR"/>
        </w:rPr>
        <w:t>ε</w:t>
      </w:r>
      <w:r w:rsidR="007D0E22">
        <w:rPr>
          <w:rFonts w:ascii="Ping LCG Regular" w:hAnsi="Ping LCG Regular" w:cs="Arial"/>
          <w:spacing w:val="-14"/>
          <w:szCs w:val="26"/>
          <w:lang w:val="el-GR"/>
        </w:rPr>
        <w:t>ννε</w:t>
      </w:r>
      <w:r w:rsidR="007B3176" w:rsidRPr="00A06143">
        <w:rPr>
          <w:rFonts w:ascii="Ping LCG Regular" w:hAnsi="Ping LCG Regular" w:cs="Arial"/>
          <w:spacing w:val="-14"/>
          <w:szCs w:val="26"/>
          <w:lang w:val="el-GR"/>
        </w:rPr>
        <w:t>ά</w:t>
      </w:r>
      <w:r w:rsidR="00984692" w:rsidRPr="00A06143">
        <w:rPr>
          <w:rFonts w:ascii="Ping LCG Regular" w:hAnsi="Ping LCG Regular" w:cs="Arial"/>
          <w:spacing w:val="-14"/>
          <w:szCs w:val="26"/>
          <w:lang w:val="el-GR"/>
        </w:rPr>
        <w:t>μηνο του 2020</w:t>
      </w:r>
      <w:r w:rsidR="00AD0E8E" w:rsidRPr="00A06143">
        <w:rPr>
          <w:rFonts w:ascii="Ping LCG Regular" w:hAnsi="Ping LCG Regular" w:cs="Arial"/>
          <w:spacing w:val="-14"/>
          <w:szCs w:val="26"/>
          <w:lang w:val="el-GR"/>
        </w:rPr>
        <w:t>, ως αποτέλεσμα της ανάκαμψης της οικονομικής δραστηριότητας, λόγω της χαλάρωσης των περιοριστικών μέτρων για την πανδημία</w:t>
      </w:r>
      <w:r w:rsidRPr="00A06143">
        <w:rPr>
          <w:rFonts w:ascii="Ping LCG Regular" w:hAnsi="Ping LCG Regular" w:cs="Arial"/>
          <w:spacing w:val="-14"/>
          <w:lang w:val="el-GR"/>
        </w:rPr>
        <w:t xml:space="preserve">. Σε επίπεδο συνολικής ζήτησης, περιλαμβάνοντας δηλαδή την </w:t>
      </w:r>
      <w:r w:rsidRPr="004A424A">
        <w:rPr>
          <w:rFonts w:ascii="Ping LCG Regular" w:hAnsi="Ping LCG Regular" w:cs="Arial"/>
          <w:spacing w:val="-14"/>
          <w:lang w:val="el-GR"/>
        </w:rPr>
        <w:t xml:space="preserve">ηλεκτρική ενέργεια για εξαγωγές και άντληση, </w:t>
      </w:r>
      <w:r w:rsidR="00984692" w:rsidRPr="00C158D9">
        <w:rPr>
          <w:rFonts w:ascii="Ping LCG Regular" w:hAnsi="Ping LCG Regular" w:cs="Arial"/>
          <w:spacing w:val="-14"/>
          <w:lang w:val="el-GR"/>
        </w:rPr>
        <w:t xml:space="preserve">σημειώθηκε αύξηση </w:t>
      </w:r>
      <w:r w:rsidRPr="00C158D9">
        <w:rPr>
          <w:rFonts w:ascii="Ping LCG Regular" w:hAnsi="Ping LCG Regular" w:cs="Arial"/>
          <w:spacing w:val="-14"/>
          <w:lang w:val="el-GR"/>
        </w:rPr>
        <w:t xml:space="preserve">κατά </w:t>
      </w:r>
      <w:r w:rsidR="00A06143" w:rsidRPr="00C158D9">
        <w:rPr>
          <w:rFonts w:ascii="Ping LCG Regular" w:hAnsi="Ping LCG Regular" w:cs="Arial"/>
          <w:spacing w:val="-14"/>
          <w:lang w:val="el-GR"/>
        </w:rPr>
        <w:t>7,4</w:t>
      </w:r>
      <w:r w:rsidRPr="00C158D9">
        <w:rPr>
          <w:rFonts w:ascii="Ping LCG Regular" w:hAnsi="Ping LCG Regular" w:cs="Arial"/>
          <w:spacing w:val="-14"/>
          <w:lang w:val="el-GR"/>
        </w:rPr>
        <w:t>% λόγω</w:t>
      </w:r>
      <w:r w:rsidR="00A041FA" w:rsidRPr="00C158D9">
        <w:rPr>
          <w:rFonts w:ascii="Ping LCG Regular" w:hAnsi="Ping LCG Regular" w:cs="Arial"/>
          <w:spacing w:val="-14"/>
          <w:lang w:val="el-GR"/>
        </w:rPr>
        <w:t xml:space="preserve"> </w:t>
      </w:r>
      <w:r w:rsidRPr="00C158D9">
        <w:rPr>
          <w:rFonts w:ascii="Ping LCG Regular" w:hAnsi="Ping LCG Regular" w:cs="Arial"/>
          <w:spacing w:val="-14"/>
          <w:lang w:val="el-GR"/>
        </w:rPr>
        <w:t xml:space="preserve">της </w:t>
      </w:r>
      <w:r w:rsidR="00984692" w:rsidRPr="00C158D9">
        <w:rPr>
          <w:rFonts w:ascii="Ping LCG Regular" w:hAnsi="Ping LCG Regular" w:cs="Arial"/>
          <w:spacing w:val="-14"/>
          <w:lang w:val="el-GR"/>
        </w:rPr>
        <w:t>αύξησης</w:t>
      </w:r>
      <w:r w:rsidRPr="00C158D9">
        <w:rPr>
          <w:rFonts w:ascii="Ping LCG Regular" w:hAnsi="Ping LCG Regular" w:cs="Arial"/>
          <w:spacing w:val="-14"/>
          <w:lang w:val="el-GR"/>
        </w:rPr>
        <w:t xml:space="preserve"> των εξαγωγών των Τρίτων (</w:t>
      </w:r>
      <w:r w:rsidR="00984692" w:rsidRPr="00C158D9">
        <w:rPr>
          <w:rFonts w:ascii="Ping LCG Regular" w:hAnsi="Ping LCG Regular" w:cs="Arial"/>
          <w:spacing w:val="-14"/>
          <w:lang w:val="el-GR"/>
        </w:rPr>
        <w:t>αύξηση</w:t>
      </w:r>
      <w:r w:rsidRPr="00C158D9">
        <w:rPr>
          <w:rFonts w:ascii="Ping LCG Regular" w:hAnsi="Ping LCG Regular" w:cs="Arial"/>
          <w:spacing w:val="-14"/>
          <w:lang w:val="el-GR"/>
        </w:rPr>
        <w:t xml:space="preserve"> κατά 1.</w:t>
      </w:r>
      <w:r w:rsidR="00A06143" w:rsidRPr="00C158D9">
        <w:rPr>
          <w:rFonts w:ascii="Ping LCG Regular" w:hAnsi="Ping LCG Regular" w:cs="Arial"/>
          <w:spacing w:val="-14"/>
          <w:lang w:val="el-GR"/>
        </w:rPr>
        <w:t>974</w:t>
      </w:r>
      <w:r w:rsidRPr="00C158D9">
        <w:rPr>
          <w:rFonts w:ascii="Ping LCG Regular" w:hAnsi="Ping LCG Regular" w:cs="Arial"/>
          <w:spacing w:val="-14"/>
          <w:lang w:val="el-GR"/>
        </w:rPr>
        <w:t xml:space="preserve"> </w:t>
      </w:r>
      <w:r w:rsidRPr="00C158D9">
        <w:rPr>
          <w:rFonts w:ascii="Ping LCG Regular" w:hAnsi="Ping LCG Regular" w:cs="Arial"/>
          <w:spacing w:val="-14"/>
        </w:rPr>
        <w:t>GWh</w:t>
      </w:r>
      <w:r w:rsidRPr="00C158D9">
        <w:rPr>
          <w:rFonts w:ascii="Ping LCG Regular" w:hAnsi="Ping LCG Regular" w:cs="Arial"/>
          <w:spacing w:val="-14"/>
          <w:lang w:val="el-GR"/>
        </w:rPr>
        <w:t xml:space="preserve"> </w:t>
      </w:r>
      <w:r w:rsidR="002A066F" w:rsidRPr="00C158D9">
        <w:rPr>
          <w:rFonts w:ascii="Ping LCG Regular" w:hAnsi="Ping LCG Regular" w:cs="Arial"/>
          <w:spacing w:val="-14"/>
          <w:lang w:val="el-GR"/>
        </w:rPr>
        <w:t xml:space="preserve">ή </w:t>
      </w:r>
      <w:r w:rsidR="00FA05F2" w:rsidRPr="00FA05F2">
        <w:rPr>
          <w:rFonts w:ascii="Ping LCG Regular" w:hAnsi="Ping LCG Regular" w:cs="Arial"/>
          <w:spacing w:val="-14"/>
          <w:lang w:val="el-GR"/>
        </w:rPr>
        <w:t>1</w:t>
      </w:r>
      <w:r w:rsidR="00A06143" w:rsidRPr="00C158D9">
        <w:rPr>
          <w:rFonts w:ascii="Ping LCG Regular" w:hAnsi="Ping LCG Regular" w:cs="Arial"/>
          <w:spacing w:val="-14"/>
          <w:lang w:val="el-GR"/>
        </w:rPr>
        <w:t>95,1</w:t>
      </w:r>
      <w:r w:rsidR="002A066F" w:rsidRPr="00C158D9">
        <w:rPr>
          <w:rFonts w:ascii="Ping LCG Regular" w:hAnsi="Ping LCG Regular" w:cs="Arial"/>
          <w:spacing w:val="-14"/>
          <w:lang w:val="el-GR"/>
        </w:rPr>
        <w:t xml:space="preserve">% </w:t>
      </w:r>
      <w:r w:rsidRPr="00C158D9">
        <w:rPr>
          <w:rFonts w:ascii="Ping LCG Regular" w:hAnsi="Ping LCG Regular" w:cs="Arial"/>
          <w:spacing w:val="-14"/>
          <w:lang w:val="el-GR"/>
        </w:rPr>
        <w:t>σε σχέση με</w:t>
      </w:r>
      <w:r w:rsidR="00DD1423" w:rsidRPr="00C158D9">
        <w:rPr>
          <w:rFonts w:ascii="Ping LCG Regular" w:hAnsi="Ping LCG Regular" w:cs="Arial"/>
          <w:spacing w:val="-14"/>
          <w:lang w:val="el-GR"/>
        </w:rPr>
        <w:t xml:space="preserve"> </w:t>
      </w:r>
      <w:r w:rsidRPr="00C158D9">
        <w:rPr>
          <w:rFonts w:ascii="Ping LCG Regular" w:hAnsi="Ping LCG Regular" w:cs="Arial"/>
          <w:spacing w:val="-14"/>
          <w:lang w:val="el-GR"/>
        </w:rPr>
        <w:t xml:space="preserve">το </w:t>
      </w:r>
      <w:r w:rsidR="00001463" w:rsidRPr="00C158D9">
        <w:rPr>
          <w:rFonts w:ascii="Ping LCG Regular" w:hAnsi="Ping LCG Regular" w:cs="Arial"/>
          <w:spacing w:val="-14"/>
          <w:lang w:val="el-GR"/>
        </w:rPr>
        <w:t>ε</w:t>
      </w:r>
      <w:r w:rsidR="00A06143" w:rsidRPr="00C158D9">
        <w:rPr>
          <w:rFonts w:ascii="Ping LCG Regular" w:hAnsi="Ping LCG Regular" w:cs="Arial"/>
          <w:spacing w:val="-14"/>
          <w:lang w:val="el-GR"/>
        </w:rPr>
        <w:t>ννε</w:t>
      </w:r>
      <w:r w:rsidR="00001463" w:rsidRPr="00C158D9">
        <w:rPr>
          <w:rFonts w:ascii="Ping LCG Regular" w:hAnsi="Ping LCG Regular" w:cs="Arial"/>
          <w:spacing w:val="-14"/>
          <w:lang w:val="el-GR"/>
        </w:rPr>
        <w:t>ά</w:t>
      </w:r>
      <w:r w:rsidR="00A041FA" w:rsidRPr="00C158D9">
        <w:rPr>
          <w:rFonts w:ascii="Ping LCG Regular" w:hAnsi="Ping LCG Regular" w:cs="Arial"/>
          <w:spacing w:val="-14"/>
          <w:lang w:val="el-GR"/>
        </w:rPr>
        <w:t>μηνο του 2020</w:t>
      </w:r>
      <w:r w:rsidRPr="00C158D9">
        <w:rPr>
          <w:rFonts w:ascii="Ping LCG Regular" w:hAnsi="Ping LCG Regular" w:cs="Arial"/>
          <w:spacing w:val="-14"/>
          <w:lang w:val="el-GR"/>
        </w:rPr>
        <w:t xml:space="preserve">).  </w:t>
      </w:r>
      <w:r w:rsidR="00E1334D" w:rsidRPr="00C158D9">
        <w:rPr>
          <w:rFonts w:ascii="Ping LCG Regular" w:hAnsi="Ping LCG Regular" w:cs="Arial"/>
          <w:spacing w:val="-14"/>
          <w:lang w:val="el-GR"/>
        </w:rPr>
        <w:t>Ειδικότερα,</w:t>
      </w:r>
      <w:r w:rsidR="007D0E22" w:rsidRPr="00C158D9">
        <w:rPr>
          <w:rFonts w:ascii="Ping LCG Regular" w:hAnsi="Ping LCG Regular" w:cs="Arial"/>
          <w:spacing w:val="-14"/>
          <w:lang w:val="el-GR"/>
        </w:rPr>
        <w:t xml:space="preserve"> </w:t>
      </w:r>
      <w:r w:rsidR="0000478F" w:rsidRPr="00C158D9">
        <w:rPr>
          <w:rFonts w:ascii="Ping LCG Regular" w:hAnsi="Ping LCG Regular" w:cs="Arial"/>
          <w:spacing w:val="-14"/>
          <w:lang w:val="el-GR"/>
        </w:rPr>
        <w:t xml:space="preserve">το γ’ </w:t>
      </w:r>
      <w:r w:rsidR="007F675C" w:rsidRPr="00C158D9">
        <w:rPr>
          <w:rFonts w:ascii="Ping LCG Regular" w:hAnsi="Ping LCG Regular" w:cs="Arial"/>
          <w:spacing w:val="-14"/>
          <w:lang w:val="el-GR"/>
        </w:rPr>
        <w:t>τρίμηνο</w:t>
      </w:r>
      <w:r w:rsidR="0000478F" w:rsidRPr="00C158D9">
        <w:rPr>
          <w:rFonts w:ascii="Ping LCG Regular" w:hAnsi="Ping LCG Regular" w:cs="Arial"/>
          <w:spacing w:val="-14"/>
          <w:lang w:val="el-GR"/>
        </w:rPr>
        <w:t xml:space="preserve"> 2021 η εγχώρια ζήτηση ηλεκτρικής ενέργειας αυξήθηκε κατά </w:t>
      </w:r>
      <w:r w:rsidR="00475C85" w:rsidRPr="00C158D9">
        <w:rPr>
          <w:rFonts w:ascii="Ping LCG Regular" w:hAnsi="Ping LCG Regular" w:cs="Arial"/>
          <w:spacing w:val="-14"/>
          <w:lang w:val="el-GR"/>
        </w:rPr>
        <w:t>7,6</w:t>
      </w:r>
      <w:r w:rsidR="0000478F" w:rsidRPr="00C158D9">
        <w:rPr>
          <w:rFonts w:ascii="Ping LCG Regular" w:hAnsi="Ping LCG Regular" w:cs="Arial"/>
          <w:spacing w:val="-14"/>
          <w:lang w:val="el-GR"/>
        </w:rPr>
        <w:t xml:space="preserve">% στις </w:t>
      </w:r>
      <w:r w:rsidR="009614FF" w:rsidRPr="00C158D9">
        <w:rPr>
          <w:rFonts w:ascii="Ping LCG Regular" w:hAnsi="Ping LCG Regular" w:cs="Arial"/>
          <w:spacing w:val="-14"/>
          <w:lang w:val="el-GR"/>
        </w:rPr>
        <w:t>1</w:t>
      </w:r>
      <w:r w:rsidR="00475C85" w:rsidRPr="00C158D9">
        <w:rPr>
          <w:rFonts w:ascii="Ping LCG Regular" w:hAnsi="Ping LCG Regular" w:cs="Arial"/>
          <w:spacing w:val="-14"/>
          <w:lang w:val="el-GR"/>
        </w:rPr>
        <w:t>6</w:t>
      </w:r>
      <w:r w:rsidR="0000478F" w:rsidRPr="00C158D9">
        <w:rPr>
          <w:rFonts w:ascii="Ping LCG Regular" w:hAnsi="Ping LCG Regular" w:cs="Arial"/>
          <w:spacing w:val="-14"/>
          <w:lang w:val="el-GR"/>
        </w:rPr>
        <w:t>.</w:t>
      </w:r>
      <w:r w:rsidR="009614FF" w:rsidRPr="00C158D9">
        <w:rPr>
          <w:rFonts w:ascii="Ping LCG Regular" w:hAnsi="Ping LCG Regular" w:cs="Arial"/>
          <w:spacing w:val="-14"/>
          <w:lang w:val="el-GR"/>
        </w:rPr>
        <w:t>391</w:t>
      </w:r>
      <w:r w:rsidR="0000478F" w:rsidRPr="00C158D9">
        <w:rPr>
          <w:rFonts w:ascii="Ping LCG Regular" w:hAnsi="Ping LCG Regular" w:cs="Arial"/>
          <w:spacing w:val="-14"/>
          <w:lang w:val="el-GR"/>
        </w:rPr>
        <w:t xml:space="preserve"> </w:t>
      </w:r>
      <w:r w:rsidR="0000478F" w:rsidRPr="00C158D9">
        <w:rPr>
          <w:rFonts w:ascii="Ping LCG Regular" w:hAnsi="Ping LCG Regular" w:cs="Arial"/>
          <w:spacing w:val="-14"/>
        </w:rPr>
        <w:t>GWh</w:t>
      </w:r>
      <w:r w:rsidR="0000478F" w:rsidRPr="00C158D9">
        <w:rPr>
          <w:rFonts w:ascii="Ping LCG Regular" w:hAnsi="Ping LCG Regular" w:cs="Arial"/>
          <w:spacing w:val="-14"/>
          <w:lang w:val="el-GR"/>
        </w:rPr>
        <w:t xml:space="preserve"> έναντι </w:t>
      </w:r>
      <w:r w:rsidR="00475C85" w:rsidRPr="00C158D9">
        <w:rPr>
          <w:rFonts w:ascii="Ping LCG Regular" w:hAnsi="Ping LCG Regular" w:cs="Arial"/>
          <w:spacing w:val="-14"/>
          <w:lang w:val="el-GR"/>
        </w:rPr>
        <w:t>15.</w:t>
      </w:r>
      <w:r w:rsidR="00406ACE" w:rsidRPr="00C158D9">
        <w:rPr>
          <w:rFonts w:ascii="Ping LCG Regular" w:hAnsi="Ping LCG Regular" w:cs="Arial"/>
          <w:spacing w:val="-14"/>
          <w:lang w:val="el-GR"/>
        </w:rPr>
        <w:t>237</w:t>
      </w:r>
      <w:r w:rsidR="0000478F" w:rsidRPr="00C158D9">
        <w:rPr>
          <w:rFonts w:ascii="Ping LCG Regular" w:hAnsi="Ping LCG Regular" w:cs="Arial"/>
          <w:spacing w:val="-14"/>
          <w:lang w:val="el-GR"/>
        </w:rPr>
        <w:t xml:space="preserve"> </w:t>
      </w:r>
      <w:r w:rsidR="0000478F" w:rsidRPr="00C158D9">
        <w:rPr>
          <w:rFonts w:ascii="Ping LCG Regular" w:hAnsi="Ping LCG Regular" w:cs="Arial"/>
          <w:spacing w:val="-14"/>
        </w:rPr>
        <w:t>GWh</w:t>
      </w:r>
      <w:r w:rsidR="0000478F" w:rsidRPr="00C158D9">
        <w:rPr>
          <w:rFonts w:ascii="Ping LCG Regular" w:hAnsi="Ping LCG Regular" w:cs="Arial"/>
          <w:spacing w:val="-14"/>
          <w:lang w:val="el-GR"/>
        </w:rPr>
        <w:t xml:space="preserve"> το </w:t>
      </w:r>
      <w:r w:rsidR="00475C85" w:rsidRPr="00C158D9">
        <w:rPr>
          <w:rFonts w:ascii="Ping LCG Regular" w:hAnsi="Ping LCG Regular" w:cs="Arial"/>
          <w:spacing w:val="-14"/>
          <w:szCs w:val="26"/>
          <w:lang w:val="el-GR"/>
        </w:rPr>
        <w:t>γ΄ τρίμηνο</w:t>
      </w:r>
      <w:r w:rsidR="0000478F" w:rsidRPr="00C158D9">
        <w:rPr>
          <w:rFonts w:ascii="Ping LCG Regular" w:hAnsi="Ping LCG Regular" w:cs="Arial"/>
          <w:spacing w:val="-14"/>
          <w:szCs w:val="26"/>
          <w:lang w:val="el-GR"/>
        </w:rPr>
        <w:t xml:space="preserve"> του 2020</w:t>
      </w:r>
      <w:r w:rsidR="009614FF" w:rsidRPr="00C158D9">
        <w:rPr>
          <w:rFonts w:ascii="Ping LCG Regular" w:hAnsi="Ping LCG Regular" w:cs="Arial"/>
          <w:spacing w:val="-14"/>
          <w:szCs w:val="26"/>
          <w:lang w:val="el-GR"/>
        </w:rPr>
        <w:t>.</w:t>
      </w:r>
    </w:p>
    <w:p w14:paraId="0160B31C" w14:textId="77777777" w:rsidR="00BC0760" w:rsidRPr="00A06143" w:rsidRDefault="00BC0760" w:rsidP="00A249A6">
      <w:pPr>
        <w:ind w:firstLine="11"/>
        <w:jc w:val="both"/>
        <w:rPr>
          <w:rFonts w:ascii="Ping LCG Regular" w:hAnsi="Ping LCG Regular" w:cs="Arial"/>
          <w:spacing w:val="-14"/>
          <w:lang w:val="el-GR"/>
        </w:rPr>
      </w:pPr>
    </w:p>
    <w:bookmarkEnd w:id="7"/>
    <w:p w14:paraId="7BF9D0E3" w14:textId="17CAC363" w:rsidR="00A249A6" w:rsidRPr="002A40B4" w:rsidRDefault="00A249A6">
      <w:pPr>
        <w:ind w:firstLine="11"/>
        <w:jc w:val="both"/>
        <w:rPr>
          <w:rFonts w:ascii="Ping LCG Regular" w:hAnsi="Ping LCG Regular" w:cs="Arial"/>
          <w:spacing w:val="-14"/>
          <w:lang w:val="el-GR"/>
        </w:rPr>
      </w:pPr>
      <w:r w:rsidRPr="00A06143">
        <w:rPr>
          <w:rFonts w:ascii="Ping LCG Regular" w:hAnsi="Ping LCG Regular" w:cs="Arial"/>
          <w:spacing w:val="-14"/>
          <w:lang w:val="el-GR"/>
        </w:rPr>
        <w:t>Το μέσο μερίδιο της ΔΕΗ στην αγορά προμήθειας στο σύνολο της χώρας μειώθηκε σε 6</w:t>
      </w:r>
      <w:r w:rsidR="00A06143" w:rsidRPr="00A06143">
        <w:rPr>
          <w:rFonts w:ascii="Ping LCG Regular" w:hAnsi="Ping LCG Regular" w:cs="Arial"/>
          <w:spacing w:val="-14"/>
          <w:lang w:val="el-GR"/>
        </w:rPr>
        <w:t>3</w:t>
      </w:r>
      <w:r w:rsidRPr="00A06143">
        <w:rPr>
          <w:rFonts w:ascii="Ping LCG Regular" w:hAnsi="Ping LCG Regular" w:cs="Arial"/>
          <w:spacing w:val="-14"/>
          <w:lang w:val="el-GR"/>
        </w:rPr>
        <w:t>,</w:t>
      </w:r>
      <w:r w:rsidR="00A06143" w:rsidRPr="00A06143">
        <w:rPr>
          <w:rFonts w:ascii="Ping LCG Regular" w:hAnsi="Ping LCG Regular" w:cs="Arial"/>
          <w:spacing w:val="-14"/>
          <w:lang w:val="el-GR"/>
        </w:rPr>
        <w:t>7</w:t>
      </w:r>
      <w:r w:rsidRPr="00A06143">
        <w:rPr>
          <w:rFonts w:ascii="Ping LCG Regular" w:hAnsi="Ping LCG Regular" w:cs="Arial"/>
          <w:spacing w:val="-14"/>
          <w:lang w:val="el-GR"/>
        </w:rPr>
        <w:t>% το</w:t>
      </w:r>
      <w:r w:rsidR="00E622A4" w:rsidRPr="00A06143">
        <w:rPr>
          <w:rFonts w:ascii="Ping LCG Regular" w:hAnsi="Ping LCG Regular" w:cs="Arial"/>
          <w:spacing w:val="-14"/>
          <w:lang w:val="el-GR"/>
        </w:rPr>
        <w:t xml:space="preserve"> </w:t>
      </w:r>
      <w:r w:rsidR="00001463" w:rsidRPr="00A06143">
        <w:rPr>
          <w:rFonts w:ascii="Ping LCG Regular" w:hAnsi="Ping LCG Regular" w:cs="Arial"/>
          <w:spacing w:val="-14"/>
          <w:lang w:val="el-GR"/>
        </w:rPr>
        <w:t>ε</w:t>
      </w:r>
      <w:r w:rsidR="00A06143" w:rsidRPr="00A06143">
        <w:rPr>
          <w:rFonts w:ascii="Ping LCG Regular" w:hAnsi="Ping LCG Regular" w:cs="Arial"/>
          <w:spacing w:val="-14"/>
          <w:lang w:val="el-GR"/>
        </w:rPr>
        <w:t>ννε</w:t>
      </w:r>
      <w:r w:rsidR="00001463" w:rsidRPr="00A06143">
        <w:rPr>
          <w:rFonts w:ascii="Ping LCG Regular" w:hAnsi="Ping LCG Regular" w:cs="Arial"/>
          <w:spacing w:val="-14"/>
          <w:lang w:val="el-GR"/>
        </w:rPr>
        <w:t>ά</w:t>
      </w:r>
      <w:r w:rsidR="00A041FA" w:rsidRPr="00A06143">
        <w:rPr>
          <w:rFonts w:ascii="Ping LCG Regular" w:hAnsi="Ping LCG Regular" w:cs="Arial"/>
          <w:spacing w:val="-14"/>
          <w:lang w:val="el-GR"/>
        </w:rPr>
        <w:t>μηνο του 2021</w:t>
      </w:r>
      <w:r w:rsidR="00452B6D" w:rsidRPr="00A06143">
        <w:rPr>
          <w:rFonts w:ascii="Ping LCG Regular" w:hAnsi="Ping LCG Regular" w:cs="Arial"/>
          <w:spacing w:val="-14"/>
          <w:lang w:val="el-GR"/>
        </w:rPr>
        <w:t xml:space="preserve"> </w:t>
      </w:r>
      <w:r w:rsidRPr="00A06143">
        <w:rPr>
          <w:rFonts w:ascii="Ping LCG Regular" w:hAnsi="Ping LCG Regular" w:cs="Arial"/>
          <w:spacing w:val="-14"/>
          <w:lang w:val="el-GR"/>
        </w:rPr>
        <w:t xml:space="preserve">από </w:t>
      </w:r>
      <w:r w:rsidR="00001463" w:rsidRPr="00A06143">
        <w:rPr>
          <w:rFonts w:ascii="Ping LCG Regular" w:hAnsi="Ping LCG Regular" w:cs="Arial"/>
          <w:spacing w:val="-14"/>
          <w:lang w:val="el-GR"/>
        </w:rPr>
        <w:t>69,</w:t>
      </w:r>
      <w:r w:rsidR="00A06143" w:rsidRPr="00A06143">
        <w:rPr>
          <w:rFonts w:ascii="Ping LCG Regular" w:hAnsi="Ping LCG Regular" w:cs="Arial"/>
          <w:spacing w:val="-14"/>
          <w:lang w:val="el-GR"/>
        </w:rPr>
        <w:t>3</w:t>
      </w:r>
      <w:r w:rsidRPr="00A06143">
        <w:rPr>
          <w:rFonts w:ascii="Ping LCG Regular" w:hAnsi="Ping LCG Regular" w:cs="Arial"/>
          <w:spacing w:val="-14"/>
          <w:lang w:val="el-GR"/>
        </w:rPr>
        <w:t>% το</w:t>
      </w:r>
      <w:r w:rsidR="00E622A4" w:rsidRPr="00A06143">
        <w:rPr>
          <w:rFonts w:ascii="Ping LCG Regular" w:hAnsi="Ping LCG Regular" w:cs="Arial"/>
          <w:spacing w:val="-14"/>
          <w:lang w:val="el-GR"/>
        </w:rPr>
        <w:t xml:space="preserve"> </w:t>
      </w:r>
      <w:r w:rsidR="00001463" w:rsidRPr="00A06143">
        <w:rPr>
          <w:rFonts w:ascii="Ping LCG Regular" w:hAnsi="Ping LCG Regular" w:cs="Arial"/>
          <w:spacing w:val="-14"/>
          <w:szCs w:val="26"/>
          <w:lang w:val="el-GR"/>
        </w:rPr>
        <w:t>ε</w:t>
      </w:r>
      <w:r w:rsidR="00A06143" w:rsidRPr="00A06143">
        <w:rPr>
          <w:rFonts w:ascii="Ping LCG Regular" w:hAnsi="Ping LCG Regular" w:cs="Arial"/>
          <w:spacing w:val="-14"/>
          <w:szCs w:val="26"/>
          <w:lang w:val="el-GR"/>
        </w:rPr>
        <w:t>ννε</w:t>
      </w:r>
      <w:r w:rsidR="00001463" w:rsidRPr="00A06143">
        <w:rPr>
          <w:rFonts w:ascii="Ping LCG Regular" w:hAnsi="Ping LCG Regular" w:cs="Arial"/>
          <w:spacing w:val="-14"/>
          <w:szCs w:val="26"/>
          <w:lang w:val="el-GR"/>
        </w:rPr>
        <w:t>ά</w:t>
      </w:r>
      <w:r w:rsidR="00A041FA" w:rsidRPr="00A06143">
        <w:rPr>
          <w:rFonts w:ascii="Ping LCG Regular" w:hAnsi="Ping LCG Regular" w:cs="Arial"/>
          <w:spacing w:val="-14"/>
          <w:szCs w:val="26"/>
          <w:lang w:val="el-GR"/>
        </w:rPr>
        <w:t xml:space="preserve">μηνο </w:t>
      </w:r>
      <w:r w:rsidR="00A041FA" w:rsidRPr="002A40B4">
        <w:rPr>
          <w:rFonts w:ascii="Ping LCG Regular" w:hAnsi="Ping LCG Regular" w:cs="Arial"/>
          <w:spacing w:val="-14"/>
          <w:szCs w:val="26"/>
          <w:lang w:val="el-GR"/>
        </w:rPr>
        <w:t>του 2020</w:t>
      </w:r>
      <w:r w:rsidRPr="002A40B4">
        <w:rPr>
          <w:rFonts w:ascii="Ping LCG Regular" w:hAnsi="Ping LCG Regular" w:cs="Arial"/>
          <w:spacing w:val="-14"/>
          <w:lang w:val="el-GR"/>
        </w:rPr>
        <w:t xml:space="preserve">. Ειδικότερα, το μέσο μερίδιο αγοράς στο Διασυνδεδεμένο Σύστημα περιορίσθηκε σε </w:t>
      </w:r>
      <w:r w:rsidR="001D4DE5" w:rsidRPr="002A40B4">
        <w:rPr>
          <w:rFonts w:ascii="Ping LCG Regular" w:hAnsi="Ping LCG Regular" w:cs="Arial"/>
          <w:spacing w:val="-14"/>
          <w:lang w:val="el-GR"/>
        </w:rPr>
        <w:t>6</w:t>
      </w:r>
      <w:r w:rsidR="00F855E1" w:rsidRPr="00F855E1">
        <w:rPr>
          <w:rFonts w:ascii="Ping LCG Regular" w:hAnsi="Ping LCG Regular" w:cs="Arial"/>
          <w:spacing w:val="-14"/>
          <w:lang w:val="el-GR"/>
        </w:rPr>
        <w:t>2</w:t>
      </w:r>
      <w:r w:rsidR="00266CB1" w:rsidRPr="002A40B4">
        <w:rPr>
          <w:rFonts w:ascii="Ping LCG Regular" w:hAnsi="Ping LCG Regular" w:cs="Arial"/>
          <w:spacing w:val="-14"/>
          <w:lang w:val="el-GR"/>
        </w:rPr>
        <w:t>,</w:t>
      </w:r>
      <w:r w:rsidR="00F855E1" w:rsidRPr="00F855E1">
        <w:rPr>
          <w:rFonts w:ascii="Ping LCG Regular" w:hAnsi="Ping LCG Regular" w:cs="Arial"/>
          <w:spacing w:val="-14"/>
          <w:lang w:val="el-GR"/>
        </w:rPr>
        <w:t>6</w:t>
      </w:r>
      <w:r w:rsidRPr="002A40B4">
        <w:rPr>
          <w:rFonts w:ascii="Ping LCG Regular" w:hAnsi="Ping LCG Regular" w:cs="Arial"/>
          <w:spacing w:val="-14"/>
          <w:lang w:val="el-GR"/>
        </w:rPr>
        <w:t xml:space="preserve">% τον </w:t>
      </w:r>
      <w:r w:rsidR="002A40B4" w:rsidRPr="002A40B4">
        <w:rPr>
          <w:rFonts w:ascii="Ping LCG Regular" w:hAnsi="Ping LCG Regular" w:cs="Arial"/>
          <w:spacing w:val="-14"/>
          <w:lang w:val="el-GR"/>
        </w:rPr>
        <w:t>Σεπτέμβριο</w:t>
      </w:r>
      <w:r w:rsidR="00266CB1" w:rsidRPr="002A40B4">
        <w:rPr>
          <w:rFonts w:ascii="Ping LCG Regular" w:hAnsi="Ping LCG Regular" w:cs="Arial"/>
          <w:spacing w:val="-14"/>
          <w:lang w:val="el-GR"/>
        </w:rPr>
        <w:t xml:space="preserve"> </w:t>
      </w:r>
      <w:r w:rsidRPr="002A40B4">
        <w:rPr>
          <w:rFonts w:ascii="Ping LCG Regular" w:hAnsi="Ping LCG Regular" w:cs="Arial"/>
          <w:spacing w:val="-14"/>
          <w:lang w:val="el-GR"/>
        </w:rPr>
        <w:t>του 202</w:t>
      </w:r>
      <w:r w:rsidR="009A6495" w:rsidRPr="002A40B4">
        <w:rPr>
          <w:rFonts w:ascii="Ping LCG Regular" w:hAnsi="Ping LCG Regular" w:cs="Arial"/>
          <w:spacing w:val="-14"/>
          <w:lang w:val="el-GR"/>
        </w:rPr>
        <w:t>1</w:t>
      </w:r>
      <w:r w:rsidRPr="002A40B4">
        <w:rPr>
          <w:rFonts w:ascii="Ping LCG Regular" w:hAnsi="Ping LCG Regular" w:cs="Arial"/>
          <w:spacing w:val="-14"/>
          <w:lang w:val="el-GR"/>
        </w:rPr>
        <w:t xml:space="preserve"> από </w:t>
      </w:r>
      <w:r w:rsidR="009A6495" w:rsidRPr="002A40B4">
        <w:rPr>
          <w:rFonts w:ascii="Ping LCG Regular" w:hAnsi="Ping LCG Regular" w:cs="Arial"/>
          <w:spacing w:val="-14"/>
          <w:lang w:val="el-GR"/>
        </w:rPr>
        <w:t>6</w:t>
      </w:r>
      <w:r w:rsidR="002A40B4" w:rsidRPr="002A40B4">
        <w:rPr>
          <w:rFonts w:ascii="Ping LCG Regular" w:hAnsi="Ping LCG Regular" w:cs="Arial"/>
          <w:spacing w:val="-14"/>
          <w:lang w:val="el-GR"/>
        </w:rPr>
        <w:t>4</w:t>
      </w:r>
      <w:r w:rsidR="00266CB1" w:rsidRPr="002A40B4">
        <w:rPr>
          <w:rFonts w:ascii="Ping LCG Regular" w:hAnsi="Ping LCG Regular" w:cs="Arial"/>
          <w:spacing w:val="-14"/>
          <w:lang w:val="el-GR"/>
        </w:rPr>
        <w:t>,</w:t>
      </w:r>
      <w:r w:rsidR="002A40B4" w:rsidRPr="002A40B4">
        <w:rPr>
          <w:rFonts w:ascii="Ping LCG Regular" w:hAnsi="Ping LCG Regular" w:cs="Arial"/>
          <w:spacing w:val="-14"/>
          <w:lang w:val="el-GR"/>
        </w:rPr>
        <w:t>3</w:t>
      </w:r>
      <w:r w:rsidR="00113900" w:rsidRPr="002A40B4">
        <w:rPr>
          <w:rFonts w:ascii="Ping LCG Regular" w:hAnsi="Ping LCG Regular" w:cs="Arial"/>
          <w:spacing w:val="-14"/>
          <w:lang w:val="el-GR"/>
        </w:rPr>
        <w:t>%</w:t>
      </w:r>
      <w:r w:rsidRPr="002A40B4">
        <w:rPr>
          <w:rFonts w:ascii="Ping LCG Regular" w:hAnsi="Ping LCG Regular" w:cs="Arial"/>
          <w:spacing w:val="-14"/>
          <w:lang w:val="el-GR"/>
        </w:rPr>
        <w:t xml:space="preserve"> τον </w:t>
      </w:r>
      <w:r w:rsidR="002A40B4" w:rsidRPr="002A40B4">
        <w:rPr>
          <w:rFonts w:ascii="Ping LCG Regular" w:hAnsi="Ping LCG Regular" w:cs="Arial"/>
          <w:spacing w:val="-14"/>
          <w:lang w:val="el-GR"/>
        </w:rPr>
        <w:t>Σεπτέμβριο</w:t>
      </w:r>
      <w:r w:rsidRPr="002A40B4">
        <w:rPr>
          <w:rFonts w:ascii="Ping LCG Regular" w:hAnsi="Ping LCG Regular" w:cs="Arial"/>
          <w:spacing w:val="-14"/>
          <w:lang w:val="el-GR"/>
        </w:rPr>
        <w:t xml:space="preserve"> του 20</w:t>
      </w:r>
      <w:r w:rsidR="009A6495" w:rsidRPr="002A40B4">
        <w:rPr>
          <w:rFonts w:ascii="Ping LCG Regular" w:hAnsi="Ping LCG Regular" w:cs="Arial"/>
          <w:spacing w:val="-14"/>
          <w:lang w:val="el-GR"/>
        </w:rPr>
        <w:t>20</w:t>
      </w:r>
      <w:r w:rsidR="009E62CA" w:rsidRPr="002A40B4">
        <w:rPr>
          <w:rFonts w:ascii="Ping LCG Regular" w:hAnsi="Ping LCG Regular" w:cs="Arial"/>
          <w:spacing w:val="-14"/>
          <w:lang w:val="el-GR"/>
        </w:rPr>
        <w:t xml:space="preserve">, </w:t>
      </w:r>
      <w:r w:rsidRPr="002A40B4">
        <w:rPr>
          <w:rFonts w:ascii="Ping LCG Regular" w:hAnsi="Ping LCG Regular" w:cs="Arial"/>
          <w:spacing w:val="-14"/>
          <w:lang w:val="el-GR"/>
        </w:rPr>
        <w:t xml:space="preserve">ενώ το μέσο μερίδιο ανά τάση, ήταν </w:t>
      </w:r>
      <w:r w:rsidR="002A40B4" w:rsidRPr="002A40B4">
        <w:rPr>
          <w:rFonts w:ascii="Ping LCG Regular" w:hAnsi="Ping LCG Regular" w:cs="Arial"/>
          <w:spacing w:val="-14"/>
          <w:lang w:val="el-GR"/>
        </w:rPr>
        <w:t>81</w:t>
      </w:r>
      <w:r w:rsidRPr="002A40B4">
        <w:rPr>
          <w:rFonts w:ascii="Ping LCG Regular" w:hAnsi="Ping LCG Regular" w:cs="Arial"/>
          <w:spacing w:val="-14"/>
          <w:lang w:val="el-GR"/>
        </w:rPr>
        <w:t>,</w:t>
      </w:r>
      <w:r w:rsidR="002A40B4" w:rsidRPr="002A40B4">
        <w:rPr>
          <w:rFonts w:ascii="Ping LCG Regular" w:hAnsi="Ping LCG Regular" w:cs="Arial"/>
          <w:spacing w:val="-14"/>
          <w:lang w:val="el-GR"/>
        </w:rPr>
        <w:t>9</w:t>
      </w:r>
      <w:r w:rsidRPr="002A40B4">
        <w:rPr>
          <w:rFonts w:ascii="Ping LCG Regular" w:hAnsi="Ping LCG Regular" w:cs="Arial"/>
          <w:spacing w:val="-14"/>
          <w:lang w:val="el-GR"/>
        </w:rPr>
        <w:t xml:space="preserve">% (από </w:t>
      </w:r>
      <w:r w:rsidR="002A40B4" w:rsidRPr="002A40B4">
        <w:rPr>
          <w:rFonts w:ascii="Ping LCG Regular" w:hAnsi="Ping LCG Regular" w:cs="Arial"/>
          <w:spacing w:val="-14"/>
          <w:lang w:val="el-GR"/>
        </w:rPr>
        <w:t>89,9</w:t>
      </w:r>
      <w:r w:rsidRPr="002A40B4">
        <w:rPr>
          <w:rFonts w:ascii="Ping LCG Regular" w:hAnsi="Ping LCG Regular" w:cs="Arial"/>
          <w:spacing w:val="-14"/>
          <w:lang w:val="el-GR"/>
        </w:rPr>
        <w:t xml:space="preserve">%) στην Υψηλή Τάση, </w:t>
      </w:r>
      <w:r w:rsidR="001D4DE5" w:rsidRPr="002A40B4">
        <w:rPr>
          <w:rFonts w:ascii="Ping LCG Regular" w:hAnsi="Ping LCG Regular" w:cs="Arial"/>
          <w:spacing w:val="-14"/>
          <w:lang w:val="el-GR"/>
        </w:rPr>
        <w:t>3</w:t>
      </w:r>
      <w:r w:rsidR="002A40B4" w:rsidRPr="002A40B4">
        <w:rPr>
          <w:rFonts w:ascii="Ping LCG Regular" w:hAnsi="Ping LCG Regular" w:cs="Arial"/>
          <w:spacing w:val="-14"/>
          <w:lang w:val="el-GR"/>
        </w:rPr>
        <w:t>8</w:t>
      </w:r>
      <w:r w:rsidR="001D4DE5" w:rsidRPr="002A40B4">
        <w:rPr>
          <w:rFonts w:ascii="Ping LCG Regular" w:hAnsi="Ping LCG Regular" w:cs="Arial"/>
          <w:spacing w:val="-14"/>
          <w:lang w:val="el-GR"/>
        </w:rPr>
        <w:t>,</w:t>
      </w:r>
      <w:r w:rsidR="002A40B4" w:rsidRPr="002A40B4">
        <w:rPr>
          <w:rFonts w:ascii="Ping LCG Regular" w:hAnsi="Ping LCG Regular" w:cs="Arial"/>
          <w:spacing w:val="-14"/>
          <w:lang w:val="el-GR"/>
        </w:rPr>
        <w:t>3</w:t>
      </w:r>
      <w:r w:rsidRPr="002A40B4">
        <w:rPr>
          <w:rFonts w:ascii="Ping LCG Regular" w:hAnsi="Ping LCG Regular" w:cs="Arial"/>
          <w:spacing w:val="-14"/>
          <w:lang w:val="el-GR"/>
        </w:rPr>
        <w:t xml:space="preserve">% (από </w:t>
      </w:r>
      <w:r w:rsidR="002A40B4" w:rsidRPr="002A40B4">
        <w:rPr>
          <w:rFonts w:ascii="Ping LCG Regular" w:hAnsi="Ping LCG Regular" w:cs="Arial"/>
          <w:spacing w:val="-14"/>
          <w:lang w:val="el-GR"/>
        </w:rPr>
        <w:t>29</w:t>
      </w:r>
      <w:r w:rsidRPr="002A40B4">
        <w:rPr>
          <w:rFonts w:ascii="Ping LCG Regular" w:hAnsi="Ping LCG Regular" w:cs="Arial"/>
          <w:spacing w:val="-14"/>
          <w:lang w:val="el-GR"/>
        </w:rPr>
        <w:t>,</w:t>
      </w:r>
      <w:r w:rsidR="002A40B4" w:rsidRPr="002A40B4">
        <w:rPr>
          <w:rFonts w:ascii="Ping LCG Regular" w:hAnsi="Ping LCG Regular" w:cs="Arial"/>
          <w:spacing w:val="-14"/>
          <w:lang w:val="el-GR"/>
        </w:rPr>
        <w:t>6</w:t>
      </w:r>
      <w:r w:rsidRPr="002A40B4">
        <w:rPr>
          <w:rFonts w:ascii="Ping LCG Regular" w:hAnsi="Ping LCG Regular" w:cs="Arial"/>
          <w:spacing w:val="-14"/>
          <w:lang w:val="el-GR"/>
        </w:rPr>
        <w:t xml:space="preserve">%) στη Μέση Τάση και </w:t>
      </w:r>
      <w:r w:rsidR="002A40B4" w:rsidRPr="002A40B4">
        <w:rPr>
          <w:rFonts w:ascii="Ping LCG Regular" w:hAnsi="Ping LCG Regular" w:cs="Arial"/>
          <w:spacing w:val="-14"/>
          <w:lang w:val="el-GR"/>
        </w:rPr>
        <w:t>66,9</w:t>
      </w:r>
      <w:r w:rsidRPr="002A40B4">
        <w:rPr>
          <w:rFonts w:ascii="Ping LCG Regular" w:hAnsi="Ping LCG Regular" w:cs="Arial"/>
          <w:spacing w:val="-14"/>
          <w:lang w:val="el-GR"/>
        </w:rPr>
        <w:t xml:space="preserve">% (από </w:t>
      </w:r>
      <w:r w:rsidR="002A40B4" w:rsidRPr="002A40B4">
        <w:rPr>
          <w:rFonts w:ascii="Ping LCG Regular" w:hAnsi="Ping LCG Regular" w:cs="Arial"/>
          <w:spacing w:val="-14"/>
          <w:lang w:val="el-GR"/>
        </w:rPr>
        <w:t>69</w:t>
      </w:r>
      <w:r w:rsidR="00113900" w:rsidRPr="002A40B4">
        <w:rPr>
          <w:rFonts w:ascii="Ping LCG Regular" w:hAnsi="Ping LCG Regular" w:cs="Arial"/>
          <w:spacing w:val="-14"/>
          <w:lang w:val="el-GR"/>
        </w:rPr>
        <w:t>,</w:t>
      </w:r>
      <w:r w:rsidR="002A40B4" w:rsidRPr="002A40B4">
        <w:rPr>
          <w:rFonts w:ascii="Ping LCG Regular" w:hAnsi="Ping LCG Regular" w:cs="Arial"/>
          <w:spacing w:val="-14"/>
          <w:lang w:val="el-GR"/>
        </w:rPr>
        <w:t>8</w:t>
      </w:r>
      <w:r w:rsidRPr="002A40B4">
        <w:rPr>
          <w:rFonts w:ascii="Ping LCG Regular" w:hAnsi="Ping LCG Regular" w:cs="Arial"/>
          <w:spacing w:val="-14"/>
          <w:lang w:val="el-GR"/>
        </w:rPr>
        <w:t>%) στη Χαμηλή Τάση.</w:t>
      </w:r>
    </w:p>
    <w:p w14:paraId="39CF8DB3" w14:textId="77777777" w:rsidR="00A249A6" w:rsidRPr="00256E4B" w:rsidRDefault="00A249A6" w:rsidP="00A249A6">
      <w:pPr>
        <w:ind w:firstLine="11"/>
        <w:jc w:val="both"/>
        <w:rPr>
          <w:rFonts w:ascii="Ping LCG Regular" w:hAnsi="Ping LCG Regular" w:cs="Arial"/>
          <w:spacing w:val="-14"/>
          <w:lang w:val="el-GR"/>
        </w:rPr>
      </w:pPr>
    </w:p>
    <w:p w14:paraId="6A7BE1F8" w14:textId="41480C0C" w:rsidR="00A249A6" w:rsidRPr="002A40B4" w:rsidRDefault="00A249A6" w:rsidP="00A249A6">
      <w:pPr>
        <w:autoSpaceDE w:val="0"/>
        <w:autoSpaceDN w:val="0"/>
        <w:adjustRightInd w:val="0"/>
        <w:jc w:val="both"/>
        <w:rPr>
          <w:rFonts w:ascii="Ping LCG Regular" w:hAnsi="Ping LCG Regular" w:cs="Arial"/>
          <w:spacing w:val="-14"/>
          <w:lang w:val="el-GR"/>
        </w:rPr>
      </w:pPr>
      <w:bookmarkStart w:id="8" w:name="_Hlk88755621"/>
      <w:bookmarkStart w:id="9" w:name="_Hlk68767691"/>
      <w:r w:rsidRPr="00256E4B">
        <w:rPr>
          <w:rFonts w:ascii="Ping LCG Regular" w:hAnsi="Ping LCG Regular" w:cs="Arial"/>
          <w:spacing w:val="-14"/>
          <w:lang w:val="el-GR"/>
        </w:rPr>
        <w:t xml:space="preserve">Η παραγωγή και οι εισαγωγές ηλεκτρικής ενέργειας του Ομίλου ΔΕΗ κάλυψαν το </w:t>
      </w:r>
      <w:r w:rsidR="003A5C3F" w:rsidRPr="00256E4B">
        <w:rPr>
          <w:rFonts w:ascii="Ping LCG Regular" w:hAnsi="Ping LCG Regular" w:cs="Arial"/>
          <w:spacing w:val="-14"/>
          <w:lang w:val="el-GR"/>
        </w:rPr>
        <w:t>4</w:t>
      </w:r>
      <w:r w:rsidR="00113900" w:rsidRPr="00256E4B">
        <w:rPr>
          <w:rFonts w:ascii="Ping LCG Regular" w:hAnsi="Ping LCG Regular" w:cs="Arial"/>
          <w:spacing w:val="-14"/>
          <w:lang w:val="el-GR"/>
        </w:rPr>
        <w:t>4</w:t>
      </w:r>
      <w:r w:rsidRPr="00256E4B">
        <w:rPr>
          <w:rFonts w:ascii="Ping LCG Regular" w:hAnsi="Ping LCG Regular" w:cs="Arial"/>
          <w:spacing w:val="-14"/>
          <w:lang w:val="el-GR"/>
        </w:rPr>
        <w:t>,</w:t>
      </w:r>
      <w:r w:rsidR="002A40B4" w:rsidRPr="00256E4B">
        <w:rPr>
          <w:rFonts w:ascii="Ping LCG Regular" w:hAnsi="Ping LCG Regular" w:cs="Arial"/>
          <w:spacing w:val="-14"/>
          <w:lang w:val="el-GR"/>
        </w:rPr>
        <w:t>7</w:t>
      </w:r>
      <w:r w:rsidRPr="00256E4B">
        <w:rPr>
          <w:rFonts w:ascii="Ping LCG Regular" w:hAnsi="Ping LCG Regular" w:cs="Arial"/>
          <w:spacing w:val="-14"/>
          <w:lang w:val="el-GR"/>
        </w:rPr>
        <w:t>% της συνολικής ζήτησης</w:t>
      </w:r>
      <w:r w:rsidR="003A5C3F" w:rsidRPr="00256E4B">
        <w:rPr>
          <w:rFonts w:ascii="Ping LCG Regular" w:hAnsi="Ping LCG Regular" w:cs="Arial"/>
          <w:spacing w:val="-14"/>
          <w:lang w:val="el-GR"/>
        </w:rPr>
        <w:t xml:space="preserve"> </w:t>
      </w:r>
      <w:r w:rsidRPr="00256E4B">
        <w:rPr>
          <w:rFonts w:ascii="Ping LCG Regular" w:hAnsi="Ping LCG Regular" w:cs="Arial"/>
          <w:spacing w:val="-14"/>
          <w:lang w:val="el-GR"/>
        </w:rPr>
        <w:t xml:space="preserve">το </w:t>
      </w:r>
      <w:r w:rsidR="00113900" w:rsidRPr="00256E4B">
        <w:rPr>
          <w:rFonts w:ascii="Ping LCG Regular" w:hAnsi="Ping LCG Regular" w:cs="Arial"/>
          <w:spacing w:val="-14"/>
          <w:lang w:val="el-GR"/>
        </w:rPr>
        <w:t>ε</w:t>
      </w:r>
      <w:r w:rsidR="002A40B4" w:rsidRPr="00256E4B">
        <w:rPr>
          <w:rFonts w:ascii="Ping LCG Regular" w:hAnsi="Ping LCG Regular" w:cs="Arial"/>
          <w:spacing w:val="-14"/>
          <w:lang w:val="el-GR"/>
        </w:rPr>
        <w:t>ννε</w:t>
      </w:r>
      <w:r w:rsidR="00113900" w:rsidRPr="00256E4B">
        <w:rPr>
          <w:rFonts w:ascii="Ping LCG Regular" w:hAnsi="Ping LCG Regular" w:cs="Arial"/>
          <w:spacing w:val="-14"/>
          <w:lang w:val="el-GR"/>
        </w:rPr>
        <w:t>ά</w:t>
      </w:r>
      <w:r w:rsidR="009261FA" w:rsidRPr="00256E4B">
        <w:rPr>
          <w:rFonts w:ascii="Ping LCG Regular" w:hAnsi="Ping LCG Regular" w:cs="Arial"/>
          <w:spacing w:val="-14"/>
          <w:lang w:val="el-GR"/>
        </w:rPr>
        <w:t xml:space="preserve">μηνο 2021 </w:t>
      </w:r>
      <w:r w:rsidRPr="00256E4B">
        <w:rPr>
          <w:rFonts w:ascii="Ping LCG Regular" w:hAnsi="Ping LCG Regular" w:cs="Arial"/>
          <w:spacing w:val="-14"/>
          <w:lang w:val="el-GR"/>
        </w:rPr>
        <w:t xml:space="preserve"> (</w:t>
      </w:r>
      <w:r w:rsidR="009261FA" w:rsidRPr="00256E4B">
        <w:rPr>
          <w:rFonts w:ascii="Ping LCG Regular" w:hAnsi="Ping LCG Regular" w:cs="Arial"/>
          <w:spacing w:val="-14"/>
          <w:lang w:val="el-GR"/>
        </w:rPr>
        <w:t>4</w:t>
      </w:r>
      <w:r w:rsidR="002A40B4" w:rsidRPr="00256E4B">
        <w:rPr>
          <w:rFonts w:ascii="Ping LCG Regular" w:hAnsi="Ping LCG Regular" w:cs="Arial"/>
          <w:spacing w:val="-14"/>
          <w:lang w:val="el-GR"/>
        </w:rPr>
        <w:t>1,2</w:t>
      </w:r>
      <w:r w:rsidRPr="00256E4B">
        <w:rPr>
          <w:rFonts w:ascii="Ping LCG Regular" w:hAnsi="Ping LCG Regular" w:cs="Arial"/>
          <w:spacing w:val="-14"/>
          <w:lang w:val="el-GR"/>
        </w:rPr>
        <w:t>% στο Διασυνδεδεμένο Σύστημα), ενώ το αντίστοιχο ποσοστό το</w:t>
      </w:r>
      <w:r w:rsidR="003A5C3F" w:rsidRPr="00256E4B">
        <w:rPr>
          <w:rFonts w:ascii="Ping LCG Regular" w:hAnsi="Ping LCG Regular" w:cs="Arial"/>
          <w:spacing w:val="-14"/>
          <w:lang w:val="el-GR"/>
        </w:rPr>
        <w:t xml:space="preserve"> </w:t>
      </w:r>
      <w:r w:rsidR="00113900" w:rsidRPr="00256E4B">
        <w:rPr>
          <w:rFonts w:ascii="Ping LCG Regular" w:hAnsi="Ping LCG Regular" w:cs="Arial"/>
          <w:spacing w:val="-14"/>
          <w:lang w:val="el-GR"/>
        </w:rPr>
        <w:lastRenderedPageBreak/>
        <w:t>ε</w:t>
      </w:r>
      <w:r w:rsidR="002A40B4" w:rsidRPr="00256E4B">
        <w:rPr>
          <w:rFonts w:ascii="Ping LCG Regular" w:hAnsi="Ping LCG Regular" w:cs="Arial"/>
          <w:spacing w:val="-14"/>
          <w:lang w:val="el-GR"/>
        </w:rPr>
        <w:t>ννε</w:t>
      </w:r>
      <w:r w:rsidR="00113900" w:rsidRPr="00256E4B">
        <w:rPr>
          <w:rFonts w:ascii="Ping LCG Regular" w:hAnsi="Ping LCG Regular" w:cs="Arial"/>
          <w:spacing w:val="-14"/>
          <w:lang w:val="el-GR"/>
        </w:rPr>
        <w:t>ά</w:t>
      </w:r>
      <w:r w:rsidR="009261FA" w:rsidRPr="00256E4B">
        <w:rPr>
          <w:rFonts w:ascii="Ping LCG Regular" w:hAnsi="Ping LCG Regular" w:cs="Arial"/>
          <w:spacing w:val="-14"/>
          <w:lang w:val="el-GR"/>
        </w:rPr>
        <w:t xml:space="preserve">μηνο </w:t>
      </w:r>
      <w:r w:rsidRPr="00256E4B">
        <w:rPr>
          <w:rFonts w:ascii="Ping LCG Regular" w:hAnsi="Ping LCG Regular" w:cs="Arial"/>
          <w:spacing w:val="-14"/>
          <w:lang w:val="el-GR"/>
        </w:rPr>
        <w:t>20</w:t>
      </w:r>
      <w:r w:rsidR="00192DFD" w:rsidRPr="00256E4B">
        <w:rPr>
          <w:rFonts w:ascii="Ping LCG Regular" w:hAnsi="Ping LCG Regular" w:cs="Arial"/>
          <w:spacing w:val="-14"/>
          <w:lang w:val="el-GR"/>
        </w:rPr>
        <w:t>20</w:t>
      </w:r>
      <w:r w:rsidRPr="00256E4B">
        <w:rPr>
          <w:rFonts w:ascii="Ping LCG Regular" w:hAnsi="Ping LCG Regular" w:cs="Arial"/>
          <w:spacing w:val="-14"/>
          <w:lang w:val="el-GR"/>
        </w:rPr>
        <w:t xml:space="preserve"> ήταν </w:t>
      </w:r>
      <w:r w:rsidR="009261FA" w:rsidRPr="00256E4B">
        <w:rPr>
          <w:rFonts w:ascii="Ping LCG Regular" w:hAnsi="Ping LCG Regular" w:cs="Arial"/>
          <w:spacing w:val="-14"/>
          <w:lang w:val="el-GR"/>
        </w:rPr>
        <w:t>3</w:t>
      </w:r>
      <w:r w:rsidR="002A40B4" w:rsidRPr="00256E4B">
        <w:rPr>
          <w:rFonts w:ascii="Ping LCG Regular" w:hAnsi="Ping LCG Regular" w:cs="Arial"/>
          <w:spacing w:val="-14"/>
          <w:lang w:val="el-GR"/>
        </w:rPr>
        <w:t>8</w:t>
      </w:r>
      <w:r w:rsidRPr="00256E4B">
        <w:rPr>
          <w:rFonts w:ascii="Ping LCG Regular" w:hAnsi="Ping LCG Regular" w:cs="Arial"/>
          <w:spacing w:val="-14"/>
          <w:lang w:val="el-GR"/>
        </w:rPr>
        <w:t>,</w:t>
      </w:r>
      <w:r w:rsidR="00113900" w:rsidRPr="00256E4B">
        <w:rPr>
          <w:rFonts w:ascii="Ping LCG Regular" w:hAnsi="Ping LCG Regular" w:cs="Arial"/>
          <w:spacing w:val="-14"/>
          <w:lang w:val="el-GR"/>
        </w:rPr>
        <w:t>8</w:t>
      </w:r>
      <w:r w:rsidRPr="00256E4B">
        <w:rPr>
          <w:rFonts w:ascii="Ping LCG Regular" w:hAnsi="Ping LCG Regular" w:cs="Arial"/>
          <w:spacing w:val="-14"/>
          <w:lang w:val="el-GR"/>
        </w:rPr>
        <w:t>% (</w:t>
      </w:r>
      <w:r w:rsidR="009261FA" w:rsidRPr="00256E4B">
        <w:rPr>
          <w:rFonts w:ascii="Ping LCG Regular" w:hAnsi="Ping LCG Regular" w:cs="Arial"/>
          <w:spacing w:val="-14"/>
          <w:lang w:val="el-GR"/>
        </w:rPr>
        <w:t>3</w:t>
      </w:r>
      <w:r w:rsidR="002A40B4" w:rsidRPr="00256E4B">
        <w:rPr>
          <w:rFonts w:ascii="Ping LCG Regular" w:hAnsi="Ping LCG Regular" w:cs="Arial"/>
          <w:spacing w:val="-14"/>
          <w:lang w:val="el-GR"/>
        </w:rPr>
        <w:t>4,8</w:t>
      </w:r>
      <w:r w:rsidRPr="00256E4B">
        <w:rPr>
          <w:rFonts w:ascii="Ping LCG Regular" w:hAnsi="Ping LCG Regular" w:cs="Arial"/>
          <w:spacing w:val="-14"/>
          <w:lang w:val="el-GR"/>
        </w:rPr>
        <w:t>% στο Διασυνδεδεμένο Σύστημα)</w:t>
      </w:r>
      <w:r w:rsidR="00993890" w:rsidRPr="00256E4B">
        <w:rPr>
          <w:rFonts w:ascii="Ping LCG Regular" w:hAnsi="Ping LCG Regular" w:cs="Arial"/>
          <w:spacing w:val="-14"/>
          <w:lang w:val="el-GR"/>
        </w:rPr>
        <w:t>, λόγω της αυξημένης παραγωγής ηλεκτρικής ενέργειας της ΔΕΗ.</w:t>
      </w:r>
    </w:p>
    <w:p w14:paraId="2D98CE0C" w14:textId="25F43626" w:rsidR="00A249A6" w:rsidRPr="00256E4B" w:rsidRDefault="00A249A6" w:rsidP="00A249A6">
      <w:pPr>
        <w:autoSpaceDE w:val="0"/>
        <w:autoSpaceDN w:val="0"/>
        <w:adjustRightInd w:val="0"/>
        <w:jc w:val="both"/>
        <w:rPr>
          <w:rFonts w:ascii="Ping LCG Regular" w:hAnsi="Ping LCG Regular" w:cs="Arial"/>
          <w:spacing w:val="-14"/>
          <w:lang w:val="el-GR"/>
        </w:rPr>
      </w:pPr>
    </w:p>
    <w:p w14:paraId="11A24D54" w14:textId="52A7EA04" w:rsidR="00993890" w:rsidRPr="00C158D9" w:rsidRDefault="00993890" w:rsidP="00993890">
      <w:pPr>
        <w:autoSpaceDE w:val="0"/>
        <w:autoSpaceDN w:val="0"/>
        <w:adjustRightInd w:val="0"/>
        <w:jc w:val="both"/>
        <w:rPr>
          <w:rFonts w:ascii="Ping LCG Regular" w:hAnsi="Ping LCG Regular" w:cs="Arial"/>
          <w:spacing w:val="-14"/>
          <w:lang w:val="el-GR"/>
        </w:rPr>
      </w:pPr>
      <w:r w:rsidRPr="00256E4B">
        <w:rPr>
          <w:rFonts w:ascii="Ping LCG Regular" w:hAnsi="Ping LCG Regular" w:cs="Arial"/>
          <w:spacing w:val="-14"/>
          <w:lang w:val="el-GR"/>
        </w:rPr>
        <w:t xml:space="preserve">Συγκεκριμένα, η παραγωγή από υδροηλεκτρικές μονάδες αυξήθηκε κατά </w:t>
      </w:r>
      <w:r w:rsidR="002A40B4" w:rsidRPr="00256E4B">
        <w:rPr>
          <w:rFonts w:ascii="Ping LCG Regular" w:hAnsi="Ping LCG Regular" w:cs="Arial"/>
          <w:spacing w:val="-14"/>
          <w:lang w:val="el-GR"/>
        </w:rPr>
        <w:t>72,5</w:t>
      </w:r>
      <w:r w:rsidRPr="00256E4B">
        <w:rPr>
          <w:rFonts w:ascii="Ping LCG Regular" w:hAnsi="Ping LCG Regular" w:cs="Arial"/>
          <w:spacing w:val="-14"/>
          <w:lang w:val="el-GR"/>
        </w:rPr>
        <w:t>% ή 1.</w:t>
      </w:r>
      <w:r w:rsidR="002A40B4" w:rsidRPr="00256E4B">
        <w:rPr>
          <w:rFonts w:ascii="Ping LCG Regular" w:hAnsi="Ping LCG Regular" w:cs="Arial"/>
          <w:spacing w:val="-14"/>
          <w:lang w:val="el-GR"/>
        </w:rPr>
        <w:t>678</w:t>
      </w:r>
      <w:r w:rsidR="001F6E9C" w:rsidRPr="00256E4B">
        <w:rPr>
          <w:rFonts w:ascii="Ping LCG Regular" w:hAnsi="Ping LCG Regular" w:cs="Arial"/>
          <w:spacing w:val="-14"/>
          <w:lang w:val="el-GR"/>
        </w:rPr>
        <w:t>GWh</w:t>
      </w:r>
      <w:r w:rsidRPr="00256E4B">
        <w:rPr>
          <w:rFonts w:ascii="Ping LCG Regular" w:hAnsi="Ping LCG Regular" w:cs="Arial"/>
          <w:spacing w:val="-14"/>
          <w:lang w:val="el-GR"/>
        </w:rPr>
        <w:t xml:space="preserve"> </w:t>
      </w:r>
      <w:r w:rsidR="003403A0" w:rsidRPr="00256E4B">
        <w:rPr>
          <w:rFonts w:ascii="Ping LCG Regular" w:hAnsi="Ping LCG Regular" w:cs="Arial"/>
          <w:spacing w:val="-14"/>
          <w:lang w:val="el-GR"/>
        </w:rPr>
        <w:t>λόγω των μεγαλύτερων ποσοτήτων υδατικών εισροών στους ταμιευτήρες των Υδροηλεκτρικών Σταθμών το  ε</w:t>
      </w:r>
      <w:r w:rsidR="001F6E9C" w:rsidRPr="00256E4B">
        <w:rPr>
          <w:rFonts w:ascii="Ping LCG Regular" w:hAnsi="Ping LCG Regular" w:cs="Arial"/>
          <w:spacing w:val="-14"/>
          <w:lang w:val="el-GR"/>
        </w:rPr>
        <w:t>ννε</w:t>
      </w:r>
      <w:r w:rsidR="003403A0" w:rsidRPr="00256E4B">
        <w:rPr>
          <w:rFonts w:ascii="Ping LCG Regular" w:hAnsi="Ping LCG Regular" w:cs="Arial"/>
          <w:spacing w:val="-14"/>
          <w:lang w:val="el-GR"/>
        </w:rPr>
        <w:t>άμηνο 2021  σε σχέση με το ε</w:t>
      </w:r>
      <w:r w:rsidR="001F6E9C" w:rsidRPr="00256E4B">
        <w:rPr>
          <w:rFonts w:ascii="Ping LCG Regular" w:hAnsi="Ping LCG Regular" w:cs="Arial"/>
          <w:spacing w:val="-14"/>
          <w:lang w:val="el-GR"/>
        </w:rPr>
        <w:t>ννε</w:t>
      </w:r>
      <w:r w:rsidR="003403A0" w:rsidRPr="00256E4B">
        <w:rPr>
          <w:rFonts w:ascii="Ping LCG Regular" w:hAnsi="Ping LCG Regular" w:cs="Arial"/>
          <w:spacing w:val="-14"/>
          <w:lang w:val="el-GR"/>
        </w:rPr>
        <w:t>άμηνο 2020  (αυξημένες εισροές το 2021 κατά 1</w:t>
      </w:r>
      <w:r w:rsidR="00887243" w:rsidRPr="00256E4B">
        <w:rPr>
          <w:rFonts w:ascii="Ping LCG Regular" w:hAnsi="Ping LCG Regular" w:cs="Arial"/>
          <w:spacing w:val="-14"/>
          <w:lang w:val="el-GR"/>
        </w:rPr>
        <w:t>07</w:t>
      </w:r>
      <w:r w:rsidR="003403A0" w:rsidRPr="00256E4B">
        <w:rPr>
          <w:rFonts w:ascii="Ping LCG Regular" w:hAnsi="Ping LCG Regular" w:cs="Arial"/>
          <w:spacing w:val="-14"/>
          <w:lang w:val="el-GR"/>
        </w:rPr>
        <w:t xml:space="preserve">% ή </w:t>
      </w:r>
      <w:r w:rsidR="00887243" w:rsidRPr="00256E4B">
        <w:rPr>
          <w:rFonts w:ascii="Ping LCG Regular" w:hAnsi="Ping LCG Regular" w:cs="Arial"/>
          <w:spacing w:val="-14"/>
          <w:lang w:val="el-GR"/>
        </w:rPr>
        <w:t>1.9</w:t>
      </w:r>
      <w:r w:rsidR="007F675C" w:rsidRPr="00256E4B">
        <w:rPr>
          <w:rFonts w:ascii="Ping LCG Regular" w:hAnsi="Ping LCG Regular" w:cs="Arial"/>
          <w:spacing w:val="-14"/>
          <w:lang w:val="el-GR"/>
        </w:rPr>
        <w:t>27</w:t>
      </w:r>
      <w:r w:rsidR="003403A0" w:rsidRPr="00256E4B">
        <w:rPr>
          <w:rFonts w:ascii="Ping LCG Regular" w:hAnsi="Ping LCG Regular" w:cs="Arial"/>
          <w:spacing w:val="-14"/>
          <w:lang w:val="el-GR"/>
        </w:rPr>
        <w:t xml:space="preserve"> </w:t>
      </w:r>
      <w:proofErr w:type="spellStart"/>
      <w:r w:rsidR="003403A0" w:rsidRPr="00256E4B">
        <w:rPr>
          <w:rFonts w:ascii="Ping LCG Regular" w:hAnsi="Ping LCG Regular" w:cs="Arial"/>
          <w:spacing w:val="-14"/>
          <w:lang w:val="el-GR"/>
        </w:rPr>
        <w:t>GWh</w:t>
      </w:r>
      <w:proofErr w:type="spellEnd"/>
      <w:r w:rsidR="003403A0" w:rsidRPr="00256E4B">
        <w:rPr>
          <w:rFonts w:ascii="Ping LCG Regular" w:hAnsi="Ping LCG Regular" w:cs="Arial"/>
          <w:spacing w:val="-14"/>
          <w:lang w:val="el-GR"/>
        </w:rPr>
        <w:t>)</w:t>
      </w:r>
      <w:r w:rsidR="00414AE3" w:rsidRPr="00256E4B">
        <w:rPr>
          <w:rFonts w:ascii="Ping LCG Regular" w:hAnsi="Ping LCG Regular" w:cs="Arial"/>
          <w:spacing w:val="-14"/>
          <w:lang w:val="el-GR"/>
        </w:rPr>
        <w:t xml:space="preserve"> </w:t>
      </w:r>
      <w:r w:rsidR="00414AE3" w:rsidRPr="00414AE3">
        <w:rPr>
          <w:rFonts w:ascii="Ping LCG Regular" w:hAnsi="Ping LCG Regular" w:cs="Arial"/>
          <w:spacing w:val="-14"/>
          <w:lang w:val="el-GR"/>
        </w:rPr>
        <w:t xml:space="preserve">αλλά και λόγω των αυξημένων </w:t>
      </w:r>
      <w:r w:rsidR="00414AE3" w:rsidRPr="004A424A">
        <w:rPr>
          <w:rFonts w:ascii="Ping LCG Regular" w:hAnsi="Ping LCG Regular" w:cs="Arial"/>
          <w:spacing w:val="-14"/>
          <w:lang w:val="el-GR"/>
        </w:rPr>
        <w:t>αναγκών του Συστήματος.</w:t>
      </w:r>
    </w:p>
    <w:p w14:paraId="24CE1903" w14:textId="77777777" w:rsidR="00993890" w:rsidRPr="00C158D9" w:rsidRDefault="00993890" w:rsidP="00A249A6">
      <w:pPr>
        <w:autoSpaceDE w:val="0"/>
        <w:autoSpaceDN w:val="0"/>
        <w:adjustRightInd w:val="0"/>
        <w:jc w:val="both"/>
        <w:rPr>
          <w:rFonts w:ascii="Ping LCG Regular" w:hAnsi="Ping LCG Regular" w:cs="Arial"/>
          <w:spacing w:val="-14"/>
          <w:lang w:val="el-GR"/>
        </w:rPr>
      </w:pPr>
    </w:p>
    <w:p w14:paraId="3D2DE202" w14:textId="4DE072CC" w:rsidR="005F693A" w:rsidRPr="004A424A" w:rsidRDefault="00993890" w:rsidP="00A249A6">
      <w:pPr>
        <w:autoSpaceDE w:val="0"/>
        <w:autoSpaceDN w:val="0"/>
        <w:adjustRightInd w:val="0"/>
        <w:jc w:val="both"/>
        <w:rPr>
          <w:rFonts w:ascii="Ping LCG Regular" w:hAnsi="Ping LCG Regular" w:cs="Arial"/>
          <w:spacing w:val="-14"/>
          <w:lang w:val="el-GR"/>
        </w:rPr>
      </w:pPr>
      <w:r w:rsidRPr="00C158D9">
        <w:rPr>
          <w:rFonts w:ascii="Ping LCG Regular" w:hAnsi="Ping LCG Regular" w:cs="Arial"/>
          <w:spacing w:val="-14"/>
          <w:lang w:val="el-GR"/>
        </w:rPr>
        <w:t xml:space="preserve">Η παραγωγή από τις μονάδες φυσικού αερίου της ΔΕΗ αυξήθηκε κατά </w:t>
      </w:r>
      <w:r w:rsidR="00887243" w:rsidRPr="00C158D9">
        <w:rPr>
          <w:rFonts w:ascii="Ping LCG Regular" w:hAnsi="Ping LCG Regular" w:cs="Arial"/>
          <w:spacing w:val="-14"/>
          <w:lang w:val="el-GR"/>
        </w:rPr>
        <w:t>38</w:t>
      </w:r>
      <w:r w:rsidRPr="00C158D9">
        <w:rPr>
          <w:rFonts w:ascii="Ping LCG Regular" w:hAnsi="Ping LCG Regular" w:cs="Arial"/>
          <w:spacing w:val="-14"/>
          <w:lang w:val="el-GR"/>
        </w:rPr>
        <w:t>,</w:t>
      </w:r>
      <w:r w:rsidR="00887243" w:rsidRPr="00C158D9">
        <w:rPr>
          <w:rFonts w:ascii="Ping LCG Regular" w:hAnsi="Ping LCG Regular" w:cs="Arial"/>
          <w:spacing w:val="-14"/>
          <w:lang w:val="el-GR"/>
        </w:rPr>
        <w:t>2</w:t>
      </w:r>
      <w:r w:rsidRPr="00C158D9">
        <w:rPr>
          <w:rFonts w:ascii="Ping LCG Regular" w:hAnsi="Ping LCG Regular" w:cs="Arial"/>
          <w:spacing w:val="-14"/>
          <w:lang w:val="el-GR"/>
        </w:rPr>
        <w:t xml:space="preserve">% ή κατά </w:t>
      </w:r>
      <w:r w:rsidR="00887243" w:rsidRPr="00C158D9">
        <w:rPr>
          <w:rFonts w:ascii="Ping LCG Regular" w:hAnsi="Ping LCG Regular" w:cs="Arial"/>
          <w:spacing w:val="-14"/>
          <w:lang w:val="el-GR"/>
        </w:rPr>
        <w:t>2</w:t>
      </w:r>
      <w:r w:rsidR="00024422" w:rsidRPr="00C158D9">
        <w:rPr>
          <w:rFonts w:ascii="Ping LCG Regular" w:hAnsi="Ping LCG Regular" w:cs="Arial"/>
          <w:spacing w:val="-14"/>
          <w:lang w:val="el-GR"/>
        </w:rPr>
        <w:t>.</w:t>
      </w:r>
      <w:r w:rsidR="00887243" w:rsidRPr="00C158D9">
        <w:rPr>
          <w:rFonts w:ascii="Ping LCG Regular" w:hAnsi="Ping LCG Regular" w:cs="Arial"/>
          <w:spacing w:val="-14"/>
          <w:lang w:val="el-GR"/>
        </w:rPr>
        <w:t>241</w:t>
      </w:r>
      <w:r w:rsidR="00024422" w:rsidRPr="00C158D9">
        <w:rPr>
          <w:rFonts w:ascii="Ping LCG Regular" w:hAnsi="Ping LCG Regular" w:cs="Arial"/>
          <w:spacing w:val="-14"/>
          <w:lang w:val="el-GR"/>
        </w:rPr>
        <w:t xml:space="preserve"> </w:t>
      </w:r>
      <w:proofErr w:type="spellStart"/>
      <w:r w:rsidRPr="00C158D9">
        <w:rPr>
          <w:rFonts w:ascii="Ping LCG Regular" w:hAnsi="Ping LCG Regular" w:cs="Arial"/>
          <w:spacing w:val="-14"/>
          <w:lang w:val="el-GR"/>
        </w:rPr>
        <w:t>GWh</w:t>
      </w:r>
      <w:proofErr w:type="spellEnd"/>
      <w:r w:rsidRPr="00C158D9">
        <w:rPr>
          <w:rFonts w:ascii="Ping LCG Regular" w:hAnsi="Ping LCG Regular" w:cs="Arial"/>
          <w:spacing w:val="-14"/>
          <w:lang w:val="el-GR"/>
        </w:rPr>
        <w:t xml:space="preserve"> ενώ </w:t>
      </w:r>
      <w:r w:rsidR="00887243" w:rsidRPr="00C158D9">
        <w:rPr>
          <w:rFonts w:ascii="Ping LCG Regular" w:hAnsi="Ping LCG Regular" w:cs="Arial"/>
          <w:spacing w:val="-14"/>
          <w:lang w:val="el-GR"/>
        </w:rPr>
        <w:t xml:space="preserve">αύξηση κατά 7% ή 275 </w:t>
      </w:r>
      <w:proofErr w:type="spellStart"/>
      <w:r w:rsidR="00887243" w:rsidRPr="00C158D9">
        <w:rPr>
          <w:rFonts w:ascii="Ping LCG Regular" w:hAnsi="Ping LCG Regular" w:cs="Arial"/>
          <w:spacing w:val="-14"/>
          <w:lang w:val="el-GR"/>
        </w:rPr>
        <w:t>GWh</w:t>
      </w:r>
      <w:proofErr w:type="spellEnd"/>
      <w:r w:rsidR="00887243" w:rsidRPr="00C158D9">
        <w:rPr>
          <w:rFonts w:ascii="Ping LCG Regular" w:hAnsi="Ping LCG Regular" w:cs="Arial"/>
          <w:spacing w:val="-14"/>
          <w:lang w:val="el-GR"/>
        </w:rPr>
        <w:t xml:space="preserve"> παρουσίασε και </w:t>
      </w:r>
      <w:r w:rsidRPr="00C158D9">
        <w:rPr>
          <w:rFonts w:ascii="Ping LCG Regular" w:hAnsi="Ping LCG Regular" w:cs="Arial"/>
          <w:spacing w:val="-14"/>
          <w:lang w:val="el-GR"/>
        </w:rPr>
        <w:t>η</w:t>
      </w:r>
      <w:r w:rsidR="00A249A6" w:rsidRPr="00C158D9">
        <w:rPr>
          <w:rFonts w:ascii="Ping LCG Regular" w:hAnsi="Ping LCG Regular" w:cs="Arial"/>
          <w:spacing w:val="-14"/>
          <w:lang w:val="el-GR"/>
        </w:rPr>
        <w:t xml:space="preserve"> </w:t>
      </w:r>
      <w:proofErr w:type="spellStart"/>
      <w:r w:rsidR="00A249A6" w:rsidRPr="00C158D9">
        <w:rPr>
          <w:rFonts w:ascii="Ping LCG Regular" w:hAnsi="Ping LCG Regular" w:cs="Arial"/>
          <w:spacing w:val="-14"/>
          <w:lang w:val="el-GR"/>
        </w:rPr>
        <w:t>λιγνιτική</w:t>
      </w:r>
      <w:proofErr w:type="spellEnd"/>
      <w:r w:rsidR="00A249A6" w:rsidRPr="00C158D9">
        <w:rPr>
          <w:rFonts w:ascii="Ping LCG Regular" w:hAnsi="Ping LCG Regular" w:cs="Arial"/>
          <w:spacing w:val="-14"/>
          <w:lang w:val="el-GR"/>
        </w:rPr>
        <w:t xml:space="preserve"> παραγωγή, λόγω </w:t>
      </w:r>
      <w:r w:rsidR="00887243" w:rsidRPr="00C158D9">
        <w:rPr>
          <w:rFonts w:ascii="Ping LCG Regular" w:hAnsi="Ping LCG Regular" w:cs="Arial"/>
          <w:spacing w:val="-14"/>
          <w:lang w:val="el-GR"/>
        </w:rPr>
        <w:t>της αυξημένης ζήτησης</w:t>
      </w:r>
      <w:r w:rsidR="00A249A6" w:rsidRPr="00C158D9">
        <w:rPr>
          <w:rFonts w:ascii="Ping LCG Regular" w:hAnsi="Ping LCG Regular" w:cs="Arial"/>
          <w:spacing w:val="-14"/>
          <w:lang w:val="el-GR"/>
        </w:rPr>
        <w:t xml:space="preserve">. </w:t>
      </w:r>
      <w:r w:rsidR="009614FF" w:rsidRPr="00C158D9">
        <w:rPr>
          <w:rFonts w:ascii="Ping LCG Regular" w:hAnsi="Ping LCG Regular" w:cs="Arial"/>
          <w:spacing w:val="-14"/>
          <w:lang w:val="el-GR"/>
        </w:rPr>
        <w:t xml:space="preserve"> </w:t>
      </w:r>
      <w:r w:rsidR="00F76C8B" w:rsidRPr="00C158D9">
        <w:rPr>
          <w:rFonts w:ascii="Ping LCG Regular" w:hAnsi="Ping LCG Regular" w:cs="Arial"/>
          <w:spacing w:val="-14"/>
          <w:lang w:val="el-GR"/>
        </w:rPr>
        <w:t>Στο</w:t>
      </w:r>
      <w:r w:rsidR="009614FF" w:rsidRPr="00C158D9">
        <w:rPr>
          <w:rFonts w:ascii="Ping LCG Regular" w:hAnsi="Ping LCG Regular" w:cs="Arial"/>
          <w:spacing w:val="-14"/>
          <w:lang w:val="el-GR"/>
        </w:rPr>
        <w:t xml:space="preserve"> γ’ </w:t>
      </w:r>
      <w:r w:rsidR="007F675C" w:rsidRPr="00C158D9">
        <w:rPr>
          <w:rFonts w:ascii="Ping LCG Regular" w:hAnsi="Ping LCG Regular" w:cs="Arial"/>
          <w:spacing w:val="-14"/>
          <w:lang w:val="el-GR"/>
        </w:rPr>
        <w:t>τρίμηνο</w:t>
      </w:r>
      <w:r w:rsidR="009614FF" w:rsidRPr="00C158D9">
        <w:rPr>
          <w:rFonts w:ascii="Ping LCG Regular" w:hAnsi="Ping LCG Regular" w:cs="Arial"/>
          <w:spacing w:val="-14"/>
          <w:lang w:val="el-GR"/>
        </w:rPr>
        <w:t xml:space="preserve"> 2021</w:t>
      </w:r>
      <w:r w:rsidR="00A437EB" w:rsidRPr="00C158D9">
        <w:rPr>
          <w:rFonts w:ascii="Ping LCG Regular" w:hAnsi="Ping LCG Regular" w:cs="Arial"/>
          <w:spacing w:val="-14"/>
          <w:lang w:val="el-GR"/>
        </w:rPr>
        <w:t xml:space="preserve">, </w:t>
      </w:r>
      <w:r w:rsidR="009614FF" w:rsidRPr="00C158D9">
        <w:rPr>
          <w:rFonts w:ascii="Ping LCG Regular" w:hAnsi="Ping LCG Regular" w:cs="Arial"/>
          <w:spacing w:val="-14"/>
          <w:lang w:val="el-GR"/>
        </w:rPr>
        <w:t xml:space="preserve">η παραγωγή από τις μονάδες φυσικού αερίου της ΔΕΗ αυξήθηκε κατά 22% ή κατά 652 </w:t>
      </w:r>
      <w:proofErr w:type="spellStart"/>
      <w:r w:rsidR="009614FF" w:rsidRPr="00C158D9">
        <w:rPr>
          <w:rFonts w:ascii="Ping LCG Regular" w:hAnsi="Ping LCG Regular" w:cs="Arial"/>
          <w:spacing w:val="-14"/>
          <w:lang w:val="el-GR"/>
        </w:rPr>
        <w:t>GWh</w:t>
      </w:r>
      <w:proofErr w:type="spellEnd"/>
      <w:r w:rsidR="000F6CB7" w:rsidRPr="00C158D9">
        <w:rPr>
          <w:rFonts w:ascii="Ping LCG Regular" w:hAnsi="Ping LCG Regular" w:cs="Arial"/>
          <w:spacing w:val="-14"/>
          <w:lang w:val="el-GR"/>
        </w:rPr>
        <w:t xml:space="preserve">. </w:t>
      </w:r>
      <w:r w:rsidR="007D6914" w:rsidRPr="00C158D9">
        <w:rPr>
          <w:rFonts w:ascii="Ping LCG Regular" w:hAnsi="Ping LCG Regular" w:cs="Arial"/>
          <w:spacing w:val="-14"/>
          <w:lang w:val="el-GR"/>
        </w:rPr>
        <w:t>Παράλληλα,</w:t>
      </w:r>
      <w:r w:rsidR="000F6CB7" w:rsidRPr="00C158D9">
        <w:rPr>
          <w:rFonts w:ascii="Ping LCG Regular" w:hAnsi="Ping LCG Regular" w:cs="Arial"/>
          <w:spacing w:val="-14"/>
          <w:lang w:val="el-GR"/>
        </w:rPr>
        <w:t xml:space="preserve"> </w:t>
      </w:r>
      <w:r w:rsidR="009614FF" w:rsidRPr="00C158D9">
        <w:rPr>
          <w:rFonts w:ascii="Ping LCG Regular" w:hAnsi="Ping LCG Regular" w:cs="Arial"/>
          <w:spacing w:val="-14"/>
          <w:lang w:val="el-GR"/>
        </w:rPr>
        <w:t xml:space="preserve">η </w:t>
      </w:r>
      <w:proofErr w:type="spellStart"/>
      <w:r w:rsidR="009614FF" w:rsidRPr="00C158D9">
        <w:rPr>
          <w:rFonts w:ascii="Ping LCG Regular" w:hAnsi="Ping LCG Regular" w:cs="Arial"/>
          <w:spacing w:val="-14"/>
          <w:lang w:val="el-GR"/>
        </w:rPr>
        <w:t>λιγνιτική</w:t>
      </w:r>
      <w:proofErr w:type="spellEnd"/>
      <w:r w:rsidR="009614FF" w:rsidRPr="00C158D9">
        <w:rPr>
          <w:rFonts w:ascii="Ping LCG Regular" w:hAnsi="Ping LCG Regular" w:cs="Arial"/>
          <w:spacing w:val="-14"/>
          <w:lang w:val="el-GR"/>
        </w:rPr>
        <w:t xml:space="preserve"> παραγωγή αυξήθηκε κατά 53,6% ή 502 </w:t>
      </w:r>
      <w:proofErr w:type="spellStart"/>
      <w:r w:rsidR="009614FF" w:rsidRPr="00C158D9">
        <w:rPr>
          <w:rFonts w:ascii="Ping LCG Regular" w:hAnsi="Ping LCG Regular" w:cs="Arial"/>
          <w:spacing w:val="-14"/>
          <w:lang w:val="el-GR"/>
        </w:rPr>
        <w:t>GWh</w:t>
      </w:r>
      <w:proofErr w:type="spellEnd"/>
      <w:r w:rsidR="007D6914" w:rsidRPr="00C158D9">
        <w:rPr>
          <w:rFonts w:ascii="Ping LCG Regular" w:hAnsi="Ping LCG Regular" w:cs="Arial"/>
          <w:spacing w:val="-14"/>
          <w:lang w:val="el-GR"/>
        </w:rPr>
        <w:t xml:space="preserve"> </w:t>
      </w:r>
      <w:r w:rsidR="005147D0" w:rsidRPr="00C158D9">
        <w:rPr>
          <w:rFonts w:ascii="Ping LCG Regular" w:hAnsi="Ping LCG Regular" w:cs="Arial"/>
          <w:spacing w:val="-14"/>
          <w:lang w:val="el-GR"/>
        </w:rPr>
        <w:t>για την κάλυψη της αυξημένης ζήτησης και για τη στήριξη του Συστήματος, ιδιαίτερα κατά τους εξαιρετικά θερμούς θερινούς μήνες του 2021, προκειμένου να διασφαλισθεί η ενεργειακή επάρκεια της χώρας.</w:t>
      </w:r>
      <w:bookmarkEnd w:id="8"/>
    </w:p>
    <w:p w14:paraId="7871DD64" w14:textId="62EDBAD5" w:rsidR="003E14D0" w:rsidRPr="00C158D9" w:rsidRDefault="003E14D0" w:rsidP="00A249A6">
      <w:pPr>
        <w:autoSpaceDE w:val="0"/>
        <w:autoSpaceDN w:val="0"/>
        <w:adjustRightInd w:val="0"/>
        <w:jc w:val="both"/>
        <w:rPr>
          <w:rFonts w:ascii="Ping LCG Regular" w:hAnsi="Ping LCG Regular" w:cs="Arial"/>
          <w:spacing w:val="-14"/>
          <w:lang w:val="el-GR"/>
        </w:rPr>
      </w:pPr>
    </w:p>
    <w:p w14:paraId="55257A0F" w14:textId="153510D2" w:rsidR="00731C36" w:rsidRPr="00C158D9" w:rsidRDefault="00731C36" w:rsidP="00A249A6">
      <w:pPr>
        <w:autoSpaceDE w:val="0"/>
        <w:autoSpaceDN w:val="0"/>
        <w:adjustRightInd w:val="0"/>
        <w:jc w:val="both"/>
        <w:rPr>
          <w:rFonts w:ascii="Ping LCG Regular" w:hAnsi="Ping LCG Regular" w:cs="Arial"/>
          <w:spacing w:val="-14"/>
          <w:lang w:val="el-GR"/>
        </w:rPr>
      </w:pPr>
      <w:r w:rsidRPr="00C158D9">
        <w:rPr>
          <w:rFonts w:ascii="Ping LCG Regular" w:hAnsi="Ping LCG Regular" w:cs="Arial"/>
          <w:spacing w:val="-14"/>
          <w:lang w:val="el-GR"/>
        </w:rPr>
        <w:t xml:space="preserve">Σε επίπεδο χώρας, σημειώθηκε άνοδος στην παραγωγή από ΑΠΕ κατά </w:t>
      </w:r>
      <w:r w:rsidR="00FA05F2" w:rsidRPr="00FA05F2">
        <w:rPr>
          <w:rFonts w:ascii="Ping LCG Regular" w:hAnsi="Ping LCG Regular" w:cs="Arial"/>
          <w:spacing w:val="-14"/>
          <w:lang w:val="el-GR"/>
        </w:rPr>
        <w:t>8</w:t>
      </w:r>
      <w:r w:rsidR="00887243" w:rsidRPr="00C158D9">
        <w:rPr>
          <w:rFonts w:ascii="Ping LCG Regular" w:hAnsi="Ping LCG Regular" w:cs="Arial"/>
          <w:spacing w:val="-14"/>
          <w:lang w:val="el-GR"/>
        </w:rPr>
        <w:t>,</w:t>
      </w:r>
      <w:r w:rsidR="00FA05F2" w:rsidRPr="00FA05F2">
        <w:rPr>
          <w:rFonts w:ascii="Ping LCG Regular" w:hAnsi="Ping LCG Regular" w:cs="Arial"/>
          <w:spacing w:val="-14"/>
          <w:lang w:val="el-GR"/>
        </w:rPr>
        <w:t>8</w:t>
      </w:r>
      <w:r w:rsidRPr="00C158D9">
        <w:rPr>
          <w:rFonts w:ascii="Ping LCG Regular" w:hAnsi="Ping LCG Regular" w:cs="Arial"/>
          <w:spacing w:val="-14"/>
          <w:lang w:val="el-GR"/>
        </w:rPr>
        <w:t xml:space="preserve">% ή </w:t>
      </w:r>
      <w:r w:rsidR="00FA05F2" w:rsidRPr="00FA05F2">
        <w:rPr>
          <w:rFonts w:ascii="Ping LCG Regular" w:hAnsi="Ping LCG Regular" w:cs="Arial"/>
          <w:spacing w:val="-14"/>
          <w:lang w:val="el-GR"/>
        </w:rPr>
        <w:t>979</w:t>
      </w:r>
      <w:r w:rsidR="00024422" w:rsidRPr="00C158D9">
        <w:rPr>
          <w:rFonts w:ascii="Ping LCG Regular" w:hAnsi="Ping LCG Regular" w:cs="Arial"/>
          <w:spacing w:val="-14"/>
          <w:lang w:val="el-GR"/>
        </w:rPr>
        <w:t xml:space="preserve"> </w:t>
      </w:r>
      <w:proofErr w:type="spellStart"/>
      <w:r w:rsidRPr="00C158D9">
        <w:rPr>
          <w:rFonts w:ascii="Ping LCG Regular" w:hAnsi="Ping LCG Regular" w:cs="Arial"/>
          <w:spacing w:val="-14"/>
          <w:lang w:val="el-GR"/>
        </w:rPr>
        <w:t>GWh</w:t>
      </w:r>
      <w:proofErr w:type="spellEnd"/>
      <w:r w:rsidRPr="00C158D9">
        <w:rPr>
          <w:rFonts w:ascii="Ping LCG Regular" w:hAnsi="Ping LCG Regular" w:cs="Arial"/>
          <w:spacing w:val="-14"/>
          <w:lang w:val="el-GR"/>
        </w:rPr>
        <w:t xml:space="preserve">. Επίσης, οι εισαγωγές  ηλεκτρικής ενέργειας  μειώθηκαν κατά </w:t>
      </w:r>
      <w:r w:rsidR="00024422" w:rsidRPr="00C158D9">
        <w:rPr>
          <w:rFonts w:ascii="Ping LCG Regular" w:hAnsi="Ping LCG Regular" w:cs="Arial"/>
          <w:spacing w:val="-14"/>
          <w:lang w:val="el-GR"/>
        </w:rPr>
        <w:t>2</w:t>
      </w:r>
      <w:r w:rsidR="00887243" w:rsidRPr="00C158D9">
        <w:rPr>
          <w:rFonts w:ascii="Ping LCG Regular" w:hAnsi="Ping LCG Regular" w:cs="Arial"/>
          <w:spacing w:val="-14"/>
          <w:lang w:val="el-GR"/>
        </w:rPr>
        <w:t>3</w:t>
      </w:r>
      <w:r w:rsidRPr="00C158D9">
        <w:rPr>
          <w:rFonts w:ascii="Ping LCG Regular" w:hAnsi="Ping LCG Regular" w:cs="Arial"/>
          <w:spacing w:val="-14"/>
          <w:lang w:val="el-GR"/>
        </w:rPr>
        <w:t>,</w:t>
      </w:r>
      <w:r w:rsidR="00887243" w:rsidRPr="00C158D9">
        <w:rPr>
          <w:rFonts w:ascii="Ping LCG Regular" w:hAnsi="Ping LCG Regular" w:cs="Arial"/>
          <w:spacing w:val="-14"/>
          <w:lang w:val="el-GR"/>
        </w:rPr>
        <w:t>3</w:t>
      </w:r>
      <w:r w:rsidRPr="00C158D9">
        <w:rPr>
          <w:rFonts w:ascii="Ping LCG Regular" w:hAnsi="Ping LCG Regular" w:cs="Arial"/>
          <w:spacing w:val="-14"/>
          <w:lang w:val="el-GR"/>
        </w:rPr>
        <w:t xml:space="preserve">% ή </w:t>
      </w:r>
      <w:r w:rsidR="00887243" w:rsidRPr="00C158D9">
        <w:rPr>
          <w:rFonts w:ascii="Ping LCG Regular" w:hAnsi="Ping LCG Regular" w:cs="Arial"/>
          <w:spacing w:val="-14"/>
          <w:lang w:val="el-GR"/>
        </w:rPr>
        <w:t>2</w:t>
      </w:r>
      <w:r w:rsidRPr="00C158D9">
        <w:rPr>
          <w:rFonts w:ascii="Ping LCG Regular" w:hAnsi="Ping LCG Regular" w:cs="Arial"/>
          <w:spacing w:val="-14"/>
          <w:lang w:val="el-GR"/>
        </w:rPr>
        <w:t>.</w:t>
      </w:r>
      <w:r w:rsidR="00887243" w:rsidRPr="00C158D9">
        <w:rPr>
          <w:rFonts w:ascii="Ping LCG Regular" w:hAnsi="Ping LCG Regular" w:cs="Arial"/>
          <w:spacing w:val="-14"/>
          <w:lang w:val="el-GR"/>
        </w:rPr>
        <w:t>002</w:t>
      </w:r>
      <w:r w:rsidR="00024422" w:rsidRPr="00C158D9">
        <w:rPr>
          <w:rFonts w:ascii="Ping LCG Regular" w:hAnsi="Ping LCG Regular" w:cs="Arial"/>
          <w:spacing w:val="-14"/>
          <w:lang w:val="el-GR"/>
        </w:rPr>
        <w:t xml:space="preserve"> </w:t>
      </w:r>
      <w:proofErr w:type="spellStart"/>
      <w:r w:rsidRPr="00C158D9">
        <w:rPr>
          <w:rFonts w:ascii="Ping LCG Regular" w:hAnsi="Ping LCG Regular" w:cs="Arial"/>
          <w:spacing w:val="-14"/>
          <w:lang w:val="el-GR"/>
        </w:rPr>
        <w:t>GWh</w:t>
      </w:r>
      <w:proofErr w:type="spellEnd"/>
      <w:r w:rsidRPr="00C158D9">
        <w:rPr>
          <w:rFonts w:ascii="Ping LCG Regular" w:hAnsi="Ping LCG Regular" w:cs="Arial"/>
          <w:spacing w:val="-14"/>
          <w:lang w:val="el-GR"/>
        </w:rPr>
        <w:t>.</w:t>
      </w:r>
    </w:p>
    <w:p w14:paraId="49A696DB" w14:textId="760F9DD8" w:rsidR="003954AE" w:rsidRPr="00C158D9" w:rsidRDefault="00A249A6" w:rsidP="003954AE">
      <w:pPr>
        <w:autoSpaceDE w:val="0"/>
        <w:autoSpaceDN w:val="0"/>
        <w:adjustRightInd w:val="0"/>
        <w:jc w:val="both"/>
        <w:rPr>
          <w:rFonts w:ascii="Ping LCG Regular" w:hAnsi="Ping LCG Regular" w:cs="Arial"/>
          <w:spacing w:val="-14"/>
          <w:lang w:val="el-GR"/>
        </w:rPr>
      </w:pPr>
      <w:r w:rsidRPr="00C158D9">
        <w:rPr>
          <w:rFonts w:ascii="Ping LCG Regular" w:hAnsi="Ping LCG Regular" w:cs="Arial"/>
          <w:spacing w:val="-14"/>
          <w:lang w:val="el-GR"/>
        </w:rPr>
        <w:t xml:space="preserve">  </w:t>
      </w:r>
      <w:r w:rsidR="00645748" w:rsidRPr="00C158D9">
        <w:rPr>
          <w:rFonts w:ascii="Ping LCG Regular" w:hAnsi="Ping LCG Regular" w:cs="Arial"/>
          <w:spacing w:val="-14"/>
          <w:lang w:val="el-GR"/>
        </w:rPr>
        <w:t xml:space="preserve"> </w:t>
      </w:r>
    </w:p>
    <w:bookmarkEnd w:id="6"/>
    <w:p w14:paraId="0FDA6A9E" w14:textId="16F6194A" w:rsidR="00A249A6" w:rsidRPr="00C158D9" w:rsidRDefault="00A249A6" w:rsidP="00A249A6">
      <w:pPr>
        <w:autoSpaceDE w:val="0"/>
        <w:autoSpaceDN w:val="0"/>
        <w:jc w:val="both"/>
        <w:rPr>
          <w:rFonts w:ascii="Ping LCG Regular" w:hAnsi="Ping LCG Regular" w:cs="Arial"/>
          <w:spacing w:val="-14"/>
          <w:lang w:val="el-GR"/>
        </w:rPr>
      </w:pPr>
    </w:p>
    <w:bookmarkEnd w:id="9"/>
    <w:p w14:paraId="297DD95B" w14:textId="77777777" w:rsidR="00A249A6" w:rsidRPr="00C158D9" w:rsidRDefault="00A249A6" w:rsidP="00A249A6">
      <w:pPr>
        <w:widowControl w:val="0"/>
        <w:autoSpaceDE w:val="0"/>
        <w:autoSpaceDN w:val="0"/>
        <w:adjustRightInd w:val="0"/>
        <w:ind w:left="1" w:right="18"/>
        <w:rPr>
          <w:rFonts w:ascii="Ping LCG Regular" w:hAnsi="Ping LCG Regular" w:cs="Arial"/>
          <w:spacing w:val="-14"/>
          <w:sz w:val="22"/>
          <w:lang w:val="el-GR"/>
        </w:rPr>
      </w:pPr>
      <w:r w:rsidRPr="00C158D9">
        <w:rPr>
          <w:rFonts w:ascii="Ping LCG Regular" w:hAnsi="Ping LCG Regular" w:cs="Arial"/>
          <w:bCs/>
          <w:spacing w:val="-14"/>
          <w:szCs w:val="26"/>
          <w:u w:val="single"/>
          <w:lang w:val="el-GR"/>
        </w:rPr>
        <w:t>Δαπάνες Ενεργειακού Μείγματος</w:t>
      </w:r>
      <w:r w:rsidRPr="00C158D9" w:rsidDel="002974C9">
        <w:rPr>
          <w:rFonts w:ascii="Ping LCG Regular" w:hAnsi="Ping LCG Regular" w:cs="Arial"/>
          <w:spacing w:val="-14"/>
          <w:sz w:val="22"/>
          <w:lang w:val="el-GR"/>
        </w:rPr>
        <w:t xml:space="preserve"> </w:t>
      </w:r>
    </w:p>
    <w:p w14:paraId="5C083892" w14:textId="77777777" w:rsidR="00A249A6" w:rsidRPr="00C158D9" w:rsidRDefault="00A249A6" w:rsidP="00A249A6">
      <w:pPr>
        <w:widowControl w:val="0"/>
        <w:autoSpaceDE w:val="0"/>
        <w:autoSpaceDN w:val="0"/>
        <w:adjustRightInd w:val="0"/>
        <w:ind w:left="19" w:right="7574"/>
        <w:rPr>
          <w:rFonts w:ascii="Ping LCG Regular" w:hAnsi="Ping LCG Regular" w:cs="Arial"/>
          <w:spacing w:val="-14"/>
          <w:highlight w:val="yellow"/>
          <w:lang w:val="el-GR"/>
        </w:rPr>
      </w:pPr>
    </w:p>
    <w:p w14:paraId="426F21F0" w14:textId="5ACEEF0D" w:rsidR="00A249A6" w:rsidRPr="00C158D9" w:rsidRDefault="00A249A6" w:rsidP="00A249A6">
      <w:pPr>
        <w:widowControl w:val="0"/>
        <w:autoSpaceDE w:val="0"/>
        <w:autoSpaceDN w:val="0"/>
        <w:adjustRightInd w:val="0"/>
        <w:ind w:left="1" w:right="21"/>
        <w:jc w:val="both"/>
        <w:rPr>
          <w:rFonts w:ascii="Ping LCG Regular" w:hAnsi="Ping LCG Regular" w:cs="Arial"/>
          <w:spacing w:val="-14"/>
          <w:lang w:val="el-GR"/>
        </w:rPr>
      </w:pPr>
      <w:r w:rsidRPr="00C158D9">
        <w:rPr>
          <w:rFonts w:ascii="Ping LCG Regular" w:hAnsi="Ping LCG Regular" w:cs="Arial"/>
          <w:spacing w:val="-14"/>
          <w:lang w:val="el-GR"/>
        </w:rPr>
        <w:t xml:space="preserve">Οι δαπάνες για υγρά καύσιμα, φυσικό αέριο, στερεά καύσιμα </w:t>
      </w:r>
      <w:r w:rsidR="0030398C" w:rsidRPr="00C158D9">
        <w:rPr>
          <w:rFonts w:ascii="Ping LCG Regular" w:hAnsi="Ping LCG Regular" w:cs="Arial"/>
          <w:spacing w:val="-14"/>
          <w:lang w:val="el-GR"/>
        </w:rPr>
        <w:t xml:space="preserve">ΔΕΗ &amp; </w:t>
      </w:r>
      <w:r w:rsidRPr="00C158D9">
        <w:rPr>
          <w:rFonts w:ascii="Ping LCG Regular" w:hAnsi="Ping LCG Regular" w:cs="Arial"/>
          <w:spacing w:val="-14"/>
          <w:lang w:val="el-GR"/>
        </w:rPr>
        <w:t xml:space="preserve">τρίτων, </w:t>
      </w:r>
      <w:r w:rsidRPr="00C158D9">
        <w:rPr>
          <w:rFonts w:ascii="Ping LCG Regular" w:hAnsi="Ping LCG Regular" w:cs="Arial"/>
          <w:spacing w:val="-14"/>
        </w:rPr>
        <w:t>CO</w:t>
      </w:r>
      <w:r w:rsidRPr="00C158D9">
        <w:rPr>
          <w:rFonts w:ascii="Ping LCG Regular" w:hAnsi="Ping LCG Regular" w:cs="Arial"/>
          <w:spacing w:val="-14"/>
          <w:vertAlign w:val="subscript"/>
          <w:lang w:val="el-GR"/>
        </w:rPr>
        <w:t>2</w:t>
      </w:r>
      <w:r w:rsidRPr="00C158D9">
        <w:rPr>
          <w:rFonts w:ascii="Ping LCG Regular" w:hAnsi="Ping LCG Regular" w:cs="Arial"/>
          <w:spacing w:val="-14"/>
          <w:lang w:val="el-GR"/>
        </w:rPr>
        <w:t xml:space="preserve"> </w:t>
      </w:r>
      <w:r w:rsidR="00410FF8" w:rsidRPr="00C158D9">
        <w:rPr>
          <w:rFonts w:ascii="Ping LCG Regular" w:hAnsi="Ping LCG Regular" w:cs="Arial"/>
          <w:spacing w:val="-14"/>
          <w:lang w:val="el-GR"/>
        </w:rPr>
        <w:t xml:space="preserve">και </w:t>
      </w:r>
      <w:r w:rsidRPr="00C158D9">
        <w:rPr>
          <w:rFonts w:ascii="Ping LCG Regular" w:hAnsi="Ping LCG Regular" w:cs="Arial"/>
          <w:spacing w:val="-14"/>
          <w:lang w:val="el-GR"/>
        </w:rPr>
        <w:t xml:space="preserve">αγορές ηλεκτρικής ενέργειας </w:t>
      </w:r>
      <w:r w:rsidR="00DC5C16" w:rsidRPr="00C158D9">
        <w:rPr>
          <w:rFonts w:ascii="Ping LCG Regular" w:hAnsi="Ping LCG Regular" w:cs="Arial"/>
          <w:spacing w:val="-14"/>
          <w:lang w:val="el-GR"/>
        </w:rPr>
        <w:t>αυξήθηκαν</w:t>
      </w:r>
      <w:r w:rsidRPr="00C158D9">
        <w:rPr>
          <w:rFonts w:ascii="Ping LCG Regular" w:hAnsi="Ping LCG Regular" w:cs="Arial"/>
          <w:spacing w:val="-14"/>
          <w:lang w:val="el-GR"/>
        </w:rPr>
        <w:t xml:space="preserve"> κατά €</w:t>
      </w:r>
      <w:r w:rsidR="00333219" w:rsidRPr="00C158D9">
        <w:rPr>
          <w:rFonts w:ascii="Ping LCG Regular" w:hAnsi="Ping LCG Regular" w:cs="Arial"/>
          <w:spacing w:val="-14"/>
          <w:lang w:val="el-GR"/>
        </w:rPr>
        <w:t>629</w:t>
      </w:r>
      <w:r w:rsidRPr="00C158D9">
        <w:rPr>
          <w:rFonts w:ascii="Ping LCG Regular" w:hAnsi="Ping LCG Regular" w:cs="Arial"/>
          <w:spacing w:val="-14"/>
        </w:rPr>
        <w:t> </w:t>
      </w:r>
      <w:r w:rsidRPr="00C158D9">
        <w:rPr>
          <w:rFonts w:ascii="Ping LCG Regular" w:hAnsi="Ping LCG Regular" w:cs="Arial"/>
          <w:spacing w:val="-14"/>
          <w:lang w:val="el-GR"/>
        </w:rPr>
        <w:t>εκατ. (</w:t>
      </w:r>
      <w:r w:rsidR="00333219" w:rsidRPr="00C158D9">
        <w:rPr>
          <w:rFonts w:ascii="Ping LCG Regular" w:hAnsi="Ping LCG Regular" w:cs="Arial"/>
          <w:spacing w:val="-14"/>
          <w:lang w:val="el-GR"/>
        </w:rPr>
        <w:t>37</w:t>
      </w:r>
      <w:r w:rsidR="00DF1A40" w:rsidRPr="00C158D9">
        <w:rPr>
          <w:rFonts w:ascii="Ping LCG Regular" w:hAnsi="Ping LCG Regular" w:cs="Arial"/>
          <w:spacing w:val="-14"/>
          <w:lang w:val="el-GR"/>
        </w:rPr>
        <w:t>,</w:t>
      </w:r>
      <w:r w:rsidR="00333219" w:rsidRPr="00C158D9">
        <w:rPr>
          <w:rFonts w:ascii="Ping LCG Regular" w:hAnsi="Ping LCG Regular" w:cs="Arial"/>
          <w:spacing w:val="-14"/>
          <w:lang w:val="el-GR"/>
        </w:rPr>
        <w:t>2</w:t>
      </w:r>
      <w:r w:rsidRPr="00C158D9">
        <w:rPr>
          <w:rFonts w:ascii="Ping LCG Regular" w:hAnsi="Ping LCG Regular" w:cs="Arial"/>
          <w:spacing w:val="-14"/>
          <w:lang w:val="el-GR"/>
        </w:rPr>
        <w:t xml:space="preserve">%) σε σχέση με το </w:t>
      </w:r>
      <w:r w:rsidR="00DC5C16" w:rsidRPr="00C158D9">
        <w:rPr>
          <w:rFonts w:ascii="Ping LCG Regular" w:hAnsi="Ping LCG Regular" w:cs="Arial"/>
          <w:spacing w:val="-14"/>
          <w:lang w:val="el-GR"/>
        </w:rPr>
        <w:t>ε</w:t>
      </w:r>
      <w:r w:rsidR="00333219" w:rsidRPr="00C158D9">
        <w:rPr>
          <w:rFonts w:ascii="Ping LCG Regular" w:hAnsi="Ping LCG Regular" w:cs="Arial"/>
          <w:spacing w:val="-14"/>
          <w:lang w:val="el-GR"/>
        </w:rPr>
        <w:t>ννε</w:t>
      </w:r>
      <w:r w:rsidR="00DC5C16" w:rsidRPr="00C158D9">
        <w:rPr>
          <w:rFonts w:ascii="Ping LCG Regular" w:hAnsi="Ping LCG Regular" w:cs="Arial"/>
          <w:spacing w:val="-14"/>
          <w:lang w:val="el-GR"/>
        </w:rPr>
        <w:t>ά</w:t>
      </w:r>
      <w:r w:rsidR="00F9037B" w:rsidRPr="00C158D9">
        <w:rPr>
          <w:rFonts w:ascii="Ping LCG Regular" w:hAnsi="Ping LCG Regular" w:cs="Arial"/>
          <w:spacing w:val="-14"/>
          <w:lang w:val="el-GR"/>
        </w:rPr>
        <w:t xml:space="preserve">μηνο του 2020 </w:t>
      </w:r>
      <w:r w:rsidRPr="00C158D9">
        <w:rPr>
          <w:rFonts w:ascii="Ping LCG Regular" w:hAnsi="Ping LCG Regular" w:cs="Arial"/>
          <w:spacing w:val="-14"/>
          <w:lang w:val="el-GR"/>
        </w:rPr>
        <w:t xml:space="preserve">. </w:t>
      </w:r>
      <w:r w:rsidR="00763E88" w:rsidRPr="00C158D9">
        <w:rPr>
          <w:rFonts w:ascii="Ping LCG Regular" w:hAnsi="Ping LCG Regular" w:cs="Arial"/>
          <w:spacing w:val="-14"/>
          <w:lang w:val="el-GR"/>
        </w:rPr>
        <w:t xml:space="preserve"> </w:t>
      </w:r>
    </w:p>
    <w:p w14:paraId="3C75D96B" w14:textId="77777777" w:rsidR="00A249A6" w:rsidRPr="00C158D9" w:rsidRDefault="00A249A6" w:rsidP="00A249A6">
      <w:pPr>
        <w:widowControl w:val="0"/>
        <w:autoSpaceDE w:val="0"/>
        <w:autoSpaceDN w:val="0"/>
        <w:adjustRightInd w:val="0"/>
        <w:ind w:left="284" w:right="21"/>
        <w:jc w:val="both"/>
        <w:rPr>
          <w:rFonts w:ascii="Ping LCG Regular" w:hAnsi="Ping LCG Regular" w:cs="Arial"/>
          <w:spacing w:val="-14"/>
          <w:lang w:val="el-GR"/>
        </w:rPr>
      </w:pPr>
    </w:p>
    <w:p w14:paraId="1022A08F" w14:textId="30799A1B" w:rsidR="00A249A6" w:rsidRPr="00C158D9" w:rsidRDefault="00A249A6" w:rsidP="00A249A6">
      <w:pPr>
        <w:widowControl w:val="0"/>
        <w:autoSpaceDE w:val="0"/>
        <w:autoSpaceDN w:val="0"/>
        <w:adjustRightInd w:val="0"/>
        <w:ind w:right="21"/>
        <w:jc w:val="both"/>
        <w:rPr>
          <w:rFonts w:ascii="Ping LCG Regular" w:hAnsi="Ping LCG Regular" w:cs="Arial"/>
          <w:spacing w:val="-14"/>
          <w:lang w:val="el-GR"/>
        </w:rPr>
      </w:pPr>
      <w:r w:rsidRPr="00C158D9">
        <w:rPr>
          <w:rFonts w:ascii="Ping LCG Regular" w:hAnsi="Ping LCG Regular" w:cs="Arial"/>
          <w:spacing w:val="-14"/>
          <w:lang w:val="el-GR"/>
        </w:rPr>
        <w:t>Συγκεκριμένα:</w:t>
      </w:r>
    </w:p>
    <w:p w14:paraId="4419C5D1" w14:textId="77777777" w:rsidR="00BD47B5" w:rsidRPr="00C158D9" w:rsidRDefault="00BD47B5" w:rsidP="00A249A6">
      <w:pPr>
        <w:widowControl w:val="0"/>
        <w:autoSpaceDE w:val="0"/>
        <w:autoSpaceDN w:val="0"/>
        <w:adjustRightInd w:val="0"/>
        <w:ind w:right="21"/>
        <w:jc w:val="both"/>
        <w:rPr>
          <w:rFonts w:ascii="Ping LCG Regular" w:hAnsi="Ping LCG Regular" w:cs="Arial"/>
          <w:spacing w:val="-14"/>
          <w:lang w:val="el-GR"/>
        </w:rPr>
      </w:pPr>
    </w:p>
    <w:p w14:paraId="1B765AC1" w14:textId="65901ADD" w:rsidR="00A249A6" w:rsidRPr="00C158D9" w:rsidRDefault="00A249A6" w:rsidP="006C2EBB">
      <w:pPr>
        <w:pStyle w:val="ListParagraph"/>
        <w:numPr>
          <w:ilvl w:val="0"/>
          <w:numId w:val="9"/>
        </w:numPr>
        <w:ind w:left="284" w:hanging="142"/>
        <w:jc w:val="both"/>
        <w:rPr>
          <w:rFonts w:ascii="Ping LCG Regular" w:hAnsi="Ping LCG Regular" w:cs="Arial"/>
          <w:spacing w:val="-14"/>
        </w:rPr>
      </w:pPr>
      <w:r w:rsidRPr="00C158D9">
        <w:rPr>
          <w:rFonts w:ascii="Ping LCG Regular" w:hAnsi="Ping LCG Regular" w:cs="Arial"/>
          <w:spacing w:val="-14"/>
        </w:rPr>
        <w:t xml:space="preserve">Η δαπάνη για υγρά καύσιμα </w:t>
      </w:r>
      <w:r w:rsidR="00333219" w:rsidRPr="00C158D9">
        <w:rPr>
          <w:rFonts w:ascii="Ping LCG Regular" w:hAnsi="Ping LCG Regular" w:cs="Arial"/>
          <w:spacing w:val="-14"/>
        </w:rPr>
        <w:t xml:space="preserve">το εννεάμηνο του 2021 αυξήθηκε κατά 14,7% στα €410,2 </w:t>
      </w:r>
      <w:r w:rsidRPr="00C158D9">
        <w:rPr>
          <w:rFonts w:ascii="Ping LCG Regular" w:hAnsi="Ping LCG Regular" w:cs="Arial"/>
          <w:spacing w:val="-14"/>
        </w:rPr>
        <w:t xml:space="preserve">εκατ. </w:t>
      </w:r>
      <w:r w:rsidR="00D95CA6" w:rsidRPr="00C158D9">
        <w:rPr>
          <w:rFonts w:ascii="Ping LCG Regular" w:hAnsi="Ping LCG Regular" w:cs="Arial"/>
          <w:spacing w:val="-14"/>
        </w:rPr>
        <w:t>σε σχέση με το ε</w:t>
      </w:r>
      <w:r w:rsidR="00333219" w:rsidRPr="00C158D9">
        <w:rPr>
          <w:rFonts w:ascii="Ping LCG Regular" w:hAnsi="Ping LCG Regular" w:cs="Arial"/>
          <w:spacing w:val="-14"/>
        </w:rPr>
        <w:t>ννε</w:t>
      </w:r>
      <w:r w:rsidR="00D95CA6" w:rsidRPr="00C158D9">
        <w:rPr>
          <w:rFonts w:ascii="Ping LCG Regular" w:hAnsi="Ping LCG Regular" w:cs="Arial"/>
          <w:spacing w:val="-14"/>
        </w:rPr>
        <w:t xml:space="preserve">άμηνο του 2020, </w:t>
      </w:r>
      <w:r w:rsidR="00333219" w:rsidRPr="00C158D9">
        <w:rPr>
          <w:rFonts w:ascii="Ping LCG Regular" w:hAnsi="Ping LCG Regular" w:cs="Arial"/>
          <w:spacing w:val="-14"/>
        </w:rPr>
        <w:t xml:space="preserve">λόγω της αύξησης των τιμών του μαζούτ (κατά </w:t>
      </w:r>
      <w:r w:rsidR="005942B2" w:rsidRPr="00C158D9">
        <w:rPr>
          <w:rFonts w:ascii="Ping LCG Regular" w:hAnsi="Ping LCG Regular" w:cs="Arial"/>
          <w:spacing w:val="-14"/>
        </w:rPr>
        <w:t>8,9</w:t>
      </w:r>
      <w:r w:rsidR="00333219" w:rsidRPr="00C158D9">
        <w:rPr>
          <w:rFonts w:ascii="Ping LCG Regular" w:hAnsi="Ping LCG Regular" w:cs="Arial"/>
          <w:spacing w:val="-14"/>
        </w:rPr>
        <w:t xml:space="preserve">%) και του </w:t>
      </w:r>
      <w:r w:rsidR="00333219" w:rsidRPr="00C158D9">
        <w:rPr>
          <w:rFonts w:ascii="Ping LCG Regular" w:hAnsi="Ping LCG Regular" w:cs="Arial"/>
          <w:spacing w:val="-14"/>
          <w:lang w:val="en-US"/>
        </w:rPr>
        <w:t>diesel</w:t>
      </w:r>
      <w:r w:rsidR="00333219" w:rsidRPr="00C158D9">
        <w:rPr>
          <w:rFonts w:ascii="Ping LCG Regular" w:hAnsi="Ping LCG Regular" w:cs="Arial"/>
          <w:spacing w:val="-14"/>
        </w:rPr>
        <w:t xml:space="preserve"> (κατά </w:t>
      </w:r>
      <w:r w:rsidR="005942B2" w:rsidRPr="00C158D9">
        <w:rPr>
          <w:rFonts w:ascii="Ping LCG Regular" w:hAnsi="Ping LCG Regular" w:cs="Arial"/>
          <w:spacing w:val="-14"/>
        </w:rPr>
        <w:t>8,4</w:t>
      </w:r>
      <w:r w:rsidR="00333219" w:rsidRPr="00C158D9">
        <w:rPr>
          <w:rFonts w:ascii="Ping LCG Regular" w:hAnsi="Ping LCG Regular" w:cs="Arial"/>
          <w:spacing w:val="-14"/>
        </w:rPr>
        <w:t>%)</w:t>
      </w:r>
      <w:r w:rsidR="0083205C" w:rsidRPr="00C158D9">
        <w:rPr>
          <w:rFonts w:ascii="Ping LCG Regular" w:hAnsi="Ping LCG Regular" w:cs="Arial"/>
          <w:spacing w:val="-14"/>
        </w:rPr>
        <w:t xml:space="preserve"> αλλά και της αυξημένης παραγωγής</w:t>
      </w:r>
      <w:r w:rsidR="00E05FB0" w:rsidRPr="00C158D9">
        <w:rPr>
          <w:rFonts w:ascii="Ping LCG Regular" w:hAnsi="Ping LCG Regular" w:cs="Arial"/>
          <w:spacing w:val="-14"/>
        </w:rPr>
        <w:t xml:space="preserve"> από υγρά καύσιμα</w:t>
      </w:r>
      <w:r w:rsidR="00D95CA6" w:rsidRPr="00C158D9">
        <w:rPr>
          <w:rFonts w:ascii="Ping LCG Regular" w:hAnsi="Ping LCG Regular" w:cs="Arial"/>
          <w:spacing w:val="-14"/>
        </w:rPr>
        <w:t>.</w:t>
      </w:r>
      <w:r w:rsidR="009614FF" w:rsidRPr="00C158D9">
        <w:rPr>
          <w:rFonts w:ascii="Ping LCG Regular" w:hAnsi="Ping LCG Regular" w:cs="Arial"/>
          <w:spacing w:val="-14"/>
        </w:rPr>
        <w:t xml:space="preserve"> Ειδικότερα το γ’ τρίμηνο του 2021 </w:t>
      </w:r>
      <w:r w:rsidR="000018BC" w:rsidRPr="00C158D9">
        <w:rPr>
          <w:rFonts w:ascii="Ping LCG Regular" w:hAnsi="Ping LCG Regular" w:cs="Arial"/>
          <w:spacing w:val="-14"/>
        </w:rPr>
        <w:t>η δαπάνη για υγρά καύσιμα αυξήθηκε κατά 39,4%</w:t>
      </w:r>
      <w:r w:rsidR="009C770D" w:rsidRPr="00C158D9">
        <w:rPr>
          <w:rFonts w:ascii="Ping LCG Regular" w:hAnsi="Ping LCG Regular" w:cs="Arial"/>
          <w:spacing w:val="-14"/>
        </w:rPr>
        <w:t xml:space="preserve">, ως αποτέλεσμα </w:t>
      </w:r>
      <w:r w:rsidR="001D5A4D" w:rsidRPr="00C158D9">
        <w:rPr>
          <w:rFonts w:ascii="Ping LCG Regular" w:hAnsi="Ping LCG Regular" w:cs="Arial"/>
          <w:spacing w:val="-14"/>
        </w:rPr>
        <w:t>της ακόμα μεγαλύτερης αύξησης των αντίστοιχων τιμών</w:t>
      </w:r>
      <w:r w:rsidR="008E2EA1" w:rsidRPr="00C158D9">
        <w:rPr>
          <w:rFonts w:ascii="Ping LCG Regular" w:hAnsi="Ping LCG Regular" w:cs="Arial"/>
          <w:spacing w:val="-14"/>
        </w:rPr>
        <w:t xml:space="preserve"> αλλά και της </w:t>
      </w:r>
      <w:r w:rsidR="0052397F" w:rsidRPr="00C158D9">
        <w:rPr>
          <w:rFonts w:ascii="Ping LCG Regular" w:hAnsi="Ping LCG Regular" w:cs="Arial"/>
          <w:spacing w:val="-14"/>
        </w:rPr>
        <w:t>σχετικής</w:t>
      </w:r>
      <w:r w:rsidR="008E2EA1" w:rsidRPr="00C158D9">
        <w:rPr>
          <w:rFonts w:ascii="Ping LCG Regular" w:hAnsi="Ping LCG Regular" w:cs="Arial"/>
          <w:spacing w:val="-14"/>
        </w:rPr>
        <w:t xml:space="preserve"> παραγωγής</w:t>
      </w:r>
      <w:r w:rsidR="001D5A4D" w:rsidRPr="00C158D9">
        <w:rPr>
          <w:rFonts w:ascii="Ping LCG Regular" w:hAnsi="Ping LCG Regular" w:cs="Arial"/>
          <w:spacing w:val="-14"/>
        </w:rPr>
        <w:t>.</w:t>
      </w:r>
    </w:p>
    <w:p w14:paraId="2684588F" w14:textId="77777777" w:rsidR="00A249A6" w:rsidRPr="00C158D9" w:rsidRDefault="00A249A6" w:rsidP="00A249A6">
      <w:pPr>
        <w:widowControl w:val="0"/>
        <w:autoSpaceDE w:val="0"/>
        <w:autoSpaceDN w:val="0"/>
        <w:adjustRightInd w:val="0"/>
        <w:ind w:left="284" w:right="22" w:hanging="142"/>
        <w:jc w:val="both"/>
        <w:rPr>
          <w:rFonts w:ascii="Ping LCG Regular" w:hAnsi="Ping LCG Regular" w:cs="Arial"/>
          <w:strike/>
          <w:spacing w:val="-14"/>
          <w:lang w:val="el-GR"/>
        </w:rPr>
      </w:pPr>
      <w:r w:rsidRPr="00C158D9">
        <w:rPr>
          <w:rFonts w:ascii="Ping LCG Regular" w:hAnsi="Ping LCG Regular" w:cs="Arial"/>
          <w:spacing w:val="-14"/>
          <w:lang w:val="el-GR"/>
        </w:rPr>
        <w:t xml:space="preserve"> </w:t>
      </w:r>
    </w:p>
    <w:p w14:paraId="51551DD2" w14:textId="39EB223E" w:rsidR="00F12B2B" w:rsidRPr="00C158D9" w:rsidRDefault="00A249A6" w:rsidP="00A249A6">
      <w:pPr>
        <w:widowControl w:val="0"/>
        <w:numPr>
          <w:ilvl w:val="0"/>
          <w:numId w:val="3"/>
        </w:numPr>
        <w:autoSpaceDE w:val="0"/>
        <w:autoSpaceDN w:val="0"/>
        <w:adjustRightInd w:val="0"/>
        <w:ind w:left="284" w:right="22" w:hanging="142"/>
        <w:jc w:val="both"/>
        <w:rPr>
          <w:rFonts w:ascii="Ping LCG Regular" w:hAnsi="Ping LCG Regular" w:cs="Arial"/>
          <w:spacing w:val="-14"/>
          <w:lang w:val="el-GR"/>
        </w:rPr>
      </w:pPr>
      <w:r w:rsidRPr="00C158D9">
        <w:rPr>
          <w:rFonts w:ascii="Ping LCG Regular" w:hAnsi="Ping LCG Regular" w:cs="Arial"/>
          <w:spacing w:val="-14"/>
          <w:lang w:val="el-GR"/>
        </w:rPr>
        <w:t xml:space="preserve">Η δαπάνη για φυσικό αέριο, </w:t>
      </w:r>
      <w:r w:rsidR="00EB0CE4" w:rsidRPr="00C158D9">
        <w:rPr>
          <w:rFonts w:ascii="Ping LCG Regular" w:hAnsi="Ping LCG Regular" w:cs="Arial"/>
          <w:spacing w:val="-14"/>
          <w:lang w:val="el-GR"/>
        </w:rPr>
        <w:t>αυξήθηκε</w:t>
      </w:r>
      <w:r w:rsidRPr="00C158D9">
        <w:rPr>
          <w:rFonts w:ascii="Ping LCG Regular" w:hAnsi="Ping LCG Regular" w:cs="Arial"/>
          <w:spacing w:val="-14"/>
          <w:lang w:val="el-GR"/>
        </w:rPr>
        <w:t xml:space="preserve"> σημαντικά κατά </w:t>
      </w:r>
      <w:r w:rsidR="007E21C9" w:rsidRPr="00C158D9">
        <w:rPr>
          <w:rFonts w:ascii="Ping LCG Regular" w:hAnsi="Ping LCG Regular" w:cs="Arial"/>
          <w:spacing w:val="-14"/>
          <w:lang w:val="el-GR"/>
        </w:rPr>
        <w:t>1</w:t>
      </w:r>
      <w:r w:rsidR="00BC1016" w:rsidRPr="00C158D9">
        <w:rPr>
          <w:rFonts w:ascii="Ping LCG Regular" w:hAnsi="Ping LCG Regular" w:cs="Arial"/>
          <w:spacing w:val="-14"/>
          <w:lang w:val="el-GR"/>
        </w:rPr>
        <w:t>19</w:t>
      </w:r>
      <w:r w:rsidR="007E21C9" w:rsidRPr="00C158D9">
        <w:rPr>
          <w:rFonts w:ascii="Ping LCG Regular" w:hAnsi="Ping LCG Regular" w:cs="Arial"/>
          <w:spacing w:val="-14"/>
          <w:lang w:val="el-GR"/>
        </w:rPr>
        <w:t>,</w:t>
      </w:r>
      <w:r w:rsidR="00BC1016" w:rsidRPr="00C158D9">
        <w:rPr>
          <w:rFonts w:ascii="Ping LCG Regular" w:hAnsi="Ping LCG Regular" w:cs="Arial"/>
          <w:spacing w:val="-14"/>
          <w:lang w:val="el-GR"/>
        </w:rPr>
        <w:t>8</w:t>
      </w:r>
      <w:r w:rsidRPr="00C158D9">
        <w:rPr>
          <w:rFonts w:ascii="Ping LCG Regular" w:hAnsi="Ping LCG Regular" w:cs="Arial"/>
          <w:spacing w:val="-14"/>
          <w:lang w:val="el-GR"/>
        </w:rPr>
        <w:t>% σε €</w:t>
      </w:r>
      <w:r w:rsidR="007E21C9" w:rsidRPr="00C158D9">
        <w:rPr>
          <w:rFonts w:ascii="Ping LCG Regular" w:hAnsi="Ping LCG Regular" w:cs="Arial"/>
          <w:spacing w:val="-14"/>
          <w:lang w:val="el-GR"/>
        </w:rPr>
        <w:t>4</w:t>
      </w:r>
      <w:r w:rsidR="00BC1016" w:rsidRPr="00C158D9">
        <w:rPr>
          <w:rFonts w:ascii="Ping LCG Regular" w:hAnsi="Ping LCG Regular" w:cs="Arial"/>
          <w:spacing w:val="-14"/>
          <w:lang w:val="el-GR"/>
        </w:rPr>
        <w:t>52</w:t>
      </w:r>
      <w:r w:rsidR="007E21C9" w:rsidRPr="00C158D9">
        <w:rPr>
          <w:rFonts w:ascii="Ping LCG Regular" w:hAnsi="Ping LCG Regular" w:cs="Arial"/>
          <w:spacing w:val="-14"/>
          <w:lang w:val="el-GR"/>
        </w:rPr>
        <w:t>,</w:t>
      </w:r>
      <w:r w:rsidR="00BC1016" w:rsidRPr="00C158D9">
        <w:rPr>
          <w:rFonts w:ascii="Ping LCG Regular" w:hAnsi="Ping LCG Regular" w:cs="Arial"/>
          <w:spacing w:val="-14"/>
          <w:lang w:val="el-GR"/>
        </w:rPr>
        <w:t>7</w:t>
      </w:r>
      <w:r w:rsidRPr="00C158D9">
        <w:rPr>
          <w:rFonts w:ascii="Ping LCG Regular" w:hAnsi="Ping LCG Regular" w:cs="Arial"/>
          <w:spacing w:val="-14"/>
          <w:lang w:val="el-GR"/>
        </w:rPr>
        <w:t xml:space="preserve"> εκατ. έναντι €</w:t>
      </w:r>
      <w:r w:rsidR="00B97683" w:rsidRPr="00C158D9">
        <w:rPr>
          <w:rFonts w:ascii="Ping LCG Regular" w:hAnsi="Ping LCG Regular" w:cs="Arial"/>
          <w:spacing w:val="-14"/>
          <w:lang w:val="el-GR"/>
        </w:rPr>
        <w:t>206</w:t>
      </w:r>
      <w:r w:rsidRPr="00C158D9">
        <w:rPr>
          <w:rFonts w:ascii="Ping LCG Regular" w:hAnsi="Ping LCG Regular" w:cs="Arial"/>
          <w:spacing w:val="-14"/>
          <w:lang w:val="el-GR"/>
        </w:rPr>
        <w:t xml:space="preserve"> εκατ. </w:t>
      </w:r>
      <w:r w:rsidR="001D692E" w:rsidRPr="00C158D9">
        <w:rPr>
          <w:rFonts w:ascii="Ping LCG Regular" w:hAnsi="Ping LCG Regular" w:cs="Arial"/>
          <w:spacing w:val="-14"/>
          <w:lang w:val="el-GR"/>
        </w:rPr>
        <w:t xml:space="preserve">πρωτίστως </w:t>
      </w:r>
      <w:r w:rsidRPr="00C158D9">
        <w:rPr>
          <w:rFonts w:ascii="Ping LCG Regular" w:hAnsi="Ping LCG Regular" w:cs="Arial"/>
          <w:spacing w:val="-14"/>
          <w:lang w:val="el-GR"/>
        </w:rPr>
        <w:t xml:space="preserve">λόγω </w:t>
      </w:r>
      <w:r w:rsidR="001D692E" w:rsidRPr="00C158D9">
        <w:rPr>
          <w:rFonts w:ascii="Ping LCG Regular" w:hAnsi="Ping LCG Regular" w:cs="Arial"/>
          <w:spacing w:val="-14"/>
          <w:lang w:val="el-GR"/>
        </w:rPr>
        <w:t xml:space="preserve">της </w:t>
      </w:r>
      <w:r w:rsidR="00EB0CE4" w:rsidRPr="00C158D9">
        <w:rPr>
          <w:rFonts w:ascii="Ping LCG Regular" w:hAnsi="Ping LCG Regular" w:cs="Arial"/>
          <w:spacing w:val="-14"/>
          <w:lang w:val="el-GR"/>
        </w:rPr>
        <w:t>αύξησης</w:t>
      </w:r>
      <w:r w:rsidRPr="00C158D9">
        <w:rPr>
          <w:rFonts w:ascii="Ping LCG Regular" w:hAnsi="Ping LCG Regular" w:cs="Arial"/>
          <w:spacing w:val="-14"/>
          <w:lang w:val="el-GR"/>
        </w:rPr>
        <w:t xml:space="preserve"> </w:t>
      </w:r>
      <w:r w:rsidR="007D1398" w:rsidRPr="00C158D9">
        <w:rPr>
          <w:rFonts w:ascii="Ping LCG Regular" w:hAnsi="Ping LCG Regular" w:cs="Arial"/>
          <w:spacing w:val="-14"/>
          <w:lang w:val="el-GR"/>
        </w:rPr>
        <w:t xml:space="preserve">της </w:t>
      </w:r>
      <w:r w:rsidR="001D692E" w:rsidRPr="00C158D9">
        <w:rPr>
          <w:rFonts w:ascii="Ping LCG Regular" w:hAnsi="Ping LCG Regular" w:cs="Arial"/>
          <w:spacing w:val="-14"/>
          <w:lang w:val="el-GR"/>
        </w:rPr>
        <w:t xml:space="preserve">τιμής του φυσικού αερίου κατά </w:t>
      </w:r>
      <w:r w:rsidR="008C7A61" w:rsidRPr="008C7A61">
        <w:rPr>
          <w:rFonts w:ascii="Ping LCG Regular" w:hAnsi="Ping LCG Regular" w:cs="Arial"/>
          <w:spacing w:val="-14"/>
          <w:lang w:val="el-GR"/>
        </w:rPr>
        <w:t>56</w:t>
      </w:r>
      <w:r w:rsidR="001D692E" w:rsidRPr="00C158D9">
        <w:rPr>
          <w:rFonts w:ascii="Ping LCG Regular" w:hAnsi="Ping LCG Regular" w:cs="Arial"/>
          <w:spacing w:val="-14"/>
          <w:lang w:val="el-GR"/>
        </w:rPr>
        <w:t>,</w:t>
      </w:r>
      <w:r w:rsidR="008C7A61" w:rsidRPr="008C7A61">
        <w:rPr>
          <w:rFonts w:ascii="Ping LCG Regular" w:hAnsi="Ping LCG Regular" w:cs="Arial"/>
          <w:spacing w:val="-14"/>
          <w:lang w:val="el-GR"/>
        </w:rPr>
        <w:t>1</w:t>
      </w:r>
      <w:r w:rsidR="001D692E" w:rsidRPr="00C158D9">
        <w:rPr>
          <w:rFonts w:ascii="Ping LCG Regular" w:hAnsi="Ping LCG Regular" w:cs="Arial"/>
          <w:spacing w:val="-14"/>
          <w:lang w:val="el-GR"/>
        </w:rPr>
        <w:t>% και δευτερ</w:t>
      </w:r>
      <w:r w:rsidR="00F12B2B" w:rsidRPr="00C158D9">
        <w:rPr>
          <w:rFonts w:ascii="Ping LCG Regular" w:hAnsi="Ping LCG Regular" w:cs="Arial"/>
          <w:spacing w:val="-14"/>
          <w:lang w:val="el-GR"/>
        </w:rPr>
        <w:t xml:space="preserve">ευόντως λόγω της </w:t>
      </w:r>
      <w:r w:rsidR="001D692E" w:rsidRPr="00C158D9">
        <w:rPr>
          <w:rFonts w:ascii="Ping LCG Regular" w:hAnsi="Ping LCG Regular" w:cs="Arial"/>
          <w:spacing w:val="-14"/>
          <w:lang w:val="el-GR"/>
        </w:rPr>
        <w:t xml:space="preserve"> </w:t>
      </w:r>
      <w:r w:rsidR="00F12B2B" w:rsidRPr="00C158D9">
        <w:rPr>
          <w:rFonts w:ascii="Ping LCG Regular" w:hAnsi="Ping LCG Regular" w:cs="Arial"/>
          <w:spacing w:val="-14"/>
          <w:lang w:val="el-GR"/>
        </w:rPr>
        <w:t xml:space="preserve">αυξημένης </w:t>
      </w:r>
      <w:r w:rsidR="00635D47" w:rsidRPr="00C158D9">
        <w:rPr>
          <w:rFonts w:ascii="Ping LCG Regular" w:hAnsi="Ping LCG Regular" w:cs="Arial"/>
          <w:spacing w:val="-14"/>
          <w:lang w:val="el-GR"/>
        </w:rPr>
        <w:t>παραγωγής</w:t>
      </w:r>
      <w:r w:rsidR="007D1398" w:rsidRPr="00C158D9">
        <w:rPr>
          <w:rFonts w:ascii="Ping LCG Regular" w:hAnsi="Ping LCG Regular" w:cs="Arial"/>
          <w:spacing w:val="-14"/>
          <w:lang w:val="el-GR"/>
        </w:rPr>
        <w:t xml:space="preserve"> ηλεκτρικής ενέργειας</w:t>
      </w:r>
      <w:r w:rsidR="00D95CA6" w:rsidRPr="00C158D9">
        <w:rPr>
          <w:rFonts w:ascii="Ping LCG Regular" w:hAnsi="Ping LCG Regular" w:cs="Arial"/>
          <w:spacing w:val="-14"/>
          <w:lang w:val="el-GR"/>
        </w:rPr>
        <w:t xml:space="preserve"> </w:t>
      </w:r>
      <w:r w:rsidR="00B97683" w:rsidRPr="00C158D9">
        <w:rPr>
          <w:rFonts w:ascii="Ping LCG Regular" w:hAnsi="Ping LCG Regular" w:cs="Arial"/>
          <w:spacing w:val="-14"/>
          <w:lang w:val="el-GR"/>
        </w:rPr>
        <w:t>κατά 38,2%</w:t>
      </w:r>
      <w:r w:rsidR="00F12B2B" w:rsidRPr="00C158D9">
        <w:rPr>
          <w:rFonts w:ascii="Ping LCG Regular" w:hAnsi="Ping LCG Regular" w:cs="Arial"/>
          <w:spacing w:val="-14"/>
          <w:lang w:val="el-GR"/>
        </w:rPr>
        <w:t>.</w:t>
      </w:r>
      <w:r w:rsidR="00D95CA6" w:rsidRPr="00C158D9">
        <w:rPr>
          <w:rFonts w:ascii="Ping LCG Regular" w:hAnsi="Ping LCG Regular" w:cs="Arial"/>
          <w:spacing w:val="-14"/>
          <w:lang w:val="el-GR"/>
        </w:rPr>
        <w:t xml:space="preserve"> </w:t>
      </w:r>
      <w:r w:rsidR="000018BC" w:rsidRPr="00C158D9">
        <w:rPr>
          <w:rFonts w:ascii="Ping LCG Regular" w:hAnsi="Ping LCG Regular" w:cs="Arial"/>
          <w:spacing w:val="-14"/>
          <w:lang w:val="el-GR"/>
        </w:rPr>
        <w:t xml:space="preserve">Κατά το γ’ τρίμηνο 2021 η δαπάνη για φυσικό αέριο </w:t>
      </w:r>
      <w:r w:rsidR="0098519E">
        <w:rPr>
          <w:rFonts w:ascii="Ping LCG Regular" w:hAnsi="Ping LCG Regular" w:cs="Arial"/>
          <w:spacing w:val="-14"/>
          <w:lang w:val="el-GR"/>
        </w:rPr>
        <w:t>υπερ</w:t>
      </w:r>
      <w:r w:rsidR="000018BC" w:rsidRPr="00C158D9">
        <w:rPr>
          <w:rFonts w:ascii="Ping LCG Regular" w:hAnsi="Ping LCG Regular" w:cs="Arial"/>
          <w:spacing w:val="-14"/>
          <w:lang w:val="el-GR"/>
        </w:rPr>
        <w:t>διπλασιάστηκε φτάνοντας τα €2</w:t>
      </w:r>
      <w:r w:rsidR="008F2372" w:rsidRPr="00C158D9">
        <w:rPr>
          <w:rFonts w:ascii="Ping LCG Regular" w:hAnsi="Ping LCG Regular" w:cs="Arial"/>
          <w:spacing w:val="-14"/>
          <w:lang w:val="el-GR"/>
        </w:rPr>
        <w:t>3</w:t>
      </w:r>
      <w:r w:rsidR="005942B2" w:rsidRPr="00C158D9">
        <w:rPr>
          <w:rFonts w:ascii="Ping LCG Regular" w:hAnsi="Ping LCG Regular" w:cs="Arial"/>
          <w:spacing w:val="-14"/>
          <w:lang w:val="el-GR"/>
        </w:rPr>
        <w:t>4</w:t>
      </w:r>
      <w:r w:rsidR="000018BC" w:rsidRPr="00C158D9">
        <w:rPr>
          <w:rFonts w:ascii="Ping LCG Regular" w:hAnsi="Ping LCG Regular" w:cs="Arial"/>
          <w:spacing w:val="-14"/>
          <w:lang w:val="el-GR"/>
        </w:rPr>
        <w:t>,</w:t>
      </w:r>
      <w:r w:rsidR="005942B2" w:rsidRPr="00C158D9">
        <w:rPr>
          <w:rFonts w:ascii="Ping LCG Regular" w:hAnsi="Ping LCG Regular" w:cs="Arial"/>
          <w:spacing w:val="-14"/>
          <w:lang w:val="el-GR"/>
        </w:rPr>
        <w:t>4</w:t>
      </w:r>
      <w:r w:rsidR="000018BC" w:rsidRPr="00C158D9">
        <w:rPr>
          <w:rFonts w:ascii="Ping LCG Regular" w:hAnsi="Ping LCG Regular" w:cs="Arial"/>
          <w:spacing w:val="-14"/>
          <w:lang w:val="el-GR"/>
        </w:rPr>
        <w:t xml:space="preserve"> </w:t>
      </w:r>
      <w:proofErr w:type="spellStart"/>
      <w:r w:rsidR="000018BC" w:rsidRPr="00C158D9">
        <w:rPr>
          <w:rFonts w:ascii="Ping LCG Regular" w:hAnsi="Ping LCG Regular" w:cs="Arial"/>
          <w:spacing w:val="-14"/>
          <w:lang w:val="el-GR"/>
        </w:rPr>
        <w:t>εκατ</w:t>
      </w:r>
      <w:proofErr w:type="spellEnd"/>
      <w:r w:rsidR="000018BC" w:rsidRPr="00C158D9">
        <w:rPr>
          <w:rFonts w:ascii="Ping LCG Regular" w:hAnsi="Ping LCG Regular" w:cs="Arial"/>
          <w:spacing w:val="-14"/>
          <w:lang w:val="el-GR"/>
        </w:rPr>
        <w:t xml:space="preserve"> από €93,7 </w:t>
      </w:r>
      <w:proofErr w:type="spellStart"/>
      <w:r w:rsidR="000018BC" w:rsidRPr="00C158D9">
        <w:rPr>
          <w:rFonts w:ascii="Ping LCG Regular" w:hAnsi="Ping LCG Regular" w:cs="Arial"/>
          <w:spacing w:val="-14"/>
          <w:lang w:val="el-GR"/>
        </w:rPr>
        <w:t>εκατ</w:t>
      </w:r>
      <w:proofErr w:type="spellEnd"/>
      <w:r w:rsidR="000018BC" w:rsidRPr="00C158D9">
        <w:rPr>
          <w:rFonts w:ascii="Ping LCG Regular" w:hAnsi="Ping LCG Regular" w:cs="Arial"/>
          <w:spacing w:val="-14"/>
          <w:lang w:val="el-GR"/>
        </w:rPr>
        <w:t xml:space="preserve"> το γ’ τρίμηνο 2020</w:t>
      </w:r>
      <w:r w:rsidR="006D25B5" w:rsidRPr="00C158D9">
        <w:rPr>
          <w:rFonts w:ascii="Ping LCG Regular" w:hAnsi="Ping LCG Regular" w:cs="Arial"/>
          <w:spacing w:val="-14"/>
          <w:lang w:val="el-GR"/>
        </w:rPr>
        <w:t xml:space="preserve">, </w:t>
      </w:r>
      <w:r w:rsidR="00F12B2B" w:rsidRPr="00C158D9">
        <w:rPr>
          <w:rFonts w:ascii="Ping LCG Regular" w:hAnsi="Ping LCG Regular" w:cs="Arial"/>
          <w:spacing w:val="-14"/>
          <w:lang w:val="el-GR"/>
        </w:rPr>
        <w:t>για τους ίδιους λόγους.</w:t>
      </w:r>
    </w:p>
    <w:p w14:paraId="26328F44" w14:textId="7DB01156" w:rsidR="00A249A6" w:rsidRPr="00C158D9" w:rsidRDefault="00A249A6" w:rsidP="00851841">
      <w:pPr>
        <w:jc w:val="both"/>
        <w:rPr>
          <w:rFonts w:ascii="Ping LCG Regular" w:hAnsi="Ping LCG Regular" w:cs="Arial"/>
          <w:spacing w:val="-14"/>
          <w:lang w:val="el-GR"/>
        </w:rPr>
      </w:pPr>
      <w:r w:rsidRPr="004A424A">
        <w:rPr>
          <w:rFonts w:ascii="Ping LCG Regular" w:hAnsi="Ping LCG Regular" w:cs="Arial"/>
          <w:spacing w:val="-14"/>
          <w:lang w:val="el-GR"/>
        </w:rPr>
        <w:t xml:space="preserve"> </w:t>
      </w:r>
    </w:p>
    <w:p w14:paraId="5DFCE94A" w14:textId="77887115" w:rsidR="00A249A6" w:rsidRPr="004A424A" w:rsidRDefault="00A249A6" w:rsidP="007F675C">
      <w:pPr>
        <w:widowControl w:val="0"/>
        <w:numPr>
          <w:ilvl w:val="0"/>
          <w:numId w:val="3"/>
        </w:numPr>
        <w:autoSpaceDE w:val="0"/>
        <w:autoSpaceDN w:val="0"/>
        <w:adjustRightInd w:val="0"/>
        <w:ind w:left="284" w:right="22" w:hanging="142"/>
        <w:jc w:val="both"/>
        <w:rPr>
          <w:rFonts w:ascii="Ping LCG Regular" w:hAnsi="Ping LCG Regular" w:cs="Arial"/>
          <w:spacing w:val="-14"/>
          <w:lang w:val="el-GR"/>
        </w:rPr>
      </w:pPr>
      <w:r w:rsidRPr="00C158D9">
        <w:rPr>
          <w:rFonts w:ascii="Ping LCG Regular" w:hAnsi="Ping LCG Regular" w:cs="Arial"/>
          <w:spacing w:val="-14"/>
          <w:lang w:val="el-GR"/>
        </w:rPr>
        <w:t>Η δαπάνη για αγορές ενέργειας</w:t>
      </w:r>
      <w:r w:rsidR="00500167" w:rsidRPr="00C158D9">
        <w:rPr>
          <w:rFonts w:ascii="Ping LCG Regular" w:hAnsi="Ping LCG Regular" w:cs="Arial"/>
          <w:spacing w:val="-14"/>
          <w:lang w:val="el-GR"/>
        </w:rPr>
        <w:t>,</w:t>
      </w:r>
      <w:r w:rsidR="00904859" w:rsidRPr="00C158D9">
        <w:rPr>
          <w:rFonts w:ascii="Ping LCG Regular" w:hAnsi="Ping LCG Regular" w:cs="Arial"/>
          <w:spacing w:val="-14"/>
          <w:lang w:val="el-GR"/>
        </w:rPr>
        <w:t xml:space="preserve"> </w:t>
      </w:r>
      <w:r w:rsidRPr="00C158D9">
        <w:rPr>
          <w:rFonts w:ascii="Ping LCG Regular" w:hAnsi="Ping LCG Regular" w:cs="Arial"/>
          <w:spacing w:val="-14"/>
          <w:lang w:val="el-GR"/>
        </w:rPr>
        <w:t>μειώθηκε κατά €</w:t>
      </w:r>
      <w:r w:rsidR="00B97683" w:rsidRPr="00C158D9">
        <w:rPr>
          <w:rFonts w:ascii="Ping LCG Regular" w:hAnsi="Ping LCG Regular" w:cs="Arial"/>
          <w:spacing w:val="-14"/>
          <w:lang w:val="el-GR"/>
        </w:rPr>
        <w:t>1</w:t>
      </w:r>
      <w:r w:rsidR="008F2372" w:rsidRPr="00C158D9">
        <w:rPr>
          <w:rFonts w:ascii="Ping LCG Regular" w:hAnsi="Ping LCG Regular" w:cs="Arial"/>
          <w:spacing w:val="-14"/>
          <w:lang w:val="el-GR"/>
        </w:rPr>
        <w:t>13</w:t>
      </w:r>
      <w:r w:rsidR="00B97683" w:rsidRPr="00C158D9">
        <w:rPr>
          <w:rFonts w:ascii="Ping LCG Regular" w:hAnsi="Ping LCG Regular" w:cs="Arial"/>
          <w:spacing w:val="-14"/>
          <w:lang w:val="el-GR"/>
        </w:rPr>
        <w:t>,</w:t>
      </w:r>
      <w:r w:rsidR="008F2372" w:rsidRPr="00C158D9">
        <w:rPr>
          <w:rFonts w:ascii="Ping LCG Regular" w:hAnsi="Ping LCG Regular" w:cs="Arial"/>
          <w:spacing w:val="-14"/>
          <w:lang w:val="el-GR"/>
        </w:rPr>
        <w:t>6</w:t>
      </w:r>
      <w:r w:rsidRPr="00C158D9">
        <w:rPr>
          <w:rFonts w:ascii="Ping LCG Regular" w:hAnsi="Ping LCG Regular" w:cs="Arial"/>
          <w:spacing w:val="-14"/>
          <w:lang w:val="el-GR"/>
        </w:rPr>
        <w:t xml:space="preserve"> εκατ. </w:t>
      </w:r>
      <w:r w:rsidR="00304B6F" w:rsidRPr="00C158D9">
        <w:rPr>
          <w:rFonts w:ascii="Ping LCG Regular" w:hAnsi="Ping LCG Regular" w:cs="Arial"/>
          <w:spacing w:val="-14"/>
          <w:lang w:val="el-GR"/>
        </w:rPr>
        <w:t xml:space="preserve">(-13,4%) </w:t>
      </w:r>
      <w:r w:rsidRPr="00C158D9">
        <w:rPr>
          <w:rFonts w:ascii="Ping LCG Regular" w:hAnsi="Ping LCG Regular" w:cs="Arial"/>
          <w:spacing w:val="-14"/>
          <w:lang w:val="el-GR"/>
        </w:rPr>
        <w:t>λόγω</w:t>
      </w:r>
      <w:r w:rsidR="00736421" w:rsidRPr="00C158D9">
        <w:rPr>
          <w:rFonts w:ascii="Ping LCG Regular" w:hAnsi="Ping LCG Regular" w:cs="Arial"/>
          <w:spacing w:val="-14"/>
          <w:lang w:val="el-GR"/>
        </w:rPr>
        <w:t xml:space="preserve"> του μικρότερου όγκου των αγορών ενέργειας </w:t>
      </w:r>
      <w:r w:rsidR="003E3156" w:rsidRPr="00C158D9">
        <w:rPr>
          <w:rFonts w:ascii="Ping LCG Regular" w:hAnsi="Ping LCG Regular" w:cs="Arial"/>
          <w:spacing w:val="-14"/>
          <w:lang w:val="el-GR"/>
        </w:rPr>
        <w:t>παρά</w:t>
      </w:r>
      <w:r w:rsidRPr="00C158D9">
        <w:rPr>
          <w:rFonts w:ascii="Ping LCG Regular" w:hAnsi="Ping LCG Regular" w:cs="Arial"/>
          <w:spacing w:val="-14"/>
          <w:lang w:val="el-GR"/>
        </w:rPr>
        <w:t xml:space="preserve"> τη</w:t>
      </w:r>
      <w:r w:rsidR="007D1398" w:rsidRPr="00C158D9">
        <w:rPr>
          <w:rFonts w:ascii="Ping LCG Regular" w:hAnsi="Ping LCG Regular" w:cs="Arial"/>
          <w:spacing w:val="-14"/>
          <w:lang w:val="el-GR"/>
        </w:rPr>
        <w:t>ν</w:t>
      </w:r>
      <w:r w:rsidRPr="00C158D9">
        <w:rPr>
          <w:rFonts w:ascii="Ping LCG Regular" w:hAnsi="Ping LCG Regular" w:cs="Arial"/>
          <w:spacing w:val="-14"/>
          <w:lang w:val="el-GR"/>
        </w:rPr>
        <w:t xml:space="preserve"> </w:t>
      </w:r>
      <w:r w:rsidR="00736421" w:rsidRPr="00C158D9">
        <w:rPr>
          <w:rFonts w:ascii="Ping LCG Regular" w:hAnsi="Ping LCG Regular" w:cs="Arial"/>
          <w:spacing w:val="-14"/>
          <w:lang w:val="el-GR"/>
        </w:rPr>
        <w:t>αύξηση</w:t>
      </w:r>
      <w:r w:rsidRPr="00C158D9">
        <w:rPr>
          <w:rFonts w:ascii="Ping LCG Regular" w:hAnsi="Ping LCG Regular" w:cs="Arial"/>
          <w:spacing w:val="-14"/>
          <w:lang w:val="el-GR"/>
        </w:rPr>
        <w:t xml:space="preserve"> της </w:t>
      </w:r>
      <w:r w:rsidR="00AC6FCA" w:rsidRPr="00C158D9">
        <w:rPr>
          <w:rFonts w:ascii="Ping LCG Regular" w:hAnsi="Ping LCG Regular" w:cs="Arial"/>
          <w:spacing w:val="-14"/>
          <w:lang w:val="el-GR"/>
        </w:rPr>
        <w:t>Τιμής Εκκαθάρισης Αγοράς</w:t>
      </w:r>
      <w:r w:rsidR="00DD21AB" w:rsidRPr="00C158D9">
        <w:rPr>
          <w:rFonts w:ascii="Ping LCG Regular" w:hAnsi="Ping LCG Regular" w:cs="Arial"/>
          <w:spacing w:val="-14"/>
          <w:lang w:val="el-GR"/>
        </w:rPr>
        <w:t xml:space="preserve"> (ΤΕΑ)</w:t>
      </w:r>
      <w:r w:rsidRPr="00C158D9">
        <w:rPr>
          <w:rFonts w:ascii="Ping LCG Regular" w:hAnsi="Ping LCG Regular" w:cs="Arial"/>
          <w:spacing w:val="-14"/>
          <w:lang w:val="el-GR"/>
        </w:rPr>
        <w:t xml:space="preserve"> από </w:t>
      </w:r>
      <w:r w:rsidR="00096713" w:rsidRPr="00C158D9">
        <w:rPr>
          <w:rFonts w:ascii="Ping LCG Regular" w:hAnsi="Ping LCG Regular" w:cs="Arial"/>
          <w:spacing w:val="-14"/>
          <w:lang w:val="el-GR"/>
        </w:rPr>
        <w:t>€</w:t>
      </w:r>
      <w:r w:rsidR="00885701" w:rsidRPr="00C158D9">
        <w:rPr>
          <w:rFonts w:ascii="Ping LCG Regular" w:hAnsi="Ping LCG Regular" w:cs="Arial"/>
          <w:spacing w:val="-14"/>
          <w:lang w:val="el-GR"/>
        </w:rPr>
        <w:t>42,5</w:t>
      </w:r>
      <w:r w:rsidRPr="00C158D9">
        <w:rPr>
          <w:rFonts w:ascii="Ping LCG Regular" w:hAnsi="Ping LCG Regular" w:cs="Arial"/>
          <w:spacing w:val="-14"/>
          <w:lang w:val="el-GR"/>
        </w:rPr>
        <w:t>/</w:t>
      </w:r>
      <w:proofErr w:type="spellStart"/>
      <w:r w:rsidRPr="00C158D9">
        <w:rPr>
          <w:rFonts w:ascii="Ping LCG Regular" w:hAnsi="Ping LCG Regular" w:cs="Arial"/>
          <w:spacing w:val="-14"/>
          <w:lang w:val="el-GR"/>
        </w:rPr>
        <w:t>MWh</w:t>
      </w:r>
      <w:proofErr w:type="spellEnd"/>
      <w:r w:rsidRPr="00C158D9">
        <w:rPr>
          <w:rFonts w:ascii="Ping LCG Regular" w:hAnsi="Ping LCG Regular" w:cs="Arial"/>
          <w:spacing w:val="-14"/>
          <w:lang w:val="el-GR"/>
        </w:rPr>
        <w:t xml:space="preserve"> το </w:t>
      </w:r>
      <w:r w:rsidR="00D95CA6" w:rsidRPr="00C158D9">
        <w:rPr>
          <w:rFonts w:ascii="Ping LCG Regular" w:hAnsi="Ping LCG Regular" w:cs="Arial"/>
          <w:spacing w:val="-14"/>
          <w:lang w:val="el-GR"/>
        </w:rPr>
        <w:t>ε</w:t>
      </w:r>
      <w:r w:rsidR="00B97683" w:rsidRPr="00C158D9">
        <w:rPr>
          <w:rFonts w:ascii="Ping LCG Regular" w:hAnsi="Ping LCG Regular" w:cs="Arial"/>
          <w:spacing w:val="-14"/>
          <w:lang w:val="el-GR"/>
        </w:rPr>
        <w:t>ννε</w:t>
      </w:r>
      <w:r w:rsidR="00D95CA6" w:rsidRPr="00C158D9">
        <w:rPr>
          <w:rFonts w:ascii="Ping LCG Regular" w:hAnsi="Ping LCG Regular" w:cs="Arial"/>
          <w:spacing w:val="-14"/>
          <w:lang w:val="el-GR"/>
        </w:rPr>
        <w:t>ά</w:t>
      </w:r>
      <w:r w:rsidR="00245AB3" w:rsidRPr="00C158D9">
        <w:rPr>
          <w:rFonts w:ascii="Ping LCG Regular" w:hAnsi="Ping LCG Regular" w:cs="Arial"/>
          <w:spacing w:val="-14"/>
          <w:lang w:val="el-GR"/>
        </w:rPr>
        <w:t>μηνο του 2020</w:t>
      </w:r>
      <w:r w:rsidRPr="00C158D9">
        <w:rPr>
          <w:rFonts w:ascii="Ping LCG Regular" w:hAnsi="Ping LCG Regular" w:cs="Arial"/>
          <w:spacing w:val="-14"/>
          <w:lang w:val="el-GR"/>
        </w:rPr>
        <w:t xml:space="preserve"> σε €</w:t>
      </w:r>
      <w:r w:rsidR="00885701" w:rsidRPr="00C158D9">
        <w:rPr>
          <w:rFonts w:ascii="Ping LCG Regular" w:hAnsi="Ping LCG Regular" w:cs="Arial"/>
          <w:spacing w:val="-14"/>
          <w:lang w:val="el-GR"/>
        </w:rPr>
        <w:t>81,3</w:t>
      </w:r>
      <w:r w:rsidRPr="00C158D9">
        <w:rPr>
          <w:rFonts w:ascii="Ping LCG Regular" w:hAnsi="Ping LCG Regular" w:cs="Arial"/>
          <w:spacing w:val="-14"/>
          <w:lang w:val="el-GR"/>
        </w:rPr>
        <w:t>/</w:t>
      </w:r>
      <w:proofErr w:type="spellStart"/>
      <w:r w:rsidRPr="00C158D9">
        <w:rPr>
          <w:rFonts w:ascii="Ping LCG Regular" w:hAnsi="Ping LCG Regular" w:cs="Arial"/>
          <w:spacing w:val="-14"/>
          <w:lang w:val="el-GR"/>
        </w:rPr>
        <w:t>MWh</w:t>
      </w:r>
      <w:proofErr w:type="spellEnd"/>
      <w:r w:rsidRPr="00C158D9">
        <w:rPr>
          <w:rFonts w:ascii="Ping LCG Regular" w:hAnsi="Ping LCG Regular" w:cs="Arial"/>
          <w:spacing w:val="-14"/>
          <w:lang w:val="el-GR"/>
        </w:rPr>
        <w:t xml:space="preserve"> </w:t>
      </w:r>
      <w:r w:rsidR="00635D47" w:rsidRPr="00C158D9">
        <w:rPr>
          <w:rFonts w:ascii="Ping LCG Regular" w:hAnsi="Ping LCG Regular" w:cs="Arial"/>
          <w:spacing w:val="-14"/>
          <w:lang w:val="el-GR"/>
        </w:rPr>
        <w:t>το</w:t>
      </w:r>
      <w:r w:rsidRPr="00C158D9">
        <w:rPr>
          <w:rFonts w:ascii="Ping LCG Regular" w:hAnsi="Ping LCG Regular" w:cs="Arial"/>
          <w:spacing w:val="-14"/>
          <w:lang w:val="el-GR"/>
        </w:rPr>
        <w:t xml:space="preserve"> </w:t>
      </w:r>
      <w:r w:rsidR="00D95CA6" w:rsidRPr="00C158D9">
        <w:rPr>
          <w:rFonts w:ascii="Ping LCG Regular" w:hAnsi="Ping LCG Regular" w:cs="Arial"/>
          <w:spacing w:val="-14"/>
          <w:lang w:val="el-GR"/>
        </w:rPr>
        <w:t>ε</w:t>
      </w:r>
      <w:r w:rsidR="00B97683" w:rsidRPr="00C158D9">
        <w:rPr>
          <w:rFonts w:ascii="Ping LCG Regular" w:hAnsi="Ping LCG Regular" w:cs="Arial"/>
          <w:spacing w:val="-14"/>
          <w:lang w:val="el-GR"/>
        </w:rPr>
        <w:t>ννε</w:t>
      </w:r>
      <w:r w:rsidR="00D95CA6" w:rsidRPr="00C158D9">
        <w:rPr>
          <w:rFonts w:ascii="Ping LCG Regular" w:hAnsi="Ping LCG Regular" w:cs="Arial"/>
          <w:spacing w:val="-14"/>
          <w:lang w:val="el-GR"/>
        </w:rPr>
        <w:t>άμηνο</w:t>
      </w:r>
      <w:r w:rsidR="00245AB3" w:rsidRPr="00C158D9">
        <w:rPr>
          <w:rFonts w:ascii="Ping LCG Regular" w:hAnsi="Ping LCG Regular" w:cs="Arial"/>
          <w:spacing w:val="-14"/>
          <w:lang w:val="el-GR"/>
        </w:rPr>
        <w:t xml:space="preserve"> του 2021</w:t>
      </w:r>
      <w:r w:rsidR="00736421" w:rsidRPr="00C158D9">
        <w:rPr>
          <w:rFonts w:ascii="Ping LCG Regular" w:hAnsi="Ping LCG Regular" w:cs="Arial"/>
          <w:spacing w:val="-14"/>
          <w:lang w:val="el-GR"/>
        </w:rPr>
        <w:t>.</w:t>
      </w:r>
      <w:r w:rsidR="00904859" w:rsidRPr="00C158D9">
        <w:rPr>
          <w:rFonts w:ascii="Ping LCG Regular" w:hAnsi="Ping LCG Regular" w:cs="Arial"/>
          <w:spacing w:val="-14"/>
          <w:lang w:val="el-GR"/>
        </w:rPr>
        <w:t xml:space="preserve"> </w:t>
      </w:r>
      <w:r w:rsidR="000018BC" w:rsidRPr="00C158D9">
        <w:rPr>
          <w:rFonts w:ascii="Ping LCG Regular" w:hAnsi="Ping LCG Regular" w:cs="Arial"/>
          <w:spacing w:val="-14"/>
          <w:lang w:val="el-GR"/>
        </w:rPr>
        <w:t xml:space="preserve">Ειδικότερα όμως το γ’ τρίμηνο η δαπάνη για αγορές ενέργειας σημείωσε σημαντική αύξηση κατά </w:t>
      </w:r>
      <w:r w:rsidR="00304B6F" w:rsidRPr="00C158D9">
        <w:rPr>
          <w:rFonts w:ascii="Ping LCG Regular" w:hAnsi="Ping LCG Regular" w:cs="Arial"/>
          <w:spacing w:val="-14"/>
          <w:lang w:val="el-GR"/>
        </w:rPr>
        <w:t>€77,3 εκατ. (29</w:t>
      </w:r>
      <w:r w:rsidR="000018BC" w:rsidRPr="00C158D9">
        <w:rPr>
          <w:rFonts w:ascii="Ping LCG Regular" w:hAnsi="Ping LCG Regular" w:cs="Arial"/>
          <w:spacing w:val="-14"/>
          <w:lang w:val="el-GR"/>
        </w:rPr>
        <w:t>,</w:t>
      </w:r>
      <w:r w:rsidR="00304B6F" w:rsidRPr="00C158D9">
        <w:rPr>
          <w:rFonts w:ascii="Ping LCG Regular" w:hAnsi="Ping LCG Regular" w:cs="Arial"/>
          <w:spacing w:val="-14"/>
          <w:lang w:val="el-GR"/>
        </w:rPr>
        <w:t>9</w:t>
      </w:r>
      <w:r w:rsidR="000018BC" w:rsidRPr="00C158D9">
        <w:rPr>
          <w:rFonts w:ascii="Ping LCG Regular" w:hAnsi="Ping LCG Regular" w:cs="Arial"/>
          <w:spacing w:val="-14"/>
          <w:lang w:val="el-GR"/>
        </w:rPr>
        <w:t>%</w:t>
      </w:r>
      <w:r w:rsidR="00304B6F" w:rsidRPr="00C158D9">
        <w:rPr>
          <w:rFonts w:ascii="Ping LCG Regular" w:hAnsi="Ping LCG Regular" w:cs="Arial"/>
          <w:spacing w:val="-14"/>
          <w:lang w:val="el-GR"/>
        </w:rPr>
        <w:t>)</w:t>
      </w:r>
      <w:r w:rsidR="000423CD" w:rsidRPr="00C158D9">
        <w:rPr>
          <w:rFonts w:ascii="Ping LCG Regular" w:hAnsi="Ping LCG Regular" w:cs="Arial"/>
          <w:spacing w:val="-14"/>
          <w:lang w:val="el-GR"/>
        </w:rPr>
        <w:t>, καθώς η ΤΕΑ αυξήθηκε  από €44,6/</w:t>
      </w:r>
      <w:proofErr w:type="spellStart"/>
      <w:r w:rsidR="000423CD" w:rsidRPr="00C158D9">
        <w:rPr>
          <w:rFonts w:ascii="Ping LCG Regular" w:hAnsi="Ping LCG Regular" w:cs="Arial"/>
          <w:spacing w:val="-14"/>
          <w:lang w:val="el-GR"/>
        </w:rPr>
        <w:t>MWh</w:t>
      </w:r>
      <w:proofErr w:type="spellEnd"/>
      <w:r w:rsidR="000423CD" w:rsidRPr="00C158D9">
        <w:rPr>
          <w:rFonts w:ascii="Ping LCG Regular" w:hAnsi="Ping LCG Regular" w:cs="Arial"/>
          <w:spacing w:val="-14"/>
          <w:lang w:val="el-GR"/>
        </w:rPr>
        <w:t xml:space="preserve"> το γ’ τρίμηνο του 2020 σε €119,3/</w:t>
      </w:r>
      <w:proofErr w:type="spellStart"/>
      <w:r w:rsidR="000423CD" w:rsidRPr="00C158D9">
        <w:rPr>
          <w:rFonts w:ascii="Ping LCG Regular" w:hAnsi="Ping LCG Regular" w:cs="Arial"/>
          <w:spacing w:val="-14"/>
          <w:lang w:val="el-GR"/>
        </w:rPr>
        <w:t>MWh</w:t>
      </w:r>
      <w:proofErr w:type="spellEnd"/>
      <w:r w:rsidR="000423CD" w:rsidRPr="00C158D9">
        <w:rPr>
          <w:rFonts w:ascii="Ping LCG Regular" w:hAnsi="Ping LCG Regular" w:cs="Arial"/>
          <w:spacing w:val="-14"/>
          <w:lang w:val="el-GR"/>
        </w:rPr>
        <w:t xml:space="preserve"> το γ’ τρίμηνο του 2021.</w:t>
      </w:r>
    </w:p>
    <w:p w14:paraId="44F276B7" w14:textId="77777777" w:rsidR="00FC2CF5" w:rsidRPr="00C158D9" w:rsidRDefault="00FC2CF5" w:rsidP="00FC2CF5">
      <w:pPr>
        <w:widowControl w:val="0"/>
        <w:autoSpaceDE w:val="0"/>
        <w:autoSpaceDN w:val="0"/>
        <w:adjustRightInd w:val="0"/>
        <w:ind w:right="22"/>
        <w:jc w:val="both"/>
        <w:rPr>
          <w:rFonts w:ascii="Ping LCG Regular" w:hAnsi="Ping LCG Regular" w:cs="Arial"/>
          <w:spacing w:val="-14"/>
          <w:lang w:val="el-GR"/>
        </w:rPr>
      </w:pPr>
    </w:p>
    <w:p w14:paraId="4C88369E" w14:textId="566FCC89" w:rsidR="00BC0B5F" w:rsidRPr="00B8508A" w:rsidRDefault="00A249A6" w:rsidP="007F675C">
      <w:pPr>
        <w:widowControl w:val="0"/>
        <w:numPr>
          <w:ilvl w:val="0"/>
          <w:numId w:val="3"/>
        </w:numPr>
        <w:autoSpaceDE w:val="0"/>
        <w:autoSpaceDN w:val="0"/>
        <w:adjustRightInd w:val="0"/>
        <w:ind w:left="284" w:right="22" w:hanging="142"/>
        <w:jc w:val="both"/>
        <w:rPr>
          <w:rFonts w:ascii="Ping LCG Regular" w:hAnsi="Ping LCG Regular" w:cs="Arial"/>
          <w:spacing w:val="-14"/>
          <w:lang w:val="el-GR"/>
        </w:rPr>
      </w:pPr>
      <w:r w:rsidRPr="00256E4B">
        <w:rPr>
          <w:rFonts w:ascii="Ping LCG Regular" w:hAnsi="Ping LCG Regular" w:cs="Arial"/>
          <w:spacing w:val="-14"/>
          <w:lang w:val="el-GR"/>
        </w:rPr>
        <w:t xml:space="preserve">Η δαπάνη για δικαιώματα εκπομπών </w:t>
      </w:r>
      <w:r w:rsidRPr="00256E4B">
        <w:rPr>
          <w:rFonts w:ascii="Ping LCG Regular" w:hAnsi="Ping LCG Regular" w:cs="Arial"/>
          <w:spacing w:val="-14"/>
        </w:rPr>
        <w:t>CO</w:t>
      </w:r>
      <w:r w:rsidRPr="00256E4B">
        <w:rPr>
          <w:rFonts w:ascii="Ping LCG Regular" w:hAnsi="Ping LCG Regular" w:cs="Arial"/>
          <w:spacing w:val="-14"/>
          <w:vertAlign w:val="subscript"/>
          <w:lang w:val="el-GR"/>
        </w:rPr>
        <w:t>2</w:t>
      </w:r>
      <w:r w:rsidRPr="00256E4B">
        <w:rPr>
          <w:rFonts w:ascii="Ping LCG Regular" w:hAnsi="Ping LCG Regular" w:cs="Arial"/>
          <w:spacing w:val="-14"/>
          <w:lang w:val="el-GR"/>
        </w:rPr>
        <w:t xml:space="preserve"> </w:t>
      </w:r>
      <w:r w:rsidR="00736421" w:rsidRPr="00256E4B">
        <w:rPr>
          <w:rFonts w:ascii="Ping LCG Regular" w:hAnsi="Ping LCG Regular" w:cs="Arial"/>
          <w:spacing w:val="-14"/>
          <w:lang w:val="el-GR"/>
        </w:rPr>
        <w:t xml:space="preserve">αυξήθηκε </w:t>
      </w:r>
      <w:r w:rsidRPr="00256E4B">
        <w:rPr>
          <w:rFonts w:ascii="Ping LCG Regular" w:hAnsi="Ping LCG Regular" w:cs="Arial"/>
          <w:spacing w:val="-14"/>
          <w:lang w:val="el-GR"/>
        </w:rPr>
        <w:t>σε €</w:t>
      </w:r>
      <w:bookmarkStart w:id="10" w:name="_Hlk88828554"/>
      <w:r w:rsidR="008F2372" w:rsidRPr="00256E4B">
        <w:rPr>
          <w:rFonts w:ascii="Ping LCG Regular" w:hAnsi="Ping LCG Regular" w:cs="Arial"/>
          <w:spacing w:val="-14"/>
          <w:lang w:val="el-GR"/>
        </w:rPr>
        <w:t>539</w:t>
      </w:r>
      <w:r w:rsidR="00B97683" w:rsidRPr="00256E4B">
        <w:rPr>
          <w:rFonts w:ascii="Ping LCG Regular" w:hAnsi="Ping LCG Regular" w:cs="Arial"/>
          <w:spacing w:val="-14"/>
          <w:lang w:val="el-GR"/>
        </w:rPr>
        <w:t>,</w:t>
      </w:r>
      <w:r w:rsidR="008F2372" w:rsidRPr="00256E4B">
        <w:rPr>
          <w:rFonts w:ascii="Ping LCG Regular" w:hAnsi="Ping LCG Regular" w:cs="Arial"/>
          <w:spacing w:val="-14"/>
          <w:lang w:val="el-GR"/>
        </w:rPr>
        <w:t>4</w:t>
      </w:r>
      <w:r w:rsidRPr="00256E4B">
        <w:rPr>
          <w:rFonts w:ascii="Ping LCG Regular" w:hAnsi="Ping LCG Regular" w:cs="Arial"/>
          <w:spacing w:val="-14"/>
          <w:lang w:val="el-GR"/>
        </w:rPr>
        <w:t xml:space="preserve"> </w:t>
      </w:r>
      <w:bookmarkEnd w:id="10"/>
      <w:r w:rsidRPr="00256E4B">
        <w:rPr>
          <w:rFonts w:ascii="Ping LCG Regular" w:hAnsi="Ping LCG Regular" w:cs="Arial"/>
          <w:spacing w:val="-14"/>
          <w:lang w:val="el-GR"/>
        </w:rPr>
        <w:t>εκατ. το</w:t>
      </w:r>
      <w:r w:rsidR="00736421" w:rsidRPr="00256E4B">
        <w:rPr>
          <w:rFonts w:ascii="Ping LCG Regular" w:hAnsi="Ping LCG Regular" w:cs="Arial"/>
          <w:spacing w:val="-14"/>
          <w:lang w:val="el-GR"/>
        </w:rPr>
        <w:t xml:space="preserve"> </w:t>
      </w:r>
      <w:r w:rsidR="00D95CA6" w:rsidRPr="00256E4B">
        <w:rPr>
          <w:rFonts w:ascii="Ping LCG Regular" w:hAnsi="Ping LCG Regular" w:cs="Arial"/>
          <w:spacing w:val="-14"/>
          <w:szCs w:val="26"/>
          <w:lang w:val="el-GR"/>
        </w:rPr>
        <w:t>ε</w:t>
      </w:r>
      <w:r w:rsidR="00B97683" w:rsidRPr="00256E4B">
        <w:rPr>
          <w:rFonts w:ascii="Ping LCG Regular" w:hAnsi="Ping LCG Regular" w:cs="Arial"/>
          <w:spacing w:val="-14"/>
          <w:szCs w:val="26"/>
          <w:lang w:val="el-GR"/>
        </w:rPr>
        <w:t>ννε</w:t>
      </w:r>
      <w:r w:rsidR="00D95CA6" w:rsidRPr="00256E4B">
        <w:rPr>
          <w:rFonts w:ascii="Ping LCG Regular" w:hAnsi="Ping LCG Regular" w:cs="Arial"/>
          <w:spacing w:val="-14"/>
          <w:szCs w:val="26"/>
          <w:lang w:val="el-GR"/>
        </w:rPr>
        <w:t>ά</w:t>
      </w:r>
      <w:r w:rsidR="00736421" w:rsidRPr="00256E4B">
        <w:rPr>
          <w:rFonts w:ascii="Ping LCG Regular" w:hAnsi="Ping LCG Regular" w:cs="Arial"/>
          <w:spacing w:val="-14"/>
          <w:szCs w:val="26"/>
          <w:lang w:val="el-GR"/>
        </w:rPr>
        <w:t>μηνο του 2021</w:t>
      </w:r>
      <w:r w:rsidRPr="00256E4B">
        <w:rPr>
          <w:rFonts w:ascii="Ping LCG Regular" w:hAnsi="Ping LCG Regular" w:cs="Arial"/>
          <w:spacing w:val="-14"/>
          <w:lang w:val="el-GR"/>
        </w:rPr>
        <w:t xml:space="preserve"> από €</w:t>
      </w:r>
      <w:r w:rsidR="00B97683" w:rsidRPr="00256E4B">
        <w:rPr>
          <w:rFonts w:ascii="Ping LCG Regular" w:hAnsi="Ping LCG Regular" w:cs="Arial"/>
          <w:spacing w:val="-14"/>
          <w:lang w:val="el-GR"/>
        </w:rPr>
        <w:t>2</w:t>
      </w:r>
      <w:r w:rsidR="008F2372" w:rsidRPr="00256E4B">
        <w:rPr>
          <w:rFonts w:ascii="Ping LCG Regular" w:hAnsi="Ping LCG Regular" w:cs="Arial"/>
          <w:spacing w:val="-14"/>
          <w:lang w:val="el-GR"/>
        </w:rPr>
        <w:t>63,1</w:t>
      </w:r>
      <w:r w:rsidRPr="00256E4B">
        <w:rPr>
          <w:rFonts w:ascii="Ping LCG Regular" w:hAnsi="Ping LCG Regular" w:cs="Arial"/>
          <w:spacing w:val="-14"/>
          <w:lang w:val="el-GR"/>
        </w:rPr>
        <w:t xml:space="preserve"> εκατ. το</w:t>
      </w:r>
      <w:r w:rsidR="00736421" w:rsidRPr="00256E4B">
        <w:rPr>
          <w:lang w:val="el-GR"/>
        </w:rPr>
        <w:t xml:space="preserve"> </w:t>
      </w:r>
      <w:r w:rsidR="00D95CA6" w:rsidRPr="00256E4B">
        <w:rPr>
          <w:rFonts w:ascii="Ping LCG Regular" w:hAnsi="Ping LCG Regular" w:cs="Arial"/>
          <w:spacing w:val="-14"/>
          <w:lang w:val="el-GR"/>
        </w:rPr>
        <w:t>ε</w:t>
      </w:r>
      <w:r w:rsidR="00B97683" w:rsidRPr="00256E4B">
        <w:rPr>
          <w:rFonts w:ascii="Ping LCG Regular" w:hAnsi="Ping LCG Regular" w:cs="Arial"/>
          <w:spacing w:val="-14"/>
          <w:lang w:val="el-GR"/>
        </w:rPr>
        <w:t>ννε</w:t>
      </w:r>
      <w:r w:rsidR="00D95CA6" w:rsidRPr="00256E4B">
        <w:rPr>
          <w:rFonts w:ascii="Ping LCG Regular" w:hAnsi="Ping LCG Regular" w:cs="Arial"/>
          <w:spacing w:val="-14"/>
          <w:lang w:val="el-GR"/>
        </w:rPr>
        <w:t>ά</w:t>
      </w:r>
      <w:r w:rsidR="00736421" w:rsidRPr="00256E4B">
        <w:rPr>
          <w:rFonts w:ascii="Ping LCG Regular" w:hAnsi="Ping LCG Regular" w:cs="Arial"/>
          <w:spacing w:val="-14"/>
          <w:lang w:val="el-GR"/>
        </w:rPr>
        <w:t>μηνο του 2020</w:t>
      </w:r>
      <w:r w:rsidRPr="00256E4B">
        <w:rPr>
          <w:rFonts w:ascii="Ping LCG Regular" w:hAnsi="Ping LCG Regular" w:cs="Arial"/>
          <w:spacing w:val="-14"/>
          <w:lang w:val="el-GR"/>
        </w:rPr>
        <w:t xml:space="preserve">, </w:t>
      </w:r>
      <w:r w:rsidR="001F7C40" w:rsidRPr="00256E4B">
        <w:rPr>
          <w:rFonts w:ascii="Ping LCG Regular" w:hAnsi="Ping LCG Regular" w:cs="Arial"/>
          <w:spacing w:val="-14"/>
          <w:lang w:val="el-GR"/>
        </w:rPr>
        <w:t xml:space="preserve">κυρίως </w:t>
      </w:r>
      <w:r w:rsidRPr="00256E4B">
        <w:rPr>
          <w:rFonts w:ascii="Ping LCG Regular" w:hAnsi="Ping LCG Regular" w:cs="Arial"/>
          <w:spacing w:val="-14"/>
          <w:lang w:val="el-GR"/>
        </w:rPr>
        <w:t xml:space="preserve">λόγω </w:t>
      </w:r>
      <w:r w:rsidR="002868CC" w:rsidRPr="00256E4B">
        <w:rPr>
          <w:rFonts w:ascii="Ping LCG Regular" w:hAnsi="Ping LCG Regular" w:cs="Arial"/>
          <w:spacing w:val="-14"/>
          <w:lang w:val="el-GR"/>
        </w:rPr>
        <w:t xml:space="preserve">της </w:t>
      </w:r>
      <w:r w:rsidRPr="00256E4B">
        <w:rPr>
          <w:rFonts w:ascii="Ping LCG Regular" w:hAnsi="Ping LCG Regular" w:cs="Arial"/>
          <w:spacing w:val="-14"/>
          <w:lang w:val="el-GR"/>
        </w:rPr>
        <w:t>αύξηση</w:t>
      </w:r>
      <w:r w:rsidR="001F7C40" w:rsidRPr="00256E4B">
        <w:rPr>
          <w:rFonts w:ascii="Ping LCG Regular" w:hAnsi="Ping LCG Regular" w:cs="Arial"/>
          <w:spacing w:val="-14"/>
          <w:lang w:val="el-GR"/>
        </w:rPr>
        <w:t>ς</w:t>
      </w:r>
      <w:r w:rsidR="008A75AF" w:rsidRPr="00256E4B">
        <w:rPr>
          <w:rFonts w:ascii="Ping LCG Regular" w:hAnsi="Ping LCG Regular" w:cs="Arial"/>
          <w:spacing w:val="-14"/>
          <w:lang w:val="el-GR"/>
        </w:rPr>
        <w:t xml:space="preserve"> </w:t>
      </w:r>
      <w:r w:rsidRPr="00256E4B">
        <w:rPr>
          <w:rFonts w:ascii="Ping LCG Regular" w:hAnsi="Ping LCG Regular" w:cs="Arial"/>
          <w:spacing w:val="-14"/>
          <w:lang w:val="el-GR"/>
        </w:rPr>
        <w:t xml:space="preserve"> της μέσης τιμής δικαιωμάτων εκπομπών </w:t>
      </w:r>
      <w:r w:rsidRPr="00256E4B">
        <w:rPr>
          <w:rFonts w:ascii="Ping LCG Regular" w:hAnsi="Ping LCG Regular" w:cs="Arial"/>
          <w:spacing w:val="-14"/>
        </w:rPr>
        <w:t>CO</w:t>
      </w:r>
      <w:r w:rsidRPr="00256E4B">
        <w:rPr>
          <w:rFonts w:ascii="Ping LCG Regular" w:hAnsi="Ping LCG Regular" w:cs="Arial"/>
          <w:spacing w:val="-14"/>
          <w:vertAlign w:val="subscript"/>
          <w:lang w:val="el-GR"/>
        </w:rPr>
        <w:t>2</w:t>
      </w:r>
      <w:r w:rsidRPr="00256E4B">
        <w:rPr>
          <w:rFonts w:ascii="Ping LCG Regular" w:hAnsi="Ping LCG Regular" w:cs="Arial"/>
          <w:spacing w:val="-14"/>
          <w:lang w:val="el-GR"/>
        </w:rPr>
        <w:t xml:space="preserve"> </w:t>
      </w:r>
      <w:r w:rsidRPr="00256E4B">
        <w:rPr>
          <w:rFonts w:ascii="Ping LCG Regular" w:hAnsi="Ping LCG Regular" w:cs="Arial"/>
          <w:spacing w:val="-14"/>
          <w:lang w:val="el-GR"/>
        </w:rPr>
        <w:lastRenderedPageBreak/>
        <w:t>από €</w:t>
      </w:r>
      <w:r w:rsidR="005942B2" w:rsidRPr="00256E4B">
        <w:rPr>
          <w:rFonts w:ascii="Ping LCG Regular" w:hAnsi="Ping LCG Regular" w:cs="Arial"/>
          <w:spacing w:val="-14"/>
          <w:lang w:val="el-GR"/>
        </w:rPr>
        <w:t>24,3</w:t>
      </w:r>
      <w:r w:rsidRPr="00256E4B">
        <w:rPr>
          <w:rFonts w:ascii="Ping LCG Regular" w:hAnsi="Ping LCG Regular" w:cs="Arial"/>
          <w:spacing w:val="-14"/>
          <w:lang w:val="el-GR"/>
        </w:rPr>
        <w:t>/τόνο σε €</w:t>
      </w:r>
      <w:r w:rsidR="005942B2" w:rsidRPr="00256E4B">
        <w:rPr>
          <w:rFonts w:ascii="Ping LCG Regular" w:hAnsi="Ping LCG Regular" w:cs="Arial"/>
          <w:spacing w:val="-14"/>
          <w:lang w:val="el-GR"/>
        </w:rPr>
        <w:t>44,3</w:t>
      </w:r>
      <w:r w:rsidRPr="00256E4B">
        <w:rPr>
          <w:rFonts w:ascii="Ping LCG Regular" w:hAnsi="Ping LCG Regular" w:cs="Arial"/>
          <w:spacing w:val="-14"/>
          <w:lang w:val="el-GR"/>
        </w:rPr>
        <w:t>/τόνο</w:t>
      </w:r>
      <w:r w:rsidR="001C4046" w:rsidRPr="00256E4B">
        <w:rPr>
          <w:rFonts w:ascii="Ping LCG Regular" w:hAnsi="Ping LCG Regular" w:cs="Arial"/>
          <w:spacing w:val="-14"/>
          <w:lang w:val="el-GR"/>
        </w:rPr>
        <w:t xml:space="preserve"> </w:t>
      </w:r>
      <w:r w:rsidR="001F7C40" w:rsidRPr="00256E4B">
        <w:rPr>
          <w:rFonts w:ascii="Ping LCG Regular" w:hAnsi="Ping LCG Regular" w:cs="Arial"/>
          <w:spacing w:val="-14"/>
          <w:lang w:val="el-GR"/>
        </w:rPr>
        <w:t xml:space="preserve">και </w:t>
      </w:r>
      <w:r w:rsidR="001F7C40" w:rsidRPr="004A424A">
        <w:rPr>
          <w:rFonts w:ascii="Ping LCG Regular" w:hAnsi="Ping LCG Regular" w:cs="Arial"/>
          <w:spacing w:val="-14"/>
          <w:lang w:val="el-GR"/>
        </w:rPr>
        <w:t xml:space="preserve">σε λιγότερο βαθμό λόγω </w:t>
      </w:r>
      <w:r w:rsidR="001C4046" w:rsidRPr="00C158D9">
        <w:rPr>
          <w:rFonts w:ascii="Ping LCG Regular" w:hAnsi="Ping LCG Regular" w:cs="Arial"/>
          <w:spacing w:val="-14"/>
          <w:lang w:val="el-GR"/>
        </w:rPr>
        <w:t xml:space="preserve"> της αύξησης τ</w:t>
      </w:r>
      <w:r w:rsidR="003E3156" w:rsidRPr="00C158D9">
        <w:rPr>
          <w:rFonts w:ascii="Ping LCG Regular" w:hAnsi="Ping LCG Regular" w:cs="Arial"/>
          <w:spacing w:val="-14"/>
          <w:lang w:val="el-GR"/>
        </w:rPr>
        <w:t xml:space="preserve">ων ποσοτήτων </w:t>
      </w:r>
      <w:r w:rsidR="003E3156" w:rsidRPr="00C158D9">
        <w:rPr>
          <w:rFonts w:ascii="Ping LCG Regular" w:hAnsi="Ping LCG Regular" w:cs="Arial"/>
          <w:spacing w:val="-14"/>
        </w:rPr>
        <w:t>CO</w:t>
      </w:r>
      <w:r w:rsidR="003E3156" w:rsidRPr="00C158D9">
        <w:rPr>
          <w:rFonts w:ascii="Ping LCG Regular" w:hAnsi="Ping LCG Regular" w:cs="Arial"/>
          <w:spacing w:val="-14"/>
          <w:vertAlign w:val="subscript"/>
          <w:lang w:val="el-GR"/>
        </w:rPr>
        <w:t>2</w:t>
      </w:r>
      <w:r w:rsidR="003E3156" w:rsidRPr="00C158D9">
        <w:rPr>
          <w:rFonts w:ascii="Ping LCG Regular" w:hAnsi="Ping LCG Regular" w:cs="Arial"/>
          <w:spacing w:val="-14"/>
          <w:lang w:val="el-GR"/>
        </w:rPr>
        <w:t xml:space="preserve"> κατά </w:t>
      </w:r>
      <w:r w:rsidR="00B872F8" w:rsidRPr="00C158D9">
        <w:rPr>
          <w:rFonts w:ascii="Ping LCG Regular" w:hAnsi="Ping LCG Regular" w:cs="Arial"/>
          <w:spacing w:val="-14"/>
          <w:lang w:val="el-GR"/>
        </w:rPr>
        <w:t>12,1</w:t>
      </w:r>
      <w:r w:rsidR="003E3156" w:rsidRPr="00C158D9">
        <w:rPr>
          <w:rFonts w:ascii="Ping LCG Regular" w:hAnsi="Ping LCG Regular" w:cs="Arial"/>
          <w:spacing w:val="-14"/>
          <w:lang w:val="el-GR"/>
        </w:rPr>
        <w:t>%</w:t>
      </w:r>
      <w:r w:rsidR="00B872F8" w:rsidRPr="00C158D9">
        <w:rPr>
          <w:rFonts w:ascii="Ping LCG Regular" w:hAnsi="Ping LCG Regular" w:cs="Arial"/>
          <w:spacing w:val="-14"/>
          <w:lang w:val="el-GR"/>
        </w:rPr>
        <w:t xml:space="preserve"> </w:t>
      </w:r>
      <w:r w:rsidR="001D0DAC" w:rsidRPr="00C158D9">
        <w:rPr>
          <w:rFonts w:ascii="Ping LCG Regular" w:hAnsi="Ping LCG Regular" w:cs="Arial"/>
          <w:spacing w:val="-14"/>
          <w:lang w:val="el-GR"/>
        </w:rPr>
        <w:t>σε 12,2 εκατ. τόνους</w:t>
      </w:r>
      <w:r w:rsidR="00BC0B5F" w:rsidRPr="00C158D9">
        <w:rPr>
          <w:rFonts w:ascii="Ping LCG Regular" w:hAnsi="Ping LCG Regular" w:cs="Arial"/>
          <w:spacing w:val="-14"/>
          <w:lang w:val="el-GR"/>
        </w:rPr>
        <w:t xml:space="preserve">. </w:t>
      </w:r>
      <w:r w:rsidR="000018BC" w:rsidRPr="00C158D9">
        <w:rPr>
          <w:rFonts w:ascii="Ping LCG Regular" w:hAnsi="Ping LCG Regular" w:cs="Arial"/>
          <w:spacing w:val="-14"/>
          <w:lang w:val="el-GR"/>
        </w:rPr>
        <w:t xml:space="preserve">Ειδικά το γ’ τρίμηνο 2021 η δαπάνη για δικαιώματα εκπομπών </w:t>
      </w:r>
      <w:r w:rsidR="000018BC" w:rsidRPr="00C158D9">
        <w:rPr>
          <w:rFonts w:ascii="Ping LCG Regular" w:hAnsi="Ping LCG Regular" w:cs="Arial"/>
          <w:spacing w:val="-14"/>
        </w:rPr>
        <w:t>CO</w:t>
      </w:r>
      <w:r w:rsidR="000018BC" w:rsidRPr="00C158D9">
        <w:rPr>
          <w:rFonts w:ascii="Ping LCG Regular" w:hAnsi="Ping LCG Regular" w:cs="Arial"/>
          <w:spacing w:val="-14"/>
          <w:vertAlign w:val="subscript"/>
          <w:lang w:val="el-GR"/>
        </w:rPr>
        <w:t>2</w:t>
      </w:r>
      <w:r w:rsidR="000018BC" w:rsidRPr="00C158D9">
        <w:rPr>
          <w:rFonts w:ascii="Ping LCG Regular" w:hAnsi="Ping LCG Regular" w:cs="Arial"/>
          <w:spacing w:val="-14"/>
          <w:lang w:val="el-GR"/>
        </w:rPr>
        <w:t xml:space="preserve"> αυξήθηκε κατά 163,9% </w:t>
      </w:r>
      <w:r w:rsidR="000018BC" w:rsidRPr="00B8508A">
        <w:rPr>
          <w:rFonts w:ascii="Ping LCG Regular" w:hAnsi="Ping LCG Regular" w:cs="Arial"/>
          <w:spacing w:val="-14"/>
          <w:lang w:val="el-GR"/>
        </w:rPr>
        <w:t>σε €242,5 εκατ. από €91,9 εκατ. το γ’ τρίμηνο 2020.</w:t>
      </w:r>
    </w:p>
    <w:p w14:paraId="31B25CBD" w14:textId="60FB8DFF" w:rsidR="00C368A0" w:rsidRPr="00B8508A" w:rsidRDefault="00C368A0" w:rsidP="00C368A0">
      <w:pPr>
        <w:widowControl w:val="0"/>
        <w:autoSpaceDE w:val="0"/>
        <w:autoSpaceDN w:val="0"/>
        <w:adjustRightInd w:val="0"/>
        <w:ind w:right="22"/>
        <w:jc w:val="both"/>
        <w:rPr>
          <w:rFonts w:ascii="Ping LCG Regular" w:hAnsi="Ping LCG Regular" w:cs="Arial"/>
          <w:spacing w:val="-14"/>
          <w:lang w:val="el-GR"/>
        </w:rPr>
      </w:pPr>
    </w:p>
    <w:p w14:paraId="7075CD4E" w14:textId="77777777" w:rsidR="000E2981" w:rsidRPr="00C158D9" w:rsidRDefault="008C254D" w:rsidP="000E2981">
      <w:pPr>
        <w:widowControl w:val="0"/>
        <w:autoSpaceDE w:val="0"/>
        <w:autoSpaceDN w:val="0"/>
        <w:adjustRightInd w:val="0"/>
        <w:ind w:right="22"/>
        <w:jc w:val="both"/>
        <w:rPr>
          <w:rFonts w:ascii="Ping LCG Regular" w:hAnsi="Ping LCG Regular" w:cs="Arial"/>
          <w:spacing w:val="-14"/>
          <w:lang w:val="el-GR"/>
        </w:rPr>
      </w:pPr>
      <w:bookmarkStart w:id="11" w:name="_Hlk88922406"/>
      <w:r w:rsidRPr="00605E8C">
        <w:rPr>
          <w:rFonts w:ascii="Ping LCG Regular" w:hAnsi="Ping LCG Regular" w:cs="Arial"/>
          <w:spacing w:val="-14"/>
          <w:lang w:val="el-GR"/>
        </w:rPr>
        <w:t>Στις δαπάνες για φυσικό αέριο και αγορές ενέργειας</w:t>
      </w:r>
      <w:r w:rsidR="000E2981" w:rsidRPr="00605E8C">
        <w:rPr>
          <w:rFonts w:ascii="Ping LCG Regular" w:hAnsi="Ping LCG Regular" w:cs="Arial"/>
          <w:spacing w:val="-14"/>
          <w:lang w:val="el-GR"/>
        </w:rPr>
        <w:t xml:space="preserve"> έχει συνυπολογισθεί και η θετική επίπτωση από τη</w:t>
      </w:r>
      <w:r w:rsidR="005336C9" w:rsidRPr="00605E8C">
        <w:rPr>
          <w:rFonts w:ascii="Ping LCG Regular" w:hAnsi="Ping LCG Regular" w:cs="Arial"/>
          <w:spacing w:val="-14"/>
          <w:lang w:val="el-GR"/>
        </w:rPr>
        <w:t xml:space="preserve"> διενέργεια  πράξεων για την αντιστάθμιση του κινδύνου της διακύμανσης των τιμών</w:t>
      </w:r>
      <w:r w:rsidR="000E2981" w:rsidRPr="00605E8C">
        <w:rPr>
          <w:rFonts w:ascii="Ping LCG Regular" w:hAnsi="Ping LCG Regular" w:cs="Arial"/>
          <w:spacing w:val="-14"/>
          <w:lang w:val="el-GR"/>
        </w:rPr>
        <w:t>.</w:t>
      </w:r>
    </w:p>
    <w:bookmarkEnd w:id="11"/>
    <w:p w14:paraId="70F5D1D3" w14:textId="77777777" w:rsidR="00D43C71" w:rsidRPr="00256E4B" w:rsidRDefault="00D43C71" w:rsidP="00256E4B">
      <w:pPr>
        <w:widowControl w:val="0"/>
        <w:autoSpaceDE w:val="0"/>
        <w:autoSpaceDN w:val="0"/>
        <w:adjustRightInd w:val="0"/>
        <w:ind w:right="22"/>
        <w:jc w:val="both"/>
        <w:rPr>
          <w:rFonts w:ascii="Ping LCG Regular" w:hAnsi="Ping LCG Regular" w:cs="Arial"/>
          <w:spacing w:val="-14"/>
          <w:lang w:val="el-GR"/>
        </w:rPr>
      </w:pPr>
    </w:p>
    <w:p w14:paraId="7EB7821C" w14:textId="77777777" w:rsidR="009C7DD4" w:rsidRPr="003E5B66" w:rsidRDefault="009C7DD4" w:rsidP="00465824">
      <w:pPr>
        <w:widowControl w:val="0"/>
        <w:autoSpaceDE w:val="0"/>
        <w:autoSpaceDN w:val="0"/>
        <w:adjustRightInd w:val="0"/>
        <w:ind w:left="1" w:right="18"/>
        <w:rPr>
          <w:rFonts w:ascii="Ping LCG Regular" w:hAnsi="Ping LCG Regular" w:cs="Arial"/>
          <w:bCs/>
          <w:spacing w:val="-14"/>
          <w:szCs w:val="26"/>
          <w:u w:val="single"/>
          <w:lang w:val="el-GR"/>
        </w:rPr>
      </w:pPr>
      <w:bookmarkStart w:id="12" w:name="_Hlk69124916"/>
      <w:bookmarkStart w:id="13" w:name="_Hlk68249890"/>
      <w:bookmarkStart w:id="14" w:name="_Hlk72363281"/>
      <w:bookmarkStart w:id="15" w:name="_Hlk88594200"/>
      <w:bookmarkStart w:id="16" w:name="_Hlk81171604"/>
      <w:r w:rsidRPr="003E5B66">
        <w:rPr>
          <w:rFonts w:ascii="Ping LCG Regular" w:hAnsi="Ping LCG Regular" w:cs="Arial"/>
          <w:bCs/>
          <w:spacing w:val="-14"/>
          <w:szCs w:val="26"/>
          <w:u w:val="single"/>
          <w:lang w:val="el-GR"/>
        </w:rPr>
        <w:t xml:space="preserve">Δαπάνες Μισθοδοσίας  </w:t>
      </w:r>
    </w:p>
    <w:p w14:paraId="6107712B" w14:textId="77777777" w:rsidR="009C7DD4" w:rsidRPr="003E5B66" w:rsidRDefault="009C7DD4" w:rsidP="009C7DD4">
      <w:pPr>
        <w:pStyle w:val="ListParagraph"/>
        <w:rPr>
          <w:rFonts w:ascii="Ping LCG Regular" w:eastAsiaTheme="minorHAnsi" w:hAnsi="Ping LCG Regular" w:cs="Arial"/>
          <w:bCs/>
          <w:spacing w:val="-14"/>
          <w:szCs w:val="26"/>
          <w:lang w:eastAsia="en-US"/>
        </w:rPr>
      </w:pPr>
      <w:r w:rsidRPr="003E5B66">
        <w:rPr>
          <w:rFonts w:ascii="Ping LCG Regular" w:eastAsiaTheme="minorHAnsi" w:hAnsi="Ping LCG Regular" w:cs="Arial"/>
          <w:bCs/>
          <w:spacing w:val="-14"/>
          <w:szCs w:val="26"/>
          <w:lang w:eastAsia="en-US"/>
        </w:rPr>
        <w:t xml:space="preserve"> </w:t>
      </w:r>
    </w:p>
    <w:p w14:paraId="378B832D" w14:textId="7E58B9BE" w:rsidR="00B20086" w:rsidRPr="00B26EE8" w:rsidRDefault="003E5B66" w:rsidP="00A249A6">
      <w:pPr>
        <w:widowControl w:val="0"/>
        <w:autoSpaceDE w:val="0"/>
        <w:autoSpaceDN w:val="0"/>
        <w:adjustRightInd w:val="0"/>
        <w:ind w:right="20"/>
        <w:jc w:val="both"/>
        <w:rPr>
          <w:rFonts w:ascii="Ping LCG Regular" w:hAnsi="Ping LCG Regular" w:cs="Arial"/>
          <w:bCs/>
          <w:spacing w:val="-14"/>
          <w:szCs w:val="26"/>
          <w:highlight w:val="yellow"/>
          <w:lang w:val="el-GR"/>
        </w:rPr>
      </w:pPr>
      <w:bookmarkStart w:id="17" w:name="_Hlk88594025"/>
      <w:bookmarkEnd w:id="12"/>
      <w:bookmarkEnd w:id="13"/>
      <w:bookmarkEnd w:id="14"/>
      <w:r w:rsidRPr="003E5B66">
        <w:rPr>
          <w:rFonts w:ascii="Ping LCG Regular" w:hAnsi="Ping LCG Regular" w:cs="Arial"/>
          <w:bCs/>
          <w:spacing w:val="-14"/>
          <w:szCs w:val="26"/>
          <w:lang w:val="el-GR"/>
        </w:rPr>
        <w:t xml:space="preserve">Η δαπάνη μισθοδοσίας χωρίς τις εφάπαξ επιπτώσεις, μειώθηκε κατά €36,5 εκατ. σε €482,7 εκατ. το εννεάμηνο 2021 από €519,2 εκατ. το εννεάμηνο 2020. Η μείωση αυτή οφείλεται κυρίως σε αποχωρήσεις τακτικού προσωπικού λόγω συνταξιοδότησης (μείωση προσωπικού κατά 1.173 εργαζόμενους από 14.276 εργαζόμενους στο τέλος του </w:t>
      </w:r>
      <w:proofErr w:type="spellStart"/>
      <w:r w:rsidRPr="003E5B66">
        <w:rPr>
          <w:rFonts w:ascii="Ping LCG Regular" w:hAnsi="Ping LCG Regular" w:cs="Arial"/>
          <w:bCs/>
          <w:spacing w:val="-14"/>
          <w:szCs w:val="26"/>
          <w:lang w:val="el-GR"/>
        </w:rPr>
        <w:t>εννεαμήνου</w:t>
      </w:r>
      <w:proofErr w:type="spellEnd"/>
      <w:r w:rsidRPr="003E5B66">
        <w:rPr>
          <w:rFonts w:ascii="Ping LCG Regular" w:hAnsi="Ping LCG Regular" w:cs="Arial"/>
          <w:bCs/>
          <w:spacing w:val="-14"/>
          <w:szCs w:val="26"/>
          <w:lang w:val="el-GR"/>
        </w:rPr>
        <w:t xml:space="preserve"> 2020 σε 13.103 εργαζομένους στο τέλος του </w:t>
      </w:r>
      <w:proofErr w:type="spellStart"/>
      <w:r w:rsidRPr="003E5B66">
        <w:rPr>
          <w:rFonts w:ascii="Ping LCG Regular" w:hAnsi="Ping LCG Regular" w:cs="Arial"/>
          <w:bCs/>
          <w:spacing w:val="-14"/>
          <w:szCs w:val="26"/>
          <w:lang w:val="el-GR"/>
        </w:rPr>
        <w:t>εννεαμήνου</w:t>
      </w:r>
      <w:proofErr w:type="spellEnd"/>
      <w:r w:rsidRPr="003E5B66">
        <w:rPr>
          <w:rFonts w:ascii="Ping LCG Regular" w:hAnsi="Ping LCG Regular" w:cs="Arial"/>
          <w:bCs/>
          <w:spacing w:val="-14"/>
          <w:szCs w:val="26"/>
          <w:lang w:val="el-GR"/>
        </w:rPr>
        <w:t xml:space="preserve"> 2021). Συμπεριλαμβανομένης και της μισθοδοσίας που κεφαλαιοποιείται, τα μεγέθη διαμορφώθηκαν σε €490,3 εκατ. το εννεάμηνο 2021 από €559,6 εκατ. το εννεάμηνο 2020.</w:t>
      </w:r>
    </w:p>
    <w:bookmarkEnd w:id="15"/>
    <w:bookmarkEnd w:id="17"/>
    <w:p w14:paraId="3704ED1B" w14:textId="2929C53B" w:rsidR="00A019E6" w:rsidRPr="00B26EE8" w:rsidRDefault="00A019E6" w:rsidP="00A249A6">
      <w:pPr>
        <w:widowControl w:val="0"/>
        <w:autoSpaceDE w:val="0"/>
        <w:autoSpaceDN w:val="0"/>
        <w:adjustRightInd w:val="0"/>
        <w:ind w:right="20"/>
        <w:jc w:val="both"/>
        <w:rPr>
          <w:rFonts w:ascii="Ping LCG Regular" w:hAnsi="Ping LCG Regular" w:cs="Arial"/>
          <w:bCs/>
          <w:spacing w:val="-14"/>
          <w:szCs w:val="26"/>
          <w:highlight w:val="yellow"/>
          <w:lang w:val="el-GR"/>
        </w:rPr>
      </w:pPr>
    </w:p>
    <w:p w14:paraId="7C6890F8" w14:textId="12CF59B3" w:rsidR="00A019E6" w:rsidRPr="0081653C" w:rsidRDefault="00A019E6" w:rsidP="00A019E6">
      <w:pPr>
        <w:widowControl w:val="0"/>
        <w:autoSpaceDE w:val="0"/>
        <w:autoSpaceDN w:val="0"/>
        <w:adjustRightInd w:val="0"/>
        <w:ind w:left="1" w:right="18"/>
        <w:rPr>
          <w:rFonts w:ascii="Ping LCG Regular" w:hAnsi="Ping LCG Regular" w:cs="Arial"/>
          <w:bCs/>
          <w:spacing w:val="-14"/>
          <w:szCs w:val="26"/>
          <w:u w:val="single"/>
          <w:lang w:val="el-GR"/>
        </w:rPr>
      </w:pPr>
      <w:r w:rsidRPr="0081653C">
        <w:rPr>
          <w:rFonts w:ascii="Ping LCG Regular" w:hAnsi="Ping LCG Regular" w:cs="Arial"/>
          <w:bCs/>
          <w:spacing w:val="-14"/>
          <w:szCs w:val="26"/>
          <w:u w:val="single"/>
          <w:lang w:val="el-GR"/>
        </w:rPr>
        <w:t>Προβλέψεις</w:t>
      </w:r>
    </w:p>
    <w:p w14:paraId="37B0D68F" w14:textId="77777777" w:rsidR="00A019E6" w:rsidRPr="0081653C" w:rsidRDefault="00A019E6" w:rsidP="00A019E6">
      <w:pPr>
        <w:widowControl w:val="0"/>
        <w:autoSpaceDE w:val="0"/>
        <w:autoSpaceDN w:val="0"/>
        <w:adjustRightInd w:val="0"/>
        <w:ind w:right="20"/>
        <w:jc w:val="both"/>
        <w:rPr>
          <w:rFonts w:ascii="Ping LCG Regular" w:hAnsi="Ping LCG Regular" w:cs="Arial"/>
          <w:b/>
          <w:spacing w:val="-14"/>
          <w:szCs w:val="26"/>
          <w:lang w:val="el-GR"/>
        </w:rPr>
      </w:pPr>
    </w:p>
    <w:p w14:paraId="69B70E21" w14:textId="5ECE8CF8" w:rsidR="00570F84" w:rsidRPr="0081653C" w:rsidRDefault="00A019E6" w:rsidP="00BE156D">
      <w:pPr>
        <w:widowControl w:val="0"/>
        <w:autoSpaceDE w:val="0"/>
        <w:autoSpaceDN w:val="0"/>
        <w:adjustRightInd w:val="0"/>
        <w:ind w:right="20"/>
        <w:jc w:val="both"/>
        <w:rPr>
          <w:rFonts w:ascii="Ping LCG Regular" w:hAnsi="Ping LCG Regular" w:cs="Arial"/>
          <w:bCs/>
          <w:spacing w:val="-14"/>
          <w:szCs w:val="26"/>
          <w:lang w:val="el-GR"/>
        </w:rPr>
      </w:pPr>
      <w:r w:rsidRPr="0081653C">
        <w:rPr>
          <w:rFonts w:ascii="Ping LCG Regular" w:hAnsi="Ping LCG Regular" w:cs="Arial"/>
          <w:bCs/>
          <w:spacing w:val="-14"/>
          <w:szCs w:val="26"/>
          <w:lang w:val="el-GR"/>
        </w:rPr>
        <w:t>Το ε</w:t>
      </w:r>
      <w:r w:rsidR="00B97683" w:rsidRPr="0081653C">
        <w:rPr>
          <w:rFonts w:ascii="Ping LCG Regular" w:hAnsi="Ping LCG Regular" w:cs="Arial"/>
          <w:bCs/>
          <w:spacing w:val="-14"/>
          <w:szCs w:val="26"/>
          <w:lang w:val="el-GR"/>
        </w:rPr>
        <w:t>ννε</w:t>
      </w:r>
      <w:r w:rsidRPr="0081653C">
        <w:rPr>
          <w:rFonts w:ascii="Ping LCG Regular" w:hAnsi="Ping LCG Regular" w:cs="Arial"/>
          <w:bCs/>
          <w:spacing w:val="-14"/>
          <w:szCs w:val="26"/>
          <w:lang w:val="el-GR"/>
        </w:rPr>
        <w:t>άμηνο του 2021  καταγράφηκε αντιστροφή των προβλέψεων για επισφαλείς απαιτήσεις πελατών ύψους € 1</w:t>
      </w:r>
      <w:r w:rsidR="00965E00" w:rsidRPr="00965E00">
        <w:rPr>
          <w:rFonts w:ascii="Ping LCG Regular" w:hAnsi="Ping LCG Regular" w:cs="Arial"/>
          <w:bCs/>
          <w:spacing w:val="-14"/>
          <w:szCs w:val="26"/>
          <w:lang w:val="el-GR"/>
        </w:rPr>
        <w:t>49</w:t>
      </w:r>
      <w:r w:rsidR="00965E00">
        <w:rPr>
          <w:rFonts w:ascii="Ping LCG Regular" w:hAnsi="Ping LCG Regular" w:cs="Arial"/>
          <w:bCs/>
          <w:spacing w:val="-14"/>
          <w:szCs w:val="26"/>
          <w:lang w:val="el-GR"/>
        </w:rPr>
        <w:t>,</w:t>
      </w:r>
      <w:r w:rsidR="00965E00" w:rsidRPr="00965E00">
        <w:rPr>
          <w:rFonts w:ascii="Ping LCG Regular" w:hAnsi="Ping LCG Regular" w:cs="Arial"/>
          <w:bCs/>
          <w:spacing w:val="-14"/>
          <w:szCs w:val="26"/>
          <w:lang w:val="el-GR"/>
        </w:rPr>
        <w:t xml:space="preserve">7 </w:t>
      </w:r>
      <w:r w:rsidR="00965E00">
        <w:rPr>
          <w:rFonts w:ascii="Ping LCG Regular" w:hAnsi="Ping LCG Regular" w:cs="Arial"/>
          <w:bCs/>
          <w:spacing w:val="-14"/>
          <w:szCs w:val="26"/>
          <w:lang w:val="el-GR"/>
        </w:rPr>
        <w:t>ε</w:t>
      </w:r>
      <w:r w:rsidRPr="0081653C">
        <w:rPr>
          <w:rFonts w:ascii="Ping LCG Regular" w:hAnsi="Ping LCG Regular" w:cs="Arial"/>
          <w:bCs/>
          <w:spacing w:val="-14"/>
          <w:szCs w:val="26"/>
          <w:lang w:val="el-GR"/>
        </w:rPr>
        <w:t>κατ. έναντι αύξησης των προβλέψεων πέρυσι ύψους € 4</w:t>
      </w:r>
      <w:r w:rsidR="001C51DF" w:rsidRPr="00605E8C">
        <w:rPr>
          <w:rFonts w:ascii="Ping LCG Regular" w:hAnsi="Ping LCG Regular" w:cs="Arial"/>
          <w:bCs/>
          <w:spacing w:val="-14"/>
          <w:szCs w:val="26"/>
          <w:lang w:val="el-GR"/>
        </w:rPr>
        <w:t>4,9</w:t>
      </w:r>
      <w:r w:rsidRPr="0081653C">
        <w:rPr>
          <w:rFonts w:ascii="Ping LCG Regular" w:hAnsi="Ping LCG Regular" w:cs="Arial"/>
          <w:bCs/>
          <w:spacing w:val="-14"/>
          <w:szCs w:val="26"/>
          <w:lang w:val="el-GR"/>
        </w:rPr>
        <w:t xml:space="preserve"> εκατ.</w:t>
      </w:r>
      <w:r w:rsidR="002B2838" w:rsidRPr="0081653C">
        <w:rPr>
          <w:rFonts w:ascii="Ping LCG Regular" w:hAnsi="Ping LCG Regular" w:cs="Arial"/>
          <w:bCs/>
          <w:spacing w:val="-14"/>
          <w:szCs w:val="26"/>
          <w:lang w:val="el-GR"/>
        </w:rPr>
        <w:t xml:space="preserve"> λόγω </w:t>
      </w:r>
      <w:r w:rsidR="00B53450" w:rsidRPr="0081653C">
        <w:rPr>
          <w:rFonts w:ascii="Ping LCG Regular" w:hAnsi="Ping LCG Regular" w:cs="Arial"/>
          <w:bCs/>
          <w:spacing w:val="-14"/>
          <w:szCs w:val="26"/>
          <w:lang w:val="el-GR"/>
        </w:rPr>
        <w:t>των δράσεων που έχουν αναληφθεί για τη βελτίωση των εισπράξεων</w:t>
      </w:r>
      <w:bookmarkEnd w:id="16"/>
      <w:r w:rsidR="00B53450" w:rsidRPr="0081653C">
        <w:rPr>
          <w:rFonts w:ascii="Ping LCG Regular" w:hAnsi="Ping LCG Regular" w:cs="Arial"/>
          <w:bCs/>
          <w:spacing w:val="-14"/>
          <w:szCs w:val="26"/>
          <w:lang w:val="el-GR"/>
        </w:rPr>
        <w:t>.</w:t>
      </w:r>
    </w:p>
    <w:p w14:paraId="2F9654E7" w14:textId="26903EA9" w:rsidR="001F7C40" w:rsidRDefault="001F7C40" w:rsidP="00BE156D">
      <w:pPr>
        <w:widowControl w:val="0"/>
        <w:autoSpaceDE w:val="0"/>
        <w:autoSpaceDN w:val="0"/>
        <w:adjustRightInd w:val="0"/>
        <w:ind w:right="20"/>
        <w:jc w:val="both"/>
        <w:rPr>
          <w:rFonts w:ascii="Ping LCG Regular" w:hAnsi="Ping LCG Regular" w:cs="Arial"/>
          <w:bCs/>
          <w:spacing w:val="-14"/>
          <w:szCs w:val="26"/>
          <w:highlight w:val="yellow"/>
          <w:lang w:val="el-GR"/>
        </w:rPr>
      </w:pPr>
    </w:p>
    <w:p w14:paraId="06C08F1F" w14:textId="77777777" w:rsidR="005A58DE" w:rsidRPr="00B26EE8" w:rsidRDefault="005A58DE" w:rsidP="00BE156D">
      <w:pPr>
        <w:widowControl w:val="0"/>
        <w:autoSpaceDE w:val="0"/>
        <w:autoSpaceDN w:val="0"/>
        <w:adjustRightInd w:val="0"/>
        <w:ind w:right="20"/>
        <w:jc w:val="both"/>
        <w:rPr>
          <w:rFonts w:ascii="Ping LCG Regular" w:hAnsi="Ping LCG Regular" w:cs="Arial"/>
          <w:bCs/>
          <w:spacing w:val="-14"/>
          <w:szCs w:val="26"/>
          <w:highlight w:val="yellow"/>
          <w:lang w:val="el-GR"/>
        </w:rPr>
      </w:pPr>
    </w:p>
    <w:p w14:paraId="11A31BC7" w14:textId="079F7782" w:rsidR="00FE7DED" w:rsidRPr="004A424A" w:rsidRDefault="00FE7DED" w:rsidP="00851841">
      <w:pPr>
        <w:widowControl w:val="0"/>
        <w:autoSpaceDE w:val="0"/>
        <w:autoSpaceDN w:val="0"/>
        <w:adjustRightInd w:val="0"/>
        <w:ind w:right="20"/>
        <w:jc w:val="both"/>
        <w:rPr>
          <w:rFonts w:ascii="Ping LCG Regular" w:hAnsi="Ping LCG Regular" w:cs="Arial"/>
          <w:b/>
          <w:spacing w:val="-14"/>
          <w:szCs w:val="26"/>
          <w:lang w:val="el-GR"/>
        </w:rPr>
      </w:pPr>
      <w:r w:rsidRPr="0081653C">
        <w:rPr>
          <w:rFonts w:ascii="Ping LCG Regular" w:hAnsi="Ping LCG Regular" w:cs="Arial"/>
          <w:b/>
          <w:spacing w:val="-14"/>
          <w:szCs w:val="26"/>
          <w:lang w:val="el-GR"/>
        </w:rPr>
        <w:t>Εφάπαξ επιπτώσεις στο EBITDA</w:t>
      </w:r>
    </w:p>
    <w:p w14:paraId="31EF8006" w14:textId="1A2DE745" w:rsidR="00FE7DED" w:rsidRPr="00C158D9" w:rsidRDefault="00FE7DED" w:rsidP="00FE7DED">
      <w:pPr>
        <w:jc w:val="both"/>
        <w:rPr>
          <w:rFonts w:ascii="Ping LCG Regular" w:hAnsi="Ping LCG Regular" w:cs="Arial"/>
          <w:spacing w:val="-14"/>
          <w:lang w:val="el-GR"/>
        </w:rPr>
      </w:pPr>
      <w:r w:rsidRPr="00C158D9">
        <w:rPr>
          <w:rFonts w:ascii="Ping LCG Regular" w:hAnsi="Ping LCG Regular" w:cs="Arial"/>
          <w:spacing w:val="-14"/>
          <w:lang w:val="el-GR"/>
        </w:rPr>
        <w:t xml:space="preserve">Το </w:t>
      </w:r>
      <w:r w:rsidRPr="00C158D9">
        <w:rPr>
          <w:rFonts w:ascii="Ping LCG Regular" w:hAnsi="Ping LCG Regular" w:cs="Arial"/>
          <w:spacing w:val="-14"/>
        </w:rPr>
        <w:t>EBITDA</w:t>
      </w:r>
      <w:r w:rsidRPr="00C158D9">
        <w:rPr>
          <w:rFonts w:ascii="Ping LCG Regular" w:hAnsi="Ping LCG Regular" w:cs="Arial"/>
          <w:spacing w:val="-14"/>
          <w:lang w:val="el-GR"/>
        </w:rPr>
        <w:t xml:space="preserve"> του </w:t>
      </w:r>
      <w:proofErr w:type="spellStart"/>
      <w:r w:rsidR="001C4046" w:rsidRPr="00C158D9">
        <w:rPr>
          <w:rFonts w:ascii="Ping LCG Regular" w:hAnsi="Ping LCG Regular" w:cs="Arial"/>
          <w:spacing w:val="-14"/>
          <w:lang w:val="el-GR"/>
        </w:rPr>
        <w:t>ε</w:t>
      </w:r>
      <w:r w:rsidR="0081653C" w:rsidRPr="00C158D9">
        <w:rPr>
          <w:rFonts w:ascii="Ping LCG Regular" w:hAnsi="Ping LCG Regular" w:cs="Arial"/>
          <w:spacing w:val="-14"/>
          <w:lang w:val="el-GR"/>
        </w:rPr>
        <w:t>ννεα</w:t>
      </w:r>
      <w:r w:rsidR="00E31DA3" w:rsidRPr="00C158D9">
        <w:rPr>
          <w:rFonts w:ascii="Ping LCG Regular" w:hAnsi="Ping LCG Regular" w:cs="Arial"/>
          <w:spacing w:val="-14"/>
          <w:lang w:val="el-GR"/>
        </w:rPr>
        <w:t>μήνου</w:t>
      </w:r>
      <w:proofErr w:type="spellEnd"/>
      <w:r w:rsidR="00F9037B" w:rsidRPr="00C158D9">
        <w:rPr>
          <w:rFonts w:ascii="Ping LCG Regular" w:hAnsi="Ping LCG Regular" w:cs="Arial"/>
          <w:spacing w:val="-14"/>
          <w:lang w:val="el-GR"/>
        </w:rPr>
        <w:t xml:space="preserve"> του 2021 </w:t>
      </w:r>
      <w:r w:rsidRPr="00C158D9">
        <w:rPr>
          <w:rFonts w:ascii="Ping LCG Regular" w:hAnsi="Ping LCG Regular" w:cs="Arial"/>
          <w:spacing w:val="-14"/>
          <w:lang w:val="el-GR"/>
        </w:rPr>
        <w:t xml:space="preserve"> όπως και αυτό του </w:t>
      </w:r>
      <w:proofErr w:type="spellStart"/>
      <w:r w:rsidR="0081653C" w:rsidRPr="00C158D9">
        <w:rPr>
          <w:rFonts w:ascii="Ping LCG Regular" w:hAnsi="Ping LCG Regular" w:cs="Arial"/>
          <w:spacing w:val="-14"/>
          <w:lang w:val="el-GR"/>
        </w:rPr>
        <w:t>εννε</w:t>
      </w:r>
      <w:r w:rsidR="00FF5ECF" w:rsidRPr="00C158D9">
        <w:rPr>
          <w:rFonts w:ascii="Ping LCG Regular" w:hAnsi="Ping LCG Regular" w:cs="Arial"/>
          <w:spacing w:val="-14"/>
          <w:lang w:val="el-GR"/>
        </w:rPr>
        <w:t>α</w:t>
      </w:r>
      <w:r w:rsidR="00E31DA3" w:rsidRPr="00C158D9">
        <w:rPr>
          <w:rFonts w:ascii="Ping LCG Regular" w:hAnsi="Ping LCG Regular" w:cs="Arial"/>
          <w:spacing w:val="-14"/>
          <w:lang w:val="el-GR"/>
        </w:rPr>
        <w:t>μήνου</w:t>
      </w:r>
      <w:proofErr w:type="spellEnd"/>
      <w:r w:rsidR="00F9037B" w:rsidRPr="00C158D9">
        <w:rPr>
          <w:rFonts w:ascii="Ping LCG Regular" w:hAnsi="Ping LCG Regular" w:cs="Arial"/>
          <w:spacing w:val="-14"/>
          <w:lang w:val="el-GR"/>
        </w:rPr>
        <w:t xml:space="preserve"> του 2020 </w:t>
      </w:r>
      <w:r w:rsidRPr="00C158D9">
        <w:rPr>
          <w:rFonts w:ascii="Ping LCG Regular" w:hAnsi="Ping LCG Regular" w:cs="Arial"/>
          <w:spacing w:val="-14"/>
          <w:lang w:val="el-GR"/>
        </w:rPr>
        <w:t xml:space="preserve"> επηρεάστηκε και από ορισμένες εφάπαξ επιπτώσεις. Συγκεκριμένα:</w:t>
      </w:r>
    </w:p>
    <w:p w14:paraId="4C0F3E98" w14:textId="37EE8DB1" w:rsidR="00FE7DED" w:rsidRPr="004A424A" w:rsidRDefault="00FE7DED" w:rsidP="00FE7DED">
      <w:pPr>
        <w:pStyle w:val="ListParagraph"/>
        <w:numPr>
          <w:ilvl w:val="0"/>
          <w:numId w:val="8"/>
        </w:numPr>
        <w:jc w:val="both"/>
        <w:rPr>
          <w:rFonts w:ascii="Ping LCG Regular" w:hAnsi="Ping LCG Regular" w:cs="Arial"/>
          <w:strike/>
          <w:spacing w:val="-14"/>
        </w:rPr>
      </w:pPr>
      <w:r w:rsidRPr="00C158D9">
        <w:rPr>
          <w:rFonts w:ascii="Ping LCG Regular" w:hAnsi="Ping LCG Regular" w:cs="Arial"/>
          <w:spacing w:val="-14"/>
        </w:rPr>
        <w:t xml:space="preserve">Το </w:t>
      </w:r>
      <w:r w:rsidR="00A178B6" w:rsidRPr="00C158D9">
        <w:rPr>
          <w:rFonts w:ascii="Ping LCG Regular" w:hAnsi="Ping LCG Regular" w:cs="Arial"/>
          <w:spacing w:val="-14"/>
        </w:rPr>
        <w:t>ε</w:t>
      </w:r>
      <w:r w:rsidR="0081653C" w:rsidRPr="00C158D9">
        <w:rPr>
          <w:rFonts w:ascii="Ping LCG Regular" w:hAnsi="Ping LCG Regular" w:cs="Arial"/>
          <w:spacing w:val="-14"/>
        </w:rPr>
        <w:t>ννε</w:t>
      </w:r>
      <w:r w:rsidR="00A178B6" w:rsidRPr="00C158D9">
        <w:rPr>
          <w:rFonts w:ascii="Ping LCG Regular" w:hAnsi="Ping LCG Regular" w:cs="Arial"/>
          <w:spacing w:val="-14"/>
        </w:rPr>
        <w:t>ά</w:t>
      </w:r>
      <w:r w:rsidR="00F9037B" w:rsidRPr="00C158D9">
        <w:rPr>
          <w:rFonts w:ascii="Ping LCG Regular" w:hAnsi="Ping LCG Regular" w:cs="Arial"/>
          <w:spacing w:val="-14"/>
        </w:rPr>
        <w:t>μηνο του 2021</w:t>
      </w:r>
      <w:r w:rsidRPr="00C158D9">
        <w:rPr>
          <w:rFonts w:ascii="Ping LCG Regular" w:hAnsi="Ping LCG Regular" w:cs="Arial"/>
          <w:spacing w:val="-14"/>
        </w:rPr>
        <w:t xml:space="preserve">, επηρεάστηκε αρνητικά από την </w:t>
      </w:r>
      <w:r w:rsidR="00E31DA3" w:rsidRPr="00C158D9">
        <w:rPr>
          <w:rFonts w:ascii="Ping LCG Regular" w:hAnsi="Ping LCG Regular" w:cs="Arial"/>
          <w:spacing w:val="-14"/>
        </w:rPr>
        <w:t xml:space="preserve">αναδρομική χρέωση </w:t>
      </w:r>
      <w:r w:rsidR="004A0F4E" w:rsidRPr="00C158D9">
        <w:rPr>
          <w:rFonts w:ascii="Ping LCG Regular" w:hAnsi="Ping LCG Regular" w:cs="Arial"/>
          <w:spacing w:val="-14"/>
        </w:rPr>
        <w:t xml:space="preserve">ύψους €34,7 εκατ.  </w:t>
      </w:r>
      <w:r w:rsidR="00032103" w:rsidRPr="00C158D9">
        <w:rPr>
          <w:rFonts w:ascii="Ping LCG Regular" w:hAnsi="Ping LCG Regular" w:cs="Arial"/>
          <w:spacing w:val="-14"/>
        </w:rPr>
        <w:t xml:space="preserve">λόγω ανάκτησης </w:t>
      </w:r>
      <w:r w:rsidR="00E31DA3" w:rsidRPr="00C158D9">
        <w:rPr>
          <w:rFonts w:ascii="Ping LCG Regular" w:hAnsi="Ping LCG Regular" w:cs="Arial"/>
          <w:spacing w:val="-14"/>
        </w:rPr>
        <w:t xml:space="preserve">ειδικών επιδομάτων </w:t>
      </w:r>
      <w:r w:rsidR="00032103" w:rsidRPr="00C158D9">
        <w:rPr>
          <w:rFonts w:ascii="Ping LCG Regular" w:hAnsi="Ping LCG Regular" w:cs="Arial"/>
          <w:spacing w:val="-14"/>
        </w:rPr>
        <w:t xml:space="preserve">από την </w:t>
      </w:r>
      <w:r w:rsidR="00E31DA3" w:rsidRPr="00C158D9">
        <w:rPr>
          <w:rFonts w:ascii="Ping LCG Regular" w:hAnsi="Ping LCG Regular" w:cs="Arial"/>
          <w:spacing w:val="-14"/>
        </w:rPr>
        <w:t xml:space="preserve">εφαρμογή της ΕΣΣΕ 2021-2024 </w:t>
      </w:r>
      <w:r w:rsidR="003508C8" w:rsidRPr="00C158D9">
        <w:rPr>
          <w:rFonts w:ascii="Ping LCG Regular" w:hAnsi="Ping LCG Regular" w:cs="Arial"/>
          <w:spacing w:val="-14"/>
        </w:rPr>
        <w:t>και</w:t>
      </w:r>
      <w:r w:rsidR="00E31DA3" w:rsidRPr="00C158D9">
        <w:rPr>
          <w:rFonts w:ascii="Ping LCG Regular" w:hAnsi="Ping LCG Regular" w:cs="Arial"/>
          <w:spacing w:val="-14"/>
        </w:rPr>
        <w:t xml:space="preserve"> από την </w:t>
      </w:r>
      <w:r w:rsidRPr="00C158D9">
        <w:rPr>
          <w:rFonts w:ascii="Ping LCG Regular" w:hAnsi="Ping LCG Regular" w:cs="Arial"/>
          <w:spacing w:val="-14"/>
        </w:rPr>
        <w:t>πρόβλεψη για αποζημιώσεις προσωπικού</w:t>
      </w:r>
      <w:r w:rsidR="00E31DA3" w:rsidRPr="00C158D9">
        <w:rPr>
          <w:rFonts w:ascii="Ping LCG Regular" w:hAnsi="Ping LCG Regular" w:cs="Arial"/>
          <w:spacing w:val="-14"/>
        </w:rPr>
        <w:t xml:space="preserve"> </w:t>
      </w:r>
      <w:r w:rsidRPr="00C158D9">
        <w:rPr>
          <w:rFonts w:ascii="Ping LCG Regular" w:hAnsi="Ping LCG Regular" w:cs="Arial"/>
          <w:spacing w:val="-14"/>
        </w:rPr>
        <w:t>ύψους €</w:t>
      </w:r>
      <w:r w:rsidR="0081653C" w:rsidRPr="00C158D9">
        <w:rPr>
          <w:rFonts w:ascii="Ping LCG Regular" w:hAnsi="Ping LCG Regular" w:cs="Arial"/>
          <w:spacing w:val="-14"/>
        </w:rPr>
        <w:t>14,9</w:t>
      </w:r>
      <w:r w:rsidRPr="00C158D9">
        <w:rPr>
          <w:rFonts w:ascii="Ping LCG Regular" w:hAnsi="Ping LCG Regular" w:cs="Arial"/>
          <w:spacing w:val="-14"/>
        </w:rPr>
        <w:t xml:space="preserve"> εκατ. </w:t>
      </w:r>
      <w:r w:rsidR="000018BC" w:rsidRPr="00C158D9">
        <w:rPr>
          <w:rFonts w:ascii="Ping LCG Regular" w:hAnsi="Ping LCG Regular" w:cs="Arial"/>
          <w:spacing w:val="-14"/>
        </w:rPr>
        <w:t xml:space="preserve">(εκ των οποίων τα €12,1 εκατ. αφορούν το </w:t>
      </w:r>
      <w:proofErr w:type="spellStart"/>
      <w:r w:rsidR="000018BC" w:rsidRPr="00C158D9">
        <w:rPr>
          <w:rFonts w:ascii="Ping LCG Regular" w:hAnsi="Ping LCG Regular" w:cs="Arial"/>
          <w:spacing w:val="-14"/>
        </w:rPr>
        <w:t>γ΄τρίμηνο</w:t>
      </w:r>
      <w:proofErr w:type="spellEnd"/>
      <w:r w:rsidR="001959B1" w:rsidRPr="00C158D9">
        <w:rPr>
          <w:rFonts w:ascii="Ping LCG Regular" w:hAnsi="Ping LCG Regular" w:cs="Arial"/>
          <w:spacing w:val="-14"/>
        </w:rPr>
        <w:t xml:space="preserve"> 2021</w:t>
      </w:r>
      <w:r w:rsidR="000018BC" w:rsidRPr="00C158D9">
        <w:rPr>
          <w:rFonts w:ascii="Ping LCG Regular" w:hAnsi="Ping LCG Regular" w:cs="Arial"/>
          <w:spacing w:val="-14"/>
        </w:rPr>
        <w:t>)</w:t>
      </w:r>
    </w:p>
    <w:p w14:paraId="3A91FC9E" w14:textId="00936D71" w:rsidR="009905DF" w:rsidRPr="00C158D9" w:rsidRDefault="00FE7DED" w:rsidP="008A75AF">
      <w:pPr>
        <w:pStyle w:val="ListParagraph"/>
        <w:numPr>
          <w:ilvl w:val="0"/>
          <w:numId w:val="8"/>
        </w:numPr>
        <w:jc w:val="both"/>
        <w:rPr>
          <w:rFonts w:ascii="Ping LCG Regular" w:hAnsi="Ping LCG Regular" w:cs="Arial"/>
          <w:spacing w:val="-14"/>
        </w:rPr>
      </w:pPr>
      <w:r w:rsidRPr="00C158D9">
        <w:rPr>
          <w:rFonts w:ascii="Ping LCG Regular" w:hAnsi="Ping LCG Regular" w:cs="Arial"/>
          <w:spacing w:val="-14"/>
        </w:rPr>
        <w:t xml:space="preserve">Αντίστοιχα, το EBITDA του </w:t>
      </w:r>
      <w:proofErr w:type="spellStart"/>
      <w:r w:rsidR="00A178B6" w:rsidRPr="00C158D9">
        <w:rPr>
          <w:rFonts w:ascii="Ping LCG Regular" w:hAnsi="Ping LCG Regular" w:cs="Arial"/>
          <w:spacing w:val="-14"/>
        </w:rPr>
        <w:t>ε</w:t>
      </w:r>
      <w:r w:rsidR="0081653C" w:rsidRPr="00C158D9">
        <w:rPr>
          <w:rFonts w:ascii="Ping LCG Regular" w:hAnsi="Ping LCG Regular" w:cs="Arial"/>
          <w:spacing w:val="-14"/>
        </w:rPr>
        <w:t>ννε</w:t>
      </w:r>
      <w:r w:rsidR="00A178B6" w:rsidRPr="00C158D9">
        <w:rPr>
          <w:rFonts w:ascii="Ping LCG Regular" w:hAnsi="Ping LCG Regular" w:cs="Arial"/>
          <w:spacing w:val="-14"/>
        </w:rPr>
        <w:t>α</w:t>
      </w:r>
      <w:r w:rsidR="00E31DA3" w:rsidRPr="00C158D9">
        <w:rPr>
          <w:rFonts w:ascii="Ping LCG Regular" w:hAnsi="Ping LCG Regular" w:cs="Arial"/>
          <w:spacing w:val="-14"/>
        </w:rPr>
        <w:t>μήνου</w:t>
      </w:r>
      <w:proofErr w:type="spellEnd"/>
      <w:r w:rsidR="00F9037B" w:rsidRPr="00C158D9">
        <w:rPr>
          <w:rFonts w:ascii="Ping LCG Regular" w:hAnsi="Ping LCG Regular" w:cs="Arial"/>
          <w:spacing w:val="-14"/>
        </w:rPr>
        <w:t xml:space="preserve"> του 2020 </w:t>
      </w:r>
      <w:r w:rsidRPr="00C158D9">
        <w:rPr>
          <w:rFonts w:ascii="Ping LCG Regular" w:hAnsi="Ping LCG Regular" w:cs="Arial"/>
          <w:spacing w:val="-14"/>
        </w:rPr>
        <w:t xml:space="preserve">είχε επηρεαστεί </w:t>
      </w:r>
      <w:r w:rsidR="009905DF" w:rsidRPr="00C158D9">
        <w:rPr>
          <w:rFonts w:ascii="Ping LCG Regular" w:hAnsi="Ping LCG Regular" w:cs="Arial"/>
          <w:spacing w:val="-14"/>
        </w:rPr>
        <w:t xml:space="preserve">αρνητικά από την πρόβλεψη για αποζημιώσεις προσωπικού </w:t>
      </w:r>
      <w:r w:rsidR="00E31DA3" w:rsidRPr="00C158D9">
        <w:rPr>
          <w:rFonts w:ascii="Ping LCG Regular" w:hAnsi="Ping LCG Regular" w:cs="Arial"/>
          <w:spacing w:val="-14"/>
        </w:rPr>
        <w:t>ύψους €</w:t>
      </w:r>
      <w:r w:rsidR="0081653C" w:rsidRPr="00C158D9">
        <w:rPr>
          <w:rFonts w:ascii="Ping LCG Regular" w:hAnsi="Ping LCG Regular" w:cs="Arial"/>
          <w:spacing w:val="-14"/>
        </w:rPr>
        <w:t>32,5</w:t>
      </w:r>
      <w:r w:rsidR="009905DF" w:rsidRPr="00C158D9">
        <w:rPr>
          <w:rFonts w:ascii="Ping LCG Regular" w:hAnsi="Ping LCG Regular" w:cs="Arial"/>
          <w:spacing w:val="-14"/>
        </w:rPr>
        <w:t xml:space="preserve"> εκατ.</w:t>
      </w:r>
      <w:r w:rsidR="009905DF" w:rsidRPr="00C158D9" w:rsidDel="009905DF">
        <w:rPr>
          <w:rFonts w:ascii="Ping LCG Regular" w:hAnsi="Ping LCG Regular" w:cs="Arial"/>
          <w:spacing w:val="-14"/>
        </w:rPr>
        <w:t xml:space="preserve"> </w:t>
      </w:r>
      <w:r w:rsidR="000018BC" w:rsidRPr="00C158D9">
        <w:rPr>
          <w:rFonts w:ascii="Ping LCG Regular" w:hAnsi="Ping LCG Regular" w:cs="Arial"/>
          <w:spacing w:val="-14"/>
        </w:rPr>
        <w:t xml:space="preserve">(εκ των οποίων τα €16,2 εκατ. </w:t>
      </w:r>
      <w:r w:rsidR="00217A10">
        <w:rPr>
          <w:rFonts w:ascii="Ping LCG Regular" w:hAnsi="Ping LCG Regular" w:cs="Arial"/>
          <w:spacing w:val="-14"/>
        </w:rPr>
        <w:t>αφορούσαν</w:t>
      </w:r>
      <w:r w:rsidR="000018BC" w:rsidRPr="00C158D9">
        <w:rPr>
          <w:rFonts w:ascii="Ping LCG Regular" w:hAnsi="Ping LCG Regular" w:cs="Arial"/>
          <w:spacing w:val="-14"/>
        </w:rPr>
        <w:t xml:space="preserve"> το </w:t>
      </w:r>
      <w:proofErr w:type="spellStart"/>
      <w:r w:rsidR="000018BC" w:rsidRPr="00C158D9">
        <w:rPr>
          <w:rFonts w:ascii="Ping LCG Regular" w:hAnsi="Ping LCG Regular" w:cs="Arial"/>
          <w:spacing w:val="-14"/>
        </w:rPr>
        <w:t>γ΄τρίμηνο</w:t>
      </w:r>
      <w:proofErr w:type="spellEnd"/>
      <w:r w:rsidR="001959B1" w:rsidRPr="00C158D9">
        <w:rPr>
          <w:rFonts w:ascii="Ping LCG Regular" w:hAnsi="Ping LCG Regular" w:cs="Arial"/>
          <w:spacing w:val="-14"/>
        </w:rPr>
        <w:t xml:space="preserve"> 2020</w:t>
      </w:r>
      <w:r w:rsidR="000018BC" w:rsidRPr="00C158D9">
        <w:rPr>
          <w:rFonts w:ascii="Ping LCG Regular" w:hAnsi="Ping LCG Regular" w:cs="Arial"/>
          <w:spacing w:val="-14"/>
        </w:rPr>
        <w:t xml:space="preserve">) </w:t>
      </w:r>
      <w:r w:rsidR="009905DF" w:rsidRPr="004A424A">
        <w:rPr>
          <w:rFonts w:ascii="Ping LCG Regular" w:hAnsi="Ping LCG Regular" w:cs="Arial"/>
          <w:spacing w:val="-14"/>
        </w:rPr>
        <w:t>κα</w:t>
      </w:r>
      <w:r w:rsidR="00CC40CC" w:rsidRPr="00C158D9">
        <w:rPr>
          <w:rFonts w:ascii="Ping LCG Regular" w:hAnsi="Ping LCG Regular" w:cs="Arial"/>
          <w:spacing w:val="-14"/>
        </w:rPr>
        <w:t>ι θετικά</w:t>
      </w:r>
      <w:r w:rsidR="009905DF" w:rsidRPr="00C158D9">
        <w:rPr>
          <w:rFonts w:ascii="Ping LCG Regular" w:hAnsi="Ping LCG Regular" w:cs="Arial"/>
          <w:spacing w:val="-14"/>
        </w:rPr>
        <w:t xml:space="preserve"> από το πιστωτικό τιμολόγιο για την προμήθεια φυσικού αερίου παρελθόντων ετών από την ΔΕΠΑ ύψους €44,8 εκατ.</w:t>
      </w:r>
    </w:p>
    <w:p w14:paraId="7D92A5E0" w14:textId="2B1E887E" w:rsidR="00FE7DED" w:rsidRPr="00C158D9" w:rsidRDefault="00FE7DED" w:rsidP="00465824">
      <w:pPr>
        <w:jc w:val="both"/>
        <w:rPr>
          <w:rFonts w:ascii="Ping LCG Regular" w:hAnsi="Ping LCG Regular" w:cs="Arial"/>
          <w:spacing w:val="-14"/>
          <w:lang w:val="el-GR"/>
        </w:rPr>
      </w:pPr>
      <w:r w:rsidRPr="00C158D9">
        <w:rPr>
          <w:rFonts w:ascii="Ping LCG Regular" w:hAnsi="Ping LCG Regular" w:cs="Arial"/>
          <w:spacing w:val="-14"/>
          <w:lang w:val="el-GR"/>
        </w:rPr>
        <w:t xml:space="preserve">Συμπεριλαμβανομένων και των παραπάνω εφάπαξ επιπτώσεων, το </w:t>
      </w:r>
      <w:r w:rsidRPr="00C158D9">
        <w:rPr>
          <w:rFonts w:ascii="Ping LCG Regular" w:hAnsi="Ping LCG Regular" w:cs="Arial"/>
          <w:spacing w:val="-14"/>
        </w:rPr>
        <w:t>EBITDA</w:t>
      </w:r>
      <w:r w:rsidRPr="00C158D9">
        <w:rPr>
          <w:rFonts w:ascii="Ping LCG Regular" w:hAnsi="Ping LCG Regular" w:cs="Arial"/>
          <w:spacing w:val="-14"/>
          <w:lang w:val="el-GR"/>
        </w:rPr>
        <w:t xml:space="preserve"> του </w:t>
      </w:r>
      <w:proofErr w:type="spellStart"/>
      <w:r w:rsidR="0081653C" w:rsidRPr="00C158D9">
        <w:rPr>
          <w:rFonts w:ascii="Ping LCG Regular" w:hAnsi="Ping LCG Regular" w:cs="Arial"/>
          <w:spacing w:val="-14"/>
          <w:lang w:val="el-GR"/>
        </w:rPr>
        <w:t>εννεα</w:t>
      </w:r>
      <w:r w:rsidR="00F9037B" w:rsidRPr="00C158D9">
        <w:rPr>
          <w:rFonts w:ascii="Ping LCG Regular" w:hAnsi="Ping LCG Regular" w:cs="Arial"/>
          <w:spacing w:val="-14"/>
          <w:lang w:val="el-GR"/>
        </w:rPr>
        <w:t>μ</w:t>
      </w:r>
      <w:r w:rsidR="0081653C" w:rsidRPr="00C158D9">
        <w:rPr>
          <w:rFonts w:ascii="Ping LCG Regular" w:hAnsi="Ping LCG Regular" w:cs="Arial"/>
          <w:spacing w:val="-14"/>
          <w:lang w:val="el-GR"/>
        </w:rPr>
        <w:t>ή</w:t>
      </w:r>
      <w:r w:rsidR="00F9037B" w:rsidRPr="00C158D9">
        <w:rPr>
          <w:rFonts w:ascii="Ping LCG Regular" w:hAnsi="Ping LCG Regular" w:cs="Arial"/>
          <w:spacing w:val="-14"/>
          <w:lang w:val="el-GR"/>
        </w:rPr>
        <w:t>νο</w:t>
      </w:r>
      <w:r w:rsidR="0081653C" w:rsidRPr="00C158D9">
        <w:rPr>
          <w:rFonts w:ascii="Ping LCG Regular" w:hAnsi="Ping LCG Regular" w:cs="Arial"/>
          <w:spacing w:val="-14"/>
          <w:lang w:val="el-GR"/>
        </w:rPr>
        <w:t>υ</w:t>
      </w:r>
      <w:proofErr w:type="spellEnd"/>
      <w:r w:rsidR="00F9037B" w:rsidRPr="00C158D9">
        <w:rPr>
          <w:rFonts w:ascii="Ping LCG Regular" w:hAnsi="Ping LCG Regular" w:cs="Arial"/>
          <w:spacing w:val="-14"/>
          <w:lang w:val="el-GR"/>
        </w:rPr>
        <w:t xml:space="preserve"> του 2021 </w:t>
      </w:r>
      <w:r w:rsidRPr="00C158D9">
        <w:rPr>
          <w:rFonts w:ascii="Ping LCG Regular" w:hAnsi="Ping LCG Regular" w:cs="Arial"/>
          <w:spacing w:val="-14"/>
          <w:lang w:val="el-GR"/>
        </w:rPr>
        <w:t xml:space="preserve"> διαμορφώθηκε σε €</w:t>
      </w:r>
      <w:r w:rsidR="003025AF" w:rsidRPr="00C158D9">
        <w:rPr>
          <w:rFonts w:ascii="Ping LCG Regular" w:hAnsi="Ping LCG Regular" w:cs="Arial"/>
          <w:spacing w:val="-14"/>
          <w:lang w:val="el-GR"/>
        </w:rPr>
        <w:t>57</w:t>
      </w:r>
      <w:r w:rsidR="001B75DF" w:rsidRPr="0061299A">
        <w:rPr>
          <w:rFonts w:ascii="Ping LCG Regular" w:hAnsi="Ping LCG Regular" w:cs="Arial"/>
          <w:spacing w:val="-14"/>
          <w:lang w:val="el-GR"/>
        </w:rPr>
        <w:t>6</w:t>
      </w:r>
      <w:r w:rsidR="003025AF" w:rsidRPr="00C158D9">
        <w:rPr>
          <w:rFonts w:ascii="Ping LCG Regular" w:hAnsi="Ping LCG Regular" w:cs="Arial"/>
          <w:spacing w:val="-14"/>
          <w:lang w:val="el-GR"/>
        </w:rPr>
        <w:t>,</w:t>
      </w:r>
      <w:r w:rsidR="001B75DF" w:rsidRPr="0061299A">
        <w:rPr>
          <w:rFonts w:ascii="Ping LCG Regular" w:hAnsi="Ping LCG Regular" w:cs="Arial"/>
          <w:spacing w:val="-14"/>
          <w:lang w:val="el-GR"/>
        </w:rPr>
        <w:t>9</w:t>
      </w:r>
      <w:r w:rsidR="00032103" w:rsidRPr="00C158D9">
        <w:rPr>
          <w:rFonts w:ascii="Ping LCG Regular" w:hAnsi="Ping LCG Regular" w:cs="Arial"/>
          <w:spacing w:val="-14"/>
          <w:lang w:val="el-GR"/>
        </w:rPr>
        <w:t xml:space="preserve"> </w:t>
      </w:r>
      <w:r w:rsidRPr="00C158D9">
        <w:rPr>
          <w:rFonts w:ascii="Ping LCG Regular" w:hAnsi="Ping LCG Regular" w:cs="Arial"/>
          <w:spacing w:val="-14"/>
          <w:lang w:val="el-GR"/>
        </w:rPr>
        <w:t xml:space="preserve">εκατ. από </w:t>
      </w:r>
      <w:r w:rsidR="001830FD" w:rsidRPr="00C158D9">
        <w:rPr>
          <w:rFonts w:ascii="Ping LCG Regular" w:hAnsi="Ping LCG Regular" w:cs="Arial"/>
          <w:spacing w:val="-14"/>
          <w:lang w:val="el-GR"/>
        </w:rPr>
        <w:t>€</w:t>
      </w:r>
      <w:r w:rsidR="0081653C" w:rsidRPr="00C158D9">
        <w:rPr>
          <w:rFonts w:ascii="Ping LCG Regular" w:hAnsi="Ping LCG Regular" w:cs="Arial"/>
          <w:spacing w:val="-14"/>
          <w:lang w:val="el-GR"/>
        </w:rPr>
        <w:t>708,3</w:t>
      </w:r>
      <w:r w:rsidRPr="00C158D9">
        <w:rPr>
          <w:rFonts w:ascii="Ping LCG Regular" w:hAnsi="Ping LCG Regular" w:cs="Arial"/>
          <w:spacing w:val="-14"/>
          <w:lang w:val="el-GR"/>
        </w:rPr>
        <w:t xml:space="preserve"> εκατ. το </w:t>
      </w:r>
      <w:r w:rsidR="001830FD" w:rsidRPr="00C158D9">
        <w:rPr>
          <w:rFonts w:ascii="Ping LCG Regular" w:hAnsi="Ping LCG Regular" w:cs="Arial"/>
          <w:spacing w:val="-14"/>
          <w:lang w:val="el-GR"/>
        </w:rPr>
        <w:t>ε</w:t>
      </w:r>
      <w:r w:rsidR="0081653C" w:rsidRPr="00C158D9">
        <w:rPr>
          <w:rFonts w:ascii="Ping LCG Regular" w:hAnsi="Ping LCG Regular" w:cs="Arial"/>
          <w:spacing w:val="-14"/>
          <w:lang w:val="el-GR"/>
        </w:rPr>
        <w:t>ννε</w:t>
      </w:r>
      <w:r w:rsidR="001830FD" w:rsidRPr="00C158D9">
        <w:rPr>
          <w:rFonts w:ascii="Ping LCG Regular" w:hAnsi="Ping LCG Regular" w:cs="Arial"/>
          <w:spacing w:val="-14"/>
          <w:lang w:val="el-GR"/>
        </w:rPr>
        <w:t>ά</w:t>
      </w:r>
      <w:r w:rsidR="00F9037B" w:rsidRPr="00C158D9">
        <w:rPr>
          <w:rFonts w:ascii="Ping LCG Regular" w:hAnsi="Ping LCG Regular" w:cs="Arial"/>
          <w:spacing w:val="-14"/>
          <w:lang w:val="el-GR"/>
        </w:rPr>
        <w:t>μηνο του 2020</w:t>
      </w:r>
      <w:r w:rsidRPr="00C158D9">
        <w:rPr>
          <w:rFonts w:ascii="Ping LCG Regular" w:hAnsi="Ping LCG Regular" w:cs="Arial"/>
          <w:spacing w:val="-14"/>
          <w:lang w:val="el-GR"/>
        </w:rPr>
        <w:t>.</w:t>
      </w:r>
    </w:p>
    <w:p w14:paraId="71CC7BF6" w14:textId="77777777" w:rsidR="00C8194B" w:rsidRDefault="00C8194B" w:rsidP="00A249A6">
      <w:pPr>
        <w:widowControl w:val="0"/>
        <w:autoSpaceDE w:val="0"/>
        <w:autoSpaceDN w:val="0"/>
        <w:adjustRightInd w:val="0"/>
        <w:ind w:right="20"/>
        <w:jc w:val="both"/>
        <w:rPr>
          <w:rFonts w:ascii="Ping LCG Regular" w:hAnsi="Ping LCG Regular" w:cs="Arial"/>
          <w:b/>
          <w:spacing w:val="-14"/>
          <w:szCs w:val="26"/>
          <w:lang w:val="el-GR"/>
        </w:rPr>
      </w:pPr>
    </w:p>
    <w:p w14:paraId="2127DCA3" w14:textId="77777777" w:rsidR="00C8194B" w:rsidRPr="0081653C" w:rsidRDefault="00C8194B" w:rsidP="00A249A6">
      <w:pPr>
        <w:widowControl w:val="0"/>
        <w:autoSpaceDE w:val="0"/>
        <w:autoSpaceDN w:val="0"/>
        <w:adjustRightInd w:val="0"/>
        <w:ind w:right="20"/>
        <w:jc w:val="both"/>
        <w:rPr>
          <w:rFonts w:ascii="Ping LCG Regular" w:hAnsi="Ping LCG Regular" w:cs="Arial"/>
          <w:b/>
          <w:spacing w:val="-14"/>
          <w:szCs w:val="26"/>
          <w:lang w:val="el-GR"/>
        </w:rPr>
      </w:pPr>
    </w:p>
    <w:p w14:paraId="3F0B2DAE" w14:textId="4F272909" w:rsidR="00A249A6" w:rsidRPr="0081653C" w:rsidRDefault="00A249A6" w:rsidP="00A249A6">
      <w:pPr>
        <w:widowControl w:val="0"/>
        <w:autoSpaceDE w:val="0"/>
        <w:autoSpaceDN w:val="0"/>
        <w:adjustRightInd w:val="0"/>
        <w:ind w:right="20"/>
        <w:jc w:val="both"/>
        <w:rPr>
          <w:rFonts w:ascii="Ping LCG Regular" w:hAnsi="Ping LCG Regular" w:cs="Arial"/>
          <w:b/>
          <w:spacing w:val="-14"/>
          <w:szCs w:val="26"/>
          <w:lang w:val="el-GR"/>
        </w:rPr>
      </w:pPr>
      <w:bookmarkStart w:id="18" w:name="_Hlk81171663"/>
      <w:r w:rsidRPr="0081653C">
        <w:rPr>
          <w:rFonts w:ascii="Ping LCG Regular" w:hAnsi="Ping LCG Regular" w:cs="Arial"/>
          <w:b/>
          <w:spacing w:val="-14"/>
          <w:szCs w:val="26"/>
          <w:lang w:val="el-GR"/>
        </w:rPr>
        <w:t>Επενδύσεις</w:t>
      </w:r>
    </w:p>
    <w:p w14:paraId="1417FE9C" w14:textId="4063A3B4" w:rsidR="00A249A6" w:rsidRPr="005A58DE" w:rsidRDefault="00A249A6" w:rsidP="00A249A6">
      <w:pPr>
        <w:widowControl w:val="0"/>
        <w:autoSpaceDE w:val="0"/>
        <w:autoSpaceDN w:val="0"/>
        <w:adjustRightInd w:val="0"/>
        <w:ind w:right="18"/>
        <w:jc w:val="both"/>
        <w:rPr>
          <w:rFonts w:ascii="Ping LCG Regular" w:hAnsi="Ping LCG Regular" w:cs="Arial"/>
          <w:spacing w:val="-14"/>
          <w:lang w:val="el-GR"/>
        </w:rPr>
      </w:pPr>
      <w:r w:rsidRPr="0081653C">
        <w:rPr>
          <w:rFonts w:ascii="Ping LCG Regular" w:hAnsi="Ping LCG Regular" w:cs="Arial"/>
          <w:spacing w:val="-14"/>
          <w:lang w:val="el-GR"/>
        </w:rPr>
        <w:t xml:space="preserve">Οι </w:t>
      </w:r>
      <w:r w:rsidRPr="005A58DE">
        <w:rPr>
          <w:rFonts w:ascii="Ping LCG Regular" w:hAnsi="Ping LCG Regular" w:cs="Arial"/>
          <w:spacing w:val="-14"/>
          <w:lang w:val="el-GR"/>
        </w:rPr>
        <w:t xml:space="preserve">συνολικές επενδύσεις το </w:t>
      </w:r>
      <w:r w:rsidR="001830FD" w:rsidRPr="005A58DE">
        <w:rPr>
          <w:rFonts w:ascii="Ping LCG Regular" w:hAnsi="Ping LCG Regular" w:cs="Arial"/>
          <w:spacing w:val="-14"/>
          <w:lang w:val="el-GR"/>
        </w:rPr>
        <w:t>ε</w:t>
      </w:r>
      <w:r w:rsidR="0081653C" w:rsidRPr="005A58DE">
        <w:rPr>
          <w:rFonts w:ascii="Ping LCG Regular" w:hAnsi="Ping LCG Regular" w:cs="Arial"/>
          <w:spacing w:val="-14"/>
          <w:lang w:val="el-GR"/>
        </w:rPr>
        <w:t>ννε</w:t>
      </w:r>
      <w:r w:rsidR="001830FD" w:rsidRPr="005A58DE">
        <w:rPr>
          <w:rFonts w:ascii="Ping LCG Regular" w:hAnsi="Ping LCG Regular" w:cs="Arial"/>
          <w:spacing w:val="-14"/>
          <w:lang w:val="el-GR"/>
        </w:rPr>
        <w:t>ά</w:t>
      </w:r>
      <w:r w:rsidR="0015574E" w:rsidRPr="005A58DE">
        <w:rPr>
          <w:rFonts w:ascii="Ping LCG Regular" w:hAnsi="Ping LCG Regular" w:cs="Arial"/>
          <w:spacing w:val="-14"/>
          <w:lang w:val="el-GR"/>
        </w:rPr>
        <w:t>μηνο του 2021</w:t>
      </w:r>
      <w:r w:rsidRPr="005A58DE">
        <w:rPr>
          <w:rFonts w:ascii="Ping LCG Regular" w:hAnsi="Ping LCG Regular" w:cs="Arial"/>
          <w:spacing w:val="-14"/>
          <w:lang w:val="el-GR"/>
        </w:rPr>
        <w:t xml:space="preserve"> διαμορφώθηκαν σε €</w:t>
      </w:r>
      <w:r w:rsidR="0081653C" w:rsidRPr="005A58DE">
        <w:rPr>
          <w:rFonts w:ascii="Ping LCG Regular" w:hAnsi="Ping LCG Regular" w:cs="Arial"/>
          <w:spacing w:val="-14"/>
          <w:lang w:val="el-GR"/>
        </w:rPr>
        <w:t>311,3</w:t>
      </w:r>
      <w:r w:rsidRPr="005A58DE">
        <w:rPr>
          <w:rFonts w:ascii="Ping LCG Regular" w:hAnsi="Ping LCG Regular" w:cs="Arial"/>
          <w:spacing w:val="-14"/>
          <w:lang w:val="el-GR"/>
        </w:rPr>
        <w:t xml:space="preserve"> εκατ. έναντι </w:t>
      </w:r>
      <w:r w:rsidR="00096713" w:rsidRPr="005A58DE">
        <w:rPr>
          <w:rFonts w:ascii="Ping LCG Regular" w:hAnsi="Ping LCG Regular" w:cs="Arial"/>
          <w:spacing w:val="-14"/>
          <w:lang w:val="el-GR"/>
        </w:rPr>
        <w:t>€</w:t>
      </w:r>
      <w:r w:rsidR="0081653C" w:rsidRPr="005A58DE">
        <w:rPr>
          <w:rFonts w:ascii="Ping LCG Regular" w:hAnsi="Ping LCG Regular" w:cs="Arial"/>
          <w:spacing w:val="-14"/>
          <w:lang w:val="el-GR"/>
        </w:rPr>
        <w:t>256,3</w:t>
      </w:r>
      <w:r w:rsidRPr="005A58DE">
        <w:rPr>
          <w:rFonts w:ascii="Ping LCG Regular" w:hAnsi="Ping LCG Regular" w:cs="Arial"/>
          <w:spacing w:val="-14"/>
          <w:lang w:val="el-GR"/>
        </w:rPr>
        <w:t xml:space="preserve"> εκατ. το </w:t>
      </w:r>
      <w:r w:rsidR="001830FD" w:rsidRPr="005A58DE">
        <w:rPr>
          <w:rFonts w:ascii="Ping LCG Regular" w:hAnsi="Ping LCG Regular" w:cs="Arial"/>
          <w:spacing w:val="-14"/>
          <w:lang w:val="el-GR"/>
        </w:rPr>
        <w:t>ε</w:t>
      </w:r>
      <w:r w:rsidR="0081653C" w:rsidRPr="005A58DE">
        <w:rPr>
          <w:rFonts w:ascii="Ping LCG Regular" w:hAnsi="Ping LCG Regular" w:cs="Arial"/>
          <w:spacing w:val="-14"/>
          <w:lang w:val="el-GR"/>
        </w:rPr>
        <w:t>ννε</w:t>
      </w:r>
      <w:r w:rsidR="001830FD" w:rsidRPr="005A58DE">
        <w:rPr>
          <w:rFonts w:ascii="Ping LCG Regular" w:hAnsi="Ping LCG Regular" w:cs="Arial"/>
          <w:spacing w:val="-14"/>
          <w:lang w:val="el-GR"/>
        </w:rPr>
        <w:t>ά</w:t>
      </w:r>
      <w:r w:rsidR="0015574E" w:rsidRPr="005A58DE">
        <w:rPr>
          <w:rFonts w:ascii="Ping LCG Regular" w:hAnsi="Ping LCG Regular" w:cs="Arial"/>
          <w:spacing w:val="-14"/>
          <w:lang w:val="el-GR"/>
        </w:rPr>
        <w:t>μηνο του 2020.</w:t>
      </w:r>
      <w:r w:rsidR="00FF5ECF" w:rsidRPr="005A58DE">
        <w:rPr>
          <w:rFonts w:ascii="Ping LCG Regular" w:hAnsi="Ping LCG Regular" w:cs="Arial"/>
          <w:spacing w:val="-14"/>
          <w:lang w:val="el-GR"/>
        </w:rPr>
        <w:t xml:space="preserve"> </w:t>
      </w:r>
    </w:p>
    <w:p w14:paraId="778F6F59" w14:textId="63BCFBB9" w:rsidR="00A249A6" w:rsidRPr="007D748A" w:rsidRDefault="00A249A6" w:rsidP="00A249A6">
      <w:pPr>
        <w:widowControl w:val="0"/>
        <w:autoSpaceDE w:val="0"/>
        <w:autoSpaceDN w:val="0"/>
        <w:adjustRightInd w:val="0"/>
        <w:ind w:right="18"/>
        <w:jc w:val="both"/>
        <w:rPr>
          <w:rFonts w:ascii="Ping LCG Regular" w:hAnsi="Ping LCG Regular" w:cs="Arial"/>
          <w:spacing w:val="-14"/>
          <w:lang w:val="el-GR"/>
        </w:rPr>
      </w:pPr>
      <w:r w:rsidRPr="005A58DE">
        <w:rPr>
          <w:rFonts w:ascii="Ping LCG Regular" w:hAnsi="Ping LCG Regular" w:cs="Arial"/>
          <w:spacing w:val="-14"/>
          <w:lang w:val="el-GR"/>
        </w:rPr>
        <w:t xml:space="preserve">Όπως φαίνεται και στον παρακάτω πίνακα, </w:t>
      </w:r>
      <w:r w:rsidR="007D748A" w:rsidRPr="005A58DE">
        <w:rPr>
          <w:rFonts w:ascii="Ping LCG Regular" w:hAnsi="Ping LCG Regular" w:cs="Arial"/>
          <w:spacing w:val="-14"/>
          <w:lang w:val="el-GR"/>
        </w:rPr>
        <w:t>μ</w:t>
      </w:r>
      <w:r w:rsidRPr="005A58DE">
        <w:rPr>
          <w:rFonts w:ascii="Ping LCG Regular" w:hAnsi="Ping LCG Regular" w:cs="Arial"/>
          <w:spacing w:val="-14"/>
          <w:lang w:val="el-GR"/>
        </w:rPr>
        <w:t>εγ</w:t>
      </w:r>
      <w:r w:rsidR="007D748A" w:rsidRPr="005A58DE">
        <w:rPr>
          <w:rFonts w:ascii="Ping LCG Regular" w:hAnsi="Ping LCG Regular" w:cs="Arial"/>
          <w:spacing w:val="-14"/>
          <w:lang w:val="el-GR"/>
        </w:rPr>
        <w:t>άλο</w:t>
      </w:r>
      <w:r w:rsidRPr="005A58DE">
        <w:rPr>
          <w:rFonts w:ascii="Ping LCG Regular" w:hAnsi="Ping LCG Regular" w:cs="Arial"/>
          <w:spacing w:val="-14"/>
          <w:lang w:val="el-GR"/>
        </w:rPr>
        <w:t xml:space="preserve"> μέρος της </w:t>
      </w:r>
      <w:r w:rsidR="00B50EDF" w:rsidRPr="005A58DE">
        <w:rPr>
          <w:rFonts w:ascii="Ping LCG Regular" w:hAnsi="Ping LCG Regular" w:cs="Arial"/>
          <w:spacing w:val="-14"/>
          <w:lang w:val="el-GR"/>
        </w:rPr>
        <w:t xml:space="preserve">αύξησης </w:t>
      </w:r>
      <w:r w:rsidRPr="005A58DE">
        <w:rPr>
          <w:rFonts w:ascii="Ping LCG Regular" w:hAnsi="Ping LCG Regular" w:cs="Arial"/>
          <w:spacing w:val="-14"/>
          <w:lang w:val="el-GR"/>
        </w:rPr>
        <w:t xml:space="preserve">οφείλεται στις </w:t>
      </w:r>
      <w:r w:rsidR="009C7DD4" w:rsidRPr="005A58DE">
        <w:rPr>
          <w:rFonts w:ascii="Ping LCG Regular" w:hAnsi="Ping LCG Regular" w:cs="Arial"/>
          <w:spacing w:val="-14"/>
          <w:lang w:val="el-GR"/>
        </w:rPr>
        <w:t xml:space="preserve">αυξημένες επενδύσεις σε έργα επαναληπτικού χαρακτήρα στο </w:t>
      </w:r>
      <w:r w:rsidR="009C7DD4" w:rsidRPr="00B8508A">
        <w:rPr>
          <w:rFonts w:ascii="Ping LCG Regular" w:hAnsi="Ping LCG Regular" w:cs="Arial"/>
          <w:spacing w:val="-14"/>
          <w:lang w:val="el-GR"/>
        </w:rPr>
        <w:t>Δίκτυο Διανομής</w:t>
      </w:r>
      <w:r w:rsidR="00254705" w:rsidRPr="00B8508A">
        <w:rPr>
          <w:rFonts w:ascii="Ping LCG Regular" w:hAnsi="Ping LCG Regular" w:cs="Arial"/>
          <w:spacing w:val="-14"/>
          <w:lang w:val="el-GR"/>
        </w:rPr>
        <w:t xml:space="preserve"> καθώς και σε ΑΠΕ</w:t>
      </w:r>
      <w:r w:rsidR="00E3203D" w:rsidRPr="00B8508A">
        <w:rPr>
          <w:rFonts w:ascii="Ping LCG Regular" w:hAnsi="Ping LCG Regular" w:cs="Arial"/>
          <w:spacing w:val="-14"/>
          <w:lang w:val="el-GR"/>
        </w:rPr>
        <w:t>.</w:t>
      </w:r>
      <w:r w:rsidR="00BC6631" w:rsidRPr="00605E8C">
        <w:rPr>
          <w:rFonts w:ascii="Ping LCG Regular" w:hAnsi="Ping LCG Regular" w:cs="Arial"/>
          <w:spacing w:val="-14"/>
          <w:lang w:val="el-GR"/>
        </w:rPr>
        <w:t xml:space="preserve"> </w:t>
      </w:r>
    </w:p>
    <w:p w14:paraId="693EBAC6" w14:textId="77777777" w:rsidR="005A58DE" w:rsidRDefault="005A58DE" w:rsidP="00A249A6">
      <w:pPr>
        <w:autoSpaceDE w:val="0"/>
        <w:autoSpaceDN w:val="0"/>
        <w:ind w:right="18"/>
        <w:jc w:val="both"/>
        <w:rPr>
          <w:rFonts w:ascii="Ping LCG Regular" w:hAnsi="Ping LCG Regular" w:cs="Arial"/>
          <w:spacing w:val="-14"/>
          <w:lang w:val="el-GR"/>
        </w:rPr>
      </w:pPr>
      <w:bookmarkStart w:id="19" w:name="_Hlk68249913"/>
    </w:p>
    <w:p w14:paraId="2CA533AF" w14:textId="77777777" w:rsidR="005A58DE" w:rsidRDefault="005A58DE" w:rsidP="00A249A6">
      <w:pPr>
        <w:autoSpaceDE w:val="0"/>
        <w:autoSpaceDN w:val="0"/>
        <w:ind w:right="18"/>
        <w:jc w:val="both"/>
        <w:rPr>
          <w:rFonts w:ascii="Ping LCG Regular" w:hAnsi="Ping LCG Regular" w:cs="Arial"/>
          <w:spacing w:val="-14"/>
          <w:lang w:val="el-GR"/>
        </w:rPr>
      </w:pPr>
    </w:p>
    <w:p w14:paraId="763AB958" w14:textId="77777777" w:rsidR="00AC4BA8" w:rsidRDefault="00AC4BA8" w:rsidP="00A249A6">
      <w:pPr>
        <w:autoSpaceDE w:val="0"/>
        <w:autoSpaceDN w:val="0"/>
        <w:ind w:right="18"/>
        <w:jc w:val="both"/>
        <w:rPr>
          <w:rFonts w:ascii="Ping LCG Regular" w:hAnsi="Ping LCG Regular" w:cs="Arial"/>
          <w:spacing w:val="-14"/>
          <w:lang w:val="el-GR"/>
        </w:rPr>
      </w:pPr>
    </w:p>
    <w:p w14:paraId="732171D7" w14:textId="727B10A7" w:rsidR="00A249A6" w:rsidRPr="007D748A" w:rsidRDefault="00A249A6" w:rsidP="00A249A6">
      <w:pPr>
        <w:autoSpaceDE w:val="0"/>
        <w:autoSpaceDN w:val="0"/>
        <w:ind w:right="18"/>
        <w:jc w:val="both"/>
        <w:rPr>
          <w:rFonts w:ascii="Ping LCG Regular" w:hAnsi="Ping LCG Regular" w:cs="Arial"/>
          <w:spacing w:val="-14"/>
          <w:lang w:val="el-GR"/>
        </w:rPr>
      </w:pPr>
      <w:r w:rsidRPr="007D748A">
        <w:rPr>
          <w:rFonts w:ascii="Ping LCG Regular" w:hAnsi="Ping LCG Regular" w:cs="Arial"/>
          <w:spacing w:val="-14"/>
          <w:lang w:val="el-GR"/>
        </w:rPr>
        <w:lastRenderedPageBreak/>
        <w:t>Η σύνθεση των κύριων επενδύσεων έχει ως εξής :</w:t>
      </w:r>
    </w:p>
    <w:p w14:paraId="65193798" w14:textId="77777777" w:rsidR="00A249A6" w:rsidRPr="00B26EE8" w:rsidRDefault="00A249A6" w:rsidP="00A249A6">
      <w:pPr>
        <w:autoSpaceDE w:val="0"/>
        <w:autoSpaceDN w:val="0"/>
        <w:ind w:right="18"/>
        <w:jc w:val="both"/>
        <w:rPr>
          <w:rFonts w:ascii="Ping LCG Regular" w:hAnsi="Ping LCG Regular" w:cs="Arial"/>
          <w:spacing w:val="-14"/>
          <w:sz w:val="16"/>
          <w:highlight w:val="yellow"/>
          <w:lang w:val="el-GR"/>
        </w:rPr>
      </w:pPr>
    </w:p>
    <w:tbl>
      <w:tblPr>
        <w:tblW w:w="10514"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835"/>
        <w:gridCol w:w="2127"/>
        <w:gridCol w:w="2126"/>
        <w:gridCol w:w="1593"/>
        <w:gridCol w:w="1833"/>
      </w:tblGrid>
      <w:tr w:rsidR="00E34012" w:rsidRPr="007F675C" w14:paraId="6E3F4F43" w14:textId="77777777" w:rsidTr="0081653C">
        <w:trPr>
          <w:trHeight w:val="283"/>
        </w:trPr>
        <w:tc>
          <w:tcPr>
            <w:tcW w:w="2835" w:type="dxa"/>
            <w:tcBorders>
              <w:top w:val="single" w:sz="8" w:space="0" w:color="auto"/>
              <w:bottom w:val="single" w:sz="6" w:space="0" w:color="auto"/>
            </w:tcBorders>
            <w:shd w:val="pct25" w:color="auto" w:fill="auto"/>
            <w:tcMar>
              <w:top w:w="0" w:type="dxa"/>
              <w:left w:w="108" w:type="dxa"/>
              <w:bottom w:w="0" w:type="dxa"/>
              <w:right w:w="108" w:type="dxa"/>
            </w:tcMar>
            <w:vAlign w:val="center"/>
          </w:tcPr>
          <w:p w14:paraId="1376B10A" w14:textId="77777777" w:rsidR="00E34012" w:rsidRPr="007F675C" w:rsidRDefault="00E34012" w:rsidP="00691AF7">
            <w:pPr>
              <w:autoSpaceDE w:val="0"/>
              <w:autoSpaceDN w:val="0"/>
              <w:ind w:right="18"/>
              <w:jc w:val="center"/>
              <w:rPr>
                <w:rFonts w:ascii="Ping LCG Regular" w:eastAsia="Calibri" w:hAnsi="Ping LCG Regular" w:cs="Arial"/>
                <w:spacing w:val="-14"/>
              </w:rPr>
            </w:pPr>
            <w:r w:rsidRPr="007F675C">
              <w:rPr>
                <w:rFonts w:ascii="Ping LCG Regular" w:hAnsi="Ping LCG Regular" w:cs="Arial"/>
                <w:spacing w:val="-14"/>
              </w:rPr>
              <w:t>(</w:t>
            </w:r>
            <w:proofErr w:type="spellStart"/>
            <w:r w:rsidRPr="007F675C">
              <w:rPr>
                <w:rFonts w:ascii="Ping LCG Regular" w:hAnsi="Ping LCG Regular" w:cs="Arial"/>
                <w:spacing w:val="-14"/>
              </w:rPr>
              <w:t>σε</w:t>
            </w:r>
            <w:proofErr w:type="spellEnd"/>
            <w:r w:rsidRPr="007F675C">
              <w:rPr>
                <w:rFonts w:ascii="Ping LCG Regular" w:hAnsi="Ping LCG Regular" w:cs="Arial"/>
                <w:spacing w:val="-14"/>
              </w:rPr>
              <w:t xml:space="preserve"> € </w:t>
            </w:r>
            <w:proofErr w:type="spellStart"/>
            <w:r w:rsidRPr="007F675C">
              <w:rPr>
                <w:rFonts w:ascii="Ping LCG Regular" w:hAnsi="Ping LCG Regular" w:cs="Arial"/>
                <w:spacing w:val="-14"/>
              </w:rPr>
              <w:t>εκ</w:t>
            </w:r>
            <w:proofErr w:type="spellEnd"/>
            <w:r w:rsidRPr="007F675C">
              <w:rPr>
                <w:rFonts w:ascii="Ping LCG Regular" w:hAnsi="Ping LCG Regular" w:cs="Arial"/>
                <w:spacing w:val="-14"/>
              </w:rPr>
              <w:t>ατ.)</w:t>
            </w:r>
          </w:p>
        </w:tc>
        <w:tc>
          <w:tcPr>
            <w:tcW w:w="2127" w:type="dxa"/>
            <w:tcBorders>
              <w:top w:val="single" w:sz="8" w:space="0" w:color="auto"/>
              <w:bottom w:val="single" w:sz="6" w:space="0" w:color="auto"/>
            </w:tcBorders>
            <w:shd w:val="pct25" w:color="auto" w:fill="auto"/>
            <w:tcMar>
              <w:top w:w="0" w:type="dxa"/>
              <w:left w:w="108" w:type="dxa"/>
              <w:bottom w:w="0" w:type="dxa"/>
              <w:right w:w="108" w:type="dxa"/>
            </w:tcMar>
            <w:vAlign w:val="center"/>
            <w:hideMark/>
          </w:tcPr>
          <w:p w14:paraId="4B7298E9" w14:textId="46B91515" w:rsidR="00E34012" w:rsidRPr="007F675C" w:rsidRDefault="0081653C" w:rsidP="00691AF7">
            <w:pPr>
              <w:jc w:val="center"/>
              <w:rPr>
                <w:rFonts w:ascii="Ping LCG Regular" w:hAnsi="Ping LCG Regular" w:cs="Arial"/>
                <w:b/>
                <w:spacing w:val="-14"/>
                <w:u w:val="single"/>
              </w:rPr>
            </w:pPr>
            <w:proofErr w:type="spellStart"/>
            <w:r w:rsidRPr="007F675C">
              <w:rPr>
                <w:rFonts w:ascii="Ping LCG Regular" w:hAnsi="Ping LCG Regular" w:cs="Arial"/>
                <w:b/>
                <w:spacing w:val="-14"/>
                <w:lang w:val="el-GR"/>
              </w:rPr>
              <w:t>Εννε</w:t>
            </w:r>
            <w:r w:rsidR="001830FD" w:rsidRPr="007F675C">
              <w:rPr>
                <w:rFonts w:ascii="Ping LCG Regular" w:hAnsi="Ping LCG Regular" w:cs="Arial"/>
                <w:b/>
                <w:spacing w:val="-14"/>
                <w:lang w:val="el-GR"/>
              </w:rPr>
              <w:t>ά</w:t>
            </w:r>
            <w:r w:rsidR="0015574E" w:rsidRPr="007F675C">
              <w:rPr>
                <w:rFonts w:ascii="Ping LCG Regular" w:hAnsi="Ping LCG Regular" w:cs="Arial"/>
                <w:b/>
                <w:spacing w:val="-14"/>
              </w:rPr>
              <w:t>μηνο</w:t>
            </w:r>
            <w:proofErr w:type="spellEnd"/>
            <w:r w:rsidR="0015574E" w:rsidRPr="007F675C">
              <w:rPr>
                <w:rFonts w:ascii="Ping LCG Regular" w:hAnsi="Ping LCG Regular" w:cs="Arial"/>
                <w:b/>
                <w:spacing w:val="-14"/>
              </w:rPr>
              <w:t xml:space="preserve"> 202</w:t>
            </w:r>
            <w:r w:rsidR="0015574E" w:rsidRPr="007F675C">
              <w:rPr>
                <w:rFonts w:ascii="Ping LCG Regular" w:hAnsi="Ping LCG Regular" w:cs="Arial"/>
                <w:b/>
                <w:spacing w:val="-14"/>
                <w:lang w:val="el-GR"/>
              </w:rPr>
              <w:t>1</w:t>
            </w:r>
          </w:p>
        </w:tc>
        <w:tc>
          <w:tcPr>
            <w:tcW w:w="2126" w:type="dxa"/>
            <w:tcBorders>
              <w:top w:val="single" w:sz="8" w:space="0" w:color="auto"/>
              <w:bottom w:val="single" w:sz="6" w:space="0" w:color="auto"/>
            </w:tcBorders>
            <w:shd w:val="pct25" w:color="auto" w:fill="auto"/>
            <w:tcMar>
              <w:top w:w="0" w:type="dxa"/>
              <w:left w:w="108" w:type="dxa"/>
              <w:bottom w:w="0" w:type="dxa"/>
              <w:right w:w="108" w:type="dxa"/>
            </w:tcMar>
            <w:vAlign w:val="center"/>
            <w:hideMark/>
          </w:tcPr>
          <w:p w14:paraId="0660F90A" w14:textId="4DD506D1" w:rsidR="00E34012" w:rsidRPr="007F675C" w:rsidRDefault="0081653C" w:rsidP="00691AF7">
            <w:pPr>
              <w:jc w:val="center"/>
              <w:rPr>
                <w:rFonts w:ascii="Ping LCG Regular" w:hAnsi="Ping LCG Regular" w:cs="Arial"/>
                <w:spacing w:val="-14"/>
                <w:u w:val="single"/>
              </w:rPr>
            </w:pPr>
            <w:proofErr w:type="spellStart"/>
            <w:r w:rsidRPr="007F675C">
              <w:rPr>
                <w:rFonts w:ascii="Ping LCG Regular" w:hAnsi="Ping LCG Regular" w:cs="Arial"/>
                <w:b/>
                <w:spacing w:val="-14"/>
                <w:lang w:val="el-GR"/>
              </w:rPr>
              <w:t>Εννε</w:t>
            </w:r>
            <w:r w:rsidR="001830FD" w:rsidRPr="007F675C">
              <w:rPr>
                <w:rFonts w:ascii="Ping LCG Regular" w:hAnsi="Ping LCG Regular" w:cs="Arial"/>
                <w:b/>
                <w:spacing w:val="-14"/>
                <w:lang w:val="el-GR"/>
              </w:rPr>
              <w:t>ά</w:t>
            </w:r>
            <w:r w:rsidR="0015574E" w:rsidRPr="007F675C">
              <w:rPr>
                <w:rFonts w:ascii="Ping LCG Regular" w:hAnsi="Ping LCG Regular" w:cs="Arial"/>
                <w:b/>
                <w:spacing w:val="-14"/>
              </w:rPr>
              <w:t>μηνο</w:t>
            </w:r>
            <w:proofErr w:type="spellEnd"/>
            <w:r w:rsidR="0015574E" w:rsidRPr="007F675C">
              <w:rPr>
                <w:rFonts w:ascii="Ping LCG Regular" w:hAnsi="Ping LCG Regular" w:cs="Arial"/>
                <w:b/>
                <w:spacing w:val="-14"/>
              </w:rPr>
              <w:t xml:space="preserve"> 202</w:t>
            </w:r>
            <w:r w:rsidR="0015574E" w:rsidRPr="007F675C">
              <w:rPr>
                <w:rFonts w:ascii="Ping LCG Regular" w:hAnsi="Ping LCG Regular" w:cs="Arial"/>
                <w:b/>
                <w:spacing w:val="-14"/>
                <w:lang w:val="el-GR"/>
              </w:rPr>
              <w:t>0</w:t>
            </w:r>
          </w:p>
        </w:tc>
        <w:tc>
          <w:tcPr>
            <w:tcW w:w="1593" w:type="dxa"/>
            <w:tcBorders>
              <w:top w:val="single" w:sz="8" w:space="0" w:color="auto"/>
              <w:bottom w:val="single" w:sz="6" w:space="0" w:color="auto"/>
            </w:tcBorders>
            <w:shd w:val="pct25" w:color="auto" w:fill="auto"/>
          </w:tcPr>
          <w:p w14:paraId="4B815A53" w14:textId="14F37563" w:rsidR="00E34012" w:rsidRPr="007F675C" w:rsidRDefault="00E34012" w:rsidP="00691AF7">
            <w:pPr>
              <w:autoSpaceDE w:val="0"/>
              <w:autoSpaceDN w:val="0"/>
              <w:ind w:right="18"/>
              <w:jc w:val="center"/>
              <w:rPr>
                <w:rFonts w:ascii="Ping LCG Regular" w:hAnsi="Ping LCG Regular" w:cs="Arial"/>
                <w:b/>
                <w:bCs/>
                <w:i/>
                <w:spacing w:val="-14"/>
              </w:rPr>
            </w:pPr>
            <w:r w:rsidRPr="007F675C">
              <w:rPr>
                <w:rFonts w:ascii="Ping LCG Regular" w:hAnsi="Ping LCG Regular" w:cs="Arial"/>
                <w:b/>
                <w:bCs/>
                <w:i/>
                <w:spacing w:val="-14"/>
              </w:rPr>
              <w:t>Δ</w:t>
            </w:r>
          </w:p>
        </w:tc>
        <w:tc>
          <w:tcPr>
            <w:tcW w:w="1833" w:type="dxa"/>
            <w:tcBorders>
              <w:top w:val="single" w:sz="8" w:space="0" w:color="auto"/>
              <w:bottom w:val="single" w:sz="6" w:space="0" w:color="auto"/>
            </w:tcBorders>
            <w:shd w:val="pct25" w:color="auto" w:fill="auto"/>
            <w:tcMar>
              <w:top w:w="0" w:type="dxa"/>
              <w:left w:w="108" w:type="dxa"/>
              <w:bottom w:w="0" w:type="dxa"/>
              <w:right w:w="108" w:type="dxa"/>
            </w:tcMar>
            <w:vAlign w:val="center"/>
            <w:hideMark/>
          </w:tcPr>
          <w:p w14:paraId="513EB8AB" w14:textId="2579C4D8" w:rsidR="00E34012" w:rsidRPr="007F675C" w:rsidRDefault="00E34012" w:rsidP="00691AF7">
            <w:pPr>
              <w:autoSpaceDE w:val="0"/>
              <w:autoSpaceDN w:val="0"/>
              <w:ind w:right="18"/>
              <w:jc w:val="center"/>
              <w:rPr>
                <w:rFonts w:ascii="Ping LCG Regular" w:eastAsia="Calibri" w:hAnsi="Ping LCG Regular" w:cs="Arial"/>
                <w:b/>
                <w:bCs/>
                <w:i/>
                <w:spacing w:val="-14"/>
              </w:rPr>
            </w:pPr>
            <w:r w:rsidRPr="007F675C">
              <w:rPr>
                <w:rFonts w:ascii="Ping LCG Regular" w:hAnsi="Ping LCG Regular" w:cs="Arial"/>
                <w:b/>
                <w:bCs/>
                <w:i/>
                <w:spacing w:val="-14"/>
              </w:rPr>
              <w:t>Δ (%)</w:t>
            </w:r>
          </w:p>
        </w:tc>
      </w:tr>
      <w:tr w:rsidR="00E34012" w:rsidRPr="007F675C" w14:paraId="64460250" w14:textId="77777777" w:rsidTr="0081653C">
        <w:trPr>
          <w:trHeight w:val="299"/>
        </w:trPr>
        <w:tc>
          <w:tcPr>
            <w:tcW w:w="2835" w:type="dxa"/>
            <w:tcMar>
              <w:top w:w="0" w:type="dxa"/>
              <w:left w:w="108" w:type="dxa"/>
              <w:bottom w:w="0" w:type="dxa"/>
              <w:right w:w="108" w:type="dxa"/>
            </w:tcMar>
            <w:vAlign w:val="center"/>
            <w:hideMark/>
          </w:tcPr>
          <w:p w14:paraId="3DBE9272" w14:textId="07EDD9CC" w:rsidR="00E34012" w:rsidRPr="00605E8C" w:rsidRDefault="00E34012" w:rsidP="003332ED">
            <w:pPr>
              <w:autoSpaceDE w:val="0"/>
              <w:autoSpaceDN w:val="0"/>
              <w:ind w:right="18"/>
              <w:jc w:val="both"/>
              <w:rPr>
                <w:rFonts w:ascii="Ping LCG Regular" w:eastAsia="Calibri" w:hAnsi="Ping LCG Regular" w:cs="Arial"/>
                <w:spacing w:val="-14"/>
                <w:lang w:val="el-GR"/>
              </w:rPr>
            </w:pPr>
            <w:proofErr w:type="spellStart"/>
            <w:r w:rsidRPr="007F675C">
              <w:rPr>
                <w:rFonts w:ascii="Ping LCG Regular" w:hAnsi="Ping LCG Regular" w:cs="Arial"/>
                <w:spacing w:val="-14"/>
              </w:rPr>
              <w:t>Συμ</w:t>
            </w:r>
            <w:proofErr w:type="spellEnd"/>
            <w:r w:rsidRPr="007F675C">
              <w:rPr>
                <w:rFonts w:ascii="Ping LCG Regular" w:hAnsi="Ping LCG Regular" w:cs="Arial"/>
                <w:spacing w:val="-14"/>
              </w:rPr>
              <w:t>βατική παρα</w:t>
            </w:r>
            <w:proofErr w:type="spellStart"/>
            <w:r w:rsidRPr="007F675C">
              <w:rPr>
                <w:rFonts w:ascii="Ping LCG Regular" w:hAnsi="Ping LCG Regular" w:cs="Arial"/>
                <w:spacing w:val="-14"/>
              </w:rPr>
              <w:t>γωγή</w:t>
            </w:r>
            <w:proofErr w:type="spellEnd"/>
            <w:r w:rsidR="0037264E" w:rsidRPr="007F675C">
              <w:rPr>
                <w:rFonts w:ascii="Ping LCG Regular" w:hAnsi="Ping LCG Regular" w:cs="Arial"/>
                <w:spacing w:val="-14"/>
                <w:lang w:val="el-GR"/>
              </w:rPr>
              <w:t xml:space="preserve"> </w:t>
            </w:r>
            <w:r w:rsidR="0037264E" w:rsidRPr="007F675C">
              <w:rPr>
                <w:rFonts w:ascii="Ping LCG Regular" w:hAnsi="Ping LCG Regular" w:cs="Arial"/>
                <w:spacing w:val="-14"/>
                <w:vertAlign w:val="superscript"/>
                <w:lang w:val="el-GR"/>
              </w:rPr>
              <w:t>(*)</w:t>
            </w:r>
          </w:p>
        </w:tc>
        <w:tc>
          <w:tcPr>
            <w:tcW w:w="2127" w:type="dxa"/>
            <w:tcMar>
              <w:top w:w="0" w:type="dxa"/>
              <w:left w:w="108" w:type="dxa"/>
              <w:bottom w:w="0" w:type="dxa"/>
              <w:right w:w="108" w:type="dxa"/>
            </w:tcMar>
            <w:vAlign w:val="center"/>
          </w:tcPr>
          <w:p w14:paraId="5305053E" w14:textId="6411CF3B" w:rsidR="00E34012" w:rsidRPr="003E5B66" w:rsidRDefault="00EA372E" w:rsidP="003332ED">
            <w:pPr>
              <w:autoSpaceDE w:val="0"/>
              <w:autoSpaceDN w:val="0"/>
              <w:ind w:right="18"/>
              <w:jc w:val="center"/>
              <w:rPr>
                <w:rFonts w:ascii="Ping LCG Regular" w:eastAsia="Calibri" w:hAnsi="Ping LCG Regular" w:cs="Arial"/>
                <w:spacing w:val="-14"/>
              </w:rPr>
            </w:pPr>
            <w:r>
              <w:rPr>
                <w:rFonts w:ascii="Ping LCG Regular" w:eastAsia="Calibri" w:hAnsi="Ping LCG Regular" w:cs="Arial"/>
                <w:spacing w:val="-14"/>
                <w:lang w:val="el-GR"/>
              </w:rPr>
              <w:t>120</w:t>
            </w:r>
            <w:r w:rsidR="00A40773">
              <w:rPr>
                <w:rFonts w:ascii="Ping LCG Regular" w:eastAsia="Calibri" w:hAnsi="Ping LCG Regular" w:cs="Arial"/>
                <w:spacing w:val="-14"/>
                <w:lang w:val="el-GR"/>
              </w:rPr>
              <w:t>,</w:t>
            </w:r>
            <w:r w:rsidR="003E5B66">
              <w:rPr>
                <w:rFonts w:ascii="Ping LCG Regular" w:eastAsia="Calibri" w:hAnsi="Ping LCG Regular" w:cs="Arial"/>
                <w:spacing w:val="-14"/>
              </w:rPr>
              <w:t>4</w:t>
            </w:r>
          </w:p>
        </w:tc>
        <w:tc>
          <w:tcPr>
            <w:tcW w:w="2126" w:type="dxa"/>
            <w:tcMar>
              <w:top w:w="0" w:type="dxa"/>
              <w:left w:w="108" w:type="dxa"/>
              <w:bottom w:w="0" w:type="dxa"/>
              <w:right w:w="108" w:type="dxa"/>
            </w:tcMar>
            <w:vAlign w:val="center"/>
          </w:tcPr>
          <w:p w14:paraId="02A6EF99" w14:textId="5765910D" w:rsidR="00E34012" w:rsidRPr="000A0991" w:rsidRDefault="007D748A" w:rsidP="003332ED">
            <w:pPr>
              <w:autoSpaceDE w:val="0"/>
              <w:autoSpaceDN w:val="0"/>
              <w:ind w:right="18"/>
              <w:jc w:val="center"/>
              <w:rPr>
                <w:rFonts w:ascii="Ping LCG Regular" w:eastAsia="Calibri" w:hAnsi="Ping LCG Regular" w:cs="Arial"/>
                <w:spacing w:val="-14"/>
                <w:lang w:val="el-GR"/>
              </w:rPr>
            </w:pPr>
            <w:r>
              <w:rPr>
                <w:rFonts w:ascii="Ping LCG Regular" w:eastAsia="Calibri" w:hAnsi="Ping LCG Regular" w:cs="Arial"/>
                <w:spacing w:val="-14"/>
              </w:rPr>
              <w:t>1</w:t>
            </w:r>
            <w:r w:rsidR="00EA372E">
              <w:rPr>
                <w:rFonts w:ascii="Ping LCG Regular" w:eastAsia="Calibri" w:hAnsi="Ping LCG Regular" w:cs="Arial"/>
                <w:spacing w:val="-14"/>
                <w:lang w:val="el-GR"/>
              </w:rPr>
              <w:t>16</w:t>
            </w:r>
            <w:r>
              <w:rPr>
                <w:rFonts w:ascii="Ping LCG Regular" w:eastAsia="Calibri" w:hAnsi="Ping LCG Regular" w:cs="Arial"/>
                <w:spacing w:val="-14"/>
              </w:rPr>
              <w:t>,</w:t>
            </w:r>
            <w:r w:rsidR="00EA372E">
              <w:rPr>
                <w:rFonts w:ascii="Ping LCG Regular" w:eastAsia="Calibri" w:hAnsi="Ping LCG Regular" w:cs="Arial"/>
                <w:spacing w:val="-14"/>
                <w:lang w:val="el-GR"/>
              </w:rPr>
              <w:t>0</w:t>
            </w:r>
          </w:p>
        </w:tc>
        <w:tc>
          <w:tcPr>
            <w:tcW w:w="1593" w:type="dxa"/>
          </w:tcPr>
          <w:p w14:paraId="3A279BA3" w14:textId="6DFA9F6F" w:rsidR="00E34012" w:rsidRPr="000A0991" w:rsidRDefault="00EA372E" w:rsidP="003332ED">
            <w:pPr>
              <w:autoSpaceDE w:val="0"/>
              <w:autoSpaceDN w:val="0"/>
              <w:ind w:right="18"/>
              <w:jc w:val="center"/>
              <w:rPr>
                <w:rFonts w:ascii="Ping LCG Regular" w:eastAsia="Calibri" w:hAnsi="Ping LCG Regular" w:cs="Arial"/>
                <w:i/>
                <w:spacing w:val="-14"/>
                <w:lang w:val="el-GR"/>
              </w:rPr>
            </w:pPr>
            <w:r>
              <w:rPr>
                <w:rFonts w:ascii="Ping LCG Regular" w:eastAsia="Calibri" w:hAnsi="Ping LCG Regular" w:cs="Arial"/>
                <w:i/>
                <w:spacing w:val="-14"/>
                <w:lang w:val="el-GR"/>
              </w:rPr>
              <w:t>4</w:t>
            </w:r>
            <w:r w:rsidR="000A0991">
              <w:rPr>
                <w:rFonts w:ascii="Ping LCG Regular" w:eastAsia="Calibri" w:hAnsi="Ping LCG Regular" w:cs="Arial"/>
                <w:i/>
                <w:spacing w:val="-14"/>
                <w:lang w:val="el-GR"/>
              </w:rPr>
              <w:t>,4</w:t>
            </w:r>
          </w:p>
        </w:tc>
        <w:tc>
          <w:tcPr>
            <w:tcW w:w="1833" w:type="dxa"/>
            <w:tcMar>
              <w:top w:w="0" w:type="dxa"/>
              <w:left w:w="108" w:type="dxa"/>
              <w:bottom w:w="0" w:type="dxa"/>
              <w:right w:w="108" w:type="dxa"/>
            </w:tcMar>
            <w:vAlign w:val="center"/>
          </w:tcPr>
          <w:p w14:paraId="59426C6A" w14:textId="0556F89F" w:rsidR="00E34012" w:rsidRPr="007D748A" w:rsidRDefault="000A0991" w:rsidP="003332ED">
            <w:pPr>
              <w:autoSpaceDE w:val="0"/>
              <w:autoSpaceDN w:val="0"/>
              <w:ind w:right="18"/>
              <w:jc w:val="center"/>
              <w:rPr>
                <w:rFonts w:ascii="Ping LCG Regular" w:eastAsia="Calibri" w:hAnsi="Ping LCG Regular" w:cs="Arial"/>
                <w:i/>
                <w:spacing w:val="-14"/>
              </w:rPr>
            </w:pPr>
            <w:r>
              <w:rPr>
                <w:rFonts w:ascii="Ping LCG Regular" w:eastAsia="Calibri" w:hAnsi="Ping LCG Regular" w:cs="Arial"/>
                <w:i/>
                <w:spacing w:val="-14"/>
                <w:lang w:val="el-GR"/>
              </w:rPr>
              <w:t>3,</w:t>
            </w:r>
            <w:r w:rsidR="00EA372E">
              <w:rPr>
                <w:rFonts w:ascii="Ping LCG Regular" w:eastAsia="Calibri" w:hAnsi="Ping LCG Regular" w:cs="Arial"/>
                <w:i/>
                <w:spacing w:val="-14"/>
                <w:lang w:val="el-GR"/>
              </w:rPr>
              <w:t>8</w:t>
            </w:r>
            <w:r w:rsidR="007D748A">
              <w:rPr>
                <w:rFonts w:ascii="Ping LCG Regular" w:eastAsia="Calibri" w:hAnsi="Ping LCG Regular" w:cs="Arial"/>
                <w:i/>
                <w:spacing w:val="-14"/>
              </w:rPr>
              <w:t>%</w:t>
            </w:r>
          </w:p>
        </w:tc>
      </w:tr>
      <w:tr w:rsidR="00E34012" w:rsidRPr="007F675C" w14:paraId="784BAE20" w14:textId="77777777" w:rsidTr="0081653C">
        <w:trPr>
          <w:trHeight w:val="283"/>
        </w:trPr>
        <w:tc>
          <w:tcPr>
            <w:tcW w:w="2835" w:type="dxa"/>
            <w:tcMar>
              <w:top w:w="0" w:type="dxa"/>
              <w:left w:w="108" w:type="dxa"/>
              <w:bottom w:w="0" w:type="dxa"/>
              <w:right w:w="108" w:type="dxa"/>
            </w:tcMar>
            <w:vAlign w:val="center"/>
          </w:tcPr>
          <w:p w14:paraId="6CD3A5CE" w14:textId="0F6B91E5" w:rsidR="00E34012" w:rsidRPr="007F675C" w:rsidRDefault="00E34012" w:rsidP="003332ED">
            <w:pPr>
              <w:autoSpaceDE w:val="0"/>
              <w:autoSpaceDN w:val="0"/>
              <w:ind w:right="18"/>
              <w:jc w:val="both"/>
              <w:rPr>
                <w:rFonts w:ascii="Ping LCG Regular" w:hAnsi="Ping LCG Regular" w:cs="Arial"/>
                <w:spacing w:val="-14"/>
                <w:lang w:val="el-GR"/>
              </w:rPr>
            </w:pPr>
            <w:r w:rsidRPr="007F675C">
              <w:rPr>
                <w:rFonts w:ascii="Ping LCG Regular" w:hAnsi="Ping LCG Regular" w:cs="Arial"/>
                <w:spacing w:val="-14"/>
              </w:rPr>
              <w:t>ΑΠΕ</w:t>
            </w:r>
            <w:r w:rsidR="00BD39C8" w:rsidRPr="007F675C">
              <w:rPr>
                <w:rFonts w:ascii="Ping LCG Regular" w:hAnsi="Ping LCG Regular" w:cs="Arial"/>
                <w:spacing w:val="-14"/>
                <w:lang w:val="el-GR"/>
              </w:rPr>
              <w:t xml:space="preserve"> </w:t>
            </w:r>
            <w:r w:rsidR="00EE7CF3" w:rsidRPr="007F675C">
              <w:rPr>
                <w:rFonts w:ascii="Ping LCG Regular" w:hAnsi="Ping LCG Regular" w:cs="Arial"/>
                <w:spacing w:val="-14"/>
                <w:vertAlign w:val="superscript"/>
                <w:lang w:val="el-GR"/>
              </w:rPr>
              <w:t>(*</w:t>
            </w:r>
            <w:r w:rsidR="00957142">
              <w:rPr>
                <w:rFonts w:ascii="Ping LCG Regular" w:hAnsi="Ping LCG Regular" w:cs="Arial"/>
                <w:spacing w:val="-14"/>
                <w:vertAlign w:val="superscript"/>
                <w:lang w:val="el-GR"/>
              </w:rPr>
              <w:t>*</w:t>
            </w:r>
            <w:r w:rsidR="00EE7CF3" w:rsidRPr="007F675C">
              <w:rPr>
                <w:rFonts w:ascii="Ping LCG Regular" w:hAnsi="Ping LCG Regular" w:cs="Arial"/>
                <w:spacing w:val="-14"/>
                <w:vertAlign w:val="superscript"/>
                <w:lang w:val="el-GR"/>
              </w:rPr>
              <w:t>)</w:t>
            </w:r>
          </w:p>
        </w:tc>
        <w:tc>
          <w:tcPr>
            <w:tcW w:w="2127" w:type="dxa"/>
            <w:tcMar>
              <w:top w:w="0" w:type="dxa"/>
              <w:left w:w="108" w:type="dxa"/>
              <w:bottom w:w="0" w:type="dxa"/>
              <w:right w:w="108" w:type="dxa"/>
            </w:tcMar>
            <w:vAlign w:val="center"/>
          </w:tcPr>
          <w:p w14:paraId="0E8CBB83" w14:textId="3B9E1A26" w:rsidR="00E34012" w:rsidRPr="003E5B66" w:rsidRDefault="003E5B66" w:rsidP="003332ED">
            <w:pPr>
              <w:autoSpaceDE w:val="0"/>
              <w:autoSpaceDN w:val="0"/>
              <w:ind w:right="18"/>
              <w:jc w:val="center"/>
              <w:rPr>
                <w:rFonts w:ascii="Ping LCG Regular" w:eastAsia="Calibri" w:hAnsi="Ping LCG Regular" w:cs="Arial"/>
                <w:spacing w:val="-14"/>
              </w:rPr>
            </w:pPr>
            <w:r>
              <w:rPr>
                <w:rFonts w:ascii="Ping LCG Regular" w:eastAsia="Calibri" w:hAnsi="Ping LCG Regular" w:cs="Arial"/>
                <w:spacing w:val="-14"/>
              </w:rPr>
              <w:t>27,7</w:t>
            </w:r>
          </w:p>
        </w:tc>
        <w:tc>
          <w:tcPr>
            <w:tcW w:w="2126" w:type="dxa"/>
            <w:tcMar>
              <w:top w:w="0" w:type="dxa"/>
              <w:left w:w="108" w:type="dxa"/>
              <w:bottom w:w="0" w:type="dxa"/>
              <w:right w:w="108" w:type="dxa"/>
            </w:tcMar>
            <w:vAlign w:val="center"/>
          </w:tcPr>
          <w:p w14:paraId="480244D1" w14:textId="7C3189EF" w:rsidR="00E34012" w:rsidRPr="007D748A" w:rsidRDefault="007D748A" w:rsidP="003332ED">
            <w:pPr>
              <w:autoSpaceDE w:val="0"/>
              <w:autoSpaceDN w:val="0"/>
              <w:ind w:right="18"/>
              <w:jc w:val="center"/>
              <w:rPr>
                <w:rFonts w:ascii="Ping LCG Regular" w:eastAsia="Calibri" w:hAnsi="Ping LCG Regular" w:cs="Arial"/>
                <w:spacing w:val="-14"/>
              </w:rPr>
            </w:pPr>
            <w:r>
              <w:rPr>
                <w:rFonts w:ascii="Ping LCG Regular" w:eastAsia="Calibri" w:hAnsi="Ping LCG Regular" w:cs="Arial"/>
                <w:spacing w:val="-14"/>
              </w:rPr>
              <w:t>17,9</w:t>
            </w:r>
          </w:p>
        </w:tc>
        <w:tc>
          <w:tcPr>
            <w:tcW w:w="1593" w:type="dxa"/>
          </w:tcPr>
          <w:p w14:paraId="090DA6E5" w14:textId="3437ED7A" w:rsidR="00E34012" w:rsidRPr="007D748A" w:rsidRDefault="007D748A" w:rsidP="003332ED">
            <w:pPr>
              <w:autoSpaceDE w:val="0"/>
              <w:autoSpaceDN w:val="0"/>
              <w:ind w:right="18"/>
              <w:jc w:val="center"/>
              <w:rPr>
                <w:rFonts w:ascii="Ping LCG Regular" w:eastAsia="Calibri" w:hAnsi="Ping LCG Regular" w:cs="Arial"/>
                <w:i/>
                <w:spacing w:val="-14"/>
              </w:rPr>
            </w:pPr>
            <w:r>
              <w:rPr>
                <w:rFonts w:ascii="Ping LCG Regular" w:eastAsia="Calibri" w:hAnsi="Ping LCG Regular" w:cs="Arial"/>
                <w:i/>
                <w:spacing w:val="-14"/>
              </w:rPr>
              <w:t>9,8</w:t>
            </w:r>
          </w:p>
        </w:tc>
        <w:tc>
          <w:tcPr>
            <w:tcW w:w="1833" w:type="dxa"/>
            <w:tcMar>
              <w:top w:w="0" w:type="dxa"/>
              <w:left w:w="108" w:type="dxa"/>
              <w:bottom w:w="0" w:type="dxa"/>
              <w:right w:w="108" w:type="dxa"/>
            </w:tcMar>
            <w:vAlign w:val="center"/>
          </w:tcPr>
          <w:p w14:paraId="1A16D08F" w14:textId="54BA428E" w:rsidR="00E34012" w:rsidRPr="007D748A" w:rsidRDefault="007D748A" w:rsidP="003332ED">
            <w:pPr>
              <w:autoSpaceDE w:val="0"/>
              <w:autoSpaceDN w:val="0"/>
              <w:ind w:right="18"/>
              <w:jc w:val="center"/>
              <w:rPr>
                <w:rFonts w:ascii="Ping LCG Regular" w:eastAsia="Calibri" w:hAnsi="Ping LCG Regular" w:cs="Arial"/>
                <w:i/>
                <w:spacing w:val="-14"/>
              </w:rPr>
            </w:pPr>
            <w:r>
              <w:rPr>
                <w:rFonts w:ascii="Ping LCG Regular" w:eastAsia="Calibri" w:hAnsi="Ping LCG Regular" w:cs="Arial"/>
                <w:i/>
                <w:spacing w:val="-14"/>
              </w:rPr>
              <w:t>54,7%</w:t>
            </w:r>
          </w:p>
        </w:tc>
      </w:tr>
      <w:tr w:rsidR="00E34012" w:rsidRPr="007F675C" w14:paraId="2BD66370" w14:textId="77777777" w:rsidTr="0081653C">
        <w:trPr>
          <w:trHeight w:val="283"/>
        </w:trPr>
        <w:tc>
          <w:tcPr>
            <w:tcW w:w="2835" w:type="dxa"/>
            <w:tcMar>
              <w:top w:w="0" w:type="dxa"/>
              <w:left w:w="108" w:type="dxa"/>
              <w:bottom w:w="0" w:type="dxa"/>
              <w:right w:w="108" w:type="dxa"/>
            </w:tcMar>
            <w:vAlign w:val="center"/>
            <w:hideMark/>
          </w:tcPr>
          <w:p w14:paraId="0A63F9F7" w14:textId="77777777" w:rsidR="00E34012" w:rsidRPr="007F675C" w:rsidRDefault="00E34012" w:rsidP="003332ED">
            <w:pPr>
              <w:autoSpaceDE w:val="0"/>
              <w:autoSpaceDN w:val="0"/>
              <w:ind w:right="18"/>
              <w:jc w:val="both"/>
              <w:rPr>
                <w:rFonts w:ascii="Ping LCG Regular" w:eastAsia="Calibri" w:hAnsi="Ping LCG Regular" w:cs="Arial"/>
                <w:spacing w:val="-14"/>
              </w:rPr>
            </w:pPr>
            <w:proofErr w:type="spellStart"/>
            <w:r w:rsidRPr="007F675C">
              <w:rPr>
                <w:rFonts w:ascii="Ping LCG Regular" w:hAnsi="Ping LCG Regular" w:cs="Arial"/>
                <w:spacing w:val="-14"/>
              </w:rPr>
              <w:t>Δίκτυ</w:t>
            </w:r>
            <w:proofErr w:type="spellEnd"/>
            <w:r w:rsidRPr="007F675C">
              <w:rPr>
                <w:rFonts w:ascii="Ping LCG Regular" w:hAnsi="Ping LCG Regular" w:cs="Arial"/>
                <w:spacing w:val="-14"/>
              </w:rPr>
              <w:t xml:space="preserve">α </w:t>
            </w:r>
            <w:proofErr w:type="spellStart"/>
            <w:r w:rsidRPr="007F675C">
              <w:rPr>
                <w:rFonts w:ascii="Ping LCG Regular" w:hAnsi="Ping LCG Regular" w:cs="Arial"/>
                <w:spacing w:val="-14"/>
              </w:rPr>
              <w:t>Δι</w:t>
            </w:r>
            <w:proofErr w:type="spellEnd"/>
            <w:r w:rsidRPr="007F675C">
              <w:rPr>
                <w:rFonts w:ascii="Ping LCG Regular" w:hAnsi="Ping LCG Regular" w:cs="Arial"/>
                <w:spacing w:val="-14"/>
              </w:rPr>
              <w:t>ανομής  </w:t>
            </w:r>
          </w:p>
        </w:tc>
        <w:tc>
          <w:tcPr>
            <w:tcW w:w="2127" w:type="dxa"/>
            <w:tcMar>
              <w:top w:w="0" w:type="dxa"/>
              <w:left w:w="108" w:type="dxa"/>
              <w:bottom w:w="0" w:type="dxa"/>
              <w:right w:w="108" w:type="dxa"/>
            </w:tcMar>
            <w:vAlign w:val="center"/>
          </w:tcPr>
          <w:p w14:paraId="3879216B" w14:textId="54D5E1CF" w:rsidR="00E34012" w:rsidRPr="007F675C" w:rsidRDefault="003E5B66" w:rsidP="003332ED">
            <w:pPr>
              <w:autoSpaceDE w:val="0"/>
              <w:autoSpaceDN w:val="0"/>
              <w:ind w:right="18"/>
              <w:jc w:val="center"/>
              <w:rPr>
                <w:rFonts w:ascii="Ping LCG Regular" w:eastAsia="Calibri" w:hAnsi="Ping LCG Regular" w:cs="Arial"/>
                <w:spacing w:val="-14"/>
              </w:rPr>
            </w:pPr>
            <w:r>
              <w:rPr>
                <w:rFonts w:ascii="Ping LCG Regular" w:eastAsia="Calibri" w:hAnsi="Ping LCG Regular" w:cs="Arial"/>
                <w:spacing w:val="-14"/>
              </w:rPr>
              <w:t>152,7</w:t>
            </w:r>
          </w:p>
        </w:tc>
        <w:tc>
          <w:tcPr>
            <w:tcW w:w="2126" w:type="dxa"/>
            <w:tcMar>
              <w:top w:w="0" w:type="dxa"/>
              <w:left w:w="108" w:type="dxa"/>
              <w:bottom w:w="0" w:type="dxa"/>
              <w:right w:w="108" w:type="dxa"/>
            </w:tcMar>
            <w:vAlign w:val="center"/>
          </w:tcPr>
          <w:p w14:paraId="1A03D18D" w14:textId="5AFB27FA" w:rsidR="00E34012" w:rsidRPr="007F675C" w:rsidRDefault="0081653C" w:rsidP="003332ED">
            <w:pPr>
              <w:autoSpaceDE w:val="0"/>
              <w:autoSpaceDN w:val="0"/>
              <w:ind w:right="18"/>
              <w:jc w:val="center"/>
              <w:rPr>
                <w:rFonts w:ascii="Ping LCG Regular" w:eastAsia="Calibri" w:hAnsi="Ping LCG Regular" w:cs="Arial"/>
                <w:spacing w:val="-14"/>
                <w:lang w:val="el-GR"/>
              </w:rPr>
            </w:pPr>
            <w:r w:rsidRPr="007F675C">
              <w:rPr>
                <w:rFonts w:ascii="Ping LCG Regular" w:eastAsia="Calibri" w:hAnsi="Ping LCG Regular" w:cs="Arial"/>
                <w:spacing w:val="-14"/>
                <w:lang w:val="el-GR"/>
              </w:rPr>
              <w:t>119,5</w:t>
            </w:r>
          </w:p>
        </w:tc>
        <w:tc>
          <w:tcPr>
            <w:tcW w:w="1593" w:type="dxa"/>
          </w:tcPr>
          <w:p w14:paraId="7F321AA0" w14:textId="24801E27" w:rsidR="00E34012" w:rsidRPr="007D748A" w:rsidRDefault="007D748A" w:rsidP="003332ED">
            <w:pPr>
              <w:autoSpaceDE w:val="0"/>
              <w:autoSpaceDN w:val="0"/>
              <w:ind w:right="18"/>
              <w:jc w:val="center"/>
              <w:rPr>
                <w:rFonts w:ascii="Ping LCG Regular" w:eastAsia="Calibri" w:hAnsi="Ping LCG Regular" w:cs="Arial"/>
                <w:i/>
                <w:spacing w:val="-14"/>
              </w:rPr>
            </w:pPr>
            <w:r>
              <w:rPr>
                <w:rFonts w:ascii="Ping LCG Regular" w:eastAsia="Calibri" w:hAnsi="Ping LCG Regular" w:cs="Arial"/>
                <w:i/>
                <w:spacing w:val="-14"/>
              </w:rPr>
              <w:t>33,2</w:t>
            </w:r>
          </w:p>
        </w:tc>
        <w:tc>
          <w:tcPr>
            <w:tcW w:w="1833" w:type="dxa"/>
            <w:tcMar>
              <w:top w:w="0" w:type="dxa"/>
              <w:left w:w="108" w:type="dxa"/>
              <w:bottom w:w="0" w:type="dxa"/>
              <w:right w:w="108" w:type="dxa"/>
            </w:tcMar>
            <w:vAlign w:val="center"/>
          </w:tcPr>
          <w:p w14:paraId="1F8AD33C" w14:textId="19E81BEF" w:rsidR="00E34012" w:rsidRPr="007D748A" w:rsidRDefault="007D748A" w:rsidP="003332ED">
            <w:pPr>
              <w:autoSpaceDE w:val="0"/>
              <w:autoSpaceDN w:val="0"/>
              <w:ind w:right="18"/>
              <w:jc w:val="center"/>
              <w:rPr>
                <w:rFonts w:ascii="Ping LCG Regular" w:eastAsia="Calibri" w:hAnsi="Ping LCG Regular" w:cs="Arial"/>
                <w:i/>
                <w:spacing w:val="-14"/>
              </w:rPr>
            </w:pPr>
            <w:r>
              <w:rPr>
                <w:rFonts w:ascii="Ping LCG Regular" w:eastAsia="Calibri" w:hAnsi="Ping LCG Regular" w:cs="Arial"/>
                <w:i/>
                <w:spacing w:val="-14"/>
              </w:rPr>
              <w:t>27,8%</w:t>
            </w:r>
          </w:p>
        </w:tc>
      </w:tr>
      <w:tr w:rsidR="00032103" w:rsidRPr="007F675C" w14:paraId="51DAAF30" w14:textId="77777777" w:rsidTr="0081653C">
        <w:trPr>
          <w:trHeight w:val="283"/>
        </w:trPr>
        <w:tc>
          <w:tcPr>
            <w:tcW w:w="2835" w:type="dxa"/>
            <w:tcMar>
              <w:top w:w="0" w:type="dxa"/>
              <w:left w:w="108" w:type="dxa"/>
              <w:bottom w:w="0" w:type="dxa"/>
              <w:right w:w="108" w:type="dxa"/>
            </w:tcMar>
            <w:vAlign w:val="center"/>
          </w:tcPr>
          <w:p w14:paraId="771965C4" w14:textId="03D042C1" w:rsidR="00032103" w:rsidRPr="007F675C" w:rsidRDefault="00032103" w:rsidP="003332ED">
            <w:pPr>
              <w:autoSpaceDE w:val="0"/>
              <w:autoSpaceDN w:val="0"/>
              <w:ind w:right="18"/>
              <w:jc w:val="both"/>
              <w:rPr>
                <w:rFonts w:ascii="Ping LCG Regular" w:hAnsi="Ping LCG Regular" w:cs="Arial"/>
                <w:spacing w:val="-14"/>
                <w:lang w:val="el-GR"/>
              </w:rPr>
            </w:pPr>
            <w:r w:rsidRPr="007F675C">
              <w:rPr>
                <w:rFonts w:ascii="Ping LCG Regular" w:hAnsi="Ping LCG Regular" w:cs="Arial"/>
                <w:spacing w:val="-14"/>
                <w:lang w:val="el-GR"/>
              </w:rPr>
              <w:t>Λοιπές</w:t>
            </w:r>
          </w:p>
        </w:tc>
        <w:tc>
          <w:tcPr>
            <w:tcW w:w="2127" w:type="dxa"/>
            <w:tcMar>
              <w:top w:w="0" w:type="dxa"/>
              <w:left w:w="108" w:type="dxa"/>
              <w:bottom w:w="0" w:type="dxa"/>
              <w:right w:w="108" w:type="dxa"/>
            </w:tcMar>
            <w:vAlign w:val="center"/>
          </w:tcPr>
          <w:p w14:paraId="246211E8" w14:textId="3A0BBF8C" w:rsidR="00032103" w:rsidRPr="007F675C" w:rsidRDefault="003E5B66" w:rsidP="003332ED">
            <w:pPr>
              <w:autoSpaceDE w:val="0"/>
              <w:autoSpaceDN w:val="0"/>
              <w:ind w:right="18"/>
              <w:jc w:val="center"/>
              <w:rPr>
                <w:rFonts w:ascii="Ping LCG Regular" w:eastAsia="Calibri" w:hAnsi="Ping LCG Regular" w:cs="Arial"/>
                <w:spacing w:val="-14"/>
              </w:rPr>
            </w:pPr>
            <w:r>
              <w:rPr>
                <w:rFonts w:ascii="Ping LCG Regular" w:eastAsia="Calibri" w:hAnsi="Ping LCG Regular" w:cs="Arial"/>
                <w:spacing w:val="-14"/>
              </w:rPr>
              <w:t>10,5</w:t>
            </w:r>
          </w:p>
        </w:tc>
        <w:tc>
          <w:tcPr>
            <w:tcW w:w="2126" w:type="dxa"/>
            <w:tcMar>
              <w:top w:w="0" w:type="dxa"/>
              <w:left w:w="108" w:type="dxa"/>
              <w:bottom w:w="0" w:type="dxa"/>
              <w:right w:w="108" w:type="dxa"/>
            </w:tcMar>
            <w:vAlign w:val="center"/>
          </w:tcPr>
          <w:p w14:paraId="6155B4F1" w14:textId="7148BD96" w:rsidR="00032103" w:rsidRPr="000A0991" w:rsidRDefault="000A0991" w:rsidP="003332ED">
            <w:pPr>
              <w:autoSpaceDE w:val="0"/>
              <w:autoSpaceDN w:val="0"/>
              <w:ind w:right="18"/>
              <w:jc w:val="center"/>
              <w:rPr>
                <w:rFonts w:ascii="Ping LCG Regular" w:eastAsia="Calibri" w:hAnsi="Ping LCG Regular" w:cs="Arial"/>
                <w:spacing w:val="-14"/>
                <w:lang w:val="el-GR"/>
              </w:rPr>
            </w:pPr>
            <w:r>
              <w:rPr>
                <w:rFonts w:ascii="Ping LCG Regular" w:eastAsia="Calibri" w:hAnsi="Ping LCG Regular" w:cs="Arial"/>
                <w:spacing w:val="-14"/>
                <w:lang w:val="el-GR"/>
              </w:rPr>
              <w:t>2,9</w:t>
            </w:r>
          </w:p>
        </w:tc>
        <w:tc>
          <w:tcPr>
            <w:tcW w:w="1593" w:type="dxa"/>
          </w:tcPr>
          <w:p w14:paraId="300B5C37" w14:textId="62E08004" w:rsidR="00032103" w:rsidRPr="000A0991" w:rsidRDefault="007D748A" w:rsidP="003332ED">
            <w:pPr>
              <w:autoSpaceDE w:val="0"/>
              <w:autoSpaceDN w:val="0"/>
              <w:ind w:right="18"/>
              <w:jc w:val="center"/>
              <w:rPr>
                <w:rFonts w:ascii="Ping LCG Regular" w:eastAsia="Calibri" w:hAnsi="Ping LCG Regular" w:cs="Arial"/>
                <w:i/>
                <w:spacing w:val="-14"/>
                <w:lang w:val="el-GR"/>
              </w:rPr>
            </w:pPr>
            <w:r>
              <w:rPr>
                <w:rFonts w:ascii="Ping LCG Regular" w:eastAsia="Calibri" w:hAnsi="Ping LCG Regular" w:cs="Arial"/>
                <w:i/>
                <w:spacing w:val="-14"/>
              </w:rPr>
              <w:t>7,</w:t>
            </w:r>
            <w:r w:rsidR="000A0991">
              <w:rPr>
                <w:rFonts w:ascii="Ping LCG Regular" w:eastAsia="Calibri" w:hAnsi="Ping LCG Regular" w:cs="Arial"/>
                <w:i/>
                <w:spacing w:val="-14"/>
                <w:lang w:val="el-GR"/>
              </w:rPr>
              <w:t>6</w:t>
            </w:r>
          </w:p>
        </w:tc>
        <w:tc>
          <w:tcPr>
            <w:tcW w:w="1833" w:type="dxa"/>
            <w:tcMar>
              <w:top w:w="0" w:type="dxa"/>
              <w:left w:w="108" w:type="dxa"/>
              <w:bottom w:w="0" w:type="dxa"/>
              <w:right w:w="108" w:type="dxa"/>
            </w:tcMar>
            <w:vAlign w:val="center"/>
          </w:tcPr>
          <w:p w14:paraId="3EDD7B94" w14:textId="42A2D967" w:rsidR="00032103" w:rsidRPr="007D748A" w:rsidRDefault="007D748A" w:rsidP="003332ED">
            <w:pPr>
              <w:autoSpaceDE w:val="0"/>
              <w:autoSpaceDN w:val="0"/>
              <w:ind w:right="18"/>
              <w:jc w:val="center"/>
              <w:rPr>
                <w:rFonts w:ascii="Ping LCG Regular" w:eastAsia="Calibri" w:hAnsi="Ping LCG Regular" w:cs="Arial"/>
                <w:i/>
                <w:spacing w:val="-14"/>
              </w:rPr>
            </w:pPr>
            <w:r>
              <w:rPr>
                <w:rFonts w:ascii="Ping LCG Regular" w:eastAsia="Calibri" w:hAnsi="Ping LCG Regular" w:cs="Arial"/>
                <w:i/>
                <w:spacing w:val="-14"/>
              </w:rPr>
              <w:t>2</w:t>
            </w:r>
            <w:r w:rsidR="000A0991">
              <w:rPr>
                <w:rFonts w:ascii="Ping LCG Regular" w:eastAsia="Calibri" w:hAnsi="Ping LCG Regular" w:cs="Arial"/>
                <w:i/>
                <w:spacing w:val="-14"/>
                <w:lang w:val="el-GR"/>
              </w:rPr>
              <w:t>62,1</w:t>
            </w:r>
            <w:r>
              <w:rPr>
                <w:rFonts w:ascii="Ping LCG Regular" w:eastAsia="Calibri" w:hAnsi="Ping LCG Regular" w:cs="Arial"/>
                <w:i/>
                <w:spacing w:val="-14"/>
              </w:rPr>
              <w:t>%</w:t>
            </w:r>
          </w:p>
        </w:tc>
      </w:tr>
      <w:tr w:rsidR="00032103" w:rsidRPr="00B26EE8" w14:paraId="3451D67F" w14:textId="77777777" w:rsidTr="0081653C">
        <w:trPr>
          <w:trHeight w:val="283"/>
        </w:trPr>
        <w:tc>
          <w:tcPr>
            <w:tcW w:w="2835" w:type="dxa"/>
            <w:tcMar>
              <w:top w:w="0" w:type="dxa"/>
              <w:left w:w="108" w:type="dxa"/>
              <w:bottom w:w="0" w:type="dxa"/>
              <w:right w:w="108" w:type="dxa"/>
            </w:tcMar>
            <w:vAlign w:val="center"/>
          </w:tcPr>
          <w:p w14:paraId="280D7E18" w14:textId="625D2FFD" w:rsidR="00032103" w:rsidRPr="007F675C" w:rsidRDefault="00032103" w:rsidP="006C2EBB">
            <w:pPr>
              <w:autoSpaceDE w:val="0"/>
              <w:autoSpaceDN w:val="0"/>
              <w:ind w:right="18"/>
              <w:rPr>
                <w:rFonts w:ascii="Ping LCG Regular" w:hAnsi="Ping LCG Regular" w:cs="Arial"/>
                <w:b/>
                <w:bCs/>
                <w:spacing w:val="-14"/>
                <w:lang w:val="el-GR"/>
              </w:rPr>
            </w:pPr>
            <w:r w:rsidRPr="007F675C">
              <w:rPr>
                <w:rFonts w:ascii="Ping LCG Regular" w:hAnsi="Ping LCG Regular" w:cs="Arial"/>
                <w:b/>
                <w:bCs/>
                <w:spacing w:val="-14"/>
                <w:lang w:val="el-GR"/>
              </w:rPr>
              <w:t>Σύνολο</w:t>
            </w:r>
          </w:p>
        </w:tc>
        <w:tc>
          <w:tcPr>
            <w:tcW w:w="2127" w:type="dxa"/>
            <w:tcMar>
              <w:top w:w="0" w:type="dxa"/>
              <w:left w:w="108" w:type="dxa"/>
              <w:bottom w:w="0" w:type="dxa"/>
              <w:right w:w="108" w:type="dxa"/>
            </w:tcMar>
            <w:vAlign w:val="center"/>
          </w:tcPr>
          <w:p w14:paraId="28AB1DBC" w14:textId="2A858364" w:rsidR="00032103" w:rsidRPr="007F675C" w:rsidRDefault="007F675C" w:rsidP="003332ED">
            <w:pPr>
              <w:autoSpaceDE w:val="0"/>
              <w:autoSpaceDN w:val="0"/>
              <w:ind w:right="18"/>
              <w:jc w:val="center"/>
              <w:rPr>
                <w:rFonts w:ascii="Ping LCG Regular" w:eastAsia="Calibri" w:hAnsi="Ping LCG Regular" w:cs="Arial"/>
                <w:b/>
                <w:bCs/>
                <w:spacing w:val="-14"/>
                <w:lang w:val="el-GR"/>
              </w:rPr>
            </w:pPr>
            <w:r w:rsidRPr="007F675C">
              <w:rPr>
                <w:rFonts w:ascii="Ping LCG Regular" w:eastAsia="Calibri" w:hAnsi="Ping LCG Regular" w:cs="Arial"/>
                <w:b/>
                <w:bCs/>
                <w:spacing w:val="-14"/>
                <w:lang w:val="el-GR"/>
              </w:rPr>
              <w:t>311,3</w:t>
            </w:r>
          </w:p>
        </w:tc>
        <w:tc>
          <w:tcPr>
            <w:tcW w:w="2126" w:type="dxa"/>
            <w:tcMar>
              <w:top w:w="0" w:type="dxa"/>
              <w:left w:w="108" w:type="dxa"/>
              <w:bottom w:w="0" w:type="dxa"/>
              <w:right w:w="108" w:type="dxa"/>
            </w:tcMar>
            <w:vAlign w:val="center"/>
          </w:tcPr>
          <w:p w14:paraId="47A085EB" w14:textId="599F4312" w:rsidR="00032103" w:rsidRPr="007F675C" w:rsidRDefault="0081653C" w:rsidP="003332ED">
            <w:pPr>
              <w:autoSpaceDE w:val="0"/>
              <w:autoSpaceDN w:val="0"/>
              <w:ind w:right="18"/>
              <w:jc w:val="center"/>
              <w:rPr>
                <w:rFonts w:ascii="Ping LCG Regular" w:eastAsia="Calibri" w:hAnsi="Ping LCG Regular" w:cs="Arial"/>
                <w:b/>
                <w:bCs/>
                <w:spacing w:val="-14"/>
                <w:lang w:val="el-GR"/>
              </w:rPr>
            </w:pPr>
            <w:r w:rsidRPr="007F675C">
              <w:rPr>
                <w:rFonts w:ascii="Ping LCG Regular" w:eastAsia="Calibri" w:hAnsi="Ping LCG Regular" w:cs="Arial"/>
                <w:b/>
                <w:bCs/>
                <w:spacing w:val="-14"/>
                <w:lang w:val="el-GR"/>
              </w:rPr>
              <w:t>256,3</w:t>
            </w:r>
          </w:p>
        </w:tc>
        <w:tc>
          <w:tcPr>
            <w:tcW w:w="1593" w:type="dxa"/>
          </w:tcPr>
          <w:p w14:paraId="743E734A" w14:textId="30BF797B" w:rsidR="00032103" w:rsidRPr="007D748A" w:rsidRDefault="007D748A" w:rsidP="003332ED">
            <w:pPr>
              <w:autoSpaceDE w:val="0"/>
              <w:autoSpaceDN w:val="0"/>
              <w:ind w:right="18"/>
              <w:jc w:val="center"/>
              <w:rPr>
                <w:rFonts w:ascii="Ping LCG Regular" w:eastAsia="Calibri" w:hAnsi="Ping LCG Regular" w:cs="Arial"/>
                <w:b/>
                <w:bCs/>
                <w:i/>
                <w:spacing w:val="-14"/>
              </w:rPr>
            </w:pPr>
            <w:r>
              <w:rPr>
                <w:rFonts w:ascii="Ping LCG Regular" w:eastAsia="Calibri" w:hAnsi="Ping LCG Regular" w:cs="Arial"/>
                <w:b/>
                <w:bCs/>
                <w:i/>
                <w:spacing w:val="-14"/>
              </w:rPr>
              <w:t>55,0</w:t>
            </w:r>
          </w:p>
        </w:tc>
        <w:tc>
          <w:tcPr>
            <w:tcW w:w="1833" w:type="dxa"/>
            <w:tcMar>
              <w:top w:w="0" w:type="dxa"/>
              <w:left w:w="108" w:type="dxa"/>
              <w:bottom w:w="0" w:type="dxa"/>
              <w:right w:w="108" w:type="dxa"/>
            </w:tcMar>
            <w:vAlign w:val="center"/>
          </w:tcPr>
          <w:p w14:paraId="1AD9E5CE" w14:textId="1BB35B9C" w:rsidR="00032103" w:rsidRPr="007D748A" w:rsidRDefault="007D748A" w:rsidP="003332ED">
            <w:pPr>
              <w:autoSpaceDE w:val="0"/>
              <w:autoSpaceDN w:val="0"/>
              <w:ind w:right="18"/>
              <w:jc w:val="center"/>
              <w:rPr>
                <w:rFonts w:ascii="Ping LCG Regular" w:eastAsia="Calibri" w:hAnsi="Ping LCG Regular" w:cs="Arial"/>
                <w:b/>
                <w:bCs/>
                <w:i/>
                <w:spacing w:val="-14"/>
              </w:rPr>
            </w:pPr>
            <w:r>
              <w:rPr>
                <w:rFonts w:ascii="Ping LCG Regular" w:eastAsia="Calibri" w:hAnsi="Ping LCG Regular" w:cs="Arial"/>
                <w:b/>
                <w:bCs/>
                <w:i/>
                <w:spacing w:val="-14"/>
              </w:rPr>
              <w:t>21,5%</w:t>
            </w:r>
          </w:p>
        </w:tc>
      </w:tr>
    </w:tbl>
    <w:bookmarkEnd w:id="19"/>
    <w:p w14:paraId="2AF5B78D" w14:textId="370BE238" w:rsidR="00957142" w:rsidRPr="00605E8C" w:rsidRDefault="00957142" w:rsidP="00EE7CF3">
      <w:pPr>
        <w:widowControl w:val="0"/>
        <w:autoSpaceDE w:val="0"/>
        <w:autoSpaceDN w:val="0"/>
        <w:adjustRightInd w:val="0"/>
        <w:ind w:left="284" w:right="18" w:hanging="284"/>
        <w:jc w:val="both"/>
        <w:rPr>
          <w:rFonts w:ascii="Ping LCG Regular" w:hAnsi="Ping LCG Regular" w:cs="Arial"/>
          <w:iCs/>
          <w:spacing w:val="-14"/>
          <w:sz w:val="22"/>
          <w:lang w:val="el-GR"/>
        </w:rPr>
      </w:pPr>
      <w:r>
        <w:rPr>
          <w:rFonts w:ascii="Ping LCG Regular" w:hAnsi="Ping LCG Regular" w:cs="Arial"/>
          <w:iCs/>
          <w:spacing w:val="-14"/>
          <w:sz w:val="22"/>
          <w:vertAlign w:val="superscript"/>
          <w:lang w:val="el-GR"/>
        </w:rPr>
        <w:t>(*)</w:t>
      </w:r>
      <w:r>
        <w:rPr>
          <w:rFonts w:ascii="Ping LCG Regular" w:hAnsi="Ping LCG Regular" w:cs="Arial"/>
          <w:iCs/>
          <w:spacing w:val="-14"/>
          <w:sz w:val="22"/>
          <w:vertAlign w:val="superscript"/>
          <w:lang w:val="el-GR"/>
        </w:rPr>
        <w:tab/>
      </w:r>
      <w:r>
        <w:rPr>
          <w:rFonts w:ascii="Ping LCG Regular" w:hAnsi="Ping LCG Regular" w:cs="Arial"/>
          <w:iCs/>
          <w:spacing w:val="-14"/>
          <w:sz w:val="22"/>
          <w:lang w:val="el-GR"/>
        </w:rPr>
        <w:t>Συμπεριλαμβανομένων των επενδύσεων των Ορυχείων</w:t>
      </w:r>
    </w:p>
    <w:p w14:paraId="40AB5E94" w14:textId="314E215D" w:rsidR="00EE7CF3" w:rsidRPr="0081653C" w:rsidRDefault="00EE7CF3" w:rsidP="00EE7CF3">
      <w:pPr>
        <w:widowControl w:val="0"/>
        <w:autoSpaceDE w:val="0"/>
        <w:autoSpaceDN w:val="0"/>
        <w:adjustRightInd w:val="0"/>
        <w:ind w:left="284" w:right="18" w:hanging="284"/>
        <w:jc w:val="both"/>
        <w:rPr>
          <w:rFonts w:ascii="Ping LCG Regular" w:hAnsi="Ping LCG Regular" w:cs="Arial"/>
          <w:iCs/>
          <w:spacing w:val="-14"/>
          <w:sz w:val="22"/>
          <w:lang w:val="el-GR"/>
        </w:rPr>
      </w:pPr>
      <w:r w:rsidRPr="0081653C">
        <w:rPr>
          <w:rFonts w:ascii="Ping LCG Regular" w:hAnsi="Ping LCG Regular" w:cs="Arial"/>
          <w:iCs/>
          <w:spacing w:val="-14"/>
          <w:sz w:val="22"/>
          <w:vertAlign w:val="superscript"/>
          <w:lang w:val="el-GR"/>
        </w:rPr>
        <w:t>(*</w:t>
      </w:r>
      <w:r w:rsidR="00957142">
        <w:rPr>
          <w:rFonts w:ascii="Ping LCG Regular" w:hAnsi="Ping LCG Regular" w:cs="Arial"/>
          <w:iCs/>
          <w:spacing w:val="-14"/>
          <w:sz w:val="22"/>
          <w:vertAlign w:val="superscript"/>
          <w:lang w:val="el-GR"/>
        </w:rPr>
        <w:t>*</w:t>
      </w:r>
      <w:r w:rsidRPr="0081653C">
        <w:rPr>
          <w:rFonts w:ascii="Ping LCG Regular" w:hAnsi="Ping LCG Regular" w:cs="Arial"/>
          <w:iCs/>
          <w:spacing w:val="-14"/>
          <w:sz w:val="22"/>
          <w:vertAlign w:val="superscript"/>
          <w:lang w:val="el-GR"/>
        </w:rPr>
        <w:t>)</w:t>
      </w:r>
      <w:r w:rsidRPr="0081653C">
        <w:rPr>
          <w:rFonts w:ascii="Ping LCG Regular" w:hAnsi="Ping LCG Regular" w:cs="Arial"/>
          <w:iCs/>
          <w:spacing w:val="-14"/>
          <w:sz w:val="22"/>
          <w:lang w:val="el-GR"/>
        </w:rPr>
        <w:t xml:space="preserve">  </w:t>
      </w:r>
      <w:r w:rsidR="00957142">
        <w:rPr>
          <w:rFonts w:ascii="Ping LCG Regular" w:hAnsi="Ping LCG Regular" w:cs="Arial"/>
          <w:iCs/>
          <w:spacing w:val="-14"/>
          <w:sz w:val="22"/>
          <w:lang w:val="el-GR"/>
        </w:rPr>
        <w:tab/>
      </w:r>
      <w:r w:rsidRPr="0081653C">
        <w:rPr>
          <w:rFonts w:ascii="Ping LCG Regular" w:hAnsi="Ping LCG Regular" w:cs="Arial"/>
          <w:iCs/>
          <w:spacing w:val="-14"/>
          <w:sz w:val="22"/>
          <w:lang w:val="el-GR"/>
        </w:rPr>
        <w:t>Συμπεριλαμβανομένων των επενδύσεων σε Υδροηλεκτρικούς Σταθμούς.</w:t>
      </w:r>
    </w:p>
    <w:p w14:paraId="6F6AC0B5" w14:textId="77777777" w:rsidR="003332ED" w:rsidRPr="00B26EE8" w:rsidRDefault="003332ED" w:rsidP="00A249A6">
      <w:pPr>
        <w:rPr>
          <w:rFonts w:ascii="Ping LCG Regular" w:hAnsi="Ping LCG Regular" w:cs="Arial"/>
          <w:b/>
          <w:bCs/>
          <w:spacing w:val="-14"/>
          <w:highlight w:val="yellow"/>
          <w:lang w:val="el-GR"/>
        </w:rPr>
      </w:pPr>
    </w:p>
    <w:p w14:paraId="1B70532F" w14:textId="77777777" w:rsidR="00A249A6" w:rsidRPr="0081653C" w:rsidRDefault="00A249A6" w:rsidP="00A249A6">
      <w:pPr>
        <w:rPr>
          <w:rFonts w:ascii="Ping LCG Regular" w:hAnsi="Ping LCG Regular" w:cs="Arial"/>
          <w:b/>
          <w:bCs/>
          <w:spacing w:val="-14"/>
          <w:lang w:val="el-GR"/>
        </w:rPr>
      </w:pPr>
      <w:bookmarkStart w:id="20" w:name="_Hlk88923084"/>
      <w:bookmarkStart w:id="21" w:name="_Hlk88922774"/>
      <w:bookmarkStart w:id="22" w:name="_Hlk68249947"/>
      <w:bookmarkStart w:id="23" w:name="_Hlk88594727"/>
      <w:r w:rsidRPr="0081653C">
        <w:rPr>
          <w:rFonts w:ascii="Ping LCG Regular" w:hAnsi="Ping LCG Regular" w:cs="Arial"/>
          <w:b/>
          <w:bCs/>
          <w:spacing w:val="-14"/>
          <w:lang w:val="el-GR"/>
        </w:rPr>
        <w:t>Καθαρό Χρέος</w:t>
      </w:r>
    </w:p>
    <w:p w14:paraId="48066AD4" w14:textId="245B94B2" w:rsidR="003E5B66" w:rsidRPr="00FF587F" w:rsidRDefault="003E5B66" w:rsidP="00A249A6">
      <w:pPr>
        <w:rPr>
          <w:rFonts w:ascii="Ping LCG Regular" w:hAnsi="Ping LCG Regular" w:cs="Arial"/>
          <w:spacing w:val="-14"/>
          <w:lang w:val="el-GR"/>
        </w:rPr>
      </w:pPr>
      <w:bookmarkStart w:id="24" w:name="_Hlk81172011"/>
      <w:r w:rsidRPr="003E5B66">
        <w:rPr>
          <w:rFonts w:ascii="Ping LCG Regular" w:hAnsi="Ping LCG Regular" w:cs="Arial"/>
          <w:spacing w:val="-14"/>
          <w:lang w:val="el-GR"/>
        </w:rPr>
        <w:t xml:space="preserve">Το καθαρό χρέος στις 30.9.2021 ήταν €3.336,9 εκατ., αυξημένο κατά €53,3 εκατ. σε σχέση με την 31.12.2020 (€3.283,6 εκατ.).  Εντός του </w:t>
      </w:r>
      <w:proofErr w:type="spellStart"/>
      <w:r w:rsidRPr="00FF587F">
        <w:rPr>
          <w:rFonts w:ascii="Ping LCG Regular" w:hAnsi="Ping LCG Regular" w:cs="Arial"/>
          <w:spacing w:val="-14"/>
          <w:lang w:val="el-GR"/>
        </w:rPr>
        <w:t>εννεαμήνου</w:t>
      </w:r>
      <w:proofErr w:type="spellEnd"/>
      <w:r w:rsidRPr="00FF587F">
        <w:rPr>
          <w:rFonts w:ascii="Ping LCG Regular" w:hAnsi="Ping LCG Regular" w:cs="Arial"/>
          <w:spacing w:val="-14"/>
          <w:lang w:val="el-GR"/>
        </w:rPr>
        <w:t xml:space="preserve"> 2021 εκδόθηκαν ομολογίες βιωσιμότητας συνολικού ύψους €</w:t>
      </w:r>
      <w:r w:rsidR="0033444E" w:rsidRPr="00FF587F">
        <w:rPr>
          <w:rFonts w:ascii="Ping LCG Regular" w:hAnsi="Ping LCG Regular" w:cs="Arial"/>
          <w:spacing w:val="-14"/>
          <w:lang w:val="el-GR"/>
        </w:rPr>
        <w:t>1.</w:t>
      </w:r>
      <w:r w:rsidR="00217A10" w:rsidRPr="00FF587F">
        <w:rPr>
          <w:rFonts w:ascii="Ping LCG Regular" w:hAnsi="Ping LCG Regular" w:cs="Arial"/>
          <w:spacing w:val="-14"/>
          <w:lang w:val="el-GR"/>
        </w:rPr>
        <w:t>2</w:t>
      </w:r>
      <w:r w:rsidRPr="00FF587F">
        <w:rPr>
          <w:rFonts w:ascii="Ping LCG Regular" w:hAnsi="Ping LCG Regular" w:cs="Arial"/>
          <w:spacing w:val="-14"/>
          <w:lang w:val="el-GR"/>
        </w:rPr>
        <w:t>75 εκατ.</w:t>
      </w:r>
      <w:r w:rsidR="00217A10" w:rsidRPr="00FF587F">
        <w:rPr>
          <w:rFonts w:ascii="Ping LCG Regular" w:hAnsi="Ping LCG Regular" w:cs="Arial"/>
          <w:spacing w:val="-14"/>
          <w:lang w:val="el-GR"/>
        </w:rPr>
        <w:t xml:space="preserve">, </w:t>
      </w:r>
      <w:r w:rsidR="00CD3465" w:rsidRPr="00FF587F">
        <w:rPr>
          <w:rFonts w:ascii="Ping LCG Regular" w:hAnsi="Ping LCG Regular" w:cs="Arial"/>
          <w:spacing w:val="-14"/>
          <w:lang w:val="el-GR"/>
        </w:rPr>
        <w:t>εκ των οποίων € 1.</w:t>
      </w:r>
      <w:r w:rsidR="00FF587F" w:rsidRPr="00FF587F">
        <w:rPr>
          <w:rFonts w:ascii="Ping LCG Regular" w:hAnsi="Ping LCG Regular" w:cs="Arial"/>
          <w:spacing w:val="-14"/>
          <w:lang w:val="el-GR"/>
        </w:rPr>
        <w:t>07</w:t>
      </w:r>
      <w:r w:rsidR="00715C64" w:rsidRPr="00470372">
        <w:rPr>
          <w:rFonts w:ascii="Ping LCG Regular" w:hAnsi="Ping LCG Regular" w:cs="Arial"/>
          <w:spacing w:val="-14"/>
          <w:lang w:val="el-GR"/>
        </w:rPr>
        <w:t>0</w:t>
      </w:r>
      <w:r w:rsidR="00CD3465" w:rsidRPr="00FF587F">
        <w:rPr>
          <w:rFonts w:ascii="Ping LCG Regular" w:hAnsi="Ping LCG Regular" w:cs="Arial"/>
          <w:spacing w:val="-14"/>
          <w:lang w:val="el-GR"/>
        </w:rPr>
        <w:t xml:space="preserve"> εκατ. χρησιμοποιήθηκαν για την αποπληρωμή δανεισμού</w:t>
      </w:r>
      <w:r w:rsidRPr="00FF587F">
        <w:rPr>
          <w:rFonts w:ascii="Ping LCG Regular" w:hAnsi="Ping LCG Regular" w:cs="Arial"/>
          <w:spacing w:val="-14"/>
          <w:lang w:val="el-GR"/>
        </w:rPr>
        <w:t>.</w:t>
      </w:r>
    </w:p>
    <w:bookmarkEnd w:id="20"/>
    <w:p w14:paraId="20E2AAB1" w14:textId="4AAF741D" w:rsidR="00A249A6" w:rsidRPr="0081653C" w:rsidRDefault="00BC625E" w:rsidP="00A249A6">
      <w:pPr>
        <w:rPr>
          <w:rFonts w:ascii="Ping LCG Regular" w:hAnsi="Ping LCG Regular" w:cs="Arial"/>
          <w:spacing w:val="-14"/>
          <w:lang w:val="el-GR"/>
        </w:rPr>
      </w:pPr>
      <w:r w:rsidRPr="00FF587F">
        <w:rPr>
          <w:rFonts w:ascii="Ping LCG Regular" w:hAnsi="Ping LCG Regular" w:cs="Arial"/>
          <w:spacing w:val="-14"/>
          <w:lang w:val="el-GR"/>
        </w:rPr>
        <w:t>Ακολουθεί η ε</w:t>
      </w:r>
      <w:r w:rsidR="00A249A6" w:rsidRPr="00FF587F">
        <w:rPr>
          <w:rFonts w:ascii="Ping LCG Regular" w:hAnsi="Ping LCG Regular" w:cs="Arial"/>
          <w:spacing w:val="-14"/>
          <w:lang w:val="el-GR"/>
        </w:rPr>
        <w:t xml:space="preserve">ξέλιξη </w:t>
      </w:r>
      <w:r w:rsidRPr="00FF587F">
        <w:rPr>
          <w:rFonts w:ascii="Ping LCG Regular" w:hAnsi="Ping LCG Regular" w:cs="Arial"/>
          <w:spacing w:val="-14"/>
          <w:lang w:val="el-GR"/>
        </w:rPr>
        <w:t xml:space="preserve">του </w:t>
      </w:r>
      <w:r w:rsidR="00A249A6" w:rsidRPr="00FF587F">
        <w:rPr>
          <w:rFonts w:ascii="Ping LCG Regular" w:hAnsi="Ping LCG Regular" w:cs="Arial"/>
          <w:spacing w:val="-14"/>
          <w:lang w:val="el-GR"/>
        </w:rPr>
        <w:t>Καθαρού Χρέους</w:t>
      </w:r>
      <w:r w:rsidRPr="0081653C">
        <w:rPr>
          <w:rFonts w:ascii="Ping LCG Regular" w:hAnsi="Ping LCG Regular" w:cs="Arial"/>
          <w:spacing w:val="-14"/>
          <w:lang w:val="el-GR"/>
        </w:rPr>
        <w:t>:</w:t>
      </w:r>
    </w:p>
    <w:tbl>
      <w:tblPr>
        <w:tblpPr w:leftFromText="180" w:rightFromText="180" w:vertAnchor="text" w:horzAnchor="margin" w:tblpXSpec="center" w:tblpY="240"/>
        <w:tblW w:w="1048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384"/>
        <w:gridCol w:w="2127"/>
        <w:gridCol w:w="1984"/>
        <w:gridCol w:w="1985"/>
      </w:tblGrid>
      <w:tr w:rsidR="00795801" w:rsidRPr="0081653C" w14:paraId="280974C0" w14:textId="100476ED" w:rsidTr="00B53450">
        <w:trPr>
          <w:trHeight w:val="285"/>
          <w:jc w:val="center"/>
        </w:trPr>
        <w:tc>
          <w:tcPr>
            <w:tcW w:w="4384" w:type="dxa"/>
            <w:tcBorders>
              <w:top w:val="single" w:sz="8" w:space="0" w:color="auto"/>
              <w:bottom w:val="single" w:sz="6" w:space="0" w:color="auto"/>
            </w:tcBorders>
            <w:shd w:val="pct25" w:color="auto" w:fill="auto"/>
            <w:tcMar>
              <w:top w:w="0" w:type="dxa"/>
              <w:left w:w="108" w:type="dxa"/>
              <w:bottom w:w="0" w:type="dxa"/>
              <w:right w:w="108" w:type="dxa"/>
            </w:tcMar>
            <w:vAlign w:val="center"/>
            <w:hideMark/>
          </w:tcPr>
          <w:bookmarkEnd w:id="24"/>
          <w:bookmarkEnd w:id="21"/>
          <w:p w14:paraId="32BB1853" w14:textId="77777777" w:rsidR="00795801" w:rsidRPr="0081653C" w:rsidRDefault="00795801" w:rsidP="00795801">
            <w:pPr>
              <w:autoSpaceDE w:val="0"/>
              <w:autoSpaceDN w:val="0"/>
              <w:ind w:right="20"/>
              <w:rPr>
                <w:rFonts w:ascii="Ping LCG Regular" w:eastAsia="Calibri" w:hAnsi="Ping LCG Regular" w:cs="Arial"/>
                <w:spacing w:val="-14"/>
              </w:rPr>
            </w:pPr>
            <w:r w:rsidRPr="0081653C">
              <w:rPr>
                <w:rFonts w:ascii="Ping LCG Regular" w:hAnsi="Ping LCG Regular" w:cs="Arial"/>
                <w:spacing w:val="-14"/>
                <w:lang w:val="el-GR"/>
              </w:rPr>
              <w:t xml:space="preserve"> </w:t>
            </w:r>
            <w:r w:rsidRPr="0081653C">
              <w:rPr>
                <w:rFonts w:ascii="Ping LCG Regular" w:hAnsi="Ping LCG Regular" w:cs="Arial"/>
                <w:spacing w:val="-14"/>
              </w:rPr>
              <w:t>(</w:t>
            </w:r>
            <w:proofErr w:type="spellStart"/>
            <w:r w:rsidRPr="0081653C">
              <w:rPr>
                <w:rFonts w:ascii="Ping LCG Regular" w:hAnsi="Ping LCG Regular" w:cs="Arial"/>
                <w:spacing w:val="-14"/>
              </w:rPr>
              <w:t>σε</w:t>
            </w:r>
            <w:proofErr w:type="spellEnd"/>
            <w:r w:rsidRPr="0081653C">
              <w:rPr>
                <w:rFonts w:ascii="Ping LCG Regular" w:hAnsi="Ping LCG Regular" w:cs="Arial"/>
                <w:spacing w:val="-14"/>
              </w:rPr>
              <w:t xml:space="preserve"> € </w:t>
            </w:r>
            <w:proofErr w:type="spellStart"/>
            <w:r w:rsidRPr="0081653C">
              <w:rPr>
                <w:rFonts w:ascii="Ping LCG Regular" w:hAnsi="Ping LCG Regular" w:cs="Arial"/>
                <w:spacing w:val="-14"/>
              </w:rPr>
              <w:t>εκ</w:t>
            </w:r>
            <w:proofErr w:type="spellEnd"/>
            <w:r w:rsidRPr="0081653C">
              <w:rPr>
                <w:rFonts w:ascii="Ping LCG Regular" w:hAnsi="Ping LCG Regular" w:cs="Arial"/>
                <w:spacing w:val="-14"/>
              </w:rPr>
              <w:t>ατ.)</w:t>
            </w:r>
          </w:p>
        </w:tc>
        <w:tc>
          <w:tcPr>
            <w:tcW w:w="2127" w:type="dxa"/>
            <w:tcBorders>
              <w:top w:val="single" w:sz="8" w:space="0" w:color="auto"/>
              <w:bottom w:val="single" w:sz="6" w:space="0" w:color="auto"/>
            </w:tcBorders>
            <w:shd w:val="pct25" w:color="auto" w:fill="auto"/>
            <w:vAlign w:val="center"/>
          </w:tcPr>
          <w:p w14:paraId="4EA101B1" w14:textId="30591766" w:rsidR="00795801" w:rsidRPr="0081653C" w:rsidRDefault="00795801" w:rsidP="00795801">
            <w:pPr>
              <w:jc w:val="center"/>
              <w:rPr>
                <w:rFonts w:ascii="Ping LCG Regular" w:hAnsi="Ping LCG Regular" w:cs="Arial"/>
                <w:b/>
              </w:rPr>
            </w:pPr>
            <w:r w:rsidRPr="0081653C">
              <w:rPr>
                <w:rFonts w:ascii="Ping LCG Regular" w:hAnsi="Ping LCG Regular" w:cs="Arial"/>
                <w:b/>
              </w:rPr>
              <w:t>3</w:t>
            </w:r>
            <w:r w:rsidRPr="0081653C">
              <w:rPr>
                <w:rFonts w:ascii="Ping LCG Regular" w:hAnsi="Ping LCG Regular" w:cs="Arial"/>
                <w:b/>
                <w:lang w:val="el-GR"/>
              </w:rPr>
              <w:t>0</w:t>
            </w:r>
            <w:r w:rsidRPr="0081653C">
              <w:rPr>
                <w:rFonts w:ascii="Ping LCG Regular" w:hAnsi="Ping LCG Regular" w:cs="Arial"/>
                <w:b/>
              </w:rPr>
              <w:t>.</w:t>
            </w:r>
            <w:r w:rsidR="0081653C" w:rsidRPr="0081653C">
              <w:rPr>
                <w:rFonts w:ascii="Ping LCG Regular" w:hAnsi="Ping LCG Regular" w:cs="Arial"/>
                <w:b/>
                <w:lang w:val="el-GR"/>
              </w:rPr>
              <w:t>9</w:t>
            </w:r>
            <w:r w:rsidRPr="0081653C">
              <w:rPr>
                <w:rFonts w:ascii="Ping LCG Regular" w:hAnsi="Ping LCG Regular" w:cs="Arial"/>
                <w:b/>
              </w:rPr>
              <w:t>.202</w:t>
            </w:r>
            <w:r w:rsidRPr="0081653C">
              <w:rPr>
                <w:rFonts w:ascii="Ping LCG Regular" w:hAnsi="Ping LCG Regular" w:cs="Arial"/>
                <w:b/>
                <w:lang w:val="el-GR"/>
              </w:rPr>
              <w:t>1</w:t>
            </w:r>
          </w:p>
        </w:tc>
        <w:tc>
          <w:tcPr>
            <w:tcW w:w="1984" w:type="dxa"/>
            <w:tcBorders>
              <w:top w:val="single" w:sz="8" w:space="0" w:color="auto"/>
              <w:bottom w:val="single" w:sz="6" w:space="0" w:color="auto"/>
            </w:tcBorders>
            <w:shd w:val="pct25" w:color="auto" w:fill="auto"/>
            <w:vAlign w:val="center"/>
          </w:tcPr>
          <w:p w14:paraId="2A1FFBBE" w14:textId="080215A0" w:rsidR="00795801" w:rsidRPr="0081653C" w:rsidRDefault="00795801" w:rsidP="00795801">
            <w:pPr>
              <w:jc w:val="center"/>
              <w:rPr>
                <w:rFonts w:ascii="Ping LCG Regular" w:hAnsi="Ping LCG Regular" w:cs="Arial"/>
                <w:b/>
              </w:rPr>
            </w:pPr>
            <w:r w:rsidRPr="0081653C">
              <w:rPr>
                <w:rFonts w:ascii="Ping LCG Regular" w:hAnsi="Ping LCG Regular" w:cs="Arial"/>
                <w:b/>
              </w:rPr>
              <w:t>3</w:t>
            </w:r>
            <w:r w:rsidRPr="0081653C">
              <w:rPr>
                <w:rFonts w:ascii="Ping LCG Regular" w:hAnsi="Ping LCG Regular" w:cs="Arial"/>
                <w:b/>
                <w:lang w:val="el-GR"/>
              </w:rPr>
              <w:t>1</w:t>
            </w:r>
            <w:r w:rsidRPr="0081653C">
              <w:rPr>
                <w:rFonts w:ascii="Ping LCG Regular" w:hAnsi="Ping LCG Regular" w:cs="Arial"/>
                <w:b/>
              </w:rPr>
              <w:t>.</w:t>
            </w:r>
            <w:r w:rsidRPr="0081653C">
              <w:rPr>
                <w:rFonts w:ascii="Ping LCG Regular" w:hAnsi="Ping LCG Regular" w:cs="Arial"/>
                <w:b/>
                <w:lang w:val="el-GR"/>
              </w:rPr>
              <w:t>12</w:t>
            </w:r>
            <w:r w:rsidRPr="0081653C">
              <w:rPr>
                <w:rFonts w:ascii="Ping LCG Regular" w:hAnsi="Ping LCG Regular" w:cs="Arial"/>
                <w:b/>
              </w:rPr>
              <w:t>.2020</w:t>
            </w:r>
          </w:p>
        </w:tc>
        <w:tc>
          <w:tcPr>
            <w:tcW w:w="1985" w:type="dxa"/>
            <w:tcBorders>
              <w:top w:val="single" w:sz="8" w:space="0" w:color="auto"/>
              <w:bottom w:val="single" w:sz="6" w:space="0" w:color="auto"/>
            </w:tcBorders>
            <w:shd w:val="pct25" w:color="auto" w:fill="auto"/>
          </w:tcPr>
          <w:p w14:paraId="1653284F" w14:textId="0630AE11" w:rsidR="00795801" w:rsidRPr="0081653C" w:rsidRDefault="00795801" w:rsidP="00795801">
            <w:pPr>
              <w:jc w:val="center"/>
              <w:rPr>
                <w:rFonts w:ascii="Ping LCG Regular" w:hAnsi="Ping LCG Regular" w:cs="Arial"/>
                <w:b/>
                <w:lang w:val="el-GR"/>
              </w:rPr>
            </w:pPr>
            <w:r w:rsidRPr="0081653C">
              <w:rPr>
                <w:rFonts w:ascii="Ping LCG Regular" w:hAnsi="Ping LCG Regular" w:cs="Arial"/>
                <w:b/>
                <w:lang w:val="el-GR"/>
              </w:rPr>
              <w:t>30.</w:t>
            </w:r>
            <w:r w:rsidR="0081653C" w:rsidRPr="0081653C">
              <w:rPr>
                <w:rFonts w:ascii="Ping LCG Regular" w:hAnsi="Ping LCG Regular" w:cs="Arial"/>
                <w:b/>
                <w:lang w:val="el-GR"/>
              </w:rPr>
              <w:t>9</w:t>
            </w:r>
            <w:r w:rsidRPr="0081653C">
              <w:rPr>
                <w:rFonts w:ascii="Ping LCG Regular" w:hAnsi="Ping LCG Regular" w:cs="Arial"/>
                <w:b/>
                <w:lang w:val="el-GR"/>
              </w:rPr>
              <w:t>.2020</w:t>
            </w:r>
          </w:p>
        </w:tc>
      </w:tr>
      <w:tr w:rsidR="00795801" w:rsidRPr="0081653C" w14:paraId="4CD5BDFA" w14:textId="0F3E19BF" w:rsidTr="00B53450">
        <w:trPr>
          <w:trHeight w:val="304"/>
          <w:jc w:val="center"/>
        </w:trPr>
        <w:tc>
          <w:tcPr>
            <w:tcW w:w="4384" w:type="dxa"/>
            <w:tcBorders>
              <w:top w:val="single" w:sz="6" w:space="0" w:color="auto"/>
            </w:tcBorders>
            <w:tcMar>
              <w:top w:w="0" w:type="dxa"/>
              <w:left w:w="108" w:type="dxa"/>
              <w:bottom w:w="0" w:type="dxa"/>
              <w:right w:w="108" w:type="dxa"/>
            </w:tcMar>
            <w:hideMark/>
          </w:tcPr>
          <w:p w14:paraId="0DD0C398" w14:textId="77777777" w:rsidR="00795801" w:rsidRPr="0081653C" w:rsidRDefault="00795801" w:rsidP="00795801">
            <w:pPr>
              <w:autoSpaceDE w:val="0"/>
              <w:autoSpaceDN w:val="0"/>
              <w:ind w:right="20"/>
              <w:jc w:val="both"/>
              <w:rPr>
                <w:rFonts w:ascii="Ping LCG Regular" w:eastAsia="Calibri" w:hAnsi="Ping LCG Regular" w:cs="Arial"/>
                <w:spacing w:val="-14"/>
              </w:rPr>
            </w:pPr>
            <w:proofErr w:type="spellStart"/>
            <w:r w:rsidRPr="0081653C">
              <w:rPr>
                <w:rFonts w:ascii="Ping LCG Regular" w:hAnsi="Ping LCG Regular" w:cs="Arial"/>
                <w:spacing w:val="-14"/>
              </w:rPr>
              <w:t>Συνολικό</w:t>
            </w:r>
            <w:proofErr w:type="spellEnd"/>
            <w:r w:rsidRPr="0081653C">
              <w:rPr>
                <w:rFonts w:ascii="Ping LCG Regular" w:hAnsi="Ping LCG Regular" w:cs="Arial"/>
                <w:spacing w:val="-14"/>
              </w:rPr>
              <w:t xml:space="preserve"> </w:t>
            </w:r>
            <w:proofErr w:type="spellStart"/>
            <w:r w:rsidRPr="0081653C">
              <w:rPr>
                <w:rFonts w:ascii="Ping LCG Regular" w:hAnsi="Ping LCG Regular" w:cs="Arial"/>
                <w:spacing w:val="-14"/>
              </w:rPr>
              <w:t>Χρέος</w:t>
            </w:r>
            <w:proofErr w:type="spellEnd"/>
            <w:r w:rsidRPr="0081653C">
              <w:rPr>
                <w:rFonts w:ascii="Ping LCG Regular" w:hAnsi="Ping LCG Regular" w:cs="Arial"/>
                <w:spacing w:val="-14"/>
              </w:rPr>
              <w:t xml:space="preserve"> (1)</w:t>
            </w:r>
          </w:p>
        </w:tc>
        <w:tc>
          <w:tcPr>
            <w:tcW w:w="2127" w:type="dxa"/>
            <w:tcBorders>
              <w:top w:val="single" w:sz="6" w:space="0" w:color="auto"/>
            </w:tcBorders>
            <w:vAlign w:val="center"/>
          </w:tcPr>
          <w:p w14:paraId="1CEC4988" w14:textId="56209B91" w:rsidR="00795801" w:rsidRPr="003E5B66" w:rsidRDefault="003E5B66" w:rsidP="00795801">
            <w:pPr>
              <w:jc w:val="center"/>
              <w:rPr>
                <w:rFonts w:ascii="Ping LCG Regular" w:hAnsi="Ping LCG Regular" w:cs="Arial"/>
              </w:rPr>
            </w:pPr>
            <w:r>
              <w:rPr>
                <w:rFonts w:ascii="Ping LCG Regular" w:hAnsi="Ping LCG Regular" w:cs="Arial"/>
              </w:rPr>
              <w:t>4.251,8</w:t>
            </w:r>
          </w:p>
        </w:tc>
        <w:tc>
          <w:tcPr>
            <w:tcW w:w="1984" w:type="dxa"/>
            <w:tcBorders>
              <w:top w:val="single" w:sz="6" w:space="0" w:color="auto"/>
            </w:tcBorders>
            <w:vAlign w:val="center"/>
          </w:tcPr>
          <w:p w14:paraId="7D84058C" w14:textId="682591A8" w:rsidR="00795801" w:rsidRPr="0081653C" w:rsidRDefault="00795801" w:rsidP="00795801">
            <w:pPr>
              <w:jc w:val="center"/>
              <w:rPr>
                <w:rFonts w:ascii="Ping LCG Regular" w:hAnsi="Ping LCG Regular" w:cs="Arial"/>
              </w:rPr>
            </w:pPr>
            <w:r w:rsidRPr="0081653C">
              <w:rPr>
                <w:rFonts w:ascii="Ping LCG Regular" w:hAnsi="Ping LCG Regular" w:cs="Arial"/>
                <w:lang w:val="el-GR"/>
              </w:rPr>
              <w:t>4.153,7</w:t>
            </w:r>
          </w:p>
        </w:tc>
        <w:tc>
          <w:tcPr>
            <w:tcW w:w="1985" w:type="dxa"/>
            <w:tcBorders>
              <w:top w:val="single" w:sz="6" w:space="0" w:color="auto"/>
            </w:tcBorders>
          </w:tcPr>
          <w:p w14:paraId="5C6E6CF5" w14:textId="37E5E1FD" w:rsidR="00795801" w:rsidRPr="0081653C" w:rsidRDefault="00795801" w:rsidP="00795801">
            <w:pPr>
              <w:jc w:val="center"/>
              <w:rPr>
                <w:rFonts w:ascii="Ping LCG Regular" w:hAnsi="Ping LCG Regular" w:cs="Arial"/>
                <w:lang w:val="el-GR"/>
              </w:rPr>
            </w:pPr>
            <w:r w:rsidRPr="0081653C">
              <w:rPr>
                <w:rFonts w:ascii="Ping LCG Regular" w:hAnsi="Ping LCG Regular" w:cs="Arial"/>
                <w:lang w:val="el-GR"/>
              </w:rPr>
              <w:t>4.</w:t>
            </w:r>
            <w:r w:rsidR="0081653C" w:rsidRPr="0081653C">
              <w:rPr>
                <w:rFonts w:ascii="Ping LCG Regular" w:hAnsi="Ping LCG Regular" w:cs="Arial"/>
                <w:lang w:val="el-GR"/>
              </w:rPr>
              <w:t>112,7</w:t>
            </w:r>
          </w:p>
        </w:tc>
      </w:tr>
      <w:tr w:rsidR="00795801" w:rsidRPr="0081653C" w14:paraId="1F8D54C7" w14:textId="1356D22A" w:rsidTr="00B53450">
        <w:trPr>
          <w:trHeight w:val="627"/>
          <w:jc w:val="center"/>
        </w:trPr>
        <w:tc>
          <w:tcPr>
            <w:tcW w:w="4384" w:type="dxa"/>
            <w:tcMar>
              <w:top w:w="0" w:type="dxa"/>
              <w:left w:w="108" w:type="dxa"/>
              <w:bottom w:w="0" w:type="dxa"/>
              <w:right w:w="108" w:type="dxa"/>
            </w:tcMar>
            <w:hideMark/>
          </w:tcPr>
          <w:p w14:paraId="3EE5EBDF" w14:textId="77777777" w:rsidR="00795801" w:rsidRPr="0081653C" w:rsidRDefault="00795801" w:rsidP="00795801">
            <w:pPr>
              <w:autoSpaceDE w:val="0"/>
              <w:autoSpaceDN w:val="0"/>
              <w:ind w:right="20"/>
              <w:rPr>
                <w:rFonts w:ascii="Ping LCG Regular" w:eastAsia="Calibri" w:hAnsi="Ping LCG Regular" w:cs="Arial"/>
                <w:spacing w:val="-14"/>
                <w:lang w:val="el-GR"/>
              </w:rPr>
            </w:pPr>
            <w:r w:rsidRPr="0081653C">
              <w:rPr>
                <w:rFonts w:ascii="Ping LCG Regular" w:hAnsi="Ping LCG Regular" w:cs="Arial"/>
                <w:spacing w:val="-14"/>
                <w:lang w:val="el-GR"/>
              </w:rPr>
              <w:t xml:space="preserve">Χρηματικά διαθέσιμα / Δεσμευμένες  Καταθέσεις </w:t>
            </w:r>
            <w:r w:rsidRPr="0081653C">
              <w:rPr>
                <w:rFonts w:ascii="Ping LCG Regular" w:hAnsi="Ping LCG Regular" w:cs="Arial"/>
                <w:spacing w:val="-14"/>
                <w:vertAlign w:val="superscript"/>
                <w:lang w:val="el-GR"/>
              </w:rPr>
              <w:t>(*)</w:t>
            </w:r>
            <w:r w:rsidRPr="0081653C">
              <w:rPr>
                <w:rFonts w:ascii="Ping LCG Regular" w:hAnsi="Ping LCG Regular" w:cs="Arial"/>
                <w:spacing w:val="-14"/>
                <w:lang w:val="el-GR"/>
              </w:rPr>
              <w:t xml:space="preserve"> / Λοιπά χρηματοοικονομικά περιουσιακά στοιχεία (2)</w:t>
            </w:r>
            <w:r w:rsidRPr="0081653C" w:rsidDel="00F201E8">
              <w:rPr>
                <w:rFonts w:ascii="Ping LCG Regular" w:hAnsi="Ping LCG Regular" w:cs="Arial"/>
                <w:spacing w:val="-14"/>
                <w:lang w:val="el-GR"/>
              </w:rPr>
              <w:t xml:space="preserve"> </w:t>
            </w:r>
          </w:p>
        </w:tc>
        <w:tc>
          <w:tcPr>
            <w:tcW w:w="2127" w:type="dxa"/>
            <w:vAlign w:val="center"/>
          </w:tcPr>
          <w:p w14:paraId="1596B1DE" w14:textId="1DE949A0" w:rsidR="00795801" w:rsidRPr="003E5B66" w:rsidRDefault="003E5B66" w:rsidP="00795801">
            <w:pPr>
              <w:jc w:val="center"/>
              <w:rPr>
                <w:rFonts w:ascii="Ping LCG Regular" w:hAnsi="Ping LCG Regular" w:cs="Arial"/>
              </w:rPr>
            </w:pPr>
            <w:r>
              <w:rPr>
                <w:rFonts w:ascii="Ping LCG Regular" w:hAnsi="Ping LCG Regular" w:cs="Arial"/>
              </w:rPr>
              <w:t>914,9</w:t>
            </w:r>
          </w:p>
        </w:tc>
        <w:tc>
          <w:tcPr>
            <w:tcW w:w="1984" w:type="dxa"/>
            <w:vAlign w:val="center"/>
          </w:tcPr>
          <w:p w14:paraId="0F287E98" w14:textId="311937D7" w:rsidR="00795801" w:rsidRPr="0081653C" w:rsidRDefault="00795801" w:rsidP="00795801">
            <w:pPr>
              <w:jc w:val="center"/>
              <w:rPr>
                <w:rFonts w:ascii="Ping LCG Regular" w:hAnsi="Ping LCG Regular" w:cs="Arial"/>
              </w:rPr>
            </w:pPr>
            <w:r w:rsidRPr="0081653C">
              <w:rPr>
                <w:rFonts w:ascii="Ping LCG Regular" w:hAnsi="Ping LCG Regular" w:cs="Arial"/>
                <w:lang w:val="el-GR"/>
              </w:rPr>
              <w:t>870,1</w:t>
            </w:r>
          </w:p>
        </w:tc>
        <w:tc>
          <w:tcPr>
            <w:tcW w:w="1985" w:type="dxa"/>
            <w:vAlign w:val="center"/>
          </w:tcPr>
          <w:p w14:paraId="04C962F6" w14:textId="145F956E" w:rsidR="00795801" w:rsidRPr="0081653C" w:rsidRDefault="0081653C" w:rsidP="0081653C">
            <w:pPr>
              <w:jc w:val="center"/>
              <w:rPr>
                <w:rFonts w:ascii="Ping LCG Regular" w:hAnsi="Ping LCG Regular" w:cs="Arial"/>
                <w:lang w:val="el-GR"/>
              </w:rPr>
            </w:pPr>
            <w:r w:rsidRPr="0081653C">
              <w:rPr>
                <w:rFonts w:ascii="Ping LCG Regular" w:hAnsi="Ping LCG Regular" w:cs="Arial"/>
                <w:lang w:val="el-GR"/>
              </w:rPr>
              <w:t>699,1</w:t>
            </w:r>
          </w:p>
        </w:tc>
      </w:tr>
      <w:tr w:rsidR="00795801" w:rsidRPr="00B26EE8" w14:paraId="44AD9CCB" w14:textId="3CE638B5" w:rsidTr="00B53450">
        <w:trPr>
          <w:trHeight w:val="304"/>
          <w:jc w:val="center"/>
        </w:trPr>
        <w:tc>
          <w:tcPr>
            <w:tcW w:w="4384" w:type="dxa"/>
            <w:tcMar>
              <w:top w:w="0" w:type="dxa"/>
              <w:left w:w="108" w:type="dxa"/>
              <w:bottom w:w="0" w:type="dxa"/>
              <w:right w:w="108" w:type="dxa"/>
            </w:tcMar>
            <w:hideMark/>
          </w:tcPr>
          <w:p w14:paraId="0BFA1BAE" w14:textId="77777777" w:rsidR="00795801" w:rsidRPr="0081653C" w:rsidRDefault="00795801" w:rsidP="00795801">
            <w:pPr>
              <w:autoSpaceDE w:val="0"/>
              <w:autoSpaceDN w:val="0"/>
              <w:ind w:right="20"/>
              <w:jc w:val="both"/>
              <w:rPr>
                <w:rFonts w:ascii="Ping LCG Regular" w:eastAsia="Calibri" w:hAnsi="Ping LCG Regular" w:cs="Arial"/>
                <w:b/>
                <w:bCs/>
                <w:spacing w:val="-14"/>
              </w:rPr>
            </w:pPr>
            <w:r w:rsidRPr="0081653C">
              <w:rPr>
                <w:rFonts w:ascii="Ping LCG Regular" w:hAnsi="Ping LCG Regular" w:cs="Arial"/>
                <w:spacing w:val="-14"/>
              </w:rPr>
              <w:t>Καθα</w:t>
            </w:r>
            <w:proofErr w:type="spellStart"/>
            <w:r w:rsidRPr="0081653C">
              <w:rPr>
                <w:rFonts w:ascii="Ping LCG Regular" w:hAnsi="Ping LCG Regular" w:cs="Arial"/>
                <w:spacing w:val="-14"/>
              </w:rPr>
              <w:t>ρό</w:t>
            </w:r>
            <w:proofErr w:type="spellEnd"/>
            <w:r w:rsidRPr="0081653C">
              <w:rPr>
                <w:rFonts w:ascii="Ping LCG Regular" w:hAnsi="Ping LCG Regular" w:cs="Arial"/>
                <w:spacing w:val="-14"/>
              </w:rPr>
              <w:t xml:space="preserve"> </w:t>
            </w:r>
            <w:proofErr w:type="spellStart"/>
            <w:r w:rsidRPr="0081653C">
              <w:rPr>
                <w:rFonts w:ascii="Ping LCG Regular" w:hAnsi="Ping LCG Regular" w:cs="Arial"/>
                <w:spacing w:val="-14"/>
              </w:rPr>
              <w:t>Χρέος</w:t>
            </w:r>
            <w:proofErr w:type="spellEnd"/>
            <w:r w:rsidRPr="0081653C">
              <w:rPr>
                <w:rFonts w:ascii="Ping LCG Regular" w:hAnsi="Ping LCG Regular" w:cs="Arial"/>
                <w:spacing w:val="-14"/>
              </w:rPr>
              <w:t xml:space="preserve"> (3) = (1) - (2)</w:t>
            </w:r>
          </w:p>
        </w:tc>
        <w:tc>
          <w:tcPr>
            <w:tcW w:w="2127" w:type="dxa"/>
            <w:vAlign w:val="center"/>
          </w:tcPr>
          <w:p w14:paraId="15049D55" w14:textId="24A5566F" w:rsidR="00795801" w:rsidRPr="003E5B66" w:rsidRDefault="0081653C" w:rsidP="00795801">
            <w:pPr>
              <w:jc w:val="center"/>
              <w:rPr>
                <w:rFonts w:ascii="Ping LCG Regular" w:hAnsi="Ping LCG Regular" w:cs="Arial"/>
              </w:rPr>
            </w:pPr>
            <w:r w:rsidRPr="0081653C">
              <w:rPr>
                <w:rFonts w:ascii="Ping LCG Regular" w:hAnsi="Ping LCG Regular" w:cs="Arial"/>
                <w:lang w:val="el-GR"/>
              </w:rPr>
              <w:t>3</w:t>
            </w:r>
            <w:r w:rsidR="00795801" w:rsidRPr="0081653C">
              <w:rPr>
                <w:rFonts w:ascii="Ping LCG Regular" w:hAnsi="Ping LCG Regular" w:cs="Arial"/>
              </w:rPr>
              <w:t>.</w:t>
            </w:r>
            <w:r w:rsidRPr="0081653C">
              <w:rPr>
                <w:rFonts w:ascii="Ping LCG Regular" w:hAnsi="Ping LCG Regular" w:cs="Arial"/>
                <w:lang w:val="el-GR"/>
              </w:rPr>
              <w:t>33</w:t>
            </w:r>
            <w:r w:rsidR="003E5B66">
              <w:rPr>
                <w:rFonts w:ascii="Ping LCG Regular" w:hAnsi="Ping LCG Regular" w:cs="Arial"/>
              </w:rPr>
              <w:t>6</w:t>
            </w:r>
            <w:r w:rsidRPr="0081653C">
              <w:rPr>
                <w:rFonts w:ascii="Ping LCG Regular" w:hAnsi="Ping LCG Regular" w:cs="Arial"/>
                <w:lang w:val="el-GR"/>
              </w:rPr>
              <w:t>,</w:t>
            </w:r>
            <w:r w:rsidR="003E5B66">
              <w:rPr>
                <w:rFonts w:ascii="Ping LCG Regular" w:hAnsi="Ping LCG Regular" w:cs="Arial"/>
              </w:rPr>
              <w:t>9</w:t>
            </w:r>
          </w:p>
        </w:tc>
        <w:tc>
          <w:tcPr>
            <w:tcW w:w="1984" w:type="dxa"/>
            <w:vAlign w:val="center"/>
          </w:tcPr>
          <w:p w14:paraId="474F34E9" w14:textId="0843291F" w:rsidR="00795801" w:rsidRPr="0081653C" w:rsidRDefault="00795801" w:rsidP="00795801">
            <w:pPr>
              <w:jc w:val="center"/>
              <w:rPr>
                <w:rFonts w:ascii="Ping LCG Regular" w:hAnsi="Ping LCG Regular" w:cs="Arial"/>
              </w:rPr>
            </w:pPr>
            <w:r w:rsidRPr="0081653C">
              <w:rPr>
                <w:rFonts w:ascii="Ping LCG Regular" w:hAnsi="Ping LCG Regular" w:cs="Arial"/>
              </w:rPr>
              <w:t>3.</w:t>
            </w:r>
            <w:r w:rsidRPr="0081653C">
              <w:rPr>
                <w:rFonts w:ascii="Ping LCG Regular" w:hAnsi="Ping LCG Regular" w:cs="Arial"/>
                <w:lang w:val="el-GR"/>
              </w:rPr>
              <w:t>283,6</w:t>
            </w:r>
          </w:p>
        </w:tc>
        <w:tc>
          <w:tcPr>
            <w:tcW w:w="1985" w:type="dxa"/>
          </w:tcPr>
          <w:p w14:paraId="671A3A37" w14:textId="4C777E39" w:rsidR="00795801" w:rsidRPr="0081653C" w:rsidRDefault="00795801" w:rsidP="00795801">
            <w:pPr>
              <w:jc w:val="center"/>
              <w:rPr>
                <w:rFonts w:ascii="Ping LCG Regular" w:hAnsi="Ping LCG Regular" w:cs="Arial"/>
                <w:lang w:val="el-GR"/>
              </w:rPr>
            </w:pPr>
            <w:r w:rsidRPr="0081653C">
              <w:rPr>
                <w:rFonts w:ascii="Ping LCG Regular" w:hAnsi="Ping LCG Regular" w:cs="Arial"/>
                <w:lang w:val="el-GR"/>
              </w:rPr>
              <w:t>3.4</w:t>
            </w:r>
            <w:r w:rsidR="008F06D9">
              <w:rPr>
                <w:rFonts w:ascii="Ping LCG Regular" w:hAnsi="Ping LCG Regular" w:cs="Arial"/>
                <w:lang w:val="el-GR"/>
              </w:rPr>
              <w:t>1</w:t>
            </w:r>
            <w:r w:rsidRPr="0081653C">
              <w:rPr>
                <w:rFonts w:ascii="Ping LCG Regular" w:hAnsi="Ping LCG Regular" w:cs="Arial"/>
                <w:lang w:val="el-GR"/>
              </w:rPr>
              <w:t>3,</w:t>
            </w:r>
            <w:r w:rsidR="0081653C" w:rsidRPr="0081653C">
              <w:rPr>
                <w:rFonts w:ascii="Ping LCG Regular" w:hAnsi="Ping LCG Regular" w:cs="Arial"/>
                <w:lang w:val="el-GR"/>
              </w:rPr>
              <w:t>6</w:t>
            </w:r>
          </w:p>
        </w:tc>
      </w:tr>
    </w:tbl>
    <w:p w14:paraId="0FB11F5C" w14:textId="088ADD31" w:rsidR="008F083F" w:rsidRDefault="00E34012" w:rsidP="008F083F">
      <w:pPr>
        <w:widowControl w:val="0"/>
        <w:autoSpaceDE w:val="0"/>
        <w:autoSpaceDN w:val="0"/>
        <w:adjustRightInd w:val="0"/>
        <w:ind w:left="284" w:right="18" w:hanging="284"/>
        <w:jc w:val="both"/>
        <w:rPr>
          <w:rFonts w:ascii="Ping LCG Regular" w:hAnsi="Ping LCG Regular" w:cs="Arial"/>
          <w:iCs/>
          <w:spacing w:val="-14"/>
          <w:sz w:val="22"/>
          <w:lang w:val="el-GR"/>
        </w:rPr>
      </w:pPr>
      <w:r w:rsidRPr="0081653C" w:rsidDel="00E34012">
        <w:rPr>
          <w:rFonts w:ascii="Ping LCG Regular" w:hAnsi="Ping LCG Regular" w:cs="Arial"/>
          <w:iCs/>
          <w:spacing w:val="-14"/>
          <w:sz w:val="22"/>
          <w:vertAlign w:val="superscript"/>
          <w:lang w:val="el-GR"/>
        </w:rPr>
        <w:t xml:space="preserve"> </w:t>
      </w:r>
      <w:r w:rsidR="00A249A6" w:rsidRPr="0081653C">
        <w:rPr>
          <w:rFonts w:ascii="Ping LCG Regular" w:hAnsi="Ping LCG Regular" w:cs="Arial"/>
          <w:iCs/>
          <w:spacing w:val="-14"/>
          <w:sz w:val="22"/>
          <w:vertAlign w:val="superscript"/>
          <w:lang w:val="el-GR"/>
        </w:rPr>
        <w:t>(*)</w:t>
      </w:r>
      <w:r w:rsidR="00A249A6" w:rsidRPr="0081653C">
        <w:rPr>
          <w:rFonts w:ascii="Ping LCG Regular" w:hAnsi="Ping LCG Regular" w:cs="Arial"/>
          <w:iCs/>
          <w:spacing w:val="-14"/>
          <w:sz w:val="22"/>
          <w:lang w:val="el-GR"/>
        </w:rPr>
        <w:t xml:space="preserve"> </w:t>
      </w:r>
      <w:r w:rsidR="00E3203D" w:rsidRPr="0081653C">
        <w:rPr>
          <w:rFonts w:ascii="Ping LCG Regular" w:hAnsi="Ping LCG Regular" w:cs="Arial"/>
          <w:iCs/>
          <w:spacing w:val="-14"/>
          <w:sz w:val="22"/>
          <w:lang w:val="el-GR"/>
        </w:rPr>
        <w:t xml:space="preserve"> </w:t>
      </w:r>
      <w:r w:rsidR="00A249A6" w:rsidRPr="0081653C">
        <w:rPr>
          <w:rFonts w:ascii="Ping LCG Regular" w:hAnsi="Ping LCG Regular" w:cs="Arial"/>
          <w:iCs/>
          <w:spacing w:val="-14"/>
          <w:sz w:val="22"/>
          <w:lang w:val="el-GR"/>
        </w:rPr>
        <w:t>Στον υπολογισμό του καθαρού χρέους, αφαιρούνται οι δεσμευμένες καταθέσεις που σχετίζονται με τον δανεισμ</w:t>
      </w:r>
      <w:r w:rsidR="00DE2E36" w:rsidRPr="0081653C">
        <w:rPr>
          <w:rFonts w:ascii="Ping LCG Regular" w:hAnsi="Ping LCG Regular" w:cs="Arial"/>
          <w:iCs/>
          <w:spacing w:val="-14"/>
          <w:sz w:val="22"/>
          <w:lang w:val="el-GR"/>
        </w:rPr>
        <w:t>ό.</w:t>
      </w:r>
      <w:bookmarkEnd w:id="18"/>
      <w:bookmarkEnd w:id="22"/>
    </w:p>
    <w:bookmarkEnd w:id="23"/>
    <w:p w14:paraId="3CA32140" w14:textId="593F6F36" w:rsidR="00FC2CF5" w:rsidRDefault="00FC2CF5" w:rsidP="008F083F">
      <w:pPr>
        <w:widowControl w:val="0"/>
        <w:autoSpaceDE w:val="0"/>
        <w:autoSpaceDN w:val="0"/>
        <w:adjustRightInd w:val="0"/>
        <w:ind w:left="284" w:right="18" w:hanging="284"/>
        <w:jc w:val="both"/>
        <w:rPr>
          <w:rFonts w:ascii="Ping LCG Regular" w:hAnsi="Ping LCG Regular" w:cs="Arial"/>
          <w:iCs/>
          <w:spacing w:val="-14"/>
          <w:sz w:val="22"/>
          <w:lang w:val="el-GR"/>
        </w:rPr>
      </w:pPr>
    </w:p>
    <w:p w14:paraId="44C2AAAA" w14:textId="77777777" w:rsidR="00B34321" w:rsidRDefault="00B34321">
      <w:pPr>
        <w:rPr>
          <w:rFonts w:ascii="Ping LCG Regular" w:hAnsi="Ping LCG Regular" w:cs="Arial"/>
          <w:b/>
          <w:bCs/>
          <w:color w:val="000000"/>
          <w:lang w:val="el-GR"/>
        </w:rPr>
      </w:pPr>
      <w:r>
        <w:rPr>
          <w:rFonts w:ascii="Ping LCG Regular" w:hAnsi="Ping LCG Regular" w:cs="Arial"/>
          <w:b/>
          <w:bCs/>
          <w:color w:val="000000"/>
          <w:lang w:val="el-GR"/>
        </w:rPr>
        <w:br w:type="page"/>
      </w:r>
    </w:p>
    <w:p w14:paraId="330F7071" w14:textId="10771DE6" w:rsidR="008A635E" w:rsidRPr="008F083F" w:rsidRDefault="008A635E" w:rsidP="008A635E">
      <w:pPr>
        <w:spacing w:line="276" w:lineRule="auto"/>
        <w:rPr>
          <w:rFonts w:ascii="Ping LCG Regular" w:hAnsi="Ping LCG Regular" w:cs="Arial"/>
          <w:b/>
          <w:bCs/>
          <w:color w:val="000000"/>
          <w:lang w:val="el-GR"/>
        </w:rPr>
      </w:pPr>
      <w:r w:rsidRPr="008F083F">
        <w:rPr>
          <w:rFonts w:ascii="Ping LCG Regular" w:hAnsi="Ping LCG Regular" w:cs="Arial"/>
          <w:b/>
          <w:bCs/>
          <w:color w:val="000000"/>
          <w:lang w:val="el-GR"/>
        </w:rPr>
        <w:lastRenderedPageBreak/>
        <w:t>Αναλυτικά Οικονομικά Αποτελέσματα Ομίλου</w:t>
      </w:r>
    </w:p>
    <w:p w14:paraId="7092B909" w14:textId="1CFE5759" w:rsidR="00FC2CF5" w:rsidRDefault="003F1279" w:rsidP="00BE156D">
      <w:pPr>
        <w:widowControl w:val="0"/>
        <w:autoSpaceDE w:val="0"/>
        <w:autoSpaceDN w:val="0"/>
        <w:adjustRightInd w:val="0"/>
        <w:ind w:right="18"/>
        <w:jc w:val="both"/>
        <w:rPr>
          <w:rFonts w:ascii="Ping LCG Bold" w:hAnsi="Ping LCG Bold" w:cs="Arial"/>
          <w:b/>
          <w:spacing w:val="-14"/>
          <w:lang w:val="el-GR"/>
        </w:rPr>
      </w:pPr>
      <w:r>
        <w:rPr>
          <w:rFonts w:ascii="Ping LCG Bold" w:hAnsi="Ping LCG Bold" w:cs="Arial"/>
          <w:b/>
          <w:spacing w:val="-14"/>
          <w:lang w:val="el-GR"/>
        </w:rPr>
        <w:pict w14:anchorId="46ED69BD">
          <v:shape id="_x0000_i1059" type="#_x0000_t75" style="width:523.5pt;height:464.25pt">
            <v:imagedata r:id="rId10" o:title=""/>
          </v:shape>
        </w:pict>
      </w:r>
    </w:p>
    <w:p w14:paraId="2C085125" w14:textId="343841CE" w:rsidR="007E4333" w:rsidRDefault="003F1279" w:rsidP="00BE156D">
      <w:pPr>
        <w:widowControl w:val="0"/>
        <w:autoSpaceDE w:val="0"/>
        <w:autoSpaceDN w:val="0"/>
        <w:adjustRightInd w:val="0"/>
        <w:ind w:right="18"/>
        <w:jc w:val="both"/>
        <w:rPr>
          <w:rFonts w:ascii="Ping LCG Bold" w:hAnsi="Ping LCG Bold" w:cs="Arial"/>
          <w:b/>
          <w:spacing w:val="-14"/>
          <w:lang w:val="el-GR"/>
        </w:rPr>
      </w:pPr>
      <w:r>
        <w:rPr>
          <w:rFonts w:ascii="Ping LCG Bold" w:hAnsi="Ping LCG Bold" w:cs="Arial"/>
          <w:b/>
          <w:spacing w:val="-14"/>
          <w:lang w:val="el-GR"/>
        </w:rPr>
        <w:lastRenderedPageBreak/>
        <w:pict w14:anchorId="468D4260">
          <v:shape id="_x0000_i1058" type="#_x0000_t75" style="width:522pt;height:464.25pt">
            <v:imagedata r:id="rId11" o:title=""/>
          </v:shape>
        </w:pict>
      </w:r>
    </w:p>
    <w:p w14:paraId="09FF57F3" w14:textId="7A101E20" w:rsidR="008A635E" w:rsidRDefault="008A635E" w:rsidP="00256E4B">
      <w:pPr>
        <w:widowControl w:val="0"/>
        <w:autoSpaceDE w:val="0"/>
        <w:autoSpaceDN w:val="0"/>
        <w:adjustRightInd w:val="0"/>
        <w:ind w:right="18"/>
        <w:jc w:val="both"/>
        <w:rPr>
          <w:rFonts w:ascii="Ping LCG Regular" w:hAnsi="Ping LCG Regular" w:cs="Arial"/>
          <w:b/>
          <w:bCs/>
          <w:color w:val="000000"/>
          <w:lang w:val="el-GR"/>
        </w:rPr>
      </w:pPr>
      <w:r>
        <w:rPr>
          <w:rFonts w:ascii="Ping LCG Regular" w:hAnsi="Ping LCG Regular" w:cs="Arial"/>
          <w:b/>
          <w:bCs/>
          <w:color w:val="000000"/>
          <w:lang w:val="el-GR"/>
        </w:rPr>
        <w:br w:type="page"/>
      </w:r>
    </w:p>
    <w:p w14:paraId="0560AA3C" w14:textId="77777777" w:rsidR="007F675C" w:rsidRPr="00605E8C" w:rsidRDefault="007F675C" w:rsidP="007F675C">
      <w:pPr>
        <w:autoSpaceDE w:val="0"/>
        <w:autoSpaceDN w:val="0"/>
        <w:adjustRightInd w:val="0"/>
        <w:rPr>
          <w:rFonts w:ascii="Ping LCG Regular" w:hAnsi="Ping LCG Regular" w:cs="Arial"/>
          <w:b/>
          <w:bCs/>
          <w:color w:val="000000"/>
          <w:lang w:val="el-GR"/>
        </w:rPr>
      </w:pPr>
      <w:r w:rsidRPr="00605E8C">
        <w:rPr>
          <w:rFonts w:ascii="Ping LCG Regular" w:hAnsi="Ping LCG Regular" w:cs="Arial"/>
          <w:b/>
          <w:bCs/>
          <w:color w:val="000000"/>
          <w:lang w:val="el-GR"/>
        </w:rPr>
        <w:lastRenderedPageBreak/>
        <w:t xml:space="preserve">ΠΑΡΑΡΤΗΜΑ 2 </w:t>
      </w:r>
    </w:p>
    <w:p w14:paraId="686F73DF" w14:textId="77777777" w:rsidR="007F675C" w:rsidRPr="00605E8C" w:rsidRDefault="007F675C" w:rsidP="007F675C">
      <w:pPr>
        <w:spacing w:line="276" w:lineRule="auto"/>
        <w:jc w:val="both"/>
        <w:rPr>
          <w:rFonts w:ascii="Ping LCG Regular" w:hAnsi="Ping LCG Regular" w:cs="Arial"/>
          <w:b/>
          <w:spacing w:val="-14"/>
          <w:lang w:val="el-GR"/>
        </w:rPr>
      </w:pPr>
      <w:r w:rsidRPr="00605E8C">
        <w:rPr>
          <w:rFonts w:ascii="Ping LCG Regular" w:hAnsi="Ping LCG Regular" w:cs="Arial"/>
          <w:b/>
          <w:spacing w:val="-14"/>
          <w:lang w:val="el-GR"/>
        </w:rPr>
        <w:t xml:space="preserve">Ορισμοί και συμφωνία των Εναλλακτικών Δεικτών Μέτρησης Απόδοσης (“ΕΔΜΑ”) </w:t>
      </w:r>
    </w:p>
    <w:p w14:paraId="5A5B4D63" w14:textId="7BB4A607" w:rsidR="001F050E" w:rsidRPr="00605E8C" w:rsidRDefault="001F050E" w:rsidP="001F050E">
      <w:pPr>
        <w:spacing w:line="276" w:lineRule="auto"/>
        <w:jc w:val="both"/>
        <w:rPr>
          <w:rFonts w:ascii="Ping LCG Regular" w:hAnsi="Ping LCG Regular" w:cs="Arial"/>
          <w:b/>
          <w:spacing w:val="-14"/>
          <w:lang w:val="el-GR"/>
        </w:rPr>
      </w:pPr>
    </w:p>
    <w:p w14:paraId="380B2BFE" w14:textId="77777777" w:rsidR="001F050E" w:rsidRPr="00AC4BA8" w:rsidRDefault="001F050E" w:rsidP="001F050E">
      <w:pPr>
        <w:spacing w:line="276" w:lineRule="auto"/>
        <w:jc w:val="both"/>
        <w:rPr>
          <w:rFonts w:ascii="Ping LCG Regular" w:hAnsi="Ping LCG Regular" w:cs="Arial"/>
          <w:b/>
          <w:spacing w:val="-14"/>
          <w:lang w:val="el-GR"/>
        </w:rPr>
      </w:pPr>
    </w:p>
    <w:p w14:paraId="1FA372F0" w14:textId="569AAF5B" w:rsidR="001F050E" w:rsidRPr="00AC4BA8" w:rsidRDefault="001F050E" w:rsidP="001F050E">
      <w:pPr>
        <w:spacing w:line="276" w:lineRule="auto"/>
        <w:jc w:val="both"/>
        <w:rPr>
          <w:rFonts w:ascii="Ping LCG Regular" w:hAnsi="Ping LCG Regular" w:cs="Arial"/>
          <w:b/>
          <w:spacing w:val="-14"/>
          <w:lang w:val="el-GR"/>
        </w:rPr>
      </w:pPr>
      <w:r w:rsidRPr="00AC4BA8">
        <w:rPr>
          <w:rFonts w:ascii="Ping LCG Regular" w:hAnsi="Ping LCG Regular" w:cs="Arial"/>
          <w:b/>
          <w:spacing w:val="-14"/>
          <w:lang w:val="el-GR"/>
        </w:rPr>
        <w:t xml:space="preserve">ΕΝΑΛΛΑΚΤΙΚΟΙ ΔΕΙΚΤΕΣ ΜΕΤΡΗΣΗΣ ΑΠΟΔΟΣΗΣ (“ΕΔΜΑ”) </w:t>
      </w:r>
    </w:p>
    <w:p w14:paraId="07460988" w14:textId="77777777" w:rsidR="001F050E" w:rsidRPr="00AC4BA8" w:rsidRDefault="001F050E" w:rsidP="001F050E">
      <w:pPr>
        <w:spacing w:line="276" w:lineRule="auto"/>
        <w:jc w:val="both"/>
        <w:rPr>
          <w:rFonts w:ascii="Ping LCG Regular" w:hAnsi="Ping LCG Regular" w:cs="Arial"/>
          <w:b/>
          <w:spacing w:val="-14"/>
          <w:lang w:val="el-GR"/>
        </w:rPr>
      </w:pPr>
    </w:p>
    <w:p w14:paraId="5C7D157C" w14:textId="77777777" w:rsidR="001F050E" w:rsidRPr="00605E8C" w:rsidRDefault="001F050E" w:rsidP="001F050E">
      <w:pPr>
        <w:spacing w:line="276" w:lineRule="auto"/>
        <w:jc w:val="both"/>
        <w:rPr>
          <w:rFonts w:ascii="Ping LCG Regular" w:hAnsi="Ping LCG Regular" w:cs="Arial"/>
          <w:bCs/>
          <w:spacing w:val="-14"/>
          <w:lang w:val="el-GR"/>
        </w:rPr>
      </w:pPr>
      <w:r w:rsidRPr="00605E8C">
        <w:rPr>
          <w:rFonts w:ascii="Ping LCG Regular" w:hAnsi="Ping LCG Regular" w:cs="Arial"/>
          <w:bCs/>
          <w:spacing w:val="-14"/>
          <w:lang w:val="el-GR"/>
        </w:rPr>
        <w:t xml:space="preserve">Ο Όμιλος χρησιμοποιεί Εναλλακτικούς Δείκτες Μέτρησης Απόδοσης (“ΕΔΜΑ”) στα πλαίσια λήψης αποφάσεων σχετικά με τον χρηματοοικονομικό, λειτουργικό και στρατηγικό σχεδιασμό του καθώς και για την αξιολόγηση και την δημοσίευση των επιδόσεών του. Αυτοί οι ΕΔΜΑ εξυπηρετούν στην καλύτερη κατανόηση των χρηματοοικονομικών και λειτουργικών αποτελεσμάτων του Ομίλου, της χρηματοοικονομικής του θέσης καθώς και της κατάστασης ταμειακών ροών. Οι εναλλακτικοί δείκτες (ΕΔΜΑ) θα πρέπει να λαμβάνονται υπόψη πάντα σε συνδυασμό με τα οικονομικά αποτελέσματα που έχουν συνταχθεί σύμφωνα με τα ΔΠΧΑ και σε καμία περίπτωση δεν αντικαθιστούν αυτά. </w:t>
      </w:r>
    </w:p>
    <w:p w14:paraId="45AE2E02" w14:textId="77777777" w:rsidR="001F050E" w:rsidRPr="00AC4BA8" w:rsidRDefault="001F050E" w:rsidP="001F050E">
      <w:pPr>
        <w:spacing w:line="276" w:lineRule="auto"/>
        <w:jc w:val="both"/>
        <w:rPr>
          <w:rFonts w:ascii="Ping LCG Regular" w:hAnsi="Ping LCG Regular" w:cs="Arial"/>
          <w:b/>
          <w:spacing w:val="-14"/>
          <w:lang w:val="el-GR"/>
        </w:rPr>
      </w:pPr>
    </w:p>
    <w:p w14:paraId="4627D526" w14:textId="4E265E77" w:rsidR="001F050E" w:rsidRPr="00AC4BA8" w:rsidRDefault="001F050E" w:rsidP="001F050E">
      <w:pPr>
        <w:spacing w:line="276" w:lineRule="auto"/>
        <w:jc w:val="both"/>
        <w:rPr>
          <w:rFonts w:ascii="Ping LCG Regular" w:hAnsi="Ping LCG Regular" w:cs="Arial"/>
          <w:b/>
          <w:spacing w:val="-14"/>
          <w:lang w:val="el-GR"/>
        </w:rPr>
      </w:pPr>
      <w:r w:rsidRPr="00AC4BA8">
        <w:rPr>
          <w:rFonts w:ascii="Ping LCG Regular" w:hAnsi="Ping LCG Regular" w:cs="Arial"/>
          <w:b/>
          <w:spacing w:val="-14"/>
          <w:lang w:val="el-GR"/>
        </w:rPr>
        <w:t xml:space="preserve">Εναλλακτικοί Δείκτες Μέτρησης Απόδοσης (“ΕΔΜΑ”) </w:t>
      </w:r>
    </w:p>
    <w:p w14:paraId="3102E1BC" w14:textId="77777777" w:rsidR="001F050E" w:rsidRPr="00AC4BA8" w:rsidRDefault="001F050E" w:rsidP="001F050E">
      <w:pPr>
        <w:spacing w:line="276" w:lineRule="auto"/>
        <w:jc w:val="both"/>
        <w:rPr>
          <w:rFonts w:ascii="Ping LCG Regular" w:hAnsi="Ping LCG Regular" w:cs="Arial"/>
          <w:b/>
          <w:spacing w:val="-14"/>
          <w:lang w:val="el-GR"/>
        </w:rPr>
      </w:pPr>
    </w:p>
    <w:p w14:paraId="0128E528" w14:textId="77777777" w:rsidR="001F050E" w:rsidRPr="00605E8C" w:rsidRDefault="001F050E" w:rsidP="001F050E">
      <w:pPr>
        <w:spacing w:line="276" w:lineRule="auto"/>
        <w:jc w:val="both"/>
        <w:rPr>
          <w:rFonts w:ascii="Ping LCG Regular" w:hAnsi="Ping LCG Regular" w:cs="Arial"/>
          <w:bCs/>
          <w:spacing w:val="-14"/>
          <w:lang w:val="el-GR"/>
        </w:rPr>
      </w:pPr>
      <w:r w:rsidRPr="00605E8C">
        <w:rPr>
          <w:rFonts w:ascii="Ping LCG Regular" w:hAnsi="Ping LCG Regular" w:cs="Arial"/>
          <w:bCs/>
          <w:spacing w:val="-14"/>
          <w:lang w:val="el-GR"/>
        </w:rPr>
        <w:t>Κατά την περιγραφή των επιδόσεων του Ομίλου χρησιμοποιούνται “Προσαρμοσμένοι” δείκτες όπως: EBITDA Επαναλαμβανόμενο χωρίς εφάπαξ επιπτώσεις, περιθώριο EBITDA Επαναλαμβανόμενο % χωρίς εφάπαξ επιπτώσεις και Κέρδη / (Ζημίες) χωρίς εφάπαξ επιπτώσεις. Οι προσαρμοσμένοι αυτοί δείκτες υπολογίζονται αφαιρώντας από τους οικονομικούς δείκτες, οι οποίοι έχουν υπολογιστεί από κονδύλια των ετήσιων ή ενδιάμεσων οικονομικών καταστάσεων, την επίδραση και τα κόστη που προκύπτουν από γεγονότα τα οποία συνέβησαν κατά την εκάστοτε  περίοδο αναφοράς και τα οποία δεν έχουν επηρεάσει τα ποσά των προηγούμενων περιόδων.</w:t>
      </w:r>
    </w:p>
    <w:p w14:paraId="18EBD48C" w14:textId="77777777" w:rsidR="001F050E" w:rsidRPr="00605E8C" w:rsidRDefault="001F050E" w:rsidP="001F050E">
      <w:pPr>
        <w:spacing w:line="276" w:lineRule="auto"/>
        <w:jc w:val="both"/>
        <w:rPr>
          <w:rFonts w:ascii="Ping LCG Regular" w:hAnsi="Ping LCG Regular" w:cs="Arial"/>
          <w:bCs/>
          <w:spacing w:val="-14"/>
          <w:lang w:val="el-GR"/>
        </w:rPr>
      </w:pPr>
    </w:p>
    <w:p w14:paraId="2A45CE5C" w14:textId="6A3E6EEC" w:rsidR="001F050E" w:rsidRDefault="001F050E" w:rsidP="001F050E">
      <w:pPr>
        <w:spacing w:line="276" w:lineRule="auto"/>
        <w:jc w:val="both"/>
        <w:rPr>
          <w:rFonts w:ascii="Ping LCG Regular" w:hAnsi="Ping LCG Regular" w:cs="Arial"/>
          <w:b/>
          <w:spacing w:val="-14"/>
          <w:lang w:val="el-GR"/>
        </w:rPr>
      </w:pPr>
      <w:r w:rsidRPr="00AF099F">
        <w:rPr>
          <w:rFonts w:ascii="Ping LCG Regular" w:hAnsi="Ping LCG Regular" w:cs="Arial"/>
          <w:b/>
          <w:spacing w:val="-14"/>
          <w:lang w:val="el-GR"/>
        </w:rPr>
        <w:t xml:space="preserve">EBITDA (Δείκτης λειτουργικών κερδών πριν από αποσβέσεις και </w:t>
      </w:r>
      <w:proofErr w:type="spellStart"/>
      <w:r w:rsidRPr="00AF099F">
        <w:rPr>
          <w:rFonts w:ascii="Ping LCG Regular" w:hAnsi="Ping LCG Regular" w:cs="Arial"/>
          <w:b/>
          <w:spacing w:val="-14"/>
          <w:lang w:val="el-GR"/>
        </w:rPr>
        <w:t>απομειώσεις</w:t>
      </w:r>
      <w:proofErr w:type="spellEnd"/>
      <w:r w:rsidRPr="00AF099F">
        <w:rPr>
          <w:rFonts w:ascii="Ping LCG Regular" w:hAnsi="Ping LCG Regular" w:cs="Arial"/>
          <w:b/>
          <w:spacing w:val="-14"/>
          <w:lang w:val="el-GR"/>
        </w:rPr>
        <w:t xml:space="preserve">, καθαρές χρηματοοικονομικές δαπάνες και  φόρους) </w:t>
      </w:r>
    </w:p>
    <w:p w14:paraId="78324699" w14:textId="77777777" w:rsidR="00AF099F" w:rsidRPr="00AF099F" w:rsidRDefault="00AF099F" w:rsidP="001F050E">
      <w:pPr>
        <w:spacing w:line="276" w:lineRule="auto"/>
        <w:jc w:val="both"/>
        <w:rPr>
          <w:rFonts w:ascii="Ping LCG Regular" w:hAnsi="Ping LCG Regular" w:cs="Arial"/>
          <w:b/>
          <w:spacing w:val="-14"/>
          <w:lang w:val="el-GR"/>
        </w:rPr>
      </w:pPr>
    </w:p>
    <w:p w14:paraId="530A7A0C" w14:textId="77777777" w:rsidR="001F050E" w:rsidRPr="00605E8C" w:rsidRDefault="001F050E" w:rsidP="001F050E">
      <w:pPr>
        <w:spacing w:line="276" w:lineRule="auto"/>
        <w:jc w:val="both"/>
        <w:rPr>
          <w:rFonts w:ascii="Ping LCG Regular" w:hAnsi="Ping LCG Regular" w:cs="Arial"/>
          <w:bCs/>
          <w:spacing w:val="-14"/>
          <w:lang w:val="el-GR"/>
        </w:rPr>
      </w:pPr>
      <w:r w:rsidRPr="00605E8C">
        <w:rPr>
          <w:rFonts w:ascii="Ping LCG Regular" w:hAnsi="Ping LCG Regular" w:cs="Arial"/>
          <w:bCs/>
          <w:spacing w:val="-14"/>
          <w:lang w:val="el-GR"/>
        </w:rPr>
        <w:t xml:space="preserve">Ο δείκτης EBITDA εξυπηρετεί στην καλύτερη ανάλυση των λειτουργικών αποτελεσμάτων του Ομίλου και υπολογίζεται ως εξής: Σύνολο κύκλου εργασιών μείον το σύνολο των λειτουργικών εξόδων πριν από αποσβέσεις και </w:t>
      </w:r>
      <w:proofErr w:type="spellStart"/>
      <w:r w:rsidRPr="00605E8C">
        <w:rPr>
          <w:rFonts w:ascii="Ping LCG Regular" w:hAnsi="Ping LCG Regular" w:cs="Arial"/>
          <w:bCs/>
          <w:spacing w:val="-14"/>
          <w:lang w:val="el-GR"/>
        </w:rPr>
        <w:t>απομειώσεις</w:t>
      </w:r>
      <w:proofErr w:type="spellEnd"/>
      <w:r w:rsidRPr="00605E8C">
        <w:rPr>
          <w:rFonts w:ascii="Ping LCG Regular" w:hAnsi="Ping LCG Regular" w:cs="Arial"/>
          <w:bCs/>
          <w:spacing w:val="-14"/>
          <w:lang w:val="el-GR"/>
        </w:rPr>
        <w:t>. Το περιθώριο EBITDA (%) υπολογίζεται διαιρώντας το EBITDA με το σύνολο του κύκλου εργασιών. Οι υπολογισμοί παρουσιάζονται στον Πίνακα Α.</w:t>
      </w:r>
    </w:p>
    <w:p w14:paraId="53F8FFA7" w14:textId="77777777" w:rsidR="001F050E" w:rsidRPr="00605E8C" w:rsidRDefault="001F050E" w:rsidP="001F050E">
      <w:pPr>
        <w:spacing w:line="276" w:lineRule="auto"/>
        <w:jc w:val="both"/>
        <w:rPr>
          <w:rFonts w:ascii="Ping LCG Regular" w:hAnsi="Ping LCG Regular" w:cs="Arial"/>
          <w:bCs/>
          <w:spacing w:val="-14"/>
          <w:lang w:val="el-GR"/>
        </w:rPr>
      </w:pPr>
    </w:p>
    <w:p w14:paraId="1274915F" w14:textId="3F9D7059" w:rsidR="001F050E" w:rsidRDefault="001F050E" w:rsidP="001F050E">
      <w:pPr>
        <w:spacing w:line="276" w:lineRule="auto"/>
        <w:jc w:val="both"/>
        <w:rPr>
          <w:rFonts w:ascii="Ping LCG Regular" w:hAnsi="Ping LCG Regular" w:cs="Arial"/>
          <w:b/>
          <w:spacing w:val="-14"/>
          <w:lang w:val="el-GR"/>
        </w:rPr>
      </w:pPr>
      <w:r w:rsidRPr="00AF099F">
        <w:rPr>
          <w:rFonts w:ascii="Ping LCG Regular" w:hAnsi="Ping LCG Regular" w:cs="Arial"/>
          <w:b/>
          <w:spacing w:val="-14"/>
          <w:lang w:val="el-GR"/>
        </w:rPr>
        <w:t xml:space="preserve">Λειτουργικές Δαπάνες προ φόρων, αποσβέσεων και </w:t>
      </w:r>
      <w:proofErr w:type="spellStart"/>
      <w:r w:rsidRPr="00AF099F">
        <w:rPr>
          <w:rFonts w:ascii="Ping LCG Regular" w:hAnsi="Ping LCG Regular" w:cs="Arial"/>
          <w:b/>
          <w:spacing w:val="-14"/>
          <w:lang w:val="el-GR"/>
        </w:rPr>
        <w:t>απομειώσεων</w:t>
      </w:r>
      <w:proofErr w:type="spellEnd"/>
      <w:r w:rsidRPr="00AF099F">
        <w:rPr>
          <w:rFonts w:ascii="Ping LCG Regular" w:hAnsi="Ping LCG Regular" w:cs="Arial"/>
          <w:b/>
          <w:spacing w:val="-14"/>
          <w:lang w:val="el-GR"/>
        </w:rPr>
        <w:t xml:space="preserve">, συνολικών καθαρών χρηματοοικονομικών δαπανών και κερδών/(ζημιών) από συγγενείς εταιρείες  χωρίς εφάπαξ επιπτώσεις </w:t>
      </w:r>
    </w:p>
    <w:p w14:paraId="15EBDB4E" w14:textId="77777777" w:rsidR="00AF099F" w:rsidRPr="00AF099F" w:rsidRDefault="00AF099F" w:rsidP="001F050E">
      <w:pPr>
        <w:spacing w:line="276" w:lineRule="auto"/>
        <w:jc w:val="both"/>
        <w:rPr>
          <w:rFonts w:ascii="Ping LCG Regular" w:hAnsi="Ping LCG Regular" w:cs="Arial"/>
          <w:b/>
          <w:spacing w:val="-14"/>
          <w:lang w:val="el-GR"/>
        </w:rPr>
      </w:pPr>
    </w:p>
    <w:p w14:paraId="0DAECBFE" w14:textId="1448F211" w:rsidR="00AC4BA8" w:rsidRPr="00605E8C" w:rsidRDefault="001F050E" w:rsidP="00605E8C">
      <w:pPr>
        <w:spacing w:line="276" w:lineRule="auto"/>
        <w:jc w:val="both"/>
        <w:rPr>
          <w:rFonts w:ascii="Ping LCG Regular" w:hAnsi="Ping LCG Regular" w:cs="Arial"/>
          <w:bCs/>
          <w:spacing w:val="-14"/>
          <w:lang w:val="el-GR"/>
        </w:rPr>
      </w:pPr>
      <w:r w:rsidRPr="00605E8C">
        <w:rPr>
          <w:rFonts w:ascii="Ping LCG Regular" w:hAnsi="Ping LCG Regular" w:cs="Arial"/>
          <w:bCs/>
          <w:spacing w:val="-14"/>
          <w:lang w:val="el-GR"/>
        </w:rPr>
        <w:t xml:space="preserve">Ο δείκτης αυτός προκύπτει αν από τη γραμμή «Λειτουργικές Δαπάνες προ Αποσβέσεων και </w:t>
      </w:r>
      <w:proofErr w:type="spellStart"/>
      <w:r w:rsidRPr="00605E8C">
        <w:rPr>
          <w:rFonts w:ascii="Ping LCG Regular" w:hAnsi="Ping LCG Regular" w:cs="Arial"/>
          <w:bCs/>
          <w:spacing w:val="-14"/>
          <w:lang w:val="el-GR"/>
        </w:rPr>
        <w:t>Απομειώσεων</w:t>
      </w:r>
      <w:proofErr w:type="spellEnd"/>
      <w:r w:rsidRPr="00605E8C">
        <w:rPr>
          <w:rFonts w:ascii="Ping LCG Regular" w:hAnsi="Ping LCG Regular" w:cs="Arial"/>
          <w:bCs/>
          <w:spacing w:val="-14"/>
          <w:lang w:val="el-GR"/>
        </w:rPr>
        <w:t>» του πίνακα του EBITDA όπως παρουσιάζεται ανωτέρω, αφαιρεθούν οι εφάπαξ επιπτώσεις που αναφέρονται στη σημείωση του EBITDA Επαναλαμβανόμενου κατωτέρω. Ο δείκτης παρουσιάζεται στον Πίνακα Β.</w:t>
      </w:r>
      <w:r w:rsidR="00AC4BA8" w:rsidRPr="00AC4BA8">
        <w:rPr>
          <w:rFonts w:ascii="Ping LCG Regular" w:hAnsi="Ping LCG Regular" w:cs="Arial"/>
          <w:b/>
          <w:spacing w:val="-14"/>
          <w:lang w:val="el-GR"/>
        </w:rPr>
        <w:br w:type="page"/>
      </w:r>
    </w:p>
    <w:p w14:paraId="177D52A7" w14:textId="45E56DB6" w:rsidR="001F050E" w:rsidRPr="00AC4BA8" w:rsidRDefault="001F050E" w:rsidP="001F050E">
      <w:pPr>
        <w:spacing w:line="276" w:lineRule="auto"/>
        <w:jc w:val="both"/>
        <w:rPr>
          <w:rFonts w:ascii="Ping LCG Regular" w:hAnsi="Ping LCG Regular" w:cs="Arial"/>
          <w:b/>
          <w:spacing w:val="-14"/>
          <w:lang w:val="el-GR"/>
        </w:rPr>
      </w:pPr>
      <w:r w:rsidRPr="00AC4BA8">
        <w:rPr>
          <w:rFonts w:ascii="Ping LCG Regular" w:hAnsi="Ping LCG Regular" w:cs="Arial"/>
          <w:b/>
          <w:spacing w:val="-14"/>
          <w:lang w:val="el-GR"/>
        </w:rPr>
        <w:lastRenderedPageBreak/>
        <w:t xml:space="preserve">EBITDA Επαναλαμβανόμενο (Δείκτης λειτουργικών κερδών πριν από αποσβέσεις και </w:t>
      </w:r>
      <w:proofErr w:type="spellStart"/>
      <w:r w:rsidRPr="00AC4BA8">
        <w:rPr>
          <w:rFonts w:ascii="Ping LCG Regular" w:hAnsi="Ping LCG Regular" w:cs="Arial"/>
          <w:b/>
          <w:spacing w:val="-14"/>
          <w:lang w:val="el-GR"/>
        </w:rPr>
        <w:t>απομειώσεις</w:t>
      </w:r>
      <w:proofErr w:type="spellEnd"/>
      <w:r w:rsidRPr="00AC4BA8">
        <w:rPr>
          <w:rFonts w:ascii="Ping LCG Regular" w:hAnsi="Ping LCG Regular" w:cs="Arial"/>
          <w:b/>
          <w:spacing w:val="-14"/>
          <w:lang w:val="el-GR"/>
        </w:rPr>
        <w:t xml:space="preserve">, καθαρές χρηματοοικονομικές δαπάνες και  φόρους, εξαιρουμένων των εφάπαξ επιπτώσεων) </w:t>
      </w:r>
    </w:p>
    <w:p w14:paraId="0F15B0A5" w14:textId="77777777" w:rsidR="001F050E" w:rsidRPr="00AC4BA8" w:rsidRDefault="001F050E" w:rsidP="001F050E">
      <w:pPr>
        <w:spacing w:line="276" w:lineRule="auto"/>
        <w:jc w:val="both"/>
        <w:rPr>
          <w:rFonts w:ascii="Ping LCG Regular" w:hAnsi="Ping LCG Regular" w:cs="Arial"/>
          <w:b/>
          <w:spacing w:val="-14"/>
          <w:lang w:val="el-GR"/>
        </w:rPr>
      </w:pPr>
    </w:p>
    <w:p w14:paraId="3DD89D18" w14:textId="77777777" w:rsidR="001F050E" w:rsidRPr="00605E8C" w:rsidRDefault="001F050E" w:rsidP="001F050E">
      <w:pPr>
        <w:spacing w:line="276" w:lineRule="auto"/>
        <w:jc w:val="both"/>
        <w:rPr>
          <w:rFonts w:ascii="Ping LCG Regular" w:hAnsi="Ping LCG Regular" w:cs="Arial"/>
          <w:bCs/>
          <w:spacing w:val="-14"/>
          <w:lang w:val="el-GR"/>
        </w:rPr>
      </w:pPr>
      <w:r w:rsidRPr="00605E8C">
        <w:rPr>
          <w:rFonts w:ascii="Ping LCG Regular" w:hAnsi="Ping LCG Regular" w:cs="Arial"/>
          <w:bCs/>
          <w:spacing w:val="-14"/>
          <w:lang w:val="el-GR"/>
        </w:rPr>
        <w:t xml:space="preserve">Το EBITDA </w:t>
      </w:r>
      <w:proofErr w:type="spellStart"/>
      <w:r w:rsidRPr="00605E8C">
        <w:rPr>
          <w:rFonts w:ascii="Ping LCG Regular" w:hAnsi="Ping LCG Regular" w:cs="Arial"/>
          <w:bCs/>
          <w:spacing w:val="-14"/>
          <w:lang w:val="el-GR"/>
        </w:rPr>
        <w:t>Eπαναλαμβανόμενο</w:t>
      </w:r>
      <w:proofErr w:type="spellEnd"/>
      <w:r w:rsidRPr="00605E8C">
        <w:rPr>
          <w:rFonts w:ascii="Ping LCG Regular" w:hAnsi="Ping LCG Regular" w:cs="Arial"/>
          <w:bCs/>
          <w:spacing w:val="-14"/>
          <w:lang w:val="el-GR"/>
        </w:rPr>
        <w:t xml:space="preserve"> εξυπηρετεί στην καλύτερη ανάλυση των λειτουργικών αποτελεσμάτων του Ομίλου, εξαιρουμένης της επίδρασης των εφάπαξ επιπτώσεων. Για το εννεάμηνο 2021 οι εφάπαξ επιπτώσεις που επηρέασαν το EBITDA Επαναλαμβανόμενο είναι οι ακόλουθες: α) πρόβλεψη αποζημιώσεων προσωπικού ύψους € 14,9 εκατ. για τον Όμιλο (αρνητική επίπτωση), και β) αναδρομική χρέωση λόγω ανάκτησης ειδικών επιδομάτων από την εφαρμογή της ΕΣΣΕ 2021-2024 ποσού ύψους € 34,7 εκατ. για τον Όμιλο (αρνητική επίπτωση). Για το εννεάμηνο 2020 οι εφάπαξ επιπτώσεις που επηρέασαν το EBITDA Επαναλαμβανόμενο είναι οι </w:t>
      </w:r>
      <w:proofErr w:type="spellStart"/>
      <w:r w:rsidRPr="00605E8C">
        <w:rPr>
          <w:rFonts w:ascii="Ping LCG Regular" w:hAnsi="Ping LCG Regular" w:cs="Arial"/>
          <w:bCs/>
          <w:spacing w:val="-14"/>
          <w:lang w:val="el-GR"/>
        </w:rPr>
        <w:t>ακόλουθες:α</w:t>
      </w:r>
      <w:proofErr w:type="spellEnd"/>
      <w:r w:rsidRPr="00605E8C">
        <w:rPr>
          <w:rFonts w:ascii="Ping LCG Regular" w:hAnsi="Ping LCG Regular" w:cs="Arial"/>
          <w:bCs/>
          <w:spacing w:val="-14"/>
          <w:lang w:val="el-GR"/>
        </w:rPr>
        <w:t>) Επιστροφή € 44,8 εκατ. λόγω αναθεώρησης του κόστους προμήθειας φυσικού αερίου της ΔΕΠΑ από την BOTAS για τα έτη 2012-2019, μετά την απόφαση του Διεθνούς Διαιτητικού Δικαστηρίου σχετικά με τη διαφορά μεταξύ των δύο εταιρειών (θετική επίπτωση) και β) πρόβλεψη αποζημίωσης προσωπικού για έξοδο από την υπηρεσία ύψους € 32,5 εκατ. για τον Όμιλο (αρνητική επίπτωση).Το περιθώριο EBITDA Επαναλαμβανόμενο (%) υπολογίζεται διαιρώντας το EBITDA Επαναλαμβανόμενο με το σύνολο του κύκλου εργασιών Επαναλαμβανόμενου. Ο υπολογισμός του EBITDA Επαναλαμβανόμενου και του  περιθωρίου EBITDA Επαναλαμβανόμενου παρουσιάζεται στον Πίνακα Γ.</w:t>
      </w:r>
    </w:p>
    <w:p w14:paraId="3A0F860C" w14:textId="77777777" w:rsidR="001F050E" w:rsidRPr="00AC4BA8" w:rsidRDefault="001F050E" w:rsidP="001F050E">
      <w:pPr>
        <w:spacing w:line="276" w:lineRule="auto"/>
        <w:jc w:val="both"/>
        <w:rPr>
          <w:rFonts w:ascii="Ping LCG Regular" w:hAnsi="Ping LCG Regular" w:cs="Arial"/>
          <w:b/>
          <w:spacing w:val="-14"/>
          <w:lang w:val="el-GR"/>
        </w:rPr>
      </w:pPr>
    </w:p>
    <w:p w14:paraId="00965C85" w14:textId="393153A7" w:rsidR="001F050E" w:rsidRPr="00AC4BA8" w:rsidRDefault="001F050E" w:rsidP="001F050E">
      <w:pPr>
        <w:spacing w:line="276" w:lineRule="auto"/>
        <w:jc w:val="both"/>
        <w:rPr>
          <w:rFonts w:ascii="Ping LCG Regular" w:hAnsi="Ping LCG Regular" w:cs="Arial"/>
          <w:b/>
          <w:spacing w:val="-14"/>
          <w:lang w:val="el-GR"/>
        </w:rPr>
      </w:pPr>
      <w:r w:rsidRPr="00AC4BA8">
        <w:rPr>
          <w:rFonts w:ascii="Ping LCG Regular" w:hAnsi="Ping LCG Regular" w:cs="Arial"/>
          <w:b/>
          <w:spacing w:val="-14"/>
          <w:lang w:val="el-GR"/>
        </w:rPr>
        <w:t>EBIT (Δείκτης λειτουργικών κερδών πριν από καθαρές χρηματοοικονομικές δαπάνες και φόρους)</w:t>
      </w:r>
    </w:p>
    <w:p w14:paraId="3462FAB2" w14:textId="77777777" w:rsidR="001F050E" w:rsidRPr="00AC4BA8" w:rsidRDefault="001F050E" w:rsidP="001F050E">
      <w:pPr>
        <w:spacing w:line="276" w:lineRule="auto"/>
        <w:jc w:val="both"/>
        <w:rPr>
          <w:rFonts w:ascii="Ping LCG Regular" w:hAnsi="Ping LCG Regular" w:cs="Arial"/>
          <w:b/>
          <w:spacing w:val="-14"/>
          <w:lang w:val="el-GR"/>
        </w:rPr>
      </w:pPr>
    </w:p>
    <w:p w14:paraId="23680BD9" w14:textId="77777777" w:rsidR="001F050E" w:rsidRPr="00605E8C" w:rsidRDefault="001F050E" w:rsidP="001F050E">
      <w:pPr>
        <w:spacing w:line="276" w:lineRule="auto"/>
        <w:jc w:val="both"/>
        <w:rPr>
          <w:rFonts w:ascii="Ping LCG Regular" w:hAnsi="Ping LCG Regular" w:cs="Arial"/>
          <w:bCs/>
          <w:spacing w:val="-14"/>
          <w:lang w:val="el-GR"/>
        </w:rPr>
      </w:pPr>
      <w:r w:rsidRPr="00605E8C">
        <w:rPr>
          <w:rFonts w:ascii="Ping LCG Regular" w:hAnsi="Ping LCG Regular" w:cs="Arial"/>
          <w:bCs/>
          <w:spacing w:val="-14"/>
          <w:lang w:val="el-GR"/>
        </w:rPr>
        <w:t xml:space="preserve">Ο δείκτης EBIT εξυπηρετεί στην καλύτερη ανάλυση των λειτουργικών αποτελεσμάτων του Ομίλου και υπολογίζεται ως εξής: EBITDA (Δείκτης λειτουργικών κερδών πριν από αποσβέσεις και </w:t>
      </w:r>
      <w:proofErr w:type="spellStart"/>
      <w:r w:rsidRPr="00605E8C">
        <w:rPr>
          <w:rFonts w:ascii="Ping LCG Regular" w:hAnsi="Ping LCG Regular" w:cs="Arial"/>
          <w:bCs/>
          <w:spacing w:val="-14"/>
          <w:lang w:val="el-GR"/>
        </w:rPr>
        <w:t>απομειώσεις</w:t>
      </w:r>
      <w:proofErr w:type="spellEnd"/>
      <w:r w:rsidRPr="00605E8C">
        <w:rPr>
          <w:rFonts w:ascii="Ping LCG Regular" w:hAnsi="Ping LCG Regular" w:cs="Arial"/>
          <w:bCs/>
          <w:spacing w:val="-14"/>
          <w:lang w:val="el-GR"/>
        </w:rPr>
        <w:t xml:space="preserve">, καθαρές χρηματοοικονομικές δαπάνες και φόρους) μείον τα ποσά των αποσβέσεων και των τυχόν </w:t>
      </w:r>
      <w:proofErr w:type="spellStart"/>
      <w:r w:rsidRPr="00605E8C">
        <w:rPr>
          <w:rFonts w:ascii="Ping LCG Regular" w:hAnsi="Ping LCG Regular" w:cs="Arial"/>
          <w:bCs/>
          <w:spacing w:val="-14"/>
          <w:lang w:val="el-GR"/>
        </w:rPr>
        <w:t>απομειώσεων</w:t>
      </w:r>
      <w:proofErr w:type="spellEnd"/>
      <w:r w:rsidRPr="00605E8C">
        <w:rPr>
          <w:rFonts w:ascii="Ping LCG Regular" w:hAnsi="Ping LCG Regular" w:cs="Arial"/>
          <w:bCs/>
          <w:spacing w:val="-14"/>
          <w:lang w:val="el-GR"/>
        </w:rPr>
        <w:t>. Το περιθώριο EBIT (%) υπολογίζεται διαιρώντας το EBIT με το σύνολο του κύκλου εργασιών. Ο υπολογισμοί παρουσιάζονται στον Πίνακα Δ.</w:t>
      </w:r>
    </w:p>
    <w:p w14:paraId="699B39C8" w14:textId="77777777" w:rsidR="001F050E" w:rsidRPr="00605E8C" w:rsidRDefault="001F050E" w:rsidP="001F050E">
      <w:pPr>
        <w:spacing w:line="276" w:lineRule="auto"/>
        <w:jc w:val="both"/>
        <w:rPr>
          <w:rFonts w:ascii="Ping LCG Regular" w:hAnsi="Ping LCG Regular" w:cs="Arial"/>
          <w:bCs/>
          <w:spacing w:val="-14"/>
          <w:lang w:val="el-GR"/>
        </w:rPr>
      </w:pPr>
    </w:p>
    <w:p w14:paraId="03048A9C" w14:textId="77777777" w:rsidR="001F050E" w:rsidRPr="0061299A" w:rsidRDefault="001F050E" w:rsidP="001F050E">
      <w:pPr>
        <w:spacing w:line="276" w:lineRule="auto"/>
        <w:jc w:val="both"/>
        <w:rPr>
          <w:rFonts w:ascii="Ping LCG Regular" w:hAnsi="Ping LCG Regular" w:cs="Arial"/>
          <w:b/>
          <w:spacing w:val="-14"/>
          <w:lang w:val="el-GR"/>
        </w:rPr>
      </w:pPr>
      <w:r w:rsidRPr="0061299A">
        <w:rPr>
          <w:rFonts w:ascii="Ping LCG Regular" w:hAnsi="Ping LCG Regular" w:cs="Arial"/>
          <w:b/>
          <w:spacing w:val="-14"/>
          <w:lang w:val="el-GR"/>
        </w:rPr>
        <w:t>Καθαρό ποσό Αποσβέσεων Χρηματοοικονομικών Δαπανών και Κερδών από Συγγενείς Εταιρείες.</w:t>
      </w:r>
    </w:p>
    <w:p w14:paraId="60462F7A" w14:textId="77777777" w:rsidR="001F050E" w:rsidRPr="00605E8C" w:rsidRDefault="001F050E" w:rsidP="001F050E">
      <w:pPr>
        <w:spacing w:line="276" w:lineRule="auto"/>
        <w:jc w:val="both"/>
        <w:rPr>
          <w:rFonts w:ascii="Ping LCG Regular" w:hAnsi="Ping LCG Regular" w:cs="Arial"/>
          <w:bCs/>
          <w:spacing w:val="-14"/>
          <w:lang w:val="el-GR"/>
        </w:rPr>
      </w:pPr>
      <w:r w:rsidRPr="00605E8C">
        <w:rPr>
          <w:rFonts w:ascii="Ping LCG Regular" w:hAnsi="Ping LCG Regular" w:cs="Arial"/>
          <w:bCs/>
          <w:spacing w:val="-14"/>
          <w:lang w:val="el-GR"/>
        </w:rPr>
        <w:t>Ο Δείκτης αυτός υπολογίζεται ως το συμψηφισμένο καθαρό ποσό των κονδυλίων των αποσβέσεων χρήσης, των καθαρών χρηματοοικονομικών δαπανών και των κερδών / ζημιών από τις συγγενείς επιχειρήσεις του Ομίλου. Οι υπολογισμοί παρουσιάζονται στον Πίνακα Ε.</w:t>
      </w:r>
    </w:p>
    <w:p w14:paraId="7F984CFC" w14:textId="77777777" w:rsidR="001F050E" w:rsidRPr="00AC4BA8" w:rsidRDefault="001F050E" w:rsidP="001F050E">
      <w:pPr>
        <w:spacing w:line="276" w:lineRule="auto"/>
        <w:jc w:val="both"/>
        <w:rPr>
          <w:rFonts w:ascii="Ping LCG Regular" w:hAnsi="Ping LCG Regular" w:cs="Arial"/>
          <w:b/>
          <w:spacing w:val="-14"/>
          <w:lang w:val="el-GR"/>
        </w:rPr>
      </w:pPr>
    </w:p>
    <w:p w14:paraId="10CE6572" w14:textId="77777777" w:rsidR="001F050E" w:rsidRPr="00AC4BA8" w:rsidRDefault="001F050E" w:rsidP="001F050E">
      <w:pPr>
        <w:spacing w:line="276" w:lineRule="auto"/>
        <w:jc w:val="both"/>
        <w:rPr>
          <w:rFonts w:ascii="Ping LCG Regular" w:hAnsi="Ping LCG Regular" w:cs="Arial"/>
          <w:b/>
          <w:spacing w:val="-14"/>
          <w:lang w:val="el-GR"/>
        </w:rPr>
      </w:pPr>
      <w:r w:rsidRPr="00AC4BA8">
        <w:rPr>
          <w:rFonts w:ascii="Ping LCG Regular" w:hAnsi="Ping LCG Regular" w:cs="Arial"/>
          <w:b/>
          <w:spacing w:val="-14"/>
          <w:lang w:val="el-GR"/>
        </w:rPr>
        <w:t xml:space="preserve">Καθαρός Δανεισμός </w:t>
      </w:r>
    </w:p>
    <w:p w14:paraId="591690AB" w14:textId="77777777" w:rsidR="001F050E" w:rsidRPr="00AC4BA8" w:rsidRDefault="001F050E" w:rsidP="001F050E">
      <w:pPr>
        <w:spacing w:line="276" w:lineRule="auto"/>
        <w:jc w:val="both"/>
        <w:rPr>
          <w:rFonts w:ascii="Ping LCG Regular" w:hAnsi="Ping LCG Regular" w:cs="Arial"/>
          <w:b/>
          <w:spacing w:val="-14"/>
          <w:lang w:val="el-GR"/>
        </w:rPr>
      </w:pPr>
    </w:p>
    <w:p w14:paraId="345ABFFE" w14:textId="51B8CA2F" w:rsidR="001F050E" w:rsidRPr="00605E8C" w:rsidRDefault="001F050E" w:rsidP="00605E8C">
      <w:pPr>
        <w:spacing w:line="276" w:lineRule="auto"/>
        <w:jc w:val="both"/>
        <w:rPr>
          <w:rFonts w:ascii="Ping LCG Regular" w:hAnsi="Ping LCG Regular" w:cs="Arial"/>
          <w:bCs/>
          <w:spacing w:val="-14"/>
          <w:lang w:val="el-GR"/>
        </w:rPr>
      </w:pPr>
      <w:r w:rsidRPr="00605E8C">
        <w:rPr>
          <w:rFonts w:ascii="Ping LCG Regular" w:hAnsi="Ping LCG Regular" w:cs="Arial"/>
          <w:bCs/>
          <w:spacing w:val="-14"/>
          <w:lang w:val="el-GR"/>
        </w:rPr>
        <w:t xml:space="preserve">Ο καθαρός δανεισμός είναι ένας ΕΔΜΑ που χρησιμοποιεί η διοίκηση για να αξιολογήσει την κεφαλαιακή διάρθρωση του Ομίλου και την δυνατότητα </w:t>
      </w:r>
      <w:proofErr w:type="spellStart"/>
      <w:r w:rsidRPr="00605E8C">
        <w:rPr>
          <w:rFonts w:ascii="Ping LCG Regular" w:hAnsi="Ping LCG Regular" w:cs="Arial"/>
          <w:bCs/>
          <w:spacing w:val="-14"/>
          <w:lang w:val="el-GR"/>
        </w:rPr>
        <w:t>μόχλευσης</w:t>
      </w:r>
      <w:proofErr w:type="spellEnd"/>
      <w:r w:rsidRPr="00605E8C">
        <w:rPr>
          <w:rFonts w:ascii="Ping LCG Regular" w:hAnsi="Ping LCG Regular" w:cs="Arial"/>
          <w:bCs/>
          <w:spacing w:val="-14"/>
          <w:lang w:val="el-GR"/>
        </w:rPr>
        <w:t xml:space="preserve">. Ο καθαρός δανεισμός υπολογίζεται προσθέτοντας στα μακροπρόθεσμα δάνεια το βραχυπρόθεσμο μέρος μακροπρόθεσμων δανείων και τα βραχυπρόθεσμα δάνεια, αφαιρώντας από το σύνολο τα χρηματικά διαθέσιμα, τις δεσμευμένες καταθέσεις που αφορούν σε δανειακές συμβάσεις και τα χρηματοοικονομικά περιουσιακά στοιχεία </w:t>
      </w:r>
      <w:proofErr w:type="spellStart"/>
      <w:r w:rsidRPr="00605E8C">
        <w:rPr>
          <w:rFonts w:ascii="Ping LCG Regular" w:hAnsi="Ping LCG Regular" w:cs="Arial"/>
          <w:bCs/>
          <w:spacing w:val="-14"/>
          <w:lang w:val="el-GR"/>
        </w:rPr>
        <w:t>επιμετρούμενα</w:t>
      </w:r>
      <w:proofErr w:type="spellEnd"/>
      <w:r w:rsidRPr="00605E8C">
        <w:rPr>
          <w:rFonts w:ascii="Ping LCG Regular" w:hAnsi="Ping LCG Regular" w:cs="Arial"/>
          <w:bCs/>
          <w:spacing w:val="-14"/>
          <w:lang w:val="el-GR"/>
        </w:rPr>
        <w:t xml:space="preserve"> στην εύλογη αξία μέσω των συνολικών αποτελεσμάτων και προσθέτοντας το </w:t>
      </w:r>
      <w:proofErr w:type="spellStart"/>
      <w:r w:rsidRPr="00605E8C">
        <w:rPr>
          <w:rFonts w:ascii="Ping LCG Regular" w:hAnsi="Ping LCG Regular" w:cs="Arial"/>
          <w:bCs/>
          <w:spacing w:val="-14"/>
          <w:lang w:val="el-GR"/>
        </w:rPr>
        <w:t>αναπόσβεστο</w:t>
      </w:r>
      <w:proofErr w:type="spellEnd"/>
      <w:r w:rsidRPr="00605E8C">
        <w:rPr>
          <w:rFonts w:ascii="Ping LCG Regular" w:hAnsi="Ping LCG Regular" w:cs="Arial"/>
          <w:bCs/>
          <w:spacing w:val="-14"/>
          <w:lang w:val="el-GR"/>
        </w:rPr>
        <w:t xml:space="preserve"> μέρος των εξόδων σύναψης δανείων. Οι υπολογισμοί παρουσιάζονται στον πίνακα ΣΤ.</w:t>
      </w:r>
    </w:p>
    <w:p w14:paraId="0A107138" w14:textId="204E744C" w:rsidR="001F050E" w:rsidRPr="00605E8C" w:rsidRDefault="003F1279" w:rsidP="007F675C">
      <w:pPr>
        <w:autoSpaceDE w:val="0"/>
        <w:autoSpaceDN w:val="0"/>
        <w:adjustRightInd w:val="0"/>
        <w:rPr>
          <w:rFonts w:ascii="Ping LCG Regular" w:hAnsi="Ping LCG Regular" w:cs="Arial"/>
          <w:b/>
          <w:bCs/>
          <w:color w:val="000000"/>
          <w:lang w:val="el-GR"/>
        </w:rPr>
      </w:pPr>
      <w:r>
        <w:rPr>
          <w:rFonts w:ascii="Ping LCG Regular" w:hAnsi="Ping LCG Regular" w:cs="Arial"/>
          <w:b/>
          <w:bCs/>
          <w:color w:val="000000"/>
          <w:lang w:val="el-GR"/>
        </w:rPr>
        <w:lastRenderedPageBreak/>
        <w:pict w14:anchorId="77E17B91">
          <v:shape id="_x0000_i1057" type="#_x0000_t75" style="width:495pt;height:312pt">
            <v:imagedata r:id="rId12" o:title=""/>
          </v:shape>
        </w:pict>
      </w:r>
    </w:p>
    <w:p w14:paraId="6E27CBDA" w14:textId="0C4EA2A3" w:rsidR="001F050E" w:rsidRDefault="001F050E" w:rsidP="007F675C">
      <w:pPr>
        <w:autoSpaceDE w:val="0"/>
        <w:autoSpaceDN w:val="0"/>
        <w:adjustRightInd w:val="0"/>
        <w:rPr>
          <w:rFonts w:ascii="Ping LCG Regular" w:hAnsi="Ping LCG Regular" w:cs="Arial"/>
          <w:b/>
          <w:bCs/>
          <w:color w:val="000000"/>
          <w:lang w:val="el-GR"/>
        </w:rPr>
      </w:pPr>
    </w:p>
    <w:p w14:paraId="3FC20AE0" w14:textId="12280E0B" w:rsidR="008025C2" w:rsidRDefault="008025C2" w:rsidP="007F675C">
      <w:pPr>
        <w:autoSpaceDE w:val="0"/>
        <w:autoSpaceDN w:val="0"/>
        <w:adjustRightInd w:val="0"/>
        <w:rPr>
          <w:rFonts w:ascii="Ping LCG Regular" w:hAnsi="Ping LCG Regular" w:cs="Arial"/>
          <w:b/>
          <w:bCs/>
          <w:color w:val="000000"/>
          <w:lang w:val="el-GR"/>
        </w:rPr>
      </w:pPr>
    </w:p>
    <w:p w14:paraId="25AF673B" w14:textId="02FC4EB3" w:rsidR="008025C2" w:rsidRPr="00605E8C" w:rsidRDefault="003F1279" w:rsidP="007F675C">
      <w:pPr>
        <w:autoSpaceDE w:val="0"/>
        <w:autoSpaceDN w:val="0"/>
        <w:adjustRightInd w:val="0"/>
        <w:rPr>
          <w:rFonts w:ascii="Ping LCG Regular" w:hAnsi="Ping LCG Regular" w:cs="Arial"/>
          <w:b/>
          <w:bCs/>
          <w:color w:val="000000"/>
          <w:lang w:val="el-GR"/>
        </w:rPr>
      </w:pPr>
      <w:r>
        <w:rPr>
          <w:rFonts w:ascii="Ping LCG Regular" w:hAnsi="Ping LCG Regular" w:cs="Arial"/>
          <w:b/>
          <w:bCs/>
          <w:color w:val="000000"/>
          <w:lang w:val="el-GR"/>
        </w:rPr>
        <w:pict w14:anchorId="2D35C611">
          <v:shape id="_x0000_i1056" type="#_x0000_t75" style="width:496.5pt;height:194.25pt">
            <v:imagedata r:id="rId13" o:title=""/>
          </v:shape>
        </w:pict>
      </w:r>
    </w:p>
    <w:p w14:paraId="14E7E02B" w14:textId="33A0A4E0" w:rsidR="001F050E" w:rsidRDefault="001F050E" w:rsidP="007F675C">
      <w:pPr>
        <w:autoSpaceDE w:val="0"/>
        <w:autoSpaceDN w:val="0"/>
        <w:adjustRightInd w:val="0"/>
        <w:rPr>
          <w:rFonts w:ascii="Ping LCG Regular" w:hAnsi="Ping LCG Regular" w:cs="Arial"/>
          <w:b/>
          <w:bCs/>
          <w:color w:val="000000"/>
          <w:lang w:val="el-GR"/>
        </w:rPr>
      </w:pPr>
    </w:p>
    <w:p w14:paraId="34E1E750" w14:textId="230C47F1" w:rsidR="008025C2" w:rsidRPr="00605E8C" w:rsidRDefault="003F1279" w:rsidP="007F675C">
      <w:pPr>
        <w:autoSpaceDE w:val="0"/>
        <w:autoSpaceDN w:val="0"/>
        <w:adjustRightInd w:val="0"/>
        <w:rPr>
          <w:rFonts w:ascii="Ping LCG Regular" w:hAnsi="Ping LCG Regular" w:cs="Arial"/>
          <w:b/>
          <w:bCs/>
          <w:color w:val="000000"/>
          <w:lang w:val="el-GR"/>
        </w:rPr>
      </w:pPr>
      <w:r>
        <w:rPr>
          <w:rFonts w:ascii="Ping LCG Regular" w:hAnsi="Ping LCG Regular" w:cs="Arial"/>
          <w:b/>
          <w:bCs/>
          <w:color w:val="000000"/>
          <w:lang w:val="el-GR"/>
        </w:rPr>
        <w:lastRenderedPageBreak/>
        <w:pict w14:anchorId="4B8AB345">
          <v:shape id="_x0000_i1055" type="#_x0000_t75" style="width:498pt;height:243.75pt">
            <v:imagedata r:id="rId14" o:title=""/>
          </v:shape>
        </w:pict>
      </w:r>
    </w:p>
    <w:p w14:paraId="02BB4437" w14:textId="6534A694" w:rsidR="001F050E" w:rsidRPr="00605E8C" w:rsidRDefault="001F050E" w:rsidP="007F675C">
      <w:pPr>
        <w:autoSpaceDE w:val="0"/>
        <w:autoSpaceDN w:val="0"/>
        <w:adjustRightInd w:val="0"/>
        <w:rPr>
          <w:rFonts w:ascii="Ping LCG Regular" w:hAnsi="Ping LCG Regular" w:cs="Arial"/>
          <w:b/>
          <w:bCs/>
          <w:color w:val="000000"/>
          <w:lang w:val="el-GR"/>
        </w:rPr>
      </w:pPr>
    </w:p>
    <w:p w14:paraId="2FE7693D" w14:textId="5BBD2219" w:rsidR="001F050E" w:rsidRPr="00605E8C" w:rsidRDefault="001F050E" w:rsidP="007F675C">
      <w:pPr>
        <w:autoSpaceDE w:val="0"/>
        <w:autoSpaceDN w:val="0"/>
        <w:adjustRightInd w:val="0"/>
        <w:rPr>
          <w:rFonts w:ascii="Ping LCG Regular" w:hAnsi="Ping LCG Regular" w:cs="Arial"/>
          <w:b/>
          <w:bCs/>
          <w:color w:val="000000"/>
          <w:lang w:val="el-GR"/>
        </w:rPr>
      </w:pPr>
    </w:p>
    <w:p w14:paraId="01D20A3A" w14:textId="11AC6AB4" w:rsidR="001F050E" w:rsidRPr="00605E8C" w:rsidRDefault="003F1279" w:rsidP="007F675C">
      <w:pPr>
        <w:autoSpaceDE w:val="0"/>
        <w:autoSpaceDN w:val="0"/>
        <w:adjustRightInd w:val="0"/>
        <w:rPr>
          <w:rFonts w:ascii="Ping LCG Regular" w:hAnsi="Ping LCG Regular" w:cs="Arial"/>
          <w:b/>
          <w:bCs/>
          <w:color w:val="000000"/>
          <w:lang w:val="el-GR"/>
        </w:rPr>
      </w:pPr>
      <w:r>
        <w:rPr>
          <w:rFonts w:ascii="Ping LCG Regular" w:hAnsi="Ping LCG Regular" w:cs="Arial"/>
          <w:b/>
          <w:bCs/>
          <w:color w:val="000000"/>
          <w:lang w:val="el-GR"/>
        </w:rPr>
        <w:pict w14:anchorId="64E3C93F">
          <v:shape id="_x0000_i1054" type="#_x0000_t75" style="width:501pt;height:132pt">
            <v:imagedata r:id="rId15" o:title=""/>
          </v:shape>
        </w:pict>
      </w:r>
    </w:p>
    <w:p w14:paraId="15A3282C" w14:textId="2F48E059" w:rsidR="001F050E" w:rsidRPr="00605E8C" w:rsidRDefault="001F050E" w:rsidP="007F675C">
      <w:pPr>
        <w:autoSpaceDE w:val="0"/>
        <w:autoSpaceDN w:val="0"/>
        <w:adjustRightInd w:val="0"/>
        <w:rPr>
          <w:rFonts w:ascii="Ping LCG Regular" w:hAnsi="Ping LCG Regular" w:cs="Arial"/>
          <w:b/>
          <w:bCs/>
          <w:color w:val="000000"/>
          <w:lang w:val="el-GR"/>
        </w:rPr>
      </w:pPr>
    </w:p>
    <w:p w14:paraId="19D3914C" w14:textId="6479D7B7" w:rsidR="001F050E" w:rsidRPr="00605E8C" w:rsidRDefault="001F050E" w:rsidP="007F675C">
      <w:pPr>
        <w:autoSpaceDE w:val="0"/>
        <w:autoSpaceDN w:val="0"/>
        <w:adjustRightInd w:val="0"/>
        <w:rPr>
          <w:rFonts w:ascii="Ping LCG Regular" w:hAnsi="Ping LCG Regular" w:cs="Arial"/>
          <w:b/>
          <w:bCs/>
          <w:color w:val="000000"/>
          <w:lang w:val="el-GR"/>
        </w:rPr>
      </w:pPr>
    </w:p>
    <w:p w14:paraId="31556FC8" w14:textId="09D036E8" w:rsidR="001F050E" w:rsidRPr="00605E8C" w:rsidRDefault="003F1279" w:rsidP="007F675C">
      <w:pPr>
        <w:autoSpaceDE w:val="0"/>
        <w:autoSpaceDN w:val="0"/>
        <w:adjustRightInd w:val="0"/>
        <w:rPr>
          <w:rFonts w:ascii="Ping LCG Regular" w:hAnsi="Ping LCG Regular" w:cs="Arial"/>
          <w:b/>
          <w:bCs/>
          <w:color w:val="000000"/>
          <w:lang w:val="el-GR"/>
        </w:rPr>
      </w:pPr>
      <w:r>
        <w:rPr>
          <w:rFonts w:ascii="Ping LCG Regular" w:hAnsi="Ping LCG Regular" w:cs="Arial"/>
          <w:b/>
          <w:bCs/>
          <w:color w:val="000000"/>
          <w:lang w:val="el-GR"/>
        </w:rPr>
        <w:pict w14:anchorId="1A99654F">
          <v:shape id="_x0000_i1053" type="#_x0000_t75" style="width:501pt;height:162.75pt">
            <v:imagedata r:id="rId16" o:title=""/>
          </v:shape>
        </w:pict>
      </w:r>
    </w:p>
    <w:p w14:paraId="73FB5527" w14:textId="0BFEA957" w:rsidR="001F050E" w:rsidRPr="00605E8C" w:rsidRDefault="001F050E" w:rsidP="007F675C">
      <w:pPr>
        <w:autoSpaceDE w:val="0"/>
        <w:autoSpaceDN w:val="0"/>
        <w:adjustRightInd w:val="0"/>
        <w:rPr>
          <w:rFonts w:ascii="Ping LCG Regular" w:hAnsi="Ping LCG Regular" w:cs="Arial"/>
          <w:b/>
          <w:bCs/>
          <w:color w:val="000000"/>
          <w:lang w:val="el-GR"/>
        </w:rPr>
      </w:pPr>
    </w:p>
    <w:p w14:paraId="43B31EEF" w14:textId="6DD3D904" w:rsidR="001F050E" w:rsidRPr="00605E8C" w:rsidRDefault="003F1279" w:rsidP="007F675C">
      <w:pPr>
        <w:autoSpaceDE w:val="0"/>
        <w:autoSpaceDN w:val="0"/>
        <w:adjustRightInd w:val="0"/>
        <w:rPr>
          <w:rFonts w:ascii="Ping LCG Regular" w:hAnsi="Ping LCG Regular" w:cs="Arial"/>
          <w:b/>
          <w:bCs/>
          <w:color w:val="000000"/>
          <w:lang w:val="el-GR"/>
        </w:rPr>
      </w:pPr>
      <w:r>
        <w:rPr>
          <w:rFonts w:ascii="Ping LCG Regular" w:hAnsi="Ping LCG Regular" w:cs="Arial"/>
          <w:b/>
          <w:bCs/>
          <w:color w:val="000000"/>
          <w:lang w:val="el-GR"/>
        </w:rPr>
        <w:lastRenderedPageBreak/>
        <w:pict w14:anchorId="3CAA56E1">
          <v:shape id="_x0000_i1052" type="#_x0000_t75" style="width:501pt;height:171pt">
            <v:imagedata r:id="rId17" o:title=""/>
          </v:shape>
        </w:pict>
      </w:r>
    </w:p>
    <w:p w14:paraId="7CC170F3" w14:textId="2417257F" w:rsidR="001F050E" w:rsidRPr="00605E8C" w:rsidRDefault="001F050E" w:rsidP="007F675C">
      <w:pPr>
        <w:autoSpaceDE w:val="0"/>
        <w:autoSpaceDN w:val="0"/>
        <w:adjustRightInd w:val="0"/>
        <w:rPr>
          <w:rFonts w:ascii="Ping LCG Regular" w:hAnsi="Ping LCG Regular" w:cs="Arial"/>
          <w:b/>
          <w:bCs/>
          <w:color w:val="000000"/>
          <w:lang w:val="el-GR"/>
        </w:rPr>
      </w:pPr>
    </w:p>
    <w:p w14:paraId="27063F7F" w14:textId="77777777" w:rsidR="001F050E" w:rsidRPr="00605E8C" w:rsidRDefault="001F050E" w:rsidP="007F675C">
      <w:pPr>
        <w:autoSpaceDE w:val="0"/>
        <w:autoSpaceDN w:val="0"/>
        <w:adjustRightInd w:val="0"/>
        <w:rPr>
          <w:rFonts w:ascii="Ping LCG Regular" w:hAnsi="Ping LCG Regular" w:cs="Arial"/>
          <w:b/>
          <w:bCs/>
          <w:color w:val="000000"/>
          <w:lang w:val="el-GR"/>
        </w:rPr>
      </w:pPr>
    </w:p>
    <w:p w14:paraId="12E26DDB" w14:textId="77777777" w:rsidR="007F675C" w:rsidRPr="00605E8C" w:rsidRDefault="007F675C" w:rsidP="007F675C">
      <w:pPr>
        <w:autoSpaceDE w:val="0"/>
        <w:autoSpaceDN w:val="0"/>
        <w:adjustRightInd w:val="0"/>
        <w:rPr>
          <w:rFonts w:ascii="Ping LCG Regular" w:hAnsi="Ping LCG Regular" w:cs="Arial"/>
          <w:b/>
          <w:bCs/>
          <w:color w:val="000000"/>
          <w:lang w:val="el-GR"/>
        </w:rPr>
      </w:pPr>
    </w:p>
    <w:p w14:paraId="139D1CC3" w14:textId="77777777" w:rsidR="007F675C" w:rsidRPr="00605E8C" w:rsidRDefault="007F675C" w:rsidP="007F675C">
      <w:pPr>
        <w:autoSpaceDE w:val="0"/>
        <w:autoSpaceDN w:val="0"/>
        <w:adjustRightInd w:val="0"/>
        <w:rPr>
          <w:rFonts w:ascii="Ping LCG Regular" w:hAnsi="Ping LCG Regular" w:cs="Arial"/>
          <w:b/>
          <w:bCs/>
          <w:color w:val="000000"/>
          <w:lang w:val="el-GR"/>
        </w:rPr>
      </w:pPr>
    </w:p>
    <w:p w14:paraId="0D653325" w14:textId="77777777" w:rsidR="007F675C" w:rsidRPr="00605E8C" w:rsidRDefault="007F675C" w:rsidP="007F675C">
      <w:pPr>
        <w:autoSpaceDE w:val="0"/>
        <w:autoSpaceDN w:val="0"/>
        <w:adjustRightInd w:val="0"/>
        <w:rPr>
          <w:rFonts w:ascii="Ping LCG Regular" w:hAnsi="Ping LCG Regular" w:cs="Arial"/>
          <w:b/>
          <w:bCs/>
          <w:color w:val="000000"/>
          <w:lang w:val="el-GR"/>
        </w:rPr>
      </w:pPr>
    </w:p>
    <w:p w14:paraId="7E67BECC" w14:textId="77777777" w:rsidR="007F675C" w:rsidRPr="00605E8C" w:rsidRDefault="007F675C" w:rsidP="007F675C">
      <w:pPr>
        <w:autoSpaceDE w:val="0"/>
        <w:autoSpaceDN w:val="0"/>
        <w:adjustRightInd w:val="0"/>
        <w:rPr>
          <w:rFonts w:ascii="Ping LCG Regular" w:hAnsi="Ping LCG Regular" w:cs="Arial"/>
          <w:b/>
          <w:bCs/>
          <w:color w:val="000000"/>
          <w:lang w:val="el-GR"/>
        </w:rPr>
      </w:pPr>
    </w:p>
    <w:p w14:paraId="6D0F8654" w14:textId="77777777" w:rsidR="007F675C" w:rsidRPr="00605E8C" w:rsidRDefault="007F675C" w:rsidP="007F675C">
      <w:pPr>
        <w:autoSpaceDE w:val="0"/>
        <w:autoSpaceDN w:val="0"/>
        <w:adjustRightInd w:val="0"/>
        <w:rPr>
          <w:rFonts w:ascii="Ping LCG Regular" w:hAnsi="Ping LCG Regular" w:cs="Arial"/>
          <w:b/>
          <w:bCs/>
          <w:color w:val="000000"/>
          <w:lang w:val="el-GR"/>
        </w:rPr>
      </w:pPr>
    </w:p>
    <w:p w14:paraId="07A125DA" w14:textId="77777777" w:rsidR="007F675C" w:rsidRPr="00605E8C" w:rsidRDefault="007F675C" w:rsidP="007F675C">
      <w:pPr>
        <w:autoSpaceDE w:val="0"/>
        <w:autoSpaceDN w:val="0"/>
        <w:adjustRightInd w:val="0"/>
        <w:rPr>
          <w:rFonts w:ascii="Ping LCG Regular" w:hAnsi="Ping LCG Regular" w:cs="Arial"/>
          <w:b/>
          <w:bCs/>
          <w:color w:val="000000"/>
          <w:lang w:val="el-GR"/>
        </w:rPr>
      </w:pPr>
    </w:p>
    <w:p w14:paraId="4C35CDDF" w14:textId="77777777" w:rsidR="007F675C" w:rsidRPr="00605E8C" w:rsidRDefault="007F675C" w:rsidP="007F675C">
      <w:pPr>
        <w:autoSpaceDE w:val="0"/>
        <w:autoSpaceDN w:val="0"/>
        <w:adjustRightInd w:val="0"/>
        <w:rPr>
          <w:rFonts w:ascii="Ping LCG Regular" w:hAnsi="Ping LCG Regular" w:cs="Arial"/>
          <w:b/>
          <w:bCs/>
          <w:color w:val="000000"/>
          <w:lang w:val="el-GR"/>
        </w:rPr>
      </w:pPr>
    </w:p>
    <w:p w14:paraId="4727CE43" w14:textId="77777777" w:rsidR="007F675C" w:rsidRPr="00605E8C" w:rsidRDefault="007F675C" w:rsidP="007F675C">
      <w:pPr>
        <w:autoSpaceDE w:val="0"/>
        <w:autoSpaceDN w:val="0"/>
        <w:adjustRightInd w:val="0"/>
        <w:rPr>
          <w:rFonts w:ascii="Ping LCG Regular" w:hAnsi="Ping LCG Regular" w:cs="Arial"/>
          <w:b/>
          <w:bCs/>
          <w:color w:val="000000"/>
          <w:lang w:val="el-GR"/>
        </w:rPr>
      </w:pPr>
    </w:p>
    <w:p w14:paraId="5D20A98B" w14:textId="77777777" w:rsidR="007F675C" w:rsidRPr="00605E8C" w:rsidRDefault="007F675C" w:rsidP="007F675C">
      <w:pPr>
        <w:autoSpaceDE w:val="0"/>
        <w:autoSpaceDN w:val="0"/>
        <w:adjustRightInd w:val="0"/>
        <w:rPr>
          <w:rFonts w:ascii="Ping LCG Regular" w:hAnsi="Ping LCG Regular" w:cs="Arial"/>
          <w:b/>
          <w:bCs/>
          <w:color w:val="000000"/>
          <w:lang w:val="el-GR"/>
        </w:rPr>
      </w:pPr>
    </w:p>
    <w:p w14:paraId="49152518" w14:textId="77777777" w:rsidR="007F675C" w:rsidRPr="00605E8C" w:rsidRDefault="007F675C" w:rsidP="007F675C">
      <w:pPr>
        <w:autoSpaceDE w:val="0"/>
        <w:autoSpaceDN w:val="0"/>
        <w:adjustRightInd w:val="0"/>
        <w:rPr>
          <w:rFonts w:ascii="Ping LCG Regular" w:hAnsi="Ping LCG Regular" w:cs="Arial"/>
          <w:b/>
          <w:bCs/>
          <w:color w:val="000000"/>
          <w:lang w:val="el-GR"/>
        </w:rPr>
      </w:pPr>
    </w:p>
    <w:p w14:paraId="4B3CDD43" w14:textId="77777777" w:rsidR="007F675C" w:rsidRPr="00605E8C" w:rsidRDefault="007F675C" w:rsidP="007F675C">
      <w:pPr>
        <w:autoSpaceDE w:val="0"/>
        <w:autoSpaceDN w:val="0"/>
        <w:adjustRightInd w:val="0"/>
        <w:rPr>
          <w:rFonts w:ascii="Ping LCG Regular" w:hAnsi="Ping LCG Regular" w:cs="Arial"/>
          <w:b/>
          <w:bCs/>
          <w:color w:val="000000"/>
          <w:lang w:val="el-GR"/>
        </w:rPr>
      </w:pPr>
    </w:p>
    <w:p w14:paraId="7901417B" w14:textId="77777777" w:rsidR="007F675C" w:rsidRPr="00605E8C" w:rsidRDefault="007F675C" w:rsidP="007F675C">
      <w:pPr>
        <w:autoSpaceDE w:val="0"/>
        <w:autoSpaceDN w:val="0"/>
        <w:adjustRightInd w:val="0"/>
        <w:rPr>
          <w:rFonts w:ascii="Ping LCG Regular" w:hAnsi="Ping LCG Regular" w:cs="Arial"/>
          <w:b/>
          <w:bCs/>
          <w:color w:val="000000"/>
          <w:lang w:val="el-GR"/>
        </w:rPr>
      </w:pPr>
    </w:p>
    <w:p w14:paraId="403A0C56" w14:textId="7CF4F8D9" w:rsidR="007F675C" w:rsidRDefault="007F675C" w:rsidP="007F675C">
      <w:pPr>
        <w:autoSpaceDE w:val="0"/>
        <w:autoSpaceDN w:val="0"/>
        <w:adjustRightInd w:val="0"/>
        <w:rPr>
          <w:rFonts w:ascii="Ping LCG Regular" w:hAnsi="Ping LCG Regular" w:cs="Arial"/>
          <w:b/>
          <w:bCs/>
          <w:color w:val="000000"/>
          <w:lang w:val="el-GR"/>
        </w:rPr>
      </w:pPr>
    </w:p>
    <w:p w14:paraId="5CFBA62D" w14:textId="3D22E43D" w:rsidR="00203D33" w:rsidRDefault="00203D33" w:rsidP="007F675C">
      <w:pPr>
        <w:autoSpaceDE w:val="0"/>
        <w:autoSpaceDN w:val="0"/>
        <w:adjustRightInd w:val="0"/>
        <w:rPr>
          <w:rFonts w:ascii="Ping LCG Regular" w:hAnsi="Ping LCG Regular" w:cs="Arial"/>
          <w:b/>
          <w:bCs/>
          <w:color w:val="000000"/>
          <w:lang w:val="el-GR"/>
        </w:rPr>
      </w:pPr>
    </w:p>
    <w:p w14:paraId="7E9AD478" w14:textId="14D5F768" w:rsidR="00203D33" w:rsidRDefault="00203D33" w:rsidP="007F675C">
      <w:pPr>
        <w:autoSpaceDE w:val="0"/>
        <w:autoSpaceDN w:val="0"/>
        <w:adjustRightInd w:val="0"/>
        <w:rPr>
          <w:rFonts w:ascii="Ping LCG Regular" w:hAnsi="Ping LCG Regular" w:cs="Arial"/>
          <w:b/>
          <w:bCs/>
          <w:color w:val="000000"/>
          <w:lang w:val="el-GR"/>
        </w:rPr>
      </w:pPr>
    </w:p>
    <w:p w14:paraId="6F811557" w14:textId="461C8C29" w:rsidR="00203D33" w:rsidRDefault="00203D33" w:rsidP="007F675C">
      <w:pPr>
        <w:autoSpaceDE w:val="0"/>
        <w:autoSpaceDN w:val="0"/>
        <w:adjustRightInd w:val="0"/>
        <w:rPr>
          <w:rFonts w:ascii="Ping LCG Regular" w:hAnsi="Ping LCG Regular" w:cs="Arial"/>
          <w:b/>
          <w:bCs/>
          <w:color w:val="000000"/>
          <w:lang w:val="el-GR"/>
        </w:rPr>
      </w:pPr>
    </w:p>
    <w:p w14:paraId="5039EDEA" w14:textId="59690EDC" w:rsidR="00203D33" w:rsidRDefault="00203D33" w:rsidP="007F675C">
      <w:pPr>
        <w:autoSpaceDE w:val="0"/>
        <w:autoSpaceDN w:val="0"/>
        <w:adjustRightInd w:val="0"/>
        <w:rPr>
          <w:rFonts w:ascii="Ping LCG Regular" w:hAnsi="Ping LCG Regular" w:cs="Arial"/>
          <w:b/>
          <w:bCs/>
          <w:color w:val="000000"/>
          <w:lang w:val="el-GR"/>
        </w:rPr>
      </w:pPr>
    </w:p>
    <w:p w14:paraId="2E6BFA7F" w14:textId="7F75952D" w:rsidR="00203D33" w:rsidRDefault="00203D33" w:rsidP="007F675C">
      <w:pPr>
        <w:autoSpaceDE w:val="0"/>
        <w:autoSpaceDN w:val="0"/>
        <w:adjustRightInd w:val="0"/>
        <w:rPr>
          <w:rFonts w:ascii="Ping LCG Regular" w:hAnsi="Ping LCG Regular" w:cs="Arial"/>
          <w:b/>
          <w:bCs/>
          <w:color w:val="000000"/>
          <w:lang w:val="el-GR"/>
        </w:rPr>
      </w:pPr>
    </w:p>
    <w:p w14:paraId="5CE8E4A5" w14:textId="6D986D2C" w:rsidR="00203D33" w:rsidRDefault="00203D33" w:rsidP="007F675C">
      <w:pPr>
        <w:autoSpaceDE w:val="0"/>
        <w:autoSpaceDN w:val="0"/>
        <w:adjustRightInd w:val="0"/>
        <w:rPr>
          <w:rFonts w:ascii="Ping LCG Regular" w:hAnsi="Ping LCG Regular" w:cs="Arial"/>
          <w:b/>
          <w:bCs/>
          <w:color w:val="000000"/>
          <w:lang w:val="el-GR"/>
        </w:rPr>
      </w:pPr>
    </w:p>
    <w:p w14:paraId="0BA12C05" w14:textId="4122792F" w:rsidR="00203D33" w:rsidRDefault="00203D33" w:rsidP="007F675C">
      <w:pPr>
        <w:autoSpaceDE w:val="0"/>
        <w:autoSpaceDN w:val="0"/>
        <w:adjustRightInd w:val="0"/>
        <w:rPr>
          <w:rFonts w:ascii="Ping LCG Regular" w:hAnsi="Ping LCG Regular" w:cs="Arial"/>
          <w:b/>
          <w:bCs/>
          <w:color w:val="000000"/>
          <w:lang w:val="el-GR"/>
        </w:rPr>
      </w:pPr>
    </w:p>
    <w:p w14:paraId="628FD0D8" w14:textId="424BE754" w:rsidR="00203D33" w:rsidRDefault="00203D33" w:rsidP="007F675C">
      <w:pPr>
        <w:autoSpaceDE w:val="0"/>
        <w:autoSpaceDN w:val="0"/>
        <w:adjustRightInd w:val="0"/>
        <w:rPr>
          <w:rFonts w:ascii="Ping LCG Regular" w:hAnsi="Ping LCG Regular" w:cs="Arial"/>
          <w:b/>
          <w:bCs/>
          <w:color w:val="000000"/>
          <w:lang w:val="el-GR"/>
        </w:rPr>
      </w:pPr>
    </w:p>
    <w:p w14:paraId="74F65AD4" w14:textId="2A0764A3" w:rsidR="00203D33" w:rsidRDefault="00203D33" w:rsidP="007F675C">
      <w:pPr>
        <w:autoSpaceDE w:val="0"/>
        <w:autoSpaceDN w:val="0"/>
        <w:adjustRightInd w:val="0"/>
        <w:rPr>
          <w:rFonts w:ascii="Ping LCG Regular" w:hAnsi="Ping LCG Regular" w:cs="Arial"/>
          <w:b/>
          <w:bCs/>
          <w:color w:val="000000"/>
          <w:lang w:val="el-GR"/>
        </w:rPr>
      </w:pPr>
    </w:p>
    <w:p w14:paraId="78AC9129" w14:textId="77777777" w:rsidR="00203D33" w:rsidRPr="00605E8C" w:rsidRDefault="00203D33" w:rsidP="007F675C">
      <w:pPr>
        <w:autoSpaceDE w:val="0"/>
        <w:autoSpaceDN w:val="0"/>
        <w:adjustRightInd w:val="0"/>
        <w:rPr>
          <w:rFonts w:ascii="Ping LCG Regular" w:hAnsi="Ping LCG Regular" w:cs="Arial"/>
          <w:b/>
          <w:bCs/>
          <w:color w:val="000000"/>
          <w:lang w:val="el-GR"/>
        </w:rPr>
      </w:pPr>
    </w:p>
    <w:p w14:paraId="0DF81470" w14:textId="1E3EFF2F" w:rsidR="007F675C" w:rsidRPr="00605E8C" w:rsidRDefault="007F675C" w:rsidP="007F675C">
      <w:pPr>
        <w:autoSpaceDE w:val="0"/>
        <w:autoSpaceDN w:val="0"/>
        <w:adjustRightInd w:val="0"/>
        <w:rPr>
          <w:rFonts w:ascii="Ping LCG Regular" w:hAnsi="Ping LCG Regular" w:cs="Arial"/>
          <w:b/>
          <w:bCs/>
          <w:color w:val="000000"/>
          <w:lang w:val="el-GR"/>
        </w:rPr>
      </w:pPr>
    </w:p>
    <w:p w14:paraId="71D07D6C" w14:textId="66687FC9" w:rsidR="008B717D" w:rsidRPr="00605E8C" w:rsidRDefault="008B717D" w:rsidP="007F675C">
      <w:pPr>
        <w:autoSpaceDE w:val="0"/>
        <w:autoSpaceDN w:val="0"/>
        <w:adjustRightInd w:val="0"/>
        <w:rPr>
          <w:rFonts w:ascii="Ping LCG Regular" w:hAnsi="Ping LCG Regular" w:cs="Arial"/>
          <w:b/>
          <w:bCs/>
          <w:color w:val="000000"/>
          <w:lang w:val="el-GR"/>
        </w:rPr>
      </w:pPr>
    </w:p>
    <w:p w14:paraId="51FB1D0E" w14:textId="29969687" w:rsidR="008B717D" w:rsidRPr="00605E8C" w:rsidRDefault="008B717D" w:rsidP="007F675C">
      <w:pPr>
        <w:autoSpaceDE w:val="0"/>
        <w:autoSpaceDN w:val="0"/>
        <w:adjustRightInd w:val="0"/>
        <w:rPr>
          <w:rFonts w:ascii="Ping LCG Regular" w:hAnsi="Ping LCG Regular" w:cs="Arial"/>
          <w:b/>
          <w:bCs/>
          <w:color w:val="000000"/>
          <w:lang w:val="el-GR"/>
        </w:rPr>
      </w:pPr>
    </w:p>
    <w:p w14:paraId="111976DD" w14:textId="18F1AA25" w:rsidR="008B717D" w:rsidRPr="00605E8C" w:rsidRDefault="008B717D" w:rsidP="007F675C">
      <w:pPr>
        <w:autoSpaceDE w:val="0"/>
        <w:autoSpaceDN w:val="0"/>
        <w:adjustRightInd w:val="0"/>
        <w:rPr>
          <w:rFonts w:ascii="Ping LCG Regular" w:hAnsi="Ping LCG Regular" w:cs="Arial"/>
          <w:b/>
          <w:bCs/>
          <w:color w:val="000000"/>
          <w:lang w:val="el-GR"/>
        </w:rPr>
      </w:pPr>
    </w:p>
    <w:p w14:paraId="0A190737" w14:textId="7D367E2D" w:rsidR="008B717D" w:rsidRPr="00605E8C" w:rsidRDefault="008B717D" w:rsidP="007F675C">
      <w:pPr>
        <w:autoSpaceDE w:val="0"/>
        <w:autoSpaceDN w:val="0"/>
        <w:adjustRightInd w:val="0"/>
        <w:rPr>
          <w:rFonts w:ascii="Ping LCG Regular" w:hAnsi="Ping LCG Regular" w:cs="Arial"/>
          <w:b/>
          <w:bCs/>
          <w:color w:val="000000"/>
          <w:lang w:val="el-GR"/>
        </w:rPr>
      </w:pPr>
    </w:p>
    <w:p w14:paraId="2E938334" w14:textId="6C1D294C" w:rsidR="008B717D" w:rsidRPr="00605E8C" w:rsidRDefault="008B717D" w:rsidP="007F675C">
      <w:pPr>
        <w:autoSpaceDE w:val="0"/>
        <w:autoSpaceDN w:val="0"/>
        <w:adjustRightInd w:val="0"/>
        <w:rPr>
          <w:rFonts w:ascii="Ping LCG Regular" w:hAnsi="Ping LCG Regular" w:cs="Arial"/>
          <w:b/>
          <w:bCs/>
          <w:color w:val="000000"/>
          <w:lang w:val="el-GR"/>
        </w:rPr>
      </w:pPr>
    </w:p>
    <w:p w14:paraId="35C6266C" w14:textId="0DBCC099" w:rsidR="008B717D" w:rsidRPr="00605E8C" w:rsidRDefault="008B717D" w:rsidP="007F675C">
      <w:pPr>
        <w:autoSpaceDE w:val="0"/>
        <w:autoSpaceDN w:val="0"/>
        <w:adjustRightInd w:val="0"/>
        <w:rPr>
          <w:rFonts w:ascii="Ping LCG Regular" w:hAnsi="Ping LCG Regular" w:cs="Arial"/>
          <w:b/>
          <w:bCs/>
          <w:color w:val="000000"/>
          <w:lang w:val="el-GR"/>
        </w:rPr>
      </w:pPr>
    </w:p>
    <w:p w14:paraId="1D356C60" w14:textId="77777777" w:rsidR="008B717D" w:rsidRPr="00605E8C" w:rsidRDefault="008B717D" w:rsidP="007F675C">
      <w:pPr>
        <w:autoSpaceDE w:val="0"/>
        <w:autoSpaceDN w:val="0"/>
        <w:adjustRightInd w:val="0"/>
        <w:rPr>
          <w:rFonts w:ascii="Ping LCG Regular" w:hAnsi="Ping LCG Regular" w:cs="Arial"/>
          <w:b/>
          <w:bCs/>
          <w:color w:val="000000"/>
          <w:lang w:val="el-GR"/>
        </w:rPr>
      </w:pPr>
    </w:p>
    <w:p w14:paraId="0134D453" w14:textId="77777777" w:rsidR="007F675C" w:rsidRPr="00605E8C" w:rsidRDefault="007F675C" w:rsidP="007F675C">
      <w:pPr>
        <w:autoSpaceDE w:val="0"/>
        <w:autoSpaceDN w:val="0"/>
        <w:adjustRightInd w:val="0"/>
        <w:rPr>
          <w:rFonts w:ascii="Ping LCG Regular" w:hAnsi="Ping LCG Regular" w:cs="Arial"/>
          <w:b/>
          <w:bCs/>
          <w:color w:val="000000"/>
          <w:lang w:val="el-GR"/>
        </w:rPr>
      </w:pPr>
    </w:p>
    <w:p w14:paraId="62C21A24" w14:textId="518D7327" w:rsidR="007F675C" w:rsidRPr="00605E8C" w:rsidRDefault="007F675C" w:rsidP="007F675C">
      <w:pPr>
        <w:autoSpaceDE w:val="0"/>
        <w:autoSpaceDN w:val="0"/>
        <w:adjustRightInd w:val="0"/>
        <w:rPr>
          <w:rFonts w:ascii="Ping LCG Regular" w:hAnsi="Ping LCG Regular" w:cs="Arial"/>
          <w:b/>
          <w:bCs/>
          <w:color w:val="000000"/>
          <w:lang w:val="el-GR"/>
        </w:rPr>
      </w:pPr>
      <w:r w:rsidRPr="00605E8C">
        <w:rPr>
          <w:rFonts w:ascii="Ping LCG Regular" w:hAnsi="Ping LCG Regular" w:cs="Arial"/>
          <w:b/>
          <w:bCs/>
          <w:color w:val="000000"/>
          <w:lang w:val="el-GR"/>
        </w:rPr>
        <w:lastRenderedPageBreak/>
        <w:t xml:space="preserve">ΠΑΡΑΡΤΗΜΑ 3 </w:t>
      </w:r>
    </w:p>
    <w:p w14:paraId="4B71B471" w14:textId="1672B278" w:rsidR="007F675C" w:rsidRPr="00605E8C" w:rsidRDefault="007F675C" w:rsidP="007F675C">
      <w:pPr>
        <w:spacing w:line="276" w:lineRule="auto"/>
        <w:jc w:val="both"/>
        <w:rPr>
          <w:rFonts w:ascii="Ping LCG Regular" w:hAnsi="Ping LCG Regular" w:cs="Arial"/>
          <w:b/>
          <w:spacing w:val="-14"/>
          <w:lang w:val="el-GR"/>
        </w:rPr>
      </w:pPr>
      <w:r w:rsidRPr="00605E8C">
        <w:rPr>
          <w:rFonts w:ascii="Ping LCG Regular" w:hAnsi="Ping LCG Regular" w:cs="Arial"/>
          <w:b/>
          <w:spacing w:val="-14"/>
          <w:lang w:val="el-GR"/>
        </w:rPr>
        <w:t xml:space="preserve">Ενοποιημένη Κατάσταση  Χρηματοοικονομικής Θέσης </w:t>
      </w:r>
      <w:r w:rsidR="008B717D" w:rsidRPr="00AC4BA8">
        <w:rPr>
          <w:rFonts w:ascii="Ping LCG Regular" w:hAnsi="Ping LCG Regular" w:cs="Arial"/>
          <w:b/>
          <w:spacing w:val="-14"/>
          <w:lang w:val="el-GR"/>
        </w:rPr>
        <w:t xml:space="preserve">την 30.09.2021 </w:t>
      </w:r>
    </w:p>
    <w:p w14:paraId="64241E6D" w14:textId="1F22896D" w:rsidR="007F675C" w:rsidRPr="00605E8C" w:rsidRDefault="003F1279" w:rsidP="007F675C">
      <w:pPr>
        <w:autoSpaceDE w:val="0"/>
        <w:autoSpaceDN w:val="0"/>
        <w:adjustRightInd w:val="0"/>
        <w:rPr>
          <w:rFonts w:ascii="Ping LCG Regular" w:hAnsi="Ping LCG Regular" w:cs="Arial"/>
          <w:lang w:val="el-GR"/>
        </w:rPr>
      </w:pPr>
      <w:r>
        <w:rPr>
          <w:rFonts w:ascii="Ping LCG Regular" w:hAnsi="Ping LCG Regular" w:cs="Arial"/>
          <w:lang w:val="el-GR"/>
        </w:rPr>
        <w:pict w14:anchorId="7D0AB72F">
          <v:shape id="_x0000_i1051" type="#_x0000_t75" style="width:359.25pt;height:610.5pt">
            <v:imagedata r:id="rId18" o:title=""/>
          </v:shape>
        </w:pict>
      </w:r>
    </w:p>
    <w:p w14:paraId="58B03175" w14:textId="77777777" w:rsidR="007F675C" w:rsidRPr="00605E8C" w:rsidRDefault="007F675C" w:rsidP="007F675C">
      <w:pPr>
        <w:rPr>
          <w:rFonts w:ascii="Ping LCG Regular" w:hAnsi="Ping LCG Regular" w:cs="Arial"/>
          <w:b/>
          <w:bCs/>
          <w:color w:val="000000"/>
          <w:lang w:val="el-GR"/>
        </w:rPr>
      </w:pPr>
      <w:r w:rsidRPr="00605E8C">
        <w:rPr>
          <w:rFonts w:ascii="Ping LCG Regular" w:hAnsi="Ping LCG Regular" w:cs="Arial"/>
          <w:b/>
          <w:bCs/>
          <w:color w:val="000000"/>
          <w:lang w:val="el-GR"/>
        </w:rPr>
        <w:br w:type="page"/>
      </w:r>
      <w:r w:rsidRPr="00605E8C">
        <w:rPr>
          <w:rFonts w:ascii="Ping LCG Regular" w:hAnsi="Ping LCG Regular" w:cs="Arial"/>
          <w:b/>
          <w:bCs/>
          <w:color w:val="000000"/>
          <w:lang w:val="el-GR"/>
        </w:rPr>
        <w:lastRenderedPageBreak/>
        <w:t>ΠΑΡΑΡΤΗΜΑ 4</w:t>
      </w:r>
    </w:p>
    <w:p w14:paraId="7A664AFD" w14:textId="6917A06F" w:rsidR="007F675C" w:rsidRPr="00605E8C" w:rsidRDefault="007F675C" w:rsidP="007F675C">
      <w:pPr>
        <w:spacing w:line="276" w:lineRule="auto"/>
        <w:jc w:val="both"/>
        <w:rPr>
          <w:rFonts w:ascii="Ping LCG Regular" w:hAnsi="Ping LCG Regular" w:cs="Arial"/>
          <w:b/>
          <w:spacing w:val="-14"/>
          <w:sz w:val="22"/>
          <w:lang w:val="el-GR"/>
        </w:rPr>
      </w:pPr>
      <w:r w:rsidRPr="00605E8C">
        <w:rPr>
          <w:rFonts w:ascii="Ping LCG Regular" w:hAnsi="Ping LCG Regular" w:cs="Arial"/>
          <w:b/>
          <w:spacing w:val="-14"/>
          <w:sz w:val="22"/>
          <w:lang w:val="el-GR"/>
        </w:rPr>
        <w:t xml:space="preserve">Ενοποιημένη Κατάσταση Αποτελεσμάτων για την </w:t>
      </w:r>
      <w:r w:rsidR="00AF099F">
        <w:rPr>
          <w:rFonts w:ascii="Ping LCG Regular" w:hAnsi="Ping LCG Regular" w:cs="Arial"/>
          <w:b/>
          <w:spacing w:val="-14"/>
          <w:sz w:val="22"/>
          <w:lang w:val="el-GR"/>
        </w:rPr>
        <w:t>εννεάμηνη</w:t>
      </w:r>
      <w:r w:rsidRPr="00605E8C">
        <w:rPr>
          <w:rFonts w:ascii="Ping LCG Regular" w:hAnsi="Ping LCG Regular" w:cs="Arial"/>
          <w:b/>
          <w:spacing w:val="-14"/>
          <w:sz w:val="22"/>
          <w:lang w:val="el-GR"/>
        </w:rPr>
        <w:t xml:space="preserve"> περίοδο που έληξε την 3</w:t>
      </w:r>
      <w:r w:rsidR="000B5FD3" w:rsidRPr="00AC4BA8">
        <w:rPr>
          <w:rFonts w:ascii="Ping LCG Regular" w:hAnsi="Ping LCG Regular" w:cs="Arial"/>
          <w:b/>
          <w:spacing w:val="-14"/>
          <w:sz w:val="22"/>
          <w:lang w:val="el-GR"/>
        </w:rPr>
        <w:t>0</w:t>
      </w:r>
      <w:r w:rsidRPr="00605E8C">
        <w:rPr>
          <w:rFonts w:ascii="Ping LCG Regular" w:hAnsi="Ping LCG Regular" w:cs="Arial"/>
          <w:b/>
          <w:spacing w:val="-14"/>
          <w:sz w:val="22"/>
          <w:lang w:val="el-GR"/>
        </w:rPr>
        <w:t>.</w:t>
      </w:r>
      <w:r w:rsidR="000B5FD3" w:rsidRPr="00AC4BA8">
        <w:rPr>
          <w:rFonts w:ascii="Ping LCG Regular" w:hAnsi="Ping LCG Regular" w:cs="Arial"/>
          <w:b/>
          <w:spacing w:val="-14"/>
          <w:sz w:val="22"/>
          <w:lang w:val="el-GR"/>
        </w:rPr>
        <w:t>9</w:t>
      </w:r>
      <w:r w:rsidRPr="00605E8C">
        <w:rPr>
          <w:rFonts w:ascii="Ping LCG Regular" w:hAnsi="Ping LCG Regular" w:cs="Arial"/>
          <w:b/>
          <w:spacing w:val="-14"/>
          <w:sz w:val="22"/>
          <w:lang w:val="el-GR"/>
        </w:rPr>
        <w:t xml:space="preserve">.2021 </w:t>
      </w:r>
    </w:p>
    <w:p w14:paraId="4157C4EB" w14:textId="66944C2C" w:rsidR="007F675C" w:rsidRPr="00605E8C" w:rsidRDefault="003F1279" w:rsidP="007F675C">
      <w:pPr>
        <w:autoSpaceDE w:val="0"/>
        <w:autoSpaceDN w:val="0"/>
        <w:adjustRightInd w:val="0"/>
        <w:rPr>
          <w:rFonts w:ascii="Ping LCG Regular" w:hAnsi="Ping LCG Regular" w:cs="Arial"/>
          <w:lang w:val="el-GR"/>
        </w:rPr>
      </w:pPr>
      <w:r>
        <w:rPr>
          <w:rFonts w:ascii="Ping LCG Regular" w:hAnsi="Ping LCG Regular" w:cs="Arial"/>
          <w:lang w:val="el-GR"/>
        </w:rPr>
        <w:pict w14:anchorId="6773F53E">
          <v:shape id="_x0000_i1050" type="#_x0000_t75" style="width:499.5pt;height:478.5pt">
            <v:imagedata r:id="rId19" o:title=""/>
          </v:shape>
        </w:pict>
      </w:r>
    </w:p>
    <w:p w14:paraId="5F2A52B2" w14:textId="77777777" w:rsidR="007F675C" w:rsidRPr="00605E8C" w:rsidRDefault="007F675C" w:rsidP="007F675C">
      <w:pPr>
        <w:rPr>
          <w:rFonts w:ascii="Ping LCG Regular" w:hAnsi="Ping LCG Regular" w:cs="Arial"/>
          <w:b/>
          <w:bCs/>
          <w:color w:val="000000"/>
          <w:lang w:val="el-GR"/>
        </w:rPr>
      </w:pPr>
      <w:r w:rsidRPr="00605E8C">
        <w:rPr>
          <w:rFonts w:ascii="Ping LCG Regular" w:hAnsi="Ping LCG Regular" w:cs="Arial"/>
          <w:b/>
          <w:bCs/>
          <w:color w:val="000000"/>
          <w:lang w:val="el-GR"/>
        </w:rPr>
        <w:br w:type="page"/>
      </w:r>
      <w:r w:rsidRPr="00605E8C">
        <w:rPr>
          <w:rFonts w:ascii="Ping LCG Regular" w:hAnsi="Ping LCG Regular" w:cs="Arial"/>
          <w:b/>
          <w:bCs/>
          <w:color w:val="000000"/>
          <w:lang w:val="el-GR"/>
        </w:rPr>
        <w:lastRenderedPageBreak/>
        <w:t>ΠΑΡΑΡΤΗΜΑ 5</w:t>
      </w:r>
    </w:p>
    <w:p w14:paraId="75B36302" w14:textId="1C1EBF46" w:rsidR="007F675C" w:rsidRPr="00605E8C" w:rsidRDefault="007F675C" w:rsidP="007F675C">
      <w:pPr>
        <w:autoSpaceDE w:val="0"/>
        <w:autoSpaceDN w:val="0"/>
        <w:adjustRightInd w:val="0"/>
        <w:spacing w:line="276" w:lineRule="auto"/>
        <w:jc w:val="both"/>
        <w:rPr>
          <w:rFonts w:ascii="Ping LCG Regular" w:hAnsi="Ping LCG Regular" w:cs="Arial"/>
          <w:b/>
          <w:spacing w:val="-14"/>
          <w:sz w:val="22"/>
          <w:lang w:val="el-GR"/>
        </w:rPr>
      </w:pPr>
      <w:r w:rsidRPr="00605E8C">
        <w:rPr>
          <w:rFonts w:ascii="Ping LCG Regular" w:hAnsi="Ping LCG Regular" w:cs="Arial"/>
          <w:b/>
          <w:spacing w:val="-14"/>
          <w:sz w:val="22"/>
          <w:lang w:val="el-GR"/>
        </w:rPr>
        <w:t xml:space="preserve">Ενοποιημένη κατάσταση ταμιακών ροών για την </w:t>
      </w:r>
      <w:r w:rsidR="00AF099F">
        <w:rPr>
          <w:rFonts w:ascii="Ping LCG Regular" w:hAnsi="Ping LCG Regular" w:cs="Arial"/>
          <w:b/>
          <w:spacing w:val="-14"/>
          <w:sz w:val="22"/>
          <w:lang w:val="el-GR"/>
        </w:rPr>
        <w:t>εννεάμηνη</w:t>
      </w:r>
      <w:r w:rsidR="008F0540" w:rsidRPr="0061299A">
        <w:rPr>
          <w:rFonts w:ascii="Ping LCG Regular" w:hAnsi="Ping LCG Regular" w:cs="Arial"/>
          <w:b/>
          <w:spacing w:val="-14"/>
          <w:sz w:val="22"/>
          <w:lang w:val="el-GR"/>
        </w:rPr>
        <w:t xml:space="preserve"> </w:t>
      </w:r>
      <w:r w:rsidRPr="00605E8C">
        <w:rPr>
          <w:rFonts w:ascii="Ping LCG Regular" w:hAnsi="Ping LCG Regular" w:cs="Arial"/>
          <w:b/>
          <w:spacing w:val="-14"/>
          <w:sz w:val="22"/>
          <w:lang w:val="el-GR"/>
        </w:rPr>
        <w:t>περίοδο που έληξε την 3</w:t>
      </w:r>
      <w:r w:rsidR="000B5FD3" w:rsidRPr="00AC4BA8">
        <w:rPr>
          <w:rFonts w:ascii="Ping LCG Regular" w:hAnsi="Ping LCG Regular" w:cs="Arial"/>
          <w:b/>
          <w:spacing w:val="-14"/>
          <w:sz w:val="22"/>
          <w:lang w:val="el-GR"/>
        </w:rPr>
        <w:t>0</w:t>
      </w:r>
      <w:r w:rsidRPr="00605E8C">
        <w:rPr>
          <w:rFonts w:ascii="Ping LCG Regular" w:hAnsi="Ping LCG Regular" w:cs="Arial"/>
          <w:b/>
          <w:spacing w:val="-14"/>
          <w:sz w:val="22"/>
          <w:lang w:val="el-GR"/>
        </w:rPr>
        <w:t>.</w:t>
      </w:r>
      <w:r w:rsidR="000B5FD3" w:rsidRPr="00AC4BA8">
        <w:rPr>
          <w:rFonts w:ascii="Ping LCG Regular" w:hAnsi="Ping LCG Regular" w:cs="Arial"/>
          <w:b/>
          <w:spacing w:val="-14"/>
          <w:sz w:val="22"/>
          <w:lang w:val="el-GR"/>
        </w:rPr>
        <w:t>9</w:t>
      </w:r>
      <w:r w:rsidRPr="00605E8C">
        <w:rPr>
          <w:rFonts w:ascii="Ping LCG Regular" w:hAnsi="Ping LCG Regular" w:cs="Arial"/>
          <w:b/>
          <w:spacing w:val="-14"/>
          <w:sz w:val="22"/>
          <w:lang w:val="el-GR"/>
        </w:rPr>
        <w:t>.2021</w:t>
      </w:r>
    </w:p>
    <w:p w14:paraId="4BE6A00B" w14:textId="0FF32D9F" w:rsidR="000B5FD3" w:rsidRPr="00AC4BA8" w:rsidRDefault="003F1279" w:rsidP="007F675C">
      <w:pPr>
        <w:autoSpaceDE w:val="0"/>
        <w:autoSpaceDN w:val="0"/>
        <w:adjustRightInd w:val="0"/>
        <w:spacing w:line="276" w:lineRule="auto"/>
        <w:jc w:val="both"/>
        <w:rPr>
          <w:rFonts w:ascii="Ping LCG Regular" w:hAnsi="Ping LCG Regular" w:cs="Arial"/>
          <w:b/>
          <w:spacing w:val="-14"/>
          <w:sz w:val="22"/>
          <w:lang w:val="el-GR"/>
        </w:rPr>
      </w:pPr>
      <w:r w:rsidRPr="00605E8C">
        <w:rPr>
          <w:rFonts w:ascii="Ping LCG Regular" w:hAnsi="Ping LCG Regular" w:cs="Arial"/>
          <w:b/>
          <w:spacing w:val="-14"/>
          <w:sz w:val="22"/>
          <w:lang w:val="el-GR"/>
        </w:rPr>
        <w:pict w14:anchorId="304631D9">
          <v:shape id="_x0000_i1049" type="#_x0000_t75" style="width:519pt;height:529.5pt">
            <v:imagedata r:id="rId20" o:title=""/>
          </v:shape>
        </w:pict>
      </w:r>
    </w:p>
    <w:p w14:paraId="7EF53E75" w14:textId="216A1AB2" w:rsidR="000B5FD3" w:rsidRPr="00AC4BA8" w:rsidRDefault="000B5FD3" w:rsidP="007F675C">
      <w:pPr>
        <w:autoSpaceDE w:val="0"/>
        <w:autoSpaceDN w:val="0"/>
        <w:adjustRightInd w:val="0"/>
        <w:spacing w:line="276" w:lineRule="auto"/>
        <w:jc w:val="both"/>
        <w:rPr>
          <w:rFonts w:ascii="Ping LCG Regular" w:hAnsi="Ping LCG Regular" w:cs="Arial"/>
          <w:b/>
          <w:spacing w:val="-14"/>
          <w:sz w:val="22"/>
          <w:lang w:val="el-GR"/>
        </w:rPr>
      </w:pPr>
    </w:p>
    <w:p w14:paraId="7E8EF2CE" w14:textId="4D05C85D" w:rsidR="000B5FD3" w:rsidRPr="00AC4BA8" w:rsidRDefault="000B5FD3" w:rsidP="007F675C">
      <w:pPr>
        <w:autoSpaceDE w:val="0"/>
        <w:autoSpaceDN w:val="0"/>
        <w:adjustRightInd w:val="0"/>
        <w:spacing w:line="276" w:lineRule="auto"/>
        <w:jc w:val="both"/>
        <w:rPr>
          <w:rFonts w:ascii="Ping LCG Regular" w:hAnsi="Ping LCG Regular" w:cs="Arial"/>
          <w:b/>
          <w:spacing w:val="-14"/>
          <w:sz w:val="22"/>
          <w:lang w:val="el-GR"/>
        </w:rPr>
      </w:pPr>
    </w:p>
    <w:p w14:paraId="71E4779E" w14:textId="64CDCE73" w:rsidR="000B5FD3" w:rsidRPr="00AC4BA8" w:rsidRDefault="000B5FD3" w:rsidP="007F675C">
      <w:pPr>
        <w:autoSpaceDE w:val="0"/>
        <w:autoSpaceDN w:val="0"/>
        <w:adjustRightInd w:val="0"/>
        <w:spacing w:line="276" w:lineRule="auto"/>
        <w:jc w:val="both"/>
        <w:rPr>
          <w:rFonts w:ascii="Ping LCG Regular" w:hAnsi="Ping LCG Regular" w:cs="Arial"/>
          <w:b/>
          <w:spacing w:val="-14"/>
          <w:sz w:val="22"/>
          <w:lang w:val="el-GR"/>
        </w:rPr>
      </w:pPr>
    </w:p>
    <w:p w14:paraId="4675FAE7" w14:textId="372743B0" w:rsidR="000B5FD3" w:rsidRPr="00AC4BA8" w:rsidRDefault="000B5FD3" w:rsidP="007F675C">
      <w:pPr>
        <w:autoSpaceDE w:val="0"/>
        <w:autoSpaceDN w:val="0"/>
        <w:adjustRightInd w:val="0"/>
        <w:spacing w:line="276" w:lineRule="auto"/>
        <w:jc w:val="both"/>
        <w:rPr>
          <w:rFonts w:ascii="Ping LCG Regular" w:hAnsi="Ping LCG Regular" w:cs="Arial"/>
          <w:b/>
          <w:spacing w:val="-14"/>
          <w:sz w:val="22"/>
          <w:lang w:val="el-GR"/>
        </w:rPr>
      </w:pPr>
    </w:p>
    <w:p w14:paraId="785C939F" w14:textId="15C6417F" w:rsidR="000B5FD3" w:rsidRPr="00AC4BA8" w:rsidRDefault="000B5FD3" w:rsidP="007F675C">
      <w:pPr>
        <w:autoSpaceDE w:val="0"/>
        <w:autoSpaceDN w:val="0"/>
        <w:adjustRightInd w:val="0"/>
        <w:spacing w:line="276" w:lineRule="auto"/>
        <w:jc w:val="both"/>
        <w:rPr>
          <w:rFonts w:ascii="Ping LCG Regular" w:hAnsi="Ping LCG Regular" w:cs="Arial"/>
          <w:b/>
          <w:spacing w:val="-14"/>
          <w:sz w:val="22"/>
          <w:lang w:val="el-GR"/>
        </w:rPr>
      </w:pPr>
    </w:p>
    <w:p w14:paraId="4743B56E" w14:textId="77777777" w:rsidR="000B5FD3" w:rsidRPr="00AC4BA8" w:rsidRDefault="000B5FD3" w:rsidP="007F675C">
      <w:pPr>
        <w:autoSpaceDE w:val="0"/>
        <w:autoSpaceDN w:val="0"/>
        <w:adjustRightInd w:val="0"/>
        <w:spacing w:line="276" w:lineRule="auto"/>
        <w:jc w:val="both"/>
        <w:rPr>
          <w:rFonts w:ascii="Ping LCG Regular" w:hAnsi="Ping LCG Regular" w:cs="Arial"/>
          <w:b/>
          <w:spacing w:val="-14"/>
          <w:sz w:val="22"/>
          <w:lang w:val="el-GR"/>
        </w:rPr>
      </w:pPr>
    </w:p>
    <w:p w14:paraId="2E299D08" w14:textId="77777777" w:rsidR="000B5FD3" w:rsidRPr="00AC4BA8" w:rsidRDefault="000B5FD3" w:rsidP="007F675C">
      <w:pPr>
        <w:autoSpaceDE w:val="0"/>
        <w:autoSpaceDN w:val="0"/>
        <w:adjustRightInd w:val="0"/>
        <w:spacing w:line="276" w:lineRule="auto"/>
        <w:jc w:val="both"/>
        <w:rPr>
          <w:rFonts w:ascii="Ping LCG Regular" w:hAnsi="Ping LCG Regular" w:cs="Arial"/>
          <w:b/>
          <w:spacing w:val="-14"/>
          <w:sz w:val="22"/>
          <w:lang w:val="el-GR"/>
        </w:rPr>
      </w:pPr>
    </w:p>
    <w:p w14:paraId="2BE0D110" w14:textId="69FDEB90" w:rsidR="00072120" w:rsidRPr="00605E8C" w:rsidRDefault="00072120" w:rsidP="005810DE">
      <w:pPr>
        <w:rPr>
          <w:rFonts w:ascii="Ping LCG Regular" w:hAnsi="Ping LCG Regular" w:cs="Arial"/>
          <w:spacing w:val="-14"/>
          <w:sz w:val="22"/>
          <w:szCs w:val="22"/>
          <w:lang w:val="el-GR"/>
        </w:rPr>
      </w:pPr>
      <w:r w:rsidRPr="00AC4BA8">
        <w:rPr>
          <w:rFonts w:ascii="Ping LCG Regular" w:hAnsi="Ping LCG Regular" w:cs="Arial"/>
          <w:spacing w:val="-14"/>
          <w:sz w:val="22"/>
          <w:szCs w:val="22"/>
          <w:lang w:val="el-GR"/>
        </w:rPr>
        <w:lastRenderedPageBreak/>
        <w:t>Για περισσότερες πληροφορίες παρακαλούμε απευθυνθείτε στ</w:t>
      </w:r>
      <w:r w:rsidR="00B20086" w:rsidRPr="00AC4BA8">
        <w:rPr>
          <w:rFonts w:ascii="Ping LCG Regular" w:hAnsi="Ping LCG Regular" w:cs="Arial"/>
          <w:spacing w:val="-14"/>
          <w:sz w:val="22"/>
          <w:szCs w:val="22"/>
          <w:lang w:val="el-GR"/>
        </w:rPr>
        <w:t>η</w:t>
      </w:r>
      <w:r w:rsidRPr="00AC4BA8">
        <w:rPr>
          <w:rFonts w:ascii="Ping LCG Regular" w:hAnsi="Ping LCG Regular" w:cs="Arial"/>
          <w:spacing w:val="-14"/>
          <w:sz w:val="22"/>
          <w:szCs w:val="22"/>
          <w:lang w:val="el-GR"/>
        </w:rPr>
        <w:t xml:space="preserve"> </w:t>
      </w:r>
      <w:r w:rsidR="00B20086" w:rsidRPr="00AC4BA8">
        <w:rPr>
          <w:rFonts w:ascii="Ping LCG Regular" w:hAnsi="Ping LCG Regular" w:cs="Arial"/>
          <w:spacing w:val="-14"/>
          <w:sz w:val="22"/>
          <w:szCs w:val="22"/>
          <w:lang w:val="el-GR"/>
        </w:rPr>
        <w:t>Διεύθυνση</w:t>
      </w:r>
      <w:r w:rsidRPr="00AC4BA8">
        <w:rPr>
          <w:rFonts w:ascii="Ping LCG Regular" w:hAnsi="Ping LCG Regular" w:cs="Arial"/>
          <w:spacing w:val="-14"/>
          <w:sz w:val="22"/>
          <w:szCs w:val="22"/>
          <w:lang w:val="el-GR"/>
        </w:rPr>
        <w:t xml:space="preserve"> Επενδυτικών Σχέσεων</w:t>
      </w:r>
      <w:r w:rsidR="00B20086" w:rsidRPr="00AC4BA8">
        <w:rPr>
          <w:rFonts w:ascii="Ping LCG Regular" w:hAnsi="Ping LCG Regular" w:cs="Arial"/>
          <w:spacing w:val="-14"/>
          <w:sz w:val="22"/>
          <w:szCs w:val="22"/>
          <w:lang w:val="el-GR"/>
        </w:rPr>
        <w:t xml:space="preserve"> (</w:t>
      </w:r>
      <w:proofErr w:type="spellStart"/>
      <w:r w:rsidR="00B20086" w:rsidRPr="00AC4BA8">
        <w:rPr>
          <w:rFonts w:ascii="Ping LCG Regular" w:hAnsi="Ping LCG Regular" w:cs="Arial"/>
          <w:spacing w:val="-14"/>
          <w:sz w:val="22"/>
          <w:szCs w:val="22"/>
        </w:rPr>
        <w:t>ir</w:t>
      </w:r>
      <w:proofErr w:type="spellEnd"/>
      <w:r w:rsidR="00B20086" w:rsidRPr="00AC4BA8">
        <w:rPr>
          <w:rFonts w:ascii="Ping LCG Regular" w:hAnsi="Ping LCG Regular" w:cs="Arial"/>
          <w:spacing w:val="-14"/>
          <w:sz w:val="22"/>
          <w:szCs w:val="22"/>
          <w:lang w:val="el-GR"/>
        </w:rPr>
        <w:t>@</w:t>
      </w:r>
      <w:proofErr w:type="spellStart"/>
      <w:r w:rsidR="00B20086" w:rsidRPr="00AC4BA8">
        <w:rPr>
          <w:rFonts w:ascii="Ping LCG Regular" w:hAnsi="Ping LCG Regular" w:cs="Arial"/>
          <w:spacing w:val="-14"/>
          <w:sz w:val="22"/>
          <w:szCs w:val="22"/>
        </w:rPr>
        <w:t>dei</w:t>
      </w:r>
      <w:proofErr w:type="spellEnd"/>
      <w:r w:rsidR="00B20086" w:rsidRPr="00AC4BA8">
        <w:rPr>
          <w:rFonts w:ascii="Ping LCG Regular" w:hAnsi="Ping LCG Regular" w:cs="Arial"/>
          <w:spacing w:val="-14"/>
          <w:sz w:val="22"/>
          <w:szCs w:val="22"/>
          <w:lang w:val="el-GR"/>
        </w:rPr>
        <w:t>.</w:t>
      </w:r>
      <w:r w:rsidR="00B20086" w:rsidRPr="00AC4BA8">
        <w:rPr>
          <w:rFonts w:ascii="Ping LCG Regular" w:hAnsi="Ping LCG Regular" w:cs="Arial"/>
          <w:spacing w:val="-14"/>
          <w:sz w:val="22"/>
          <w:szCs w:val="22"/>
        </w:rPr>
        <w:t>gr</w:t>
      </w:r>
      <w:r w:rsidR="00B20086" w:rsidRPr="00AC4BA8">
        <w:rPr>
          <w:rFonts w:ascii="Ping LCG Regular" w:hAnsi="Ping LCG Regular" w:cs="Arial"/>
          <w:spacing w:val="-14"/>
          <w:sz w:val="22"/>
          <w:szCs w:val="22"/>
          <w:lang w:val="el-GR"/>
        </w:rPr>
        <w:t>)</w:t>
      </w:r>
      <w:r w:rsidRPr="00AC4BA8">
        <w:rPr>
          <w:rFonts w:ascii="Ping LCG Regular" w:hAnsi="Ping LCG Regular" w:cs="Arial"/>
          <w:spacing w:val="-14"/>
          <w:sz w:val="22"/>
          <w:szCs w:val="22"/>
          <w:lang w:val="el-GR"/>
        </w:rPr>
        <w:t>:</w:t>
      </w:r>
    </w:p>
    <w:p w14:paraId="6AC12A7A" w14:textId="77777777" w:rsidR="00072120" w:rsidRPr="00AC4BA8" w:rsidRDefault="00072120" w:rsidP="00072120">
      <w:pPr>
        <w:pStyle w:val="ListParagraph"/>
        <w:numPr>
          <w:ilvl w:val="0"/>
          <w:numId w:val="2"/>
        </w:numPr>
        <w:autoSpaceDE w:val="0"/>
        <w:autoSpaceDN w:val="0"/>
        <w:adjustRightInd w:val="0"/>
        <w:jc w:val="both"/>
        <w:rPr>
          <w:rFonts w:ascii="Ping LCG Regular" w:hAnsi="Ping LCG Regular" w:cs="Arial"/>
          <w:bCs/>
          <w:i/>
          <w:spacing w:val="-14"/>
          <w:sz w:val="22"/>
          <w:szCs w:val="22"/>
        </w:rPr>
      </w:pPr>
      <w:r w:rsidRPr="00AC4BA8">
        <w:rPr>
          <w:rFonts w:ascii="Ping LCG Regular" w:hAnsi="Ping LCG Regular" w:cs="Arial"/>
          <w:spacing w:val="-14"/>
          <w:sz w:val="22"/>
          <w:szCs w:val="22"/>
        </w:rPr>
        <w:t xml:space="preserve">κ. Ιωάννη </w:t>
      </w:r>
      <w:proofErr w:type="spellStart"/>
      <w:r w:rsidRPr="00AC4BA8">
        <w:rPr>
          <w:rFonts w:ascii="Ping LCG Regular" w:hAnsi="Ping LCG Regular" w:cs="Arial"/>
          <w:spacing w:val="-14"/>
          <w:sz w:val="22"/>
          <w:szCs w:val="22"/>
        </w:rPr>
        <w:t>Στέφο</w:t>
      </w:r>
      <w:proofErr w:type="spellEnd"/>
      <w:r w:rsidRPr="00AC4BA8">
        <w:rPr>
          <w:rFonts w:ascii="Ping LCG Regular" w:hAnsi="Ping LCG Regular" w:cs="Arial"/>
          <w:spacing w:val="-14"/>
          <w:sz w:val="22"/>
          <w:szCs w:val="22"/>
        </w:rPr>
        <w:t xml:space="preserve">, Διευθυντή Επενδυτικών Σχέσεων, </w:t>
      </w:r>
    </w:p>
    <w:p w14:paraId="0F877818" w14:textId="550E4282" w:rsidR="00072120" w:rsidRPr="00AC4BA8" w:rsidRDefault="00072120" w:rsidP="00072120">
      <w:pPr>
        <w:pStyle w:val="ListParagraph"/>
        <w:autoSpaceDE w:val="0"/>
        <w:autoSpaceDN w:val="0"/>
        <w:adjustRightInd w:val="0"/>
        <w:ind w:left="540"/>
        <w:jc w:val="both"/>
        <w:rPr>
          <w:rFonts w:ascii="Ping LCG Regular" w:hAnsi="Ping LCG Regular" w:cs="Arial"/>
          <w:bCs/>
          <w:i/>
          <w:spacing w:val="-14"/>
          <w:sz w:val="22"/>
          <w:szCs w:val="22"/>
        </w:rPr>
      </w:pPr>
      <w:proofErr w:type="spellStart"/>
      <w:r w:rsidRPr="00AC4BA8">
        <w:rPr>
          <w:rFonts w:ascii="Ping LCG Regular" w:hAnsi="Ping LCG Regular" w:cs="Arial"/>
          <w:spacing w:val="-14"/>
          <w:sz w:val="22"/>
          <w:szCs w:val="22"/>
        </w:rPr>
        <w:t>τηλ</w:t>
      </w:r>
      <w:proofErr w:type="spellEnd"/>
      <w:r w:rsidRPr="00AC4BA8">
        <w:rPr>
          <w:rFonts w:ascii="Ping LCG Regular" w:hAnsi="Ping LCG Regular" w:cs="Arial"/>
          <w:spacing w:val="-14"/>
          <w:sz w:val="22"/>
          <w:szCs w:val="22"/>
          <w:lang w:val="en-US"/>
        </w:rPr>
        <w:t xml:space="preserve">. 210 5292153, e-mail: </w:t>
      </w:r>
      <w:proofErr w:type="gramStart"/>
      <w:r w:rsidR="00E110C8" w:rsidRPr="00AC4BA8">
        <w:rPr>
          <w:rFonts w:ascii="Ping LCG Regular" w:hAnsi="Ping LCG Regular" w:cs="Arial"/>
          <w:spacing w:val="-14"/>
          <w:sz w:val="22"/>
          <w:szCs w:val="22"/>
          <w:lang w:val="en-US"/>
        </w:rPr>
        <w:t>i.s</w:t>
      </w:r>
      <w:r w:rsidRPr="00AC4BA8">
        <w:rPr>
          <w:rFonts w:ascii="Ping LCG Regular" w:hAnsi="Ping LCG Regular" w:cs="Arial"/>
          <w:spacing w:val="-14"/>
          <w:sz w:val="22"/>
          <w:szCs w:val="22"/>
          <w:lang w:val="en-US"/>
        </w:rPr>
        <w:t xml:space="preserve">tefos@dei.gr, </w:t>
      </w:r>
      <w:r w:rsidR="00A74A20" w:rsidRPr="00AC4BA8">
        <w:rPr>
          <w:rFonts w:ascii="Ping LCG Regular" w:hAnsi="Ping LCG Regular" w:cs="Arial"/>
          <w:spacing w:val="-14"/>
          <w:sz w:val="22"/>
          <w:szCs w:val="22"/>
        </w:rPr>
        <w:t xml:space="preserve"> </w:t>
      </w:r>
      <w:r w:rsidRPr="00AC4BA8">
        <w:rPr>
          <w:rFonts w:ascii="Ping LCG Regular" w:hAnsi="Ping LCG Regular" w:cs="Arial"/>
          <w:spacing w:val="-14"/>
          <w:sz w:val="22"/>
          <w:szCs w:val="22"/>
        </w:rPr>
        <w:t>και</w:t>
      </w:r>
      <w:proofErr w:type="gramEnd"/>
    </w:p>
    <w:p w14:paraId="5B16E82A" w14:textId="77777777" w:rsidR="00072120" w:rsidRPr="00AC4BA8" w:rsidRDefault="00072120" w:rsidP="00072120">
      <w:pPr>
        <w:pStyle w:val="ListParagraph"/>
        <w:numPr>
          <w:ilvl w:val="0"/>
          <w:numId w:val="2"/>
        </w:numPr>
        <w:autoSpaceDE w:val="0"/>
        <w:autoSpaceDN w:val="0"/>
        <w:adjustRightInd w:val="0"/>
        <w:jc w:val="both"/>
        <w:rPr>
          <w:rFonts w:ascii="Ping LCG Regular" w:hAnsi="Ping LCG Regular" w:cs="Arial"/>
          <w:bCs/>
          <w:i/>
          <w:spacing w:val="-14"/>
          <w:sz w:val="22"/>
          <w:szCs w:val="22"/>
        </w:rPr>
      </w:pPr>
      <w:r w:rsidRPr="00AC4BA8">
        <w:rPr>
          <w:rFonts w:ascii="Ping LCG Regular" w:hAnsi="Ping LCG Regular" w:cs="Arial"/>
          <w:spacing w:val="-14"/>
          <w:sz w:val="22"/>
          <w:szCs w:val="22"/>
        </w:rPr>
        <w:t xml:space="preserve">κ. Εμμανουήλ Χατζάκη, Διευθυντή Κλάδου Σχέσεων με Αγορές, </w:t>
      </w:r>
    </w:p>
    <w:p w14:paraId="18D57CFC" w14:textId="1F1A5B95" w:rsidR="00072120" w:rsidRPr="008D1131" w:rsidRDefault="00072120" w:rsidP="00072120">
      <w:pPr>
        <w:ind w:firstLine="540"/>
        <w:rPr>
          <w:rFonts w:ascii="Ping LCG Regular" w:hAnsi="Ping LCG Regular" w:cs="Arial"/>
          <w:spacing w:val="-14"/>
          <w:sz w:val="22"/>
          <w:szCs w:val="22"/>
        </w:rPr>
      </w:pPr>
      <w:proofErr w:type="spellStart"/>
      <w:r w:rsidRPr="00AC4BA8">
        <w:rPr>
          <w:rFonts w:ascii="Ping LCG Regular" w:hAnsi="Ping LCG Regular" w:cs="Arial"/>
          <w:spacing w:val="-14"/>
          <w:sz w:val="22"/>
          <w:szCs w:val="22"/>
        </w:rPr>
        <w:t>τηλ</w:t>
      </w:r>
      <w:proofErr w:type="spellEnd"/>
      <w:r w:rsidRPr="00AC4BA8">
        <w:rPr>
          <w:rFonts w:ascii="Ping LCG Regular" w:hAnsi="Ping LCG Regular" w:cs="Arial"/>
          <w:spacing w:val="-14"/>
          <w:sz w:val="22"/>
          <w:szCs w:val="22"/>
        </w:rPr>
        <w:t xml:space="preserve">. 210 5235832, e-mail: </w:t>
      </w:r>
      <w:hyperlink r:id="rId21" w:history="1">
        <w:r w:rsidRPr="00AC4BA8">
          <w:rPr>
            <w:rFonts w:ascii="Ping LCG Regular" w:hAnsi="Ping LCG Regular" w:cs="Arial"/>
            <w:spacing w:val="-14"/>
            <w:sz w:val="22"/>
            <w:szCs w:val="22"/>
          </w:rPr>
          <w:t>e.hatzakis@dei.gr</w:t>
        </w:r>
      </w:hyperlink>
      <w:r w:rsidRPr="00AC4BA8">
        <w:rPr>
          <w:rFonts w:ascii="Ping LCG Regular" w:hAnsi="Ping LCG Regular" w:cs="Arial"/>
          <w:spacing w:val="-14"/>
          <w:sz w:val="22"/>
          <w:szCs w:val="22"/>
        </w:rPr>
        <w:t>.</w:t>
      </w:r>
    </w:p>
    <w:p w14:paraId="3119741C" w14:textId="38881AE2" w:rsidR="00072120" w:rsidRPr="008D1131" w:rsidRDefault="00072120" w:rsidP="00E15CDC">
      <w:pPr>
        <w:spacing w:after="200" w:line="276" w:lineRule="auto"/>
        <w:rPr>
          <w:rFonts w:ascii="Ping LCG Regular" w:hAnsi="Ping LCG Regular" w:cs="Arial"/>
          <w:spacing w:val="-14"/>
          <w:sz w:val="22"/>
          <w:szCs w:val="22"/>
        </w:rPr>
      </w:pPr>
    </w:p>
    <w:p w14:paraId="66BB04B7" w14:textId="64546E80" w:rsidR="001577D3" w:rsidRPr="008D1131" w:rsidRDefault="001577D3" w:rsidP="00AB5F3E">
      <w:pPr>
        <w:spacing w:after="200" w:line="276" w:lineRule="auto"/>
        <w:jc w:val="both"/>
        <w:rPr>
          <w:rFonts w:ascii="Ping LCG Regular" w:hAnsi="Ping LCG Regular" w:cs="Arial"/>
          <w:spacing w:val="-14"/>
          <w:sz w:val="22"/>
          <w:szCs w:val="22"/>
          <w:lang w:val="el-GR"/>
        </w:rPr>
      </w:pPr>
      <w:r w:rsidRPr="008D1131">
        <w:rPr>
          <w:rFonts w:ascii="Ping LCG Regular" w:hAnsi="Ping LCG Regular" w:cs="Arial"/>
          <w:spacing w:val="-14"/>
          <w:sz w:val="22"/>
          <w:szCs w:val="22"/>
          <w:lang w:val="el-GR"/>
        </w:rPr>
        <w:t>Το Δελτίο Τύπου είναι διαθέσιμο στον διαδικτυακό τόπο της ΔΕΗ Α.Ε (</w:t>
      </w:r>
      <w:hyperlink r:id="rId22" w:history="1">
        <w:r w:rsidRPr="008D1131">
          <w:rPr>
            <w:rStyle w:val="Hyperlink"/>
            <w:rFonts w:ascii="Ping LCG Regular" w:hAnsi="Ping LCG Regular" w:cs="Arial"/>
            <w:spacing w:val="-14"/>
            <w:sz w:val="22"/>
            <w:szCs w:val="22"/>
          </w:rPr>
          <w:t>www</w:t>
        </w:r>
        <w:r w:rsidRPr="008D1131">
          <w:rPr>
            <w:rStyle w:val="Hyperlink"/>
            <w:sz w:val="22"/>
            <w:szCs w:val="22"/>
            <w:lang w:val="el-GR"/>
          </w:rPr>
          <w:t>.</w:t>
        </w:r>
        <w:proofErr w:type="spellStart"/>
        <w:r w:rsidRPr="008D1131">
          <w:rPr>
            <w:rStyle w:val="Hyperlink"/>
            <w:rFonts w:ascii="Ping LCG Regular" w:hAnsi="Ping LCG Regular" w:cs="Arial"/>
            <w:spacing w:val="-14"/>
            <w:sz w:val="22"/>
            <w:szCs w:val="22"/>
          </w:rPr>
          <w:t>dei</w:t>
        </w:r>
        <w:proofErr w:type="spellEnd"/>
        <w:r w:rsidRPr="008D1131">
          <w:rPr>
            <w:rStyle w:val="Hyperlink"/>
            <w:sz w:val="22"/>
            <w:szCs w:val="22"/>
            <w:lang w:val="el-GR"/>
          </w:rPr>
          <w:t>.</w:t>
        </w:r>
        <w:r w:rsidRPr="008D1131">
          <w:rPr>
            <w:rStyle w:val="Hyperlink"/>
            <w:rFonts w:ascii="Ping LCG Regular" w:hAnsi="Ping LCG Regular" w:cs="Arial"/>
            <w:spacing w:val="-14"/>
            <w:sz w:val="22"/>
            <w:szCs w:val="22"/>
          </w:rPr>
          <w:t>gr</w:t>
        </w:r>
      </w:hyperlink>
      <w:r w:rsidRPr="008D1131">
        <w:rPr>
          <w:rFonts w:ascii="Ping LCG Regular" w:hAnsi="Ping LCG Regular" w:cs="Arial"/>
          <w:spacing w:val="-14"/>
          <w:sz w:val="22"/>
          <w:szCs w:val="22"/>
          <w:lang w:val="el-GR"/>
        </w:rPr>
        <w:t xml:space="preserve">) στην ενότητα “Ενημέρωση Επενδυτών”. </w:t>
      </w:r>
    </w:p>
    <w:p w14:paraId="587C193B" w14:textId="448BCCF2" w:rsidR="00072120" w:rsidRPr="008D1131" w:rsidRDefault="00072120" w:rsidP="00AB5F3E">
      <w:pPr>
        <w:spacing w:after="200" w:line="276" w:lineRule="auto"/>
        <w:jc w:val="both"/>
        <w:rPr>
          <w:rFonts w:ascii="Ping LCG Regular" w:hAnsi="Ping LCG Regular" w:cs="Arial"/>
          <w:spacing w:val="-14"/>
          <w:sz w:val="22"/>
          <w:szCs w:val="22"/>
          <w:lang w:val="el-GR"/>
        </w:rPr>
      </w:pPr>
    </w:p>
    <w:p w14:paraId="766FC4DD" w14:textId="45CB7B3B" w:rsidR="00072120" w:rsidRPr="008D1131" w:rsidRDefault="00072120" w:rsidP="00AB5F3E">
      <w:pPr>
        <w:spacing w:after="200" w:line="276" w:lineRule="auto"/>
        <w:jc w:val="both"/>
        <w:rPr>
          <w:rFonts w:ascii="Ping LCG Regular" w:hAnsi="Ping LCG Regular" w:cs="Arial"/>
          <w:b/>
          <w:bCs/>
          <w:spacing w:val="-14"/>
          <w:sz w:val="22"/>
          <w:szCs w:val="22"/>
          <w:lang w:val="el-GR"/>
        </w:rPr>
      </w:pPr>
      <w:r w:rsidRPr="008D1131">
        <w:rPr>
          <w:rFonts w:ascii="Ping LCG Regular" w:hAnsi="Ping LCG Regular" w:cs="Arial"/>
          <w:b/>
          <w:bCs/>
          <w:spacing w:val="-14"/>
          <w:sz w:val="22"/>
          <w:szCs w:val="22"/>
          <w:lang w:val="el-GR"/>
        </w:rPr>
        <w:t>Σχετικά με τη Δ</w:t>
      </w:r>
      <w:r w:rsidR="00064956" w:rsidRPr="008D1131">
        <w:rPr>
          <w:rFonts w:ascii="Ping LCG Regular" w:hAnsi="Ping LCG Regular" w:cs="Arial"/>
          <w:b/>
          <w:bCs/>
          <w:spacing w:val="-14"/>
          <w:sz w:val="22"/>
          <w:szCs w:val="22"/>
          <w:lang w:val="el-GR"/>
        </w:rPr>
        <w:t xml:space="preserve">ημόσια Επιχείρηση </w:t>
      </w:r>
      <w:r w:rsidR="002A61B1" w:rsidRPr="008D1131">
        <w:rPr>
          <w:rFonts w:ascii="Ping LCG Regular" w:hAnsi="Ping LCG Regular" w:cs="Arial"/>
          <w:b/>
          <w:bCs/>
          <w:spacing w:val="-14"/>
          <w:sz w:val="22"/>
          <w:szCs w:val="22"/>
          <w:lang w:val="el-GR"/>
        </w:rPr>
        <w:t>Ηλεκτρισμού</w:t>
      </w:r>
      <w:r w:rsidRPr="008D1131">
        <w:rPr>
          <w:rFonts w:ascii="Ping LCG Regular" w:hAnsi="Ping LCG Regular" w:cs="Arial"/>
          <w:b/>
          <w:bCs/>
          <w:spacing w:val="-14"/>
          <w:sz w:val="22"/>
          <w:szCs w:val="22"/>
          <w:lang w:val="el-GR"/>
        </w:rPr>
        <w:t xml:space="preserve"> Α.Ε.</w:t>
      </w:r>
    </w:p>
    <w:p w14:paraId="28FB577F" w14:textId="77777777" w:rsidR="00A13A9B" w:rsidRPr="008D1131" w:rsidRDefault="001F230A" w:rsidP="007B37CE">
      <w:pPr>
        <w:spacing w:after="120"/>
        <w:jc w:val="both"/>
        <w:rPr>
          <w:rFonts w:ascii="Ping LCG Regular" w:hAnsi="Ping LCG Regular" w:cs="Arial"/>
          <w:spacing w:val="-14"/>
          <w:sz w:val="22"/>
          <w:szCs w:val="22"/>
          <w:lang w:val="el-GR"/>
        </w:rPr>
      </w:pPr>
      <w:r w:rsidRPr="008D1131">
        <w:rPr>
          <w:rFonts w:ascii="Ping LCG Regular" w:hAnsi="Ping LCG Regular" w:cs="Arial"/>
          <w:spacing w:val="-14"/>
          <w:sz w:val="22"/>
          <w:szCs w:val="22"/>
          <w:lang w:val="el-GR"/>
        </w:rPr>
        <w:t xml:space="preserve">Η ΔΕΗ είναι η κορυφαία εταιρεία παραγωγής και προμήθειας ηλεκτρικής ενέργειας στην Ελλάδα, με δραστηριότητες στην παραγωγή, διανομή και  πώληση ηλεκτρικής ενέργειας στους καταναλωτές. </w:t>
      </w:r>
      <w:r w:rsidR="00A13A9B" w:rsidRPr="008D1131">
        <w:rPr>
          <w:rFonts w:ascii="Ping LCG Regular" w:hAnsi="Ping LCG Regular" w:cs="Arial"/>
          <w:spacing w:val="-14"/>
          <w:sz w:val="22"/>
          <w:szCs w:val="22"/>
          <w:lang w:val="el-GR"/>
        </w:rPr>
        <w:t xml:space="preserve">  </w:t>
      </w:r>
    </w:p>
    <w:p w14:paraId="52DFA11C" w14:textId="274601DC" w:rsidR="00A13A9B" w:rsidRPr="008D1131" w:rsidRDefault="001F230A" w:rsidP="007B37CE">
      <w:pPr>
        <w:spacing w:after="120"/>
        <w:jc w:val="both"/>
        <w:rPr>
          <w:rFonts w:ascii="Ping LCG Regular" w:hAnsi="Ping LCG Regular" w:cs="Arial"/>
          <w:spacing w:val="-14"/>
          <w:sz w:val="22"/>
          <w:szCs w:val="22"/>
          <w:lang w:val="el-GR"/>
        </w:rPr>
      </w:pPr>
      <w:r w:rsidRPr="008D1131">
        <w:rPr>
          <w:rFonts w:ascii="Ping LCG Regular" w:hAnsi="Ping LCG Regular" w:cs="Arial"/>
          <w:spacing w:val="-14"/>
          <w:sz w:val="22"/>
          <w:szCs w:val="22"/>
          <w:lang w:val="el-GR"/>
        </w:rPr>
        <w:t>Είναι η μεγαλύτερη εταιρεία παραγωγής ηλεκτρικής ενέργειας στην Ελλάδα και διαθέτει παραγωγικό δυναμικό 11 GW, με θερμικούς και υδροηλεκτρικούς σταθμούς καθώς και εγκαταστάσεις Ανανεώσιμων Πηγών Ενέργειας. Έχει στην κυριότητά της το δίκτυο διανομής ηλεκτρικής ενέργειας με Ρυθμιζόμενη Περιουσιακή Βάση περίπου €3 δι</w:t>
      </w:r>
      <w:r w:rsidR="00D24442">
        <w:rPr>
          <w:rFonts w:ascii="Ping LCG Regular" w:hAnsi="Ping LCG Regular" w:cs="Arial"/>
          <w:spacing w:val="-14"/>
          <w:sz w:val="22"/>
          <w:szCs w:val="22"/>
          <w:lang w:val="el-GR"/>
        </w:rPr>
        <w:t>σ</w:t>
      </w:r>
      <w:r w:rsidR="007B37CE" w:rsidRPr="008D1131">
        <w:rPr>
          <w:rFonts w:ascii="Ping LCG Regular" w:hAnsi="Ping LCG Regular" w:cs="Arial"/>
          <w:spacing w:val="-14"/>
          <w:sz w:val="22"/>
          <w:szCs w:val="22"/>
          <w:lang w:val="el-GR"/>
        </w:rPr>
        <w:t>. Ε</w:t>
      </w:r>
      <w:r w:rsidRPr="008D1131">
        <w:rPr>
          <w:rFonts w:ascii="Ping LCG Regular" w:hAnsi="Ping LCG Regular" w:cs="Arial"/>
          <w:spacing w:val="-14"/>
          <w:sz w:val="22"/>
          <w:szCs w:val="22"/>
          <w:lang w:val="el-GR"/>
        </w:rPr>
        <w:t>ίναι ο μεγαλύτερος προμηθευτής ηλεκτρικής ενέργειας στην Ελλάδα, εξυπηρετώντας περίπου 6 εκατ. πελάτες σε όλη τη χώρα.</w:t>
      </w:r>
    </w:p>
    <w:p w14:paraId="2EB5F9EA" w14:textId="120AD20A" w:rsidR="00A249A6" w:rsidRDefault="007B37CE" w:rsidP="008D1131">
      <w:pPr>
        <w:spacing w:after="120"/>
        <w:jc w:val="both"/>
        <w:rPr>
          <w:rFonts w:ascii="Ping LCG Regular" w:hAnsi="Ping LCG Regular" w:cs="Arial"/>
          <w:spacing w:val="-14"/>
          <w:sz w:val="22"/>
          <w:szCs w:val="22"/>
          <w:lang w:val="el-GR"/>
        </w:rPr>
      </w:pPr>
      <w:r w:rsidRPr="008D1131">
        <w:rPr>
          <w:rFonts w:ascii="Ping LCG Regular" w:hAnsi="Ping LCG Regular" w:cs="Arial"/>
          <w:spacing w:val="-14"/>
          <w:sz w:val="22"/>
          <w:szCs w:val="22"/>
          <w:lang w:val="el-GR"/>
        </w:rPr>
        <w:t>Η ΔΕΗ είναι εισηγμένη και οι μετοχές της διαπραγματεύονται στην Κύρια Αγορά του Χρηματιστηρίου Αθηνών.</w:t>
      </w:r>
    </w:p>
    <w:p w14:paraId="44288966" w14:textId="622BD7A2" w:rsidR="003A59DA" w:rsidRDefault="003A59DA" w:rsidP="008D1131">
      <w:pPr>
        <w:spacing w:after="120"/>
        <w:jc w:val="both"/>
        <w:rPr>
          <w:rFonts w:ascii="Ping LCG Regular" w:hAnsi="Ping LCG Regular" w:cs="Arial"/>
          <w:spacing w:val="-14"/>
          <w:sz w:val="22"/>
          <w:szCs w:val="22"/>
          <w:lang w:val="el-GR"/>
        </w:rPr>
      </w:pPr>
    </w:p>
    <w:p w14:paraId="57ACEE66" w14:textId="77777777" w:rsidR="003A59DA" w:rsidRPr="008D1131" w:rsidRDefault="003A59DA" w:rsidP="003A59DA">
      <w:pPr>
        <w:spacing w:after="200" w:line="276" w:lineRule="auto"/>
        <w:jc w:val="both"/>
        <w:rPr>
          <w:rFonts w:ascii="Ping LCG Regular" w:hAnsi="Ping LCG Regular" w:cs="Arial"/>
          <w:b/>
          <w:bCs/>
          <w:spacing w:val="-14"/>
          <w:sz w:val="22"/>
          <w:szCs w:val="22"/>
          <w:lang w:val="el-GR"/>
        </w:rPr>
      </w:pPr>
      <w:r w:rsidRPr="008D1131">
        <w:rPr>
          <w:rFonts w:ascii="Ping LCG Regular" w:hAnsi="Ping LCG Regular" w:cs="Arial"/>
          <w:b/>
          <w:bCs/>
          <w:spacing w:val="-14"/>
          <w:sz w:val="22"/>
          <w:szCs w:val="22"/>
          <w:lang w:val="el-GR"/>
        </w:rPr>
        <w:t>Δήλωση αποποίησης ευθύνης</w:t>
      </w:r>
    </w:p>
    <w:p w14:paraId="2042AF13" w14:textId="77777777" w:rsidR="003A59DA" w:rsidRPr="008D1131" w:rsidRDefault="003A59DA" w:rsidP="003A59DA">
      <w:pPr>
        <w:spacing w:after="200" w:line="276" w:lineRule="auto"/>
        <w:jc w:val="both"/>
        <w:rPr>
          <w:rFonts w:ascii="Ping LCG Regular" w:hAnsi="Ping LCG Regular" w:cs="Arial"/>
          <w:spacing w:val="-14"/>
          <w:sz w:val="22"/>
          <w:szCs w:val="22"/>
          <w:lang w:val="el-GR"/>
        </w:rPr>
      </w:pPr>
      <w:r w:rsidRPr="008D1131">
        <w:rPr>
          <w:rFonts w:ascii="Ping LCG Regular" w:hAnsi="Ping LCG Regular" w:cs="Arial"/>
          <w:spacing w:val="-14"/>
          <w:sz w:val="22"/>
          <w:szCs w:val="22"/>
          <w:lang w:val="el-GR"/>
        </w:rPr>
        <w:t xml:space="preserve">Ορισμένες πληροφορίες που περιέχονται στην παρούσα ανακοίνωση, συμπεριλαμβανομένων των μελλοντικών EBITDA, των κερδών, των δαπανών και άλλων οικονομικών μέτρων που αφορούν σε μελλοντικές περιόδους, βασίζονται σε τρέχουσες προσδοκίες και παραδοχές σχετικά με μελλοντικά γεγονότα. Οι χρηματοοικονομικοί δείκτες που αναφέρονται σε μελλοντικές περιόδους βασίζονται σε τρέχουσες εύλογες και καλόπιστες παραδοχές. Δεν παρέχουμε καμία διαβεβαίωση ότι οι εν λόγω χρηματοοικονομικοί δείκτες θα επιτευχθούν.  </w:t>
      </w:r>
    </w:p>
    <w:p w14:paraId="39433495" w14:textId="77777777" w:rsidR="003A59DA" w:rsidRPr="008D1131" w:rsidRDefault="003A59DA" w:rsidP="003A59DA">
      <w:pPr>
        <w:spacing w:after="200" w:line="276" w:lineRule="auto"/>
        <w:jc w:val="both"/>
        <w:rPr>
          <w:rFonts w:ascii="Ping LCG Regular" w:hAnsi="Ping LCG Regular" w:cs="Arial"/>
          <w:spacing w:val="-14"/>
          <w:sz w:val="22"/>
          <w:szCs w:val="22"/>
          <w:lang w:val="el-GR"/>
        </w:rPr>
      </w:pPr>
      <w:r w:rsidRPr="008D1131">
        <w:rPr>
          <w:rFonts w:ascii="Ping LCG Regular" w:hAnsi="Ping LCG Regular" w:cs="Arial"/>
          <w:spacing w:val="-14"/>
          <w:sz w:val="22"/>
          <w:szCs w:val="22"/>
          <w:lang w:val="el-GR"/>
        </w:rPr>
        <w:t xml:space="preserve">Αυτές οι δηλώσεις που αφορούν μελλοντικά γεγονότα υπόκεινται, μεταξύ άλλων, i) στους επιχειρηματικούς, οικονομικούς και ανταγωνιστικούς κινδύνους, </w:t>
      </w:r>
      <w:proofErr w:type="spellStart"/>
      <w:r w:rsidRPr="008D1131">
        <w:rPr>
          <w:rFonts w:ascii="Ping LCG Regular" w:hAnsi="Ping LCG Regular" w:cs="Arial"/>
          <w:spacing w:val="-14"/>
          <w:sz w:val="22"/>
          <w:szCs w:val="22"/>
          <w:lang w:val="el-GR"/>
        </w:rPr>
        <w:t>ii</w:t>
      </w:r>
      <w:proofErr w:type="spellEnd"/>
      <w:r w:rsidRPr="008D1131">
        <w:rPr>
          <w:rFonts w:ascii="Ping LCG Regular" w:hAnsi="Ping LCG Regular" w:cs="Arial"/>
          <w:spacing w:val="-14"/>
          <w:sz w:val="22"/>
          <w:szCs w:val="22"/>
          <w:lang w:val="el-GR"/>
        </w:rPr>
        <w:t xml:space="preserve">) στις μακροοικονομικές συνθήκες, </w:t>
      </w:r>
      <w:proofErr w:type="spellStart"/>
      <w:r w:rsidRPr="008D1131">
        <w:rPr>
          <w:rFonts w:ascii="Ping LCG Regular" w:hAnsi="Ping LCG Regular" w:cs="Arial"/>
          <w:spacing w:val="-14"/>
          <w:sz w:val="22"/>
          <w:szCs w:val="22"/>
          <w:lang w:val="el-GR"/>
        </w:rPr>
        <w:t>iii</w:t>
      </w:r>
      <w:proofErr w:type="spellEnd"/>
      <w:r w:rsidRPr="008D1131">
        <w:rPr>
          <w:rFonts w:ascii="Ping LCG Regular" w:hAnsi="Ping LCG Regular" w:cs="Arial"/>
          <w:spacing w:val="-14"/>
          <w:sz w:val="22"/>
          <w:szCs w:val="22"/>
          <w:lang w:val="el-GR"/>
        </w:rPr>
        <w:t xml:space="preserve">) στη διακύμανση του ευρώ έναντι της συναλλαγματικής ισοτιμίας του δολαρίου ΗΠΑ, </w:t>
      </w:r>
      <w:proofErr w:type="spellStart"/>
      <w:r w:rsidRPr="008D1131">
        <w:rPr>
          <w:rFonts w:ascii="Ping LCG Regular" w:hAnsi="Ping LCG Regular" w:cs="Arial"/>
          <w:spacing w:val="-14"/>
          <w:sz w:val="22"/>
          <w:szCs w:val="22"/>
          <w:lang w:val="el-GR"/>
        </w:rPr>
        <w:t>iv</w:t>
      </w:r>
      <w:proofErr w:type="spellEnd"/>
      <w:r w:rsidRPr="008D1131">
        <w:rPr>
          <w:rFonts w:ascii="Ping LCG Regular" w:hAnsi="Ping LCG Regular" w:cs="Arial"/>
          <w:spacing w:val="-14"/>
          <w:sz w:val="22"/>
          <w:szCs w:val="22"/>
          <w:lang w:val="el-GR"/>
        </w:rPr>
        <w:t>) στις τιμές πετρελαίου, φυσικού αερίου και ηλεκτρικής ενέργειας και στην τιμή των δικαιωμάτων εκπομπών CO</w:t>
      </w:r>
      <w:r w:rsidRPr="00D24442">
        <w:rPr>
          <w:rFonts w:ascii="Ping LCG Regular" w:hAnsi="Ping LCG Regular" w:cs="Arial"/>
          <w:spacing w:val="-14"/>
          <w:sz w:val="22"/>
          <w:szCs w:val="22"/>
          <w:vertAlign w:val="subscript"/>
          <w:lang w:val="el-GR"/>
        </w:rPr>
        <w:t>2</w:t>
      </w:r>
      <w:r w:rsidRPr="008D1131">
        <w:rPr>
          <w:rFonts w:ascii="Ping LCG Regular" w:hAnsi="Ping LCG Regular" w:cs="Arial"/>
          <w:spacing w:val="-14"/>
          <w:sz w:val="22"/>
          <w:szCs w:val="22"/>
          <w:lang w:val="el-GR"/>
        </w:rPr>
        <w:t xml:space="preserve">, v) στις αλλαγές του τοπίου της αγοράς και του νομικού, κανονιστικού και φορολογικού τοπίου, </w:t>
      </w:r>
      <w:proofErr w:type="spellStart"/>
      <w:r w:rsidRPr="008D1131">
        <w:rPr>
          <w:rFonts w:ascii="Ping LCG Regular" w:hAnsi="Ping LCG Regular" w:cs="Arial"/>
          <w:spacing w:val="-14"/>
          <w:sz w:val="22"/>
          <w:szCs w:val="22"/>
          <w:lang w:val="el-GR"/>
        </w:rPr>
        <w:t>vi</w:t>
      </w:r>
      <w:proofErr w:type="spellEnd"/>
      <w:r w:rsidRPr="008D1131">
        <w:rPr>
          <w:rFonts w:ascii="Ping LCG Regular" w:hAnsi="Ping LCG Regular" w:cs="Arial"/>
          <w:spacing w:val="-14"/>
          <w:sz w:val="22"/>
          <w:szCs w:val="22"/>
          <w:lang w:val="el-GR"/>
        </w:rPr>
        <w:t xml:space="preserve">) στην εξέλιξη του επισφαλούς χρέους, και (VII) άλλες αβεβαιότητες και απρόβλεπτες καταστάσεις, οι οποίες σχετίζονται με παράγοντες που η ΔΕΗ δεν είναι σε θέση να ελέγξει ή να εκτιμήσει με ακρίβεια, και οι οποίοι θα μπορούσαν να έχουν ως αποτέλεσμα την ουσιαστική διαφοροποίηση των πραγματικών γεγονότων ή των αποτελεσμάτων από εκείνα που εκφράζονται στην παρουσίαση. Ως εκ τούτου, δεν θα πρέπει βασίζεστε υπέρ του δέοντος σε αυτές τις δηλώσεις που αφορούν μελλοντικά γεγονότα, οι οποίες αφορούν μόνον την ημερομηνία της παρούσας ανακοίνωσης. </w:t>
      </w:r>
    </w:p>
    <w:p w14:paraId="46FC49ED" w14:textId="0FE8DC18" w:rsidR="003A59DA" w:rsidRPr="008D1131" w:rsidRDefault="003A59DA" w:rsidP="003A59DA">
      <w:pPr>
        <w:spacing w:after="200" w:line="276" w:lineRule="auto"/>
        <w:jc w:val="both"/>
        <w:rPr>
          <w:sz w:val="22"/>
          <w:szCs w:val="22"/>
          <w:lang w:val="el-GR"/>
        </w:rPr>
      </w:pPr>
      <w:r w:rsidRPr="008D1131">
        <w:rPr>
          <w:rFonts w:ascii="Ping LCG Regular" w:hAnsi="Ping LCG Regular" w:cs="Arial"/>
          <w:spacing w:val="-14"/>
          <w:sz w:val="22"/>
          <w:szCs w:val="22"/>
          <w:lang w:val="el-GR"/>
        </w:rPr>
        <w:t xml:space="preserve">Η ΔΕΗ δεν αναλαμβάνει καμία υποχρέωση να δημοσιοποιήσει τυχόν αναθεωρήσεις αυτών των δηλώσεων ώστε να αντικατοπτρίζουν γεγονότα ή περιστάσεις μετά την ημερομηνία της παρούσας ανακοίνωσης.  </w:t>
      </w:r>
    </w:p>
    <w:sectPr w:rsidR="003A59DA" w:rsidRPr="008D1131" w:rsidSect="006B1EF6">
      <w:headerReference w:type="default" r:id="rId23"/>
      <w:footerReference w:type="default" r:id="rId24"/>
      <w:pgSz w:w="11900" w:h="16840"/>
      <w:pgMar w:top="720" w:right="720" w:bottom="720" w:left="720" w:header="98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478AB" w14:textId="77777777" w:rsidR="005C4620" w:rsidRDefault="005C4620" w:rsidP="000E10BE">
      <w:r>
        <w:separator/>
      </w:r>
    </w:p>
  </w:endnote>
  <w:endnote w:type="continuationSeparator" w:id="0">
    <w:p w14:paraId="6D47CD7F" w14:textId="77777777" w:rsidR="005C4620" w:rsidRDefault="005C4620" w:rsidP="000E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ing LCG">
    <w:altName w:val="Calibri"/>
    <w:panose1 w:val="00000000000000000000"/>
    <w:charset w:val="00"/>
    <w:family w:val="auto"/>
    <w:notTrueType/>
    <w:pitch w:val="variable"/>
    <w:sig w:usb0="E00002FF" w:usb1="5001E47B"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Ping LCG Regular">
    <w:altName w:val="Calibri"/>
    <w:panose1 w:val="00000000000000000000"/>
    <w:charset w:val="00"/>
    <w:family w:val="modern"/>
    <w:notTrueType/>
    <w:pitch w:val="variable"/>
    <w:sig w:usb0="E00002FF" w:usb1="5001E47B" w:usb2="00000000" w:usb3="00000000" w:csb0="0000019F" w:csb1="00000000"/>
  </w:font>
  <w:font w:name="Ping LCG Bold">
    <w:altName w:val="Arial"/>
    <w:panose1 w:val="00000000000000000000"/>
    <w:charset w:val="00"/>
    <w:family w:val="modern"/>
    <w:notTrueType/>
    <w:pitch w:val="variable"/>
    <w:sig w:usb0="E00002FF" w:usb1="5001E47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l-GR"/>
      </w:rPr>
      <w:id w:val="360316571"/>
      <w:docPartObj>
        <w:docPartGallery w:val="Page Numbers (Bottom of Page)"/>
        <w:docPartUnique/>
      </w:docPartObj>
    </w:sdtPr>
    <w:sdtEndPr/>
    <w:sdtContent>
      <w:p w14:paraId="14BCB474" w14:textId="5153D000" w:rsidR="007F675C" w:rsidRDefault="007F675C">
        <w:pPr>
          <w:pStyle w:val="Footer"/>
          <w:jc w:val="center"/>
        </w:pPr>
        <w:r>
          <w:rPr>
            <w:lang w:val="el-GR"/>
          </w:rPr>
          <w:t>[</w:t>
        </w:r>
        <w:r>
          <w:fldChar w:fldCharType="begin"/>
        </w:r>
        <w:r>
          <w:instrText>PAGE   \* MERGEFORMAT</w:instrText>
        </w:r>
        <w:r>
          <w:fldChar w:fldCharType="separate"/>
        </w:r>
        <w:r>
          <w:rPr>
            <w:lang w:val="el-GR"/>
          </w:rPr>
          <w:t>2</w:t>
        </w:r>
        <w:r>
          <w:fldChar w:fldCharType="end"/>
        </w:r>
        <w:r>
          <w:rPr>
            <w:lang w:val="el-GR"/>
          </w:rPr>
          <w:t>]</w:t>
        </w:r>
      </w:p>
    </w:sdtContent>
  </w:sdt>
  <w:p w14:paraId="250A1140" w14:textId="77777777" w:rsidR="007F675C" w:rsidRDefault="007F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CF187" w14:textId="77777777" w:rsidR="005C4620" w:rsidRDefault="005C4620" w:rsidP="000E10BE">
      <w:r>
        <w:separator/>
      </w:r>
    </w:p>
  </w:footnote>
  <w:footnote w:type="continuationSeparator" w:id="0">
    <w:p w14:paraId="58FAA42F" w14:textId="77777777" w:rsidR="005C4620" w:rsidRDefault="005C4620" w:rsidP="000E10BE">
      <w:r>
        <w:continuationSeparator/>
      </w:r>
    </w:p>
  </w:footnote>
  <w:footnote w:id="1">
    <w:p w14:paraId="68F9E492" w14:textId="2924CFAF" w:rsidR="007F675C" w:rsidRPr="00851841" w:rsidRDefault="007F675C">
      <w:pPr>
        <w:pStyle w:val="FootnoteText"/>
        <w:rPr>
          <w:rFonts w:ascii="Ping LCG Regular" w:hAnsi="Ping LCG Regular"/>
          <w:lang w:val="el-GR"/>
        </w:rPr>
      </w:pPr>
      <w:r w:rsidRPr="00851841">
        <w:rPr>
          <w:rStyle w:val="FootnoteReference"/>
          <w:rFonts w:ascii="Ping LCG Regular" w:hAnsi="Ping LCG Regular"/>
          <w:sz w:val="18"/>
          <w:szCs w:val="18"/>
        </w:rPr>
        <w:footnoteRef/>
      </w:r>
      <w:r w:rsidRPr="00851841">
        <w:rPr>
          <w:rFonts w:ascii="Ping LCG Regular" w:hAnsi="Ping LCG Regular"/>
          <w:sz w:val="18"/>
          <w:szCs w:val="18"/>
          <w:lang w:val="el-GR"/>
        </w:rPr>
        <w:t xml:space="preserve"> Αναλυτική περιγραφή τ</w:t>
      </w:r>
      <w:r>
        <w:rPr>
          <w:rFonts w:ascii="Ping LCG Regular" w:hAnsi="Ping LCG Regular"/>
          <w:sz w:val="18"/>
          <w:szCs w:val="18"/>
          <w:lang w:val="el-GR"/>
        </w:rPr>
        <w:t xml:space="preserve">ων </w:t>
      </w:r>
      <w:bookmarkStart w:id="2" w:name="_Hlk69553172"/>
      <w:bookmarkStart w:id="3" w:name="_Hlk69553173"/>
      <w:r>
        <w:rPr>
          <w:rFonts w:ascii="Ping LCG Regular" w:hAnsi="Ping LCG Regular"/>
          <w:sz w:val="18"/>
          <w:szCs w:val="18"/>
          <w:lang w:val="el-GR"/>
        </w:rPr>
        <w:t xml:space="preserve">εφάπαξ επιπτώσεων στο </w:t>
      </w:r>
      <w:r>
        <w:rPr>
          <w:rFonts w:ascii="Ping LCG Regular" w:hAnsi="Ping LCG Regular"/>
          <w:sz w:val="18"/>
          <w:szCs w:val="18"/>
        </w:rPr>
        <w:t>EBITDA</w:t>
      </w:r>
      <w:r w:rsidRPr="00851841">
        <w:rPr>
          <w:rFonts w:ascii="Ping LCG Regular" w:hAnsi="Ping LCG Regular"/>
          <w:sz w:val="18"/>
          <w:szCs w:val="18"/>
          <w:lang w:val="el-GR"/>
        </w:rPr>
        <w:t xml:space="preserve"> </w:t>
      </w:r>
      <w:r>
        <w:rPr>
          <w:rFonts w:ascii="Ping LCG Regular" w:hAnsi="Ping LCG Regular"/>
          <w:sz w:val="18"/>
          <w:szCs w:val="18"/>
          <w:lang w:val="el-GR"/>
        </w:rPr>
        <w:t xml:space="preserve">γίνεται </w:t>
      </w:r>
      <w:r w:rsidRPr="00851841">
        <w:rPr>
          <w:rFonts w:ascii="Ping LCG Regular" w:hAnsi="Ping LCG Regular"/>
          <w:sz w:val="18"/>
          <w:szCs w:val="18"/>
          <w:lang w:val="el-GR"/>
        </w:rPr>
        <w:t>στο Παράρτημα 1: Ανάλυση Εσόδων &amp; Λειτουργικών δαπανών Ομίλου ΔΕΗ</w:t>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83DFD" w14:textId="78480853" w:rsidR="007F675C" w:rsidRPr="00144F71" w:rsidRDefault="007F675C">
    <w:pPr>
      <w:pStyle w:val="Header"/>
      <w:rPr>
        <w:sz w:val="20"/>
        <w:szCs w:val="20"/>
      </w:rPr>
    </w:pPr>
    <w:r w:rsidRPr="00BB4345">
      <w:rPr>
        <w:noProof/>
        <w:sz w:val="18"/>
        <w:szCs w:val="18"/>
      </w:rPr>
      <w:drawing>
        <wp:anchor distT="0" distB="0" distL="114300" distR="114300" simplePos="0" relativeHeight="251661312" behindDoc="1" locked="0" layoutInCell="1" allowOverlap="1" wp14:anchorId="06631F23" wp14:editId="425013DF">
          <wp:simplePos x="0" y="0"/>
          <wp:positionH relativeFrom="page">
            <wp:posOffset>5591175</wp:posOffset>
          </wp:positionH>
          <wp:positionV relativeFrom="page">
            <wp:posOffset>-74295</wp:posOffset>
          </wp:positionV>
          <wp:extent cx="1609200" cy="1609200"/>
          <wp:effectExtent l="0" t="0" r="0" b="0"/>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EI_Logo_RGB-with-safe-area.png"/>
                  <pic:cNvPicPr/>
                </pic:nvPicPr>
                <pic:blipFill>
                  <a:blip r:embed="rId1">
                    <a:extLst>
                      <a:ext uri="{28A0092B-C50C-407E-A947-70E740481C1C}">
                        <a14:useLocalDpi xmlns:a14="http://schemas.microsoft.com/office/drawing/2010/main" val="0"/>
                      </a:ext>
                    </a:extLst>
                  </a:blip>
                  <a:stretch>
                    <a:fillRect/>
                  </a:stretch>
                </pic:blipFill>
                <pic:spPr>
                  <a:xfrm>
                    <a:off x="0" y="0"/>
                    <a:ext cx="1609200" cy="16092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144F71">
      <w:rPr>
        <w:sz w:val="20"/>
        <w:szCs w:val="20"/>
      </w:rPr>
      <w:t>Διεύθυνση</w:t>
    </w:r>
    <w:proofErr w:type="spellEnd"/>
    <w:r w:rsidRPr="00144F71">
      <w:rPr>
        <w:sz w:val="20"/>
        <w:szCs w:val="20"/>
      </w:rPr>
      <w:t xml:space="preserve"> </w:t>
    </w:r>
    <w:r w:rsidRPr="00144F71">
      <w:rPr>
        <w:sz w:val="20"/>
        <w:szCs w:val="20"/>
      </w:rPr>
      <w:br/>
      <w:t>Επ</w:t>
    </w:r>
    <w:proofErr w:type="spellStart"/>
    <w:r w:rsidRPr="00144F71">
      <w:rPr>
        <w:sz w:val="20"/>
        <w:szCs w:val="20"/>
      </w:rPr>
      <w:t>ενδυτικών</w:t>
    </w:r>
    <w:proofErr w:type="spellEnd"/>
    <w:r w:rsidRPr="00144F71">
      <w:rPr>
        <w:sz w:val="20"/>
        <w:szCs w:val="20"/>
      </w:rPr>
      <w:t xml:space="preserve"> </w:t>
    </w:r>
    <w:r w:rsidRPr="00144F71">
      <w:rPr>
        <w:sz w:val="20"/>
        <w:szCs w:val="20"/>
      </w:rPr>
      <w:br/>
      <w:t>Σχέσεων</w:t>
    </w:r>
  </w:p>
  <w:p w14:paraId="03EE564A" w14:textId="13C504A5" w:rsidR="007F675C" w:rsidRPr="00BB4345" w:rsidRDefault="007F675C">
    <w:pPr>
      <w:pStyle w:val="Header"/>
      <w:rPr>
        <w:sz w:val="18"/>
        <w:szCs w:val="18"/>
      </w:rPr>
    </w:pPr>
  </w:p>
  <w:p w14:paraId="008678F8" w14:textId="78168467" w:rsidR="007F675C" w:rsidRDefault="007F6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62B8"/>
    <w:multiLevelType w:val="hybridMultilevel"/>
    <w:tmpl w:val="14A0C014"/>
    <w:lvl w:ilvl="0" w:tplc="00000001">
      <w:numFmt w:val="bullet"/>
      <w:lvlText w:val="-"/>
      <w:lvlJc w:val="left"/>
      <w:pPr>
        <w:ind w:left="360" w:hanging="360"/>
      </w:pPr>
      <w:rPr>
        <w:rFonts w:ascii="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8B21C7"/>
    <w:multiLevelType w:val="hybridMultilevel"/>
    <w:tmpl w:val="00E81F68"/>
    <w:lvl w:ilvl="0" w:tplc="00000001">
      <w:numFmt w:val="bullet"/>
      <w:lvlText w:val="-"/>
      <w:lvlJc w:val="left"/>
      <w:pPr>
        <w:ind w:left="540" w:hanging="360"/>
      </w:pPr>
      <w:rPr>
        <w:rFonts w:ascii="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BDC29CE"/>
    <w:multiLevelType w:val="hybridMultilevel"/>
    <w:tmpl w:val="D8A4A3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45D7ADD"/>
    <w:multiLevelType w:val="hybridMultilevel"/>
    <w:tmpl w:val="757A6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AF6C19"/>
    <w:multiLevelType w:val="hybridMultilevel"/>
    <w:tmpl w:val="9B48944C"/>
    <w:lvl w:ilvl="0" w:tplc="CB68E564">
      <w:numFmt w:val="bullet"/>
      <w:lvlText w:val="-"/>
      <w:lvlJc w:val="left"/>
      <w:pPr>
        <w:ind w:left="731" w:hanging="360"/>
      </w:pPr>
      <w:rPr>
        <w:rFonts w:ascii="Arial" w:eastAsia="Times New Roman" w:hAnsi="Arial" w:cs="Arial" w:hint="default"/>
      </w:rPr>
    </w:lvl>
    <w:lvl w:ilvl="1" w:tplc="04080003" w:tentative="1">
      <w:start w:val="1"/>
      <w:numFmt w:val="bullet"/>
      <w:lvlText w:val="o"/>
      <w:lvlJc w:val="left"/>
      <w:pPr>
        <w:ind w:left="1451" w:hanging="360"/>
      </w:pPr>
      <w:rPr>
        <w:rFonts w:ascii="Courier New" w:hAnsi="Courier New" w:cs="Courier New" w:hint="default"/>
      </w:rPr>
    </w:lvl>
    <w:lvl w:ilvl="2" w:tplc="04080005" w:tentative="1">
      <w:start w:val="1"/>
      <w:numFmt w:val="bullet"/>
      <w:lvlText w:val=""/>
      <w:lvlJc w:val="left"/>
      <w:pPr>
        <w:ind w:left="2171" w:hanging="360"/>
      </w:pPr>
      <w:rPr>
        <w:rFonts w:ascii="Wingdings" w:hAnsi="Wingdings" w:hint="default"/>
      </w:rPr>
    </w:lvl>
    <w:lvl w:ilvl="3" w:tplc="04080001" w:tentative="1">
      <w:start w:val="1"/>
      <w:numFmt w:val="bullet"/>
      <w:lvlText w:val=""/>
      <w:lvlJc w:val="left"/>
      <w:pPr>
        <w:ind w:left="2891" w:hanging="360"/>
      </w:pPr>
      <w:rPr>
        <w:rFonts w:ascii="Symbol" w:hAnsi="Symbol" w:hint="default"/>
      </w:rPr>
    </w:lvl>
    <w:lvl w:ilvl="4" w:tplc="04080003" w:tentative="1">
      <w:start w:val="1"/>
      <w:numFmt w:val="bullet"/>
      <w:lvlText w:val="o"/>
      <w:lvlJc w:val="left"/>
      <w:pPr>
        <w:ind w:left="3611" w:hanging="360"/>
      </w:pPr>
      <w:rPr>
        <w:rFonts w:ascii="Courier New" w:hAnsi="Courier New" w:cs="Courier New" w:hint="default"/>
      </w:rPr>
    </w:lvl>
    <w:lvl w:ilvl="5" w:tplc="04080005" w:tentative="1">
      <w:start w:val="1"/>
      <w:numFmt w:val="bullet"/>
      <w:lvlText w:val=""/>
      <w:lvlJc w:val="left"/>
      <w:pPr>
        <w:ind w:left="4331" w:hanging="360"/>
      </w:pPr>
      <w:rPr>
        <w:rFonts w:ascii="Wingdings" w:hAnsi="Wingdings" w:hint="default"/>
      </w:rPr>
    </w:lvl>
    <w:lvl w:ilvl="6" w:tplc="04080001" w:tentative="1">
      <w:start w:val="1"/>
      <w:numFmt w:val="bullet"/>
      <w:lvlText w:val=""/>
      <w:lvlJc w:val="left"/>
      <w:pPr>
        <w:ind w:left="5051" w:hanging="360"/>
      </w:pPr>
      <w:rPr>
        <w:rFonts w:ascii="Symbol" w:hAnsi="Symbol" w:hint="default"/>
      </w:rPr>
    </w:lvl>
    <w:lvl w:ilvl="7" w:tplc="04080003" w:tentative="1">
      <w:start w:val="1"/>
      <w:numFmt w:val="bullet"/>
      <w:lvlText w:val="o"/>
      <w:lvlJc w:val="left"/>
      <w:pPr>
        <w:ind w:left="5771" w:hanging="360"/>
      </w:pPr>
      <w:rPr>
        <w:rFonts w:ascii="Courier New" w:hAnsi="Courier New" w:cs="Courier New" w:hint="default"/>
      </w:rPr>
    </w:lvl>
    <w:lvl w:ilvl="8" w:tplc="04080005" w:tentative="1">
      <w:start w:val="1"/>
      <w:numFmt w:val="bullet"/>
      <w:lvlText w:val=""/>
      <w:lvlJc w:val="left"/>
      <w:pPr>
        <w:ind w:left="6491" w:hanging="360"/>
      </w:pPr>
      <w:rPr>
        <w:rFonts w:ascii="Wingdings" w:hAnsi="Wingdings" w:hint="default"/>
      </w:rPr>
    </w:lvl>
  </w:abstractNum>
  <w:abstractNum w:abstractNumId="5" w15:restartNumberingAfterBreak="0">
    <w:nsid w:val="170A072E"/>
    <w:multiLevelType w:val="hybridMultilevel"/>
    <w:tmpl w:val="27DEF4BC"/>
    <w:lvl w:ilvl="0" w:tplc="5D96AB8E">
      <w:start w:val="1"/>
      <w:numFmt w:val="bullet"/>
      <w:lvlText w:val=""/>
      <w:lvlJc w:val="left"/>
      <w:pPr>
        <w:tabs>
          <w:tab w:val="num" w:pos="720"/>
        </w:tabs>
        <w:ind w:left="720" w:hanging="360"/>
      </w:pPr>
      <w:rPr>
        <w:rFonts w:ascii="Wingdings" w:hAnsi="Wingdings" w:hint="default"/>
      </w:rPr>
    </w:lvl>
    <w:lvl w:ilvl="1" w:tplc="150A89C8">
      <w:start w:val="1"/>
      <w:numFmt w:val="bullet"/>
      <w:lvlText w:val=""/>
      <w:lvlJc w:val="left"/>
      <w:pPr>
        <w:tabs>
          <w:tab w:val="num" w:pos="1440"/>
        </w:tabs>
        <w:ind w:left="1440" w:hanging="360"/>
      </w:pPr>
      <w:rPr>
        <w:rFonts w:ascii="Wingdings" w:hAnsi="Wingdings" w:hint="default"/>
      </w:rPr>
    </w:lvl>
    <w:lvl w:ilvl="2" w:tplc="2436B798" w:tentative="1">
      <w:start w:val="1"/>
      <w:numFmt w:val="bullet"/>
      <w:lvlText w:val=""/>
      <w:lvlJc w:val="left"/>
      <w:pPr>
        <w:tabs>
          <w:tab w:val="num" w:pos="2160"/>
        </w:tabs>
        <w:ind w:left="2160" w:hanging="360"/>
      </w:pPr>
      <w:rPr>
        <w:rFonts w:ascii="Wingdings" w:hAnsi="Wingdings" w:hint="default"/>
      </w:rPr>
    </w:lvl>
    <w:lvl w:ilvl="3" w:tplc="BFE652CA" w:tentative="1">
      <w:start w:val="1"/>
      <w:numFmt w:val="bullet"/>
      <w:lvlText w:val=""/>
      <w:lvlJc w:val="left"/>
      <w:pPr>
        <w:tabs>
          <w:tab w:val="num" w:pos="2880"/>
        </w:tabs>
        <w:ind w:left="2880" w:hanging="360"/>
      </w:pPr>
      <w:rPr>
        <w:rFonts w:ascii="Wingdings" w:hAnsi="Wingdings" w:hint="default"/>
      </w:rPr>
    </w:lvl>
    <w:lvl w:ilvl="4" w:tplc="A016DD7E" w:tentative="1">
      <w:start w:val="1"/>
      <w:numFmt w:val="bullet"/>
      <w:lvlText w:val=""/>
      <w:lvlJc w:val="left"/>
      <w:pPr>
        <w:tabs>
          <w:tab w:val="num" w:pos="3600"/>
        </w:tabs>
        <w:ind w:left="3600" w:hanging="360"/>
      </w:pPr>
      <w:rPr>
        <w:rFonts w:ascii="Wingdings" w:hAnsi="Wingdings" w:hint="default"/>
      </w:rPr>
    </w:lvl>
    <w:lvl w:ilvl="5" w:tplc="C35E7BD6" w:tentative="1">
      <w:start w:val="1"/>
      <w:numFmt w:val="bullet"/>
      <w:lvlText w:val=""/>
      <w:lvlJc w:val="left"/>
      <w:pPr>
        <w:tabs>
          <w:tab w:val="num" w:pos="4320"/>
        </w:tabs>
        <w:ind w:left="4320" w:hanging="360"/>
      </w:pPr>
      <w:rPr>
        <w:rFonts w:ascii="Wingdings" w:hAnsi="Wingdings" w:hint="default"/>
      </w:rPr>
    </w:lvl>
    <w:lvl w:ilvl="6" w:tplc="4CF82B56" w:tentative="1">
      <w:start w:val="1"/>
      <w:numFmt w:val="bullet"/>
      <w:lvlText w:val=""/>
      <w:lvlJc w:val="left"/>
      <w:pPr>
        <w:tabs>
          <w:tab w:val="num" w:pos="5040"/>
        </w:tabs>
        <w:ind w:left="5040" w:hanging="360"/>
      </w:pPr>
      <w:rPr>
        <w:rFonts w:ascii="Wingdings" w:hAnsi="Wingdings" w:hint="default"/>
      </w:rPr>
    </w:lvl>
    <w:lvl w:ilvl="7" w:tplc="F61891EC" w:tentative="1">
      <w:start w:val="1"/>
      <w:numFmt w:val="bullet"/>
      <w:lvlText w:val=""/>
      <w:lvlJc w:val="left"/>
      <w:pPr>
        <w:tabs>
          <w:tab w:val="num" w:pos="5760"/>
        </w:tabs>
        <w:ind w:left="5760" w:hanging="360"/>
      </w:pPr>
      <w:rPr>
        <w:rFonts w:ascii="Wingdings" w:hAnsi="Wingdings" w:hint="default"/>
      </w:rPr>
    </w:lvl>
    <w:lvl w:ilvl="8" w:tplc="AFCCCF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93B38"/>
    <w:multiLevelType w:val="hybridMultilevel"/>
    <w:tmpl w:val="F9BE7390"/>
    <w:lvl w:ilvl="0" w:tplc="040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45756A"/>
    <w:multiLevelType w:val="hybridMultilevel"/>
    <w:tmpl w:val="5D1EB3A2"/>
    <w:lvl w:ilvl="0" w:tplc="CB68E564">
      <w:numFmt w:val="bullet"/>
      <w:lvlText w:val="-"/>
      <w:lvlJc w:val="left"/>
      <w:pPr>
        <w:ind w:left="644" w:hanging="360"/>
      </w:pPr>
      <w:rPr>
        <w:rFonts w:ascii="Arial" w:eastAsia="Times New Roman" w:hAnsi="Arial" w:cs="Arial" w:hint="default"/>
      </w:rPr>
    </w:lvl>
    <w:lvl w:ilvl="1" w:tplc="04080003">
      <w:start w:val="1"/>
      <w:numFmt w:val="bullet"/>
      <w:lvlText w:val="o"/>
      <w:lvlJc w:val="left"/>
      <w:pPr>
        <w:ind w:left="-3946" w:hanging="360"/>
      </w:pPr>
      <w:rPr>
        <w:rFonts w:ascii="Courier New" w:hAnsi="Courier New" w:cs="Courier New" w:hint="default"/>
      </w:rPr>
    </w:lvl>
    <w:lvl w:ilvl="2" w:tplc="04080005" w:tentative="1">
      <w:start w:val="1"/>
      <w:numFmt w:val="bullet"/>
      <w:lvlText w:val=""/>
      <w:lvlJc w:val="left"/>
      <w:pPr>
        <w:ind w:left="-3226" w:hanging="360"/>
      </w:pPr>
      <w:rPr>
        <w:rFonts w:ascii="Wingdings" w:hAnsi="Wingdings" w:hint="default"/>
      </w:rPr>
    </w:lvl>
    <w:lvl w:ilvl="3" w:tplc="04080001" w:tentative="1">
      <w:start w:val="1"/>
      <w:numFmt w:val="bullet"/>
      <w:lvlText w:val=""/>
      <w:lvlJc w:val="left"/>
      <w:pPr>
        <w:ind w:left="-2506" w:hanging="360"/>
      </w:pPr>
      <w:rPr>
        <w:rFonts w:ascii="Symbol" w:hAnsi="Symbol" w:hint="default"/>
      </w:rPr>
    </w:lvl>
    <w:lvl w:ilvl="4" w:tplc="04080003" w:tentative="1">
      <w:start w:val="1"/>
      <w:numFmt w:val="bullet"/>
      <w:lvlText w:val="o"/>
      <w:lvlJc w:val="left"/>
      <w:pPr>
        <w:ind w:left="-1786" w:hanging="360"/>
      </w:pPr>
      <w:rPr>
        <w:rFonts w:ascii="Courier New" w:hAnsi="Courier New" w:cs="Courier New" w:hint="default"/>
      </w:rPr>
    </w:lvl>
    <w:lvl w:ilvl="5" w:tplc="04080005" w:tentative="1">
      <w:start w:val="1"/>
      <w:numFmt w:val="bullet"/>
      <w:lvlText w:val=""/>
      <w:lvlJc w:val="left"/>
      <w:pPr>
        <w:ind w:left="-1066" w:hanging="360"/>
      </w:pPr>
      <w:rPr>
        <w:rFonts w:ascii="Wingdings" w:hAnsi="Wingdings" w:hint="default"/>
      </w:rPr>
    </w:lvl>
    <w:lvl w:ilvl="6" w:tplc="04080001" w:tentative="1">
      <w:start w:val="1"/>
      <w:numFmt w:val="bullet"/>
      <w:lvlText w:val=""/>
      <w:lvlJc w:val="left"/>
      <w:pPr>
        <w:ind w:left="-346" w:hanging="360"/>
      </w:pPr>
      <w:rPr>
        <w:rFonts w:ascii="Symbol" w:hAnsi="Symbol" w:hint="default"/>
      </w:rPr>
    </w:lvl>
    <w:lvl w:ilvl="7" w:tplc="04080003" w:tentative="1">
      <w:start w:val="1"/>
      <w:numFmt w:val="bullet"/>
      <w:lvlText w:val="o"/>
      <w:lvlJc w:val="left"/>
      <w:pPr>
        <w:ind w:left="374" w:hanging="360"/>
      </w:pPr>
      <w:rPr>
        <w:rFonts w:ascii="Courier New" w:hAnsi="Courier New" w:cs="Courier New" w:hint="default"/>
      </w:rPr>
    </w:lvl>
    <w:lvl w:ilvl="8" w:tplc="04080005" w:tentative="1">
      <w:start w:val="1"/>
      <w:numFmt w:val="bullet"/>
      <w:lvlText w:val=""/>
      <w:lvlJc w:val="left"/>
      <w:pPr>
        <w:ind w:left="1094" w:hanging="360"/>
      </w:pPr>
      <w:rPr>
        <w:rFonts w:ascii="Wingdings" w:hAnsi="Wingdings" w:hint="default"/>
      </w:rPr>
    </w:lvl>
  </w:abstractNum>
  <w:abstractNum w:abstractNumId="8" w15:restartNumberingAfterBreak="0">
    <w:nsid w:val="7B292AE7"/>
    <w:multiLevelType w:val="hybridMultilevel"/>
    <w:tmpl w:val="41409D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5"/>
  </w:num>
  <w:num w:numId="5">
    <w:abstractNumId w:val="3"/>
  </w:num>
  <w:num w:numId="6">
    <w:abstractNumId w:val="8"/>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BE"/>
    <w:rsid w:val="00001463"/>
    <w:rsid w:val="000018BC"/>
    <w:rsid w:val="00001E5E"/>
    <w:rsid w:val="00003CC4"/>
    <w:rsid w:val="0000478F"/>
    <w:rsid w:val="000057C4"/>
    <w:rsid w:val="000073EC"/>
    <w:rsid w:val="00007614"/>
    <w:rsid w:val="000108D8"/>
    <w:rsid w:val="000113F4"/>
    <w:rsid w:val="00012D6D"/>
    <w:rsid w:val="000135F5"/>
    <w:rsid w:val="0001669D"/>
    <w:rsid w:val="0002094C"/>
    <w:rsid w:val="00024422"/>
    <w:rsid w:val="00025DEC"/>
    <w:rsid w:val="00032103"/>
    <w:rsid w:val="000337AD"/>
    <w:rsid w:val="00035ED6"/>
    <w:rsid w:val="00036590"/>
    <w:rsid w:val="000408A0"/>
    <w:rsid w:val="000423CD"/>
    <w:rsid w:val="000436B4"/>
    <w:rsid w:val="00044325"/>
    <w:rsid w:val="00044428"/>
    <w:rsid w:val="00050AA8"/>
    <w:rsid w:val="0005145C"/>
    <w:rsid w:val="000539AC"/>
    <w:rsid w:val="00054441"/>
    <w:rsid w:val="00055140"/>
    <w:rsid w:val="000638D9"/>
    <w:rsid w:val="00063C55"/>
    <w:rsid w:val="00064956"/>
    <w:rsid w:val="00065351"/>
    <w:rsid w:val="0006544F"/>
    <w:rsid w:val="00067C36"/>
    <w:rsid w:val="00070326"/>
    <w:rsid w:val="00072120"/>
    <w:rsid w:val="00076804"/>
    <w:rsid w:val="0008621C"/>
    <w:rsid w:val="00087FC4"/>
    <w:rsid w:val="00090B00"/>
    <w:rsid w:val="00091DDA"/>
    <w:rsid w:val="00092C42"/>
    <w:rsid w:val="00093193"/>
    <w:rsid w:val="00095056"/>
    <w:rsid w:val="0009624B"/>
    <w:rsid w:val="00096713"/>
    <w:rsid w:val="000A04F5"/>
    <w:rsid w:val="000A0991"/>
    <w:rsid w:val="000A4D42"/>
    <w:rsid w:val="000A5036"/>
    <w:rsid w:val="000A6C19"/>
    <w:rsid w:val="000B08CB"/>
    <w:rsid w:val="000B2A3B"/>
    <w:rsid w:val="000B336F"/>
    <w:rsid w:val="000B374B"/>
    <w:rsid w:val="000B3D46"/>
    <w:rsid w:val="000B5D13"/>
    <w:rsid w:val="000B5FD3"/>
    <w:rsid w:val="000C2A32"/>
    <w:rsid w:val="000C41AE"/>
    <w:rsid w:val="000C7D9A"/>
    <w:rsid w:val="000D0705"/>
    <w:rsid w:val="000D0AB6"/>
    <w:rsid w:val="000D26B9"/>
    <w:rsid w:val="000D358B"/>
    <w:rsid w:val="000D4172"/>
    <w:rsid w:val="000D6446"/>
    <w:rsid w:val="000D67A1"/>
    <w:rsid w:val="000D7348"/>
    <w:rsid w:val="000E01B9"/>
    <w:rsid w:val="000E10BE"/>
    <w:rsid w:val="000E1B95"/>
    <w:rsid w:val="000E2125"/>
    <w:rsid w:val="000E2981"/>
    <w:rsid w:val="000E6B59"/>
    <w:rsid w:val="000F076B"/>
    <w:rsid w:val="000F2A6F"/>
    <w:rsid w:val="000F49BB"/>
    <w:rsid w:val="000F54C9"/>
    <w:rsid w:val="000F613D"/>
    <w:rsid w:val="000F6CB7"/>
    <w:rsid w:val="0010083B"/>
    <w:rsid w:val="001035BA"/>
    <w:rsid w:val="001036B1"/>
    <w:rsid w:val="00103C1C"/>
    <w:rsid w:val="00104B80"/>
    <w:rsid w:val="001065EC"/>
    <w:rsid w:val="00107FE2"/>
    <w:rsid w:val="00113900"/>
    <w:rsid w:val="00113920"/>
    <w:rsid w:val="00121A6A"/>
    <w:rsid w:val="00124509"/>
    <w:rsid w:val="00125A35"/>
    <w:rsid w:val="00126142"/>
    <w:rsid w:val="00126C55"/>
    <w:rsid w:val="001301DA"/>
    <w:rsid w:val="00132977"/>
    <w:rsid w:val="0013668D"/>
    <w:rsid w:val="001417CB"/>
    <w:rsid w:val="001447F2"/>
    <w:rsid w:val="00144F71"/>
    <w:rsid w:val="00147A43"/>
    <w:rsid w:val="001511E7"/>
    <w:rsid w:val="001516D6"/>
    <w:rsid w:val="001517B9"/>
    <w:rsid w:val="001547D6"/>
    <w:rsid w:val="0015574E"/>
    <w:rsid w:val="001577D3"/>
    <w:rsid w:val="00157B4C"/>
    <w:rsid w:val="00161298"/>
    <w:rsid w:val="00163905"/>
    <w:rsid w:val="001641E2"/>
    <w:rsid w:val="00165CD8"/>
    <w:rsid w:val="0016769A"/>
    <w:rsid w:val="00173777"/>
    <w:rsid w:val="001830FD"/>
    <w:rsid w:val="001838D5"/>
    <w:rsid w:val="00184408"/>
    <w:rsid w:val="0018749C"/>
    <w:rsid w:val="001878DB"/>
    <w:rsid w:val="00192A92"/>
    <w:rsid w:val="00192DFD"/>
    <w:rsid w:val="001959B1"/>
    <w:rsid w:val="001A31CD"/>
    <w:rsid w:val="001A3C8F"/>
    <w:rsid w:val="001A3E12"/>
    <w:rsid w:val="001A4921"/>
    <w:rsid w:val="001B0EB8"/>
    <w:rsid w:val="001B0ECE"/>
    <w:rsid w:val="001B24AD"/>
    <w:rsid w:val="001B31C9"/>
    <w:rsid w:val="001B3258"/>
    <w:rsid w:val="001B45B2"/>
    <w:rsid w:val="001B4B5B"/>
    <w:rsid w:val="001B75DF"/>
    <w:rsid w:val="001B7BA9"/>
    <w:rsid w:val="001C17C5"/>
    <w:rsid w:val="001C3371"/>
    <w:rsid w:val="001C4046"/>
    <w:rsid w:val="001C51DF"/>
    <w:rsid w:val="001D0DAC"/>
    <w:rsid w:val="001D4DE5"/>
    <w:rsid w:val="001D5A4D"/>
    <w:rsid w:val="001D692E"/>
    <w:rsid w:val="001E03E0"/>
    <w:rsid w:val="001E2263"/>
    <w:rsid w:val="001E49CB"/>
    <w:rsid w:val="001F050E"/>
    <w:rsid w:val="001F230A"/>
    <w:rsid w:val="001F4BDF"/>
    <w:rsid w:val="001F5F5A"/>
    <w:rsid w:val="001F6E9C"/>
    <w:rsid w:val="001F7C40"/>
    <w:rsid w:val="0020067A"/>
    <w:rsid w:val="00202E2F"/>
    <w:rsid w:val="002031F8"/>
    <w:rsid w:val="00203D33"/>
    <w:rsid w:val="00204B2B"/>
    <w:rsid w:val="00214EFB"/>
    <w:rsid w:val="00217A10"/>
    <w:rsid w:val="002217B2"/>
    <w:rsid w:val="0022213B"/>
    <w:rsid w:val="00222937"/>
    <w:rsid w:val="002236A9"/>
    <w:rsid w:val="00231AF3"/>
    <w:rsid w:val="002416BB"/>
    <w:rsid w:val="00242F03"/>
    <w:rsid w:val="00245AB3"/>
    <w:rsid w:val="002467E1"/>
    <w:rsid w:val="00250564"/>
    <w:rsid w:val="0025212A"/>
    <w:rsid w:val="00254705"/>
    <w:rsid w:val="002554EA"/>
    <w:rsid w:val="00256E4B"/>
    <w:rsid w:val="00257221"/>
    <w:rsid w:val="0025794B"/>
    <w:rsid w:val="00257AE6"/>
    <w:rsid w:val="0026085A"/>
    <w:rsid w:val="00263F3B"/>
    <w:rsid w:val="002660BC"/>
    <w:rsid w:val="00266CB1"/>
    <w:rsid w:val="00273F86"/>
    <w:rsid w:val="00281AAA"/>
    <w:rsid w:val="00282A47"/>
    <w:rsid w:val="0028355E"/>
    <w:rsid w:val="00285C46"/>
    <w:rsid w:val="002868CC"/>
    <w:rsid w:val="00290C12"/>
    <w:rsid w:val="00293E7F"/>
    <w:rsid w:val="002A058D"/>
    <w:rsid w:val="002A066F"/>
    <w:rsid w:val="002A3F8D"/>
    <w:rsid w:val="002A40B4"/>
    <w:rsid w:val="002A55B7"/>
    <w:rsid w:val="002A61B1"/>
    <w:rsid w:val="002A6407"/>
    <w:rsid w:val="002B2838"/>
    <w:rsid w:val="002B6FC3"/>
    <w:rsid w:val="002C1202"/>
    <w:rsid w:val="002C17BB"/>
    <w:rsid w:val="002C7580"/>
    <w:rsid w:val="002D0421"/>
    <w:rsid w:val="002D0A28"/>
    <w:rsid w:val="002D34DA"/>
    <w:rsid w:val="002D3580"/>
    <w:rsid w:val="002D56B7"/>
    <w:rsid w:val="002D5AE3"/>
    <w:rsid w:val="002D5FF9"/>
    <w:rsid w:val="002D6B38"/>
    <w:rsid w:val="002E0A92"/>
    <w:rsid w:val="002E6FF7"/>
    <w:rsid w:val="002E764E"/>
    <w:rsid w:val="002F1217"/>
    <w:rsid w:val="002F17FD"/>
    <w:rsid w:val="002F1CDB"/>
    <w:rsid w:val="002F24F7"/>
    <w:rsid w:val="002F4462"/>
    <w:rsid w:val="002F5045"/>
    <w:rsid w:val="002F65E0"/>
    <w:rsid w:val="0030091C"/>
    <w:rsid w:val="003020A5"/>
    <w:rsid w:val="00302545"/>
    <w:rsid w:val="003025AF"/>
    <w:rsid w:val="0030398C"/>
    <w:rsid w:val="00304B6F"/>
    <w:rsid w:val="003109EF"/>
    <w:rsid w:val="00312792"/>
    <w:rsid w:val="00321199"/>
    <w:rsid w:val="00324586"/>
    <w:rsid w:val="00324E55"/>
    <w:rsid w:val="0032552F"/>
    <w:rsid w:val="00326302"/>
    <w:rsid w:val="00327BE1"/>
    <w:rsid w:val="00327C59"/>
    <w:rsid w:val="00330B05"/>
    <w:rsid w:val="00331BA4"/>
    <w:rsid w:val="00333219"/>
    <w:rsid w:val="003332ED"/>
    <w:rsid w:val="003336B3"/>
    <w:rsid w:val="0033444E"/>
    <w:rsid w:val="0033511D"/>
    <w:rsid w:val="00335B9A"/>
    <w:rsid w:val="00336A30"/>
    <w:rsid w:val="003403A0"/>
    <w:rsid w:val="00345777"/>
    <w:rsid w:val="003508C8"/>
    <w:rsid w:val="00354B6F"/>
    <w:rsid w:val="0035550D"/>
    <w:rsid w:val="0035595D"/>
    <w:rsid w:val="00356E51"/>
    <w:rsid w:val="003577C9"/>
    <w:rsid w:val="003633F0"/>
    <w:rsid w:val="003648FC"/>
    <w:rsid w:val="003671B6"/>
    <w:rsid w:val="0037264E"/>
    <w:rsid w:val="0037302D"/>
    <w:rsid w:val="00374F9B"/>
    <w:rsid w:val="003753A2"/>
    <w:rsid w:val="003812C2"/>
    <w:rsid w:val="0038307E"/>
    <w:rsid w:val="0038346B"/>
    <w:rsid w:val="00384C2D"/>
    <w:rsid w:val="00390095"/>
    <w:rsid w:val="0039019F"/>
    <w:rsid w:val="00393191"/>
    <w:rsid w:val="003936E7"/>
    <w:rsid w:val="003954AE"/>
    <w:rsid w:val="0039569C"/>
    <w:rsid w:val="00397C67"/>
    <w:rsid w:val="003A09DA"/>
    <w:rsid w:val="003A19E2"/>
    <w:rsid w:val="003A46A9"/>
    <w:rsid w:val="003A4869"/>
    <w:rsid w:val="003A59DA"/>
    <w:rsid w:val="003A5C3F"/>
    <w:rsid w:val="003A6959"/>
    <w:rsid w:val="003A7E41"/>
    <w:rsid w:val="003A7E4D"/>
    <w:rsid w:val="003C1261"/>
    <w:rsid w:val="003C7C98"/>
    <w:rsid w:val="003D24F8"/>
    <w:rsid w:val="003D31E6"/>
    <w:rsid w:val="003D3228"/>
    <w:rsid w:val="003D3CD2"/>
    <w:rsid w:val="003D3F41"/>
    <w:rsid w:val="003D5A13"/>
    <w:rsid w:val="003D7A77"/>
    <w:rsid w:val="003E14D0"/>
    <w:rsid w:val="003E1D77"/>
    <w:rsid w:val="003E3156"/>
    <w:rsid w:val="003E4E3D"/>
    <w:rsid w:val="003E5B66"/>
    <w:rsid w:val="003F1279"/>
    <w:rsid w:val="003F3D85"/>
    <w:rsid w:val="003F4E12"/>
    <w:rsid w:val="003F5045"/>
    <w:rsid w:val="00403CFF"/>
    <w:rsid w:val="00404351"/>
    <w:rsid w:val="004051DB"/>
    <w:rsid w:val="004052E7"/>
    <w:rsid w:val="004053D9"/>
    <w:rsid w:val="00406ACE"/>
    <w:rsid w:val="0040760C"/>
    <w:rsid w:val="00407A48"/>
    <w:rsid w:val="004107E7"/>
    <w:rsid w:val="00410E26"/>
    <w:rsid w:val="00410FF8"/>
    <w:rsid w:val="0041122A"/>
    <w:rsid w:val="00413EEF"/>
    <w:rsid w:val="004148C0"/>
    <w:rsid w:val="00414AE3"/>
    <w:rsid w:val="00416BC3"/>
    <w:rsid w:val="0041707D"/>
    <w:rsid w:val="004239CA"/>
    <w:rsid w:val="00425E75"/>
    <w:rsid w:val="00431129"/>
    <w:rsid w:val="00432568"/>
    <w:rsid w:val="004342F1"/>
    <w:rsid w:val="00437993"/>
    <w:rsid w:val="0044090B"/>
    <w:rsid w:val="00445744"/>
    <w:rsid w:val="00447B24"/>
    <w:rsid w:val="00447EF2"/>
    <w:rsid w:val="00452A51"/>
    <w:rsid w:val="00452B6D"/>
    <w:rsid w:val="0045425D"/>
    <w:rsid w:val="00460C52"/>
    <w:rsid w:val="00463A71"/>
    <w:rsid w:val="00464D0A"/>
    <w:rsid w:val="00465824"/>
    <w:rsid w:val="00467266"/>
    <w:rsid w:val="00470372"/>
    <w:rsid w:val="00471C49"/>
    <w:rsid w:val="004744CC"/>
    <w:rsid w:val="00474F1D"/>
    <w:rsid w:val="00475C85"/>
    <w:rsid w:val="00480C09"/>
    <w:rsid w:val="0048538E"/>
    <w:rsid w:val="00485C32"/>
    <w:rsid w:val="00486A4F"/>
    <w:rsid w:val="004903E8"/>
    <w:rsid w:val="004971A3"/>
    <w:rsid w:val="00497541"/>
    <w:rsid w:val="004A0F4E"/>
    <w:rsid w:val="004A39DC"/>
    <w:rsid w:val="004A424A"/>
    <w:rsid w:val="004A49CD"/>
    <w:rsid w:val="004B0C4E"/>
    <w:rsid w:val="004B1BAE"/>
    <w:rsid w:val="004B3A53"/>
    <w:rsid w:val="004B55F7"/>
    <w:rsid w:val="004C196C"/>
    <w:rsid w:val="004C3660"/>
    <w:rsid w:val="004C4F51"/>
    <w:rsid w:val="004C7973"/>
    <w:rsid w:val="004D09BD"/>
    <w:rsid w:val="004D1171"/>
    <w:rsid w:val="004D236E"/>
    <w:rsid w:val="004D2413"/>
    <w:rsid w:val="004D5E3B"/>
    <w:rsid w:val="004D6FEA"/>
    <w:rsid w:val="004E03E1"/>
    <w:rsid w:val="004E11FD"/>
    <w:rsid w:val="004E16EE"/>
    <w:rsid w:val="004E2DA0"/>
    <w:rsid w:val="004E3749"/>
    <w:rsid w:val="004F298E"/>
    <w:rsid w:val="004F3806"/>
    <w:rsid w:val="004F7805"/>
    <w:rsid w:val="00500167"/>
    <w:rsid w:val="00510BA3"/>
    <w:rsid w:val="00511FA3"/>
    <w:rsid w:val="00512441"/>
    <w:rsid w:val="005131E8"/>
    <w:rsid w:val="005147D0"/>
    <w:rsid w:val="00515715"/>
    <w:rsid w:val="0051688B"/>
    <w:rsid w:val="0052397F"/>
    <w:rsid w:val="005253FE"/>
    <w:rsid w:val="00530E55"/>
    <w:rsid w:val="005336C9"/>
    <w:rsid w:val="00535880"/>
    <w:rsid w:val="005364C0"/>
    <w:rsid w:val="0053675B"/>
    <w:rsid w:val="00544942"/>
    <w:rsid w:val="00545EF7"/>
    <w:rsid w:val="005470BD"/>
    <w:rsid w:val="00550E45"/>
    <w:rsid w:val="00554439"/>
    <w:rsid w:val="0055558F"/>
    <w:rsid w:val="00555B95"/>
    <w:rsid w:val="00557268"/>
    <w:rsid w:val="005613D2"/>
    <w:rsid w:val="005623FE"/>
    <w:rsid w:val="00564158"/>
    <w:rsid w:val="00570F84"/>
    <w:rsid w:val="00571C8A"/>
    <w:rsid w:val="0057696B"/>
    <w:rsid w:val="00577D43"/>
    <w:rsid w:val="00580FDC"/>
    <w:rsid w:val="005810DE"/>
    <w:rsid w:val="0058157A"/>
    <w:rsid w:val="00586B2E"/>
    <w:rsid w:val="00587A47"/>
    <w:rsid w:val="00590E16"/>
    <w:rsid w:val="005942B2"/>
    <w:rsid w:val="00597602"/>
    <w:rsid w:val="005A0DBE"/>
    <w:rsid w:val="005A281C"/>
    <w:rsid w:val="005A58DE"/>
    <w:rsid w:val="005B0AF2"/>
    <w:rsid w:val="005B0AFE"/>
    <w:rsid w:val="005B17CB"/>
    <w:rsid w:val="005B61C0"/>
    <w:rsid w:val="005C0AE8"/>
    <w:rsid w:val="005C1BB8"/>
    <w:rsid w:val="005C1D19"/>
    <w:rsid w:val="005C1D64"/>
    <w:rsid w:val="005C2345"/>
    <w:rsid w:val="005C4620"/>
    <w:rsid w:val="005C57A1"/>
    <w:rsid w:val="005C719E"/>
    <w:rsid w:val="005D028C"/>
    <w:rsid w:val="005D33A0"/>
    <w:rsid w:val="005D3B22"/>
    <w:rsid w:val="005E534E"/>
    <w:rsid w:val="005E5830"/>
    <w:rsid w:val="005F3323"/>
    <w:rsid w:val="005F4126"/>
    <w:rsid w:val="005F655B"/>
    <w:rsid w:val="005F693A"/>
    <w:rsid w:val="00605E8C"/>
    <w:rsid w:val="006068F0"/>
    <w:rsid w:val="00610D9F"/>
    <w:rsid w:val="00611289"/>
    <w:rsid w:val="0061134B"/>
    <w:rsid w:val="0061299A"/>
    <w:rsid w:val="00613831"/>
    <w:rsid w:val="00617101"/>
    <w:rsid w:val="0062023D"/>
    <w:rsid w:val="00620A08"/>
    <w:rsid w:val="00622B7A"/>
    <w:rsid w:val="00622E0E"/>
    <w:rsid w:val="0062318D"/>
    <w:rsid w:val="00623FA8"/>
    <w:rsid w:val="00627F1E"/>
    <w:rsid w:val="006307C9"/>
    <w:rsid w:val="006341EB"/>
    <w:rsid w:val="00635D47"/>
    <w:rsid w:val="006400E4"/>
    <w:rsid w:val="00645210"/>
    <w:rsid w:val="00645440"/>
    <w:rsid w:val="00645748"/>
    <w:rsid w:val="00646102"/>
    <w:rsid w:val="006503A1"/>
    <w:rsid w:val="0065467B"/>
    <w:rsid w:val="00654E41"/>
    <w:rsid w:val="00654F44"/>
    <w:rsid w:val="00663715"/>
    <w:rsid w:val="00666E13"/>
    <w:rsid w:val="00667226"/>
    <w:rsid w:val="006709F8"/>
    <w:rsid w:val="00674B96"/>
    <w:rsid w:val="006801EC"/>
    <w:rsid w:val="0068333D"/>
    <w:rsid w:val="006852BF"/>
    <w:rsid w:val="00690C9B"/>
    <w:rsid w:val="00690D1F"/>
    <w:rsid w:val="00691AF7"/>
    <w:rsid w:val="00692A09"/>
    <w:rsid w:val="00694A0D"/>
    <w:rsid w:val="00694EDF"/>
    <w:rsid w:val="00696C8A"/>
    <w:rsid w:val="006A0C6C"/>
    <w:rsid w:val="006A32C3"/>
    <w:rsid w:val="006A47E4"/>
    <w:rsid w:val="006A4A1B"/>
    <w:rsid w:val="006B0CCA"/>
    <w:rsid w:val="006B1EF6"/>
    <w:rsid w:val="006B28F1"/>
    <w:rsid w:val="006B5D7B"/>
    <w:rsid w:val="006C0866"/>
    <w:rsid w:val="006C2EBB"/>
    <w:rsid w:val="006C3029"/>
    <w:rsid w:val="006C71DC"/>
    <w:rsid w:val="006D1FDF"/>
    <w:rsid w:val="006D24BC"/>
    <w:rsid w:val="006D25B5"/>
    <w:rsid w:val="006D32C7"/>
    <w:rsid w:val="006E144F"/>
    <w:rsid w:val="006E1A84"/>
    <w:rsid w:val="006E28B8"/>
    <w:rsid w:val="006E300D"/>
    <w:rsid w:val="006E30B6"/>
    <w:rsid w:val="006E3884"/>
    <w:rsid w:val="006E5F97"/>
    <w:rsid w:val="006E692C"/>
    <w:rsid w:val="006F01F3"/>
    <w:rsid w:val="006F239F"/>
    <w:rsid w:val="00702B4A"/>
    <w:rsid w:val="007105DC"/>
    <w:rsid w:val="007110BA"/>
    <w:rsid w:val="00711387"/>
    <w:rsid w:val="00715C64"/>
    <w:rsid w:val="007170AD"/>
    <w:rsid w:val="00717CDC"/>
    <w:rsid w:val="007202A8"/>
    <w:rsid w:val="007209B0"/>
    <w:rsid w:val="00724167"/>
    <w:rsid w:val="0072503B"/>
    <w:rsid w:val="00731C36"/>
    <w:rsid w:val="0073566D"/>
    <w:rsid w:val="00735AEE"/>
    <w:rsid w:val="00736421"/>
    <w:rsid w:val="007369B8"/>
    <w:rsid w:val="00740364"/>
    <w:rsid w:val="007432B0"/>
    <w:rsid w:val="00744F17"/>
    <w:rsid w:val="00745B54"/>
    <w:rsid w:val="007603B5"/>
    <w:rsid w:val="0076114E"/>
    <w:rsid w:val="00763E88"/>
    <w:rsid w:val="00765C46"/>
    <w:rsid w:val="00767943"/>
    <w:rsid w:val="00767AEB"/>
    <w:rsid w:val="0077028B"/>
    <w:rsid w:val="007748B1"/>
    <w:rsid w:val="0077574D"/>
    <w:rsid w:val="00775D48"/>
    <w:rsid w:val="00780085"/>
    <w:rsid w:val="0078045C"/>
    <w:rsid w:val="0078309A"/>
    <w:rsid w:val="007926DB"/>
    <w:rsid w:val="0079277E"/>
    <w:rsid w:val="00795801"/>
    <w:rsid w:val="00797C59"/>
    <w:rsid w:val="007A0301"/>
    <w:rsid w:val="007A0DBE"/>
    <w:rsid w:val="007A11DA"/>
    <w:rsid w:val="007A33DE"/>
    <w:rsid w:val="007B1647"/>
    <w:rsid w:val="007B2E24"/>
    <w:rsid w:val="007B3176"/>
    <w:rsid w:val="007B37CE"/>
    <w:rsid w:val="007B4B52"/>
    <w:rsid w:val="007B7942"/>
    <w:rsid w:val="007C260F"/>
    <w:rsid w:val="007C3F88"/>
    <w:rsid w:val="007D0E22"/>
    <w:rsid w:val="007D1398"/>
    <w:rsid w:val="007D6914"/>
    <w:rsid w:val="007D748A"/>
    <w:rsid w:val="007E0DA6"/>
    <w:rsid w:val="007E21BD"/>
    <w:rsid w:val="007E21C9"/>
    <w:rsid w:val="007E3185"/>
    <w:rsid w:val="007E4333"/>
    <w:rsid w:val="007E50D5"/>
    <w:rsid w:val="007E767D"/>
    <w:rsid w:val="007F0ED7"/>
    <w:rsid w:val="007F2A4B"/>
    <w:rsid w:val="007F463B"/>
    <w:rsid w:val="007F50A6"/>
    <w:rsid w:val="007F55CC"/>
    <w:rsid w:val="007F5A82"/>
    <w:rsid w:val="007F6669"/>
    <w:rsid w:val="007F675C"/>
    <w:rsid w:val="00800B6D"/>
    <w:rsid w:val="008025C2"/>
    <w:rsid w:val="00803448"/>
    <w:rsid w:val="00805263"/>
    <w:rsid w:val="00807B72"/>
    <w:rsid w:val="00811DC9"/>
    <w:rsid w:val="0081653C"/>
    <w:rsid w:val="00822245"/>
    <w:rsid w:val="008226AF"/>
    <w:rsid w:val="00823BA3"/>
    <w:rsid w:val="008256E5"/>
    <w:rsid w:val="00826322"/>
    <w:rsid w:val="00826953"/>
    <w:rsid w:val="00827CA0"/>
    <w:rsid w:val="00831402"/>
    <w:rsid w:val="0083205C"/>
    <w:rsid w:val="0083222B"/>
    <w:rsid w:val="00837454"/>
    <w:rsid w:val="00837A4F"/>
    <w:rsid w:val="00842CCA"/>
    <w:rsid w:val="00844458"/>
    <w:rsid w:val="008456EB"/>
    <w:rsid w:val="00845BB5"/>
    <w:rsid w:val="00850D76"/>
    <w:rsid w:val="00851841"/>
    <w:rsid w:val="00851DEB"/>
    <w:rsid w:val="00852AA7"/>
    <w:rsid w:val="00854B24"/>
    <w:rsid w:val="008553BA"/>
    <w:rsid w:val="008562C0"/>
    <w:rsid w:val="00857137"/>
    <w:rsid w:val="008577D2"/>
    <w:rsid w:val="00857C33"/>
    <w:rsid w:val="0086411B"/>
    <w:rsid w:val="0087385A"/>
    <w:rsid w:val="00877422"/>
    <w:rsid w:val="00877482"/>
    <w:rsid w:val="00885701"/>
    <w:rsid w:val="00886178"/>
    <w:rsid w:val="00887243"/>
    <w:rsid w:val="00887E3D"/>
    <w:rsid w:val="0089040D"/>
    <w:rsid w:val="008919BE"/>
    <w:rsid w:val="0089458B"/>
    <w:rsid w:val="008958A3"/>
    <w:rsid w:val="00896952"/>
    <w:rsid w:val="008A1235"/>
    <w:rsid w:val="008A37AE"/>
    <w:rsid w:val="008A5E0F"/>
    <w:rsid w:val="008A635E"/>
    <w:rsid w:val="008A636D"/>
    <w:rsid w:val="008A75AF"/>
    <w:rsid w:val="008B717D"/>
    <w:rsid w:val="008C0726"/>
    <w:rsid w:val="008C254D"/>
    <w:rsid w:val="008C3381"/>
    <w:rsid w:val="008C35F8"/>
    <w:rsid w:val="008C5887"/>
    <w:rsid w:val="008C5D59"/>
    <w:rsid w:val="008C78AB"/>
    <w:rsid w:val="008C7A61"/>
    <w:rsid w:val="008D0B38"/>
    <w:rsid w:val="008D1131"/>
    <w:rsid w:val="008D2912"/>
    <w:rsid w:val="008D6A4E"/>
    <w:rsid w:val="008E1FB9"/>
    <w:rsid w:val="008E24F5"/>
    <w:rsid w:val="008E2EA1"/>
    <w:rsid w:val="008E7ABA"/>
    <w:rsid w:val="008E7CA2"/>
    <w:rsid w:val="008F0540"/>
    <w:rsid w:val="008F06D9"/>
    <w:rsid w:val="008F083F"/>
    <w:rsid w:val="008F1881"/>
    <w:rsid w:val="008F2372"/>
    <w:rsid w:val="008F314D"/>
    <w:rsid w:val="008F324D"/>
    <w:rsid w:val="00904859"/>
    <w:rsid w:val="00905704"/>
    <w:rsid w:val="009123D3"/>
    <w:rsid w:val="009145DC"/>
    <w:rsid w:val="00915F18"/>
    <w:rsid w:val="00916F5B"/>
    <w:rsid w:val="00924359"/>
    <w:rsid w:val="009261FA"/>
    <w:rsid w:val="009276A5"/>
    <w:rsid w:val="00935259"/>
    <w:rsid w:val="00940E08"/>
    <w:rsid w:val="00942158"/>
    <w:rsid w:val="00943616"/>
    <w:rsid w:val="00945DD2"/>
    <w:rsid w:val="00945FEC"/>
    <w:rsid w:val="009524AC"/>
    <w:rsid w:val="00952911"/>
    <w:rsid w:val="009529CB"/>
    <w:rsid w:val="00952D0A"/>
    <w:rsid w:val="00954BA1"/>
    <w:rsid w:val="0095519B"/>
    <w:rsid w:val="00957142"/>
    <w:rsid w:val="0096043F"/>
    <w:rsid w:val="009614FF"/>
    <w:rsid w:val="00962027"/>
    <w:rsid w:val="009625A0"/>
    <w:rsid w:val="00965E00"/>
    <w:rsid w:val="009753C3"/>
    <w:rsid w:val="00977BAA"/>
    <w:rsid w:val="00980A05"/>
    <w:rsid w:val="00981B6C"/>
    <w:rsid w:val="0098460E"/>
    <w:rsid w:val="00984692"/>
    <w:rsid w:val="0098519E"/>
    <w:rsid w:val="0098643C"/>
    <w:rsid w:val="00990360"/>
    <w:rsid w:val="009905DF"/>
    <w:rsid w:val="0099273E"/>
    <w:rsid w:val="009934BB"/>
    <w:rsid w:val="00993890"/>
    <w:rsid w:val="00996371"/>
    <w:rsid w:val="00997741"/>
    <w:rsid w:val="009A017F"/>
    <w:rsid w:val="009A5B64"/>
    <w:rsid w:val="009A6495"/>
    <w:rsid w:val="009B2AB5"/>
    <w:rsid w:val="009B465F"/>
    <w:rsid w:val="009B55B3"/>
    <w:rsid w:val="009B674E"/>
    <w:rsid w:val="009B6EB2"/>
    <w:rsid w:val="009C5070"/>
    <w:rsid w:val="009C770D"/>
    <w:rsid w:val="009C7DD4"/>
    <w:rsid w:val="009D2C9E"/>
    <w:rsid w:val="009D398B"/>
    <w:rsid w:val="009D4188"/>
    <w:rsid w:val="009D6D21"/>
    <w:rsid w:val="009E0DEA"/>
    <w:rsid w:val="009E1564"/>
    <w:rsid w:val="009E5233"/>
    <w:rsid w:val="009E62CA"/>
    <w:rsid w:val="009E6ED7"/>
    <w:rsid w:val="009F1885"/>
    <w:rsid w:val="009F206A"/>
    <w:rsid w:val="009F2C21"/>
    <w:rsid w:val="009F3AB8"/>
    <w:rsid w:val="009F499D"/>
    <w:rsid w:val="009F7459"/>
    <w:rsid w:val="00A0080B"/>
    <w:rsid w:val="00A019E6"/>
    <w:rsid w:val="00A041FA"/>
    <w:rsid w:val="00A06143"/>
    <w:rsid w:val="00A06EE5"/>
    <w:rsid w:val="00A07717"/>
    <w:rsid w:val="00A10482"/>
    <w:rsid w:val="00A10725"/>
    <w:rsid w:val="00A10ACD"/>
    <w:rsid w:val="00A13A9B"/>
    <w:rsid w:val="00A1459E"/>
    <w:rsid w:val="00A178B6"/>
    <w:rsid w:val="00A221DD"/>
    <w:rsid w:val="00A23B89"/>
    <w:rsid w:val="00A24596"/>
    <w:rsid w:val="00A249A6"/>
    <w:rsid w:val="00A24D9E"/>
    <w:rsid w:val="00A256A1"/>
    <w:rsid w:val="00A27828"/>
    <w:rsid w:val="00A31862"/>
    <w:rsid w:val="00A32EDB"/>
    <w:rsid w:val="00A353B1"/>
    <w:rsid w:val="00A37580"/>
    <w:rsid w:val="00A40773"/>
    <w:rsid w:val="00A41090"/>
    <w:rsid w:val="00A437EB"/>
    <w:rsid w:val="00A4493D"/>
    <w:rsid w:val="00A45FE7"/>
    <w:rsid w:val="00A469D4"/>
    <w:rsid w:val="00A47902"/>
    <w:rsid w:val="00A506EF"/>
    <w:rsid w:val="00A52F74"/>
    <w:rsid w:val="00A5765C"/>
    <w:rsid w:val="00A57DB3"/>
    <w:rsid w:val="00A61A1C"/>
    <w:rsid w:val="00A621DD"/>
    <w:rsid w:val="00A63A92"/>
    <w:rsid w:val="00A63D69"/>
    <w:rsid w:val="00A65DE8"/>
    <w:rsid w:val="00A6619C"/>
    <w:rsid w:val="00A66F73"/>
    <w:rsid w:val="00A72151"/>
    <w:rsid w:val="00A74A20"/>
    <w:rsid w:val="00A85212"/>
    <w:rsid w:val="00A927F5"/>
    <w:rsid w:val="00A94CDA"/>
    <w:rsid w:val="00A977A0"/>
    <w:rsid w:val="00AA3C6E"/>
    <w:rsid w:val="00AB0732"/>
    <w:rsid w:val="00AB5F3E"/>
    <w:rsid w:val="00AB7098"/>
    <w:rsid w:val="00AC20BF"/>
    <w:rsid w:val="00AC278A"/>
    <w:rsid w:val="00AC3160"/>
    <w:rsid w:val="00AC4BA8"/>
    <w:rsid w:val="00AC6D79"/>
    <w:rsid w:val="00AC6FCA"/>
    <w:rsid w:val="00AC7DB1"/>
    <w:rsid w:val="00AD0B4E"/>
    <w:rsid w:val="00AD0E8E"/>
    <w:rsid w:val="00AD2731"/>
    <w:rsid w:val="00AD572C"/>
    <w:rsid w:val="00AD6677"/>
    <w:rsid w:val="00AE206C"/>
    <w:rsid w:val="00AE2FF9"/>
    <w:rsid w:val="00AE3388"/>
    <w:rsid w:val="00AF099F"/>
    <w:rsid w:val="00AF28B9"/>
    <w:rsid w:val="00AF2E22"/>
    <w:rsid w:val="00AF3E62"/>
    <w:rsid w:val="00AF563A"/>
    <w:rsid w:val="00AF5DEB"/>
    <w:rsid w:val="00AF6CD1"/>
    <w:rsid w:val="00AF7255"/>
    <w:rsid w:val="00B037A9"/>
    <w:rsid w:val="00B0769E"/>
    <w:rsid w:val="00B152E5"/>
    <w:rsid w:val="00B16E73"/>
    <w:rsid w:val="00B20086"/>
    <w:rsid w:val="00B22CFB"/>
    <w:rsid w:val="00B22E18"/>
    <w:rsid w:val="00B2463B"/>
    <w:rsid w:val="00B24D06"/>
    <w:rsid w:val="00B26DED"/>
    <w:rsid w:val="00B26EE8"/>
    <w:rsid w:val="00B27A97"/>
    <w:rsid w:val="00B306F8"/>
    <w:rsid w:val="00B314A6"/>
    <w:rsid w:val="00B33273"/>
    <w:rsid w:val="00B34321"/>
    <w:rsid w:val="00B42E0A"/>
    <w:rsid w:val="00B43D10"/>
    <w:rsid w:val="00B4507C"/>
    <w:rsid w:val="00B46BC3"/>
    <w:rsid w:val="00B50EDF"/>
    <w:rsid w:val="00B53450"/>
    <w:rsid w:val="00B6233C"/>
    <w:rsid w:val="00B62640"/>
    <w:rsid w:val="00B667D8"/>
    <w:rsid w:val="00B67E85"/>
    <w:rsid w:val="00B719FD"/>
    <w:rsid w:val="00B8066E"/>
    <w:rsid w:val="00B80C23"/>
    <w:rsid w:val="00B83881"/>
    <w:rsid w:val="00B838ED"/>
    <w:rsid w:val="00B83B0C"/>
    <w:rsid w:val="00B8508A"/>
    <w:rsid w:val="00B872F8"/>
    <w:rsid w:val="00B873A0"/>
    <w:rsid w:val="00B87719"/>
    <w:rsid w:val="00B91B87"/>
    <w:rsid w:val="00B947CB"/>
    <w:rsid w:val="00B95D17"/>
    <w:rsid w:val="00B96BFC"/>
    <w:rsid w:val="00B97683"/>
    <w:rsid w:val="00BA2873"/>
    <w:rsid w:val="00BA37E2"/>
    <w:rsid w:val="00BA411F"/>
    <w:rsid w:val="00BA5B65"/>
    <w:rsid w:val="00BA65FA"/>
    <w:rsid w:val="00BA74D7"/>
    <w:rsid w:val="00BB0835"/>
    <w:rsid w:val="00BB124A"/>
    <w:rsid w:val="00BB1440"/>
    <w:rsid w:val="00BB3445"/>
    <w:rsid w:val="00BB4345"/>
    <w:rsid w:val="00BB736F"/>
    <w:rsid w:val="00BC0760"/>
    <w:rsid w:val="00BC0B5F"/>
    <w:rsid w:val="00BC1016"/>
    <w:rsid w:val="00BC2B1C"/>
    <w:rsid w:val="00BC304C"/>
    <w:rsid w:val="00BC45E0"/>
    <w:rsid w:val="00BC625E"/>
    <w:rsid w:val="00BC6631"/>
    <w:rsid w:val="00BC692B"/>
    <w:rsid w:val="00BC781C"/>
    <w:rsid w:val="00BC7D94"/>
    <w:rsid w:val="00BD39C8"/>
    <w:rsid w:val="00BD47B5"/>
    <w:rsid w:val="00BD6681"/>
    <w:rsid w:val="00BE156D"/>
    <w:rsid w:val="00BE515B"/>
    <w:rsid w:val="00BE6B80"/>
    <w:rsid w:val="00BF0692"/>
    <w:rsid w:val="00BF0F31"/>
    <w:rsid w:val="00BF455C"/>
    <w:rsid w:val="00BF4CB0"/>
    <w:rsid w:val="00BF715C"/>
    <w:rsid w:val="00BF7FC6"/>
    <w:rsid w:val="00C1070C"/>
    <w:rsid w:val="00C10C9D"/>
    <w:rsid w:val="00C11A36"/>
    <w:rsid w:val="00C158D9"/>
    <w:rsid w:val="00C17FB9"/>
    <w:rsid w:val="00C220E8"/>
    <w:rsid w:val="00C23F36"/>
    <w:rsid w:val="00C241D8"/>
    <w:rsid w:val="00C2769E"/>
    <w:rsid w:val="00C27768"/>
    <w:rsid w:val="00C30DE4"/>
    <w:rsid w:val="00C36573"/>
    <w:rsid w:val="00C368A0"/>
    <w:rsid w:val="00C401C9"/>
    <w:rsid w:val="00C41105"/>
    <w:rsid w:val="00C432FB"/>
    <w:rsid w:val="00C44771"/>
    <w:rsid w:val="00C56856"/>
    <w:rsid w:val="00C57EFA"/>
    <w:rsid w:val="00C61930"/>
    <w:rsid w:val="00C61AE6"/>
    <w:rsid w:val="00C633A0"/>
    <w:rsid w:val="00C66757"/>
    <w:rsid w:val="00C676FC"/>
    <w:rsid w:val="00C730AF"/>
    <w:rsid w:val="00C75698"/>
    <w:rsid w:val="00C81507"/>
    <w:rsid w:val="00C8194B"/>
    <w:rsid w:val="00C832EA"/>
    <w:rsid w:val="00C84FDD"/>
    <w:rsid w:val="00C8583E"/>
    <w:rsid w:val="00C8606C"/>
    <w:rsid w:val="00C87007"/>
    <w:rsid w:val="00C879DE"/>
    <w:rsid w:val="00C87DAC"/>
    <w:rsid w:val="00C90172"/>
    <w:rsid w:val="00CA10C5"/>
    <w:rsid w:val="00CA1C00"/>
    <w:rsid w:val="00CA2560"/>
    <w:rsid w:val="00CA25B0"/>
    <w:rsid w:val="00CA7707"/>
    <w:rsid w:val="00CB1E2B"/>
    <w:rsid w:val="00CB3C09"/>
    <w:rsid w:val="00CB47D0"/>
    <w:rsid w:val="00CC40CC"/>
    <w:rsid w:val="00CC4815"/>
    <w:rsid w:val="00CC4BB1"/>
    <w:rsid w:val="00CC6536"/>
    <w:rsid w:val="00CD026F"/>
    <w:rsid w:val="00CD3233"/>
    <w:rsid w:val="00CD3286"/>
    <w:rsid w:val="00CD3465"/>
    <w:rsid w:val="00CD54C2"/>
    <w:rsid w:val="00CE2CC5"/>
    <w:rsid w:val="00CF30C5"/>
    <w:rsid w:val="00CF5725"/>
    <w:rsid w:val="00CF573C"/>
    <w:rsid w:val="00D04287"/>
    <w:rsid w:val="00D05C62"/>
    <w:rsid w:val="00D074D5"/>
    <w:rsid w:val="00D07B79"/>
    <w:rsid w:val="00D10CE8"/>
    <w:rsid w:val="00D116CB"/>
    <w:rsid w:val="00D21DDA"/>
    <w:rsid w:val="00D24192"/>
    <w:rsid w:val="00D24442"/>
    <w:rsid w:val="00D25570"/>
    <w:rsid w:val="00D270A9"/>
    <w:rsid w:val="00D27A5C"/>
    <w:rsid w:val="00D3464D"/>
    <w:rsid w:val="00D363A8"/>
    <w:rsid w:val="00D379C3"/>
    <w:rsid w:val="00D415E1"/>
    <w:rsid w:val="00D43C71"/>
    <w:rsid w:val="00D45021"/>
    <w:rsid w:val="00D53965"/>
    <w:rsid w:val="00D53C55"/>
    <w:rsid w:val="00D55552"/>
    <w:rsid w:val="00D56AC7"/>
    <w:rsid w:val="00D60E63"/>
    <w:rsid w:val="00D64CFA"/>
    <w:rsid w:val="00D659AF"/>
    <w:rsid w:val="00D66320"/>
    <w:rsid w:val="00D66821"/>
    <w:rsid w:val="00D66CA8"/>
    <w:rsid w:val="00D71D50"/>
    <w:rsid w:val="00D736CC"/>
    <w:rsid w:val="00D77800"/>
    <w:rsid w:val="00D80180"/>
    <w:rsid w:val="00D830EE"/>
    <w:rsid w:val="00D836E2"/>
    <w:rsid w:val="00D86B07"/>
    <w:rsid w:val="00D914A7"/>
    <w:rsid w:val="00D918AD"/>
    <w:rsid w:val="00D91B19"/>
    <w:rsid w:val="00D92F16"/>
    <w:rsid w:val="00D9512F"/>
    <w:rsid w:val="00D952CA"/>
    <w:rsid w:val="00D95964"/>
    <w:rsid w:val="00D95CA6"/>
    <w:rsid w:val="00DA0811"/>
    <w:rsid w:val="00DA48F3"/>
    <w:rsid w:val="00DA621E"/>
    <w:rsid w:val="00DA75BD"/>
    <w:rsid w:val="00DC12C0"/>
    <w:rsid w:val="00DC5C16"/>
    <w:rsid w:val="00DC7740"/>
    <w:rsid w:val="00DD1423"/>
    <w:rsid w:val="00DD21AB"/>
    <w:rsid w:val="00DD4EA9"/>
    <w:rsid w:val="00DD5F68"/>
    <w:rsid w:val="00DE2E36"/>
    <w:rsid w:val="00DF0C56"/>
    <w:rsid w:val="00DF15FB"/>
    <w:rsid w:val="00DF1A40"/>
    <w:rsid w:val="00DF2BDD"/>
    <w:rsid w:val="00DF3144"/>
    <w:rsid w:val="00DF7C86"/>
    <w:rsid w:val="00E00E53"/>
    <w:rsid w:val="00E05D7C"/>
    <w:rsid w:val="00E05FB0"/>
    <w:rsid w:val="00E07445"/>
    <w:rsid w:val="00E110C8"/>
    <w:rsid w:val="00E1334D"/>
    <w:rsid w:val="00E15CDC"/>
    <w:rsid w:val="00E15FBD"/>
    <w:rsid w:val="00E22911"/>
    <w:rsid w:val="00E240AE"/>
    <w:rsid w:val="00E24BAE"/>
    <w:rsid w:val="00E25785"/>
    <w:rsid w:val="00E2730C"/>
    <w:rsid w:val="00E27B27"/>
    <w:rsid w:val="00E31DA3"/>
    <w:rsid w:val="00E3203D"/>
    <w:rsid w:val="00E34012"/>
    <w:rsid w:val="00E400D1"/>
    <w:rsid w:val="00E43F25"/>
    <w:rsid w:val="00E4660E"/>
    <w:rsid w:val="00E47329"/>
    <w:rsid w:val="00E50597"/>
    <w:rsid w:val="00E537B6"/>
    <w:rsid w:val="00E622A4"/>
    <w:rsid w:val="00E63764"/>
    <w:rsid w:val="00E655CF"/>
    <w:rsid w:val="00E707FA"/>
    <w:rsid w:val="00E72B83"/>
    <w:rsid w:val="00E7400C"/>
    <w:rsid w:val="00E749F1"/>
    <w:rsid w:val="00E76CB2"/>
    <w:rsid w:val="00E84251"/>
    <w:rsid w:val="00E843AA"/>
    <w:rsid w:val="00E84C3D"/>
    <w:rsid w:val="00E92EFC"/>
    <w:rsid w:val="00E959C4"/>
    <w:rsid w:val="00E9736B"/>
    <w:rsid w:val="00EA0321"/>
    <w:rsid w:val="00EA372E"/>
    <w:rsid w:val="00EA3E57"/>
    <w:rsid w:val="00EA650F"/>
    <w:rsid w:val="00EB0CE4"/>
    <w:rsid w:val="00EB14C7"/>
    <w:rsid w:val="00EB6E77"/>
    <w:rsid w:val="00EC25C6"/>
    <w:rsid w:val="00EC27E4"/>
    <w:rsid w:val="00ED1C32"/>
    <w:rsid w:val="00ED4706"/>
    <w:rsid w:val="00ED549E"/>
    <w:rsid w:val="00ED7D6F"/>
    <w:rsid w:val="00EE5063"/>
    <w:rsid w:val="00EE69AD"/>
    <w:rsid w:val="00EE7CF3"/>
    <w:rsid w:val="00EF6217"/>
    <w:rsid w:val="00F0098A"/>
    <w:rsid w:val="00F0310A"/>
    <w:rsid w:val="00F04145"/>
    <w:rsid w:val="00F04881"/>
    <w:rsid w:val="00F04E64"/>
    <w:rsid w:val="00F1183C"/>
    <w:rsid w:val="00F11F42"/>
    <w:rsid w:val="00F120C8"/>
    <w:rsid w:val="00F12ADC"/>
    <w:rsid w:val="00F12B2B"/>
    <w:rsid w:val="00F1347E"/>
    <w:rsid w:val="00F13E03"/>
    <w:rsid w:val="00F20331"/>
    <w:rsid w:val="00F21934"/>
    <w:rsid w:val="00F2326D"/>
    <w:rsid w:val="00F23290"/>
    <w:rsid w:val="00F250B5"/>
    <w:rsid w:val="00F2678B"/>
    <w:rsid w:val="00F27D79"/>
    <w:rsid w:val="00F3242A"/>
    <w:rsid w:val="00F33ACF"/>
    <w:rsid w:val="00F34E97"/>
    <w:rsid w:val="00F36FD9"/>
    <w:rsid w:val="00F43A0E"/>
    <w:rsid w:val="00F43A67"/>
    <w:rsid w:val="00F47936"/>
    <w:rsid w:val="00F4796B"/>
    <w:rsid w:val="00F523F2"/>
    <w:rsid w:val="00F5338E"/>
    <w:rsid w:val="00F610CE"/>
    <w:rsid w:val="00F61654"/>
    <w:rsid w:val="00F624CD"/>
    <w:rsid w:val="00F71070"/>
    <w:rsid w:val="00F7256B"/>
    <w:rsid w:val="00F74A63"/>
    <w:rsid w:val="00F7541D"/>
    <w:rsid w:val="00F75D4E"/>
    <w:rsid w:val="00F76C8B"/>
    <w:rsid w:val="00F80FEC"/>
    <w:rsid w:val="00F82B99"/>
    <w:rsid w:val="00F855E1"/>
    <w:rsid w:val="00F872C7"/>
    <w:rsid w:val="00F9037B"/>
    <w:rsid w:val="00F90C6F"/>
    <w:rsid w:val="00F934AD"/>
    <w:rsid w:val="00F9541A"/>
    <w:rsid w:val="00F96169"/>
    <w:rsid w:val="00F96403"/>
    <w:rsid w:val="00FA05F2"/>
    <w:rsid w:val="00FA1C69"/>
    <w:rsid w:val="00FA5A87"/>
    <w:rsid w:val="00FA75EC"/>
    <w:rsid w:val="00FB10B9"/>
    <w:rsid w:val="00FB28A7"/>
    <w:rsid w:val="00FB530A"/>
    <w:rsid w:val="00FC0A07"/>
    <w:rsid w:val="00FC2CF5"/>
    <w:rsid w:val="00FC38D2"/>
    <w:rsid w:val="00FC7A6A"/>
    <w:rsid w:val="00FD1125"/>
    <w:rsid w:val="00FD2545"/>
    <w:rsid w:val="00FD4466"/>
    <w:rsid w:val="00FE04E9"/>
    <w:rsid w:val="00FE0E6A"/>
    <w:rsid w:val="00FE1D43"/>
    <w:rsid w:val="00FE1D5F"/>
    <w:rsid w:val="00FE5638"/>
    <w:rsid w:val="00FE612C"/>
    <w:rsid w:val="00FE6B8F"/>
    <w:rsid w:val="00FE7747"/>
    <w:rsid w:val="00FE7DED"/>
    <w:rsid w:val="00FE7F59"/>
    <w:rsid w:val="00FF2BB9"/>
    <w:rsid w:val="00FF2DFE"/>
    <w:rsid w:val="00FF3921"/>
    <w:rsid w:val="00FF587F"/>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04CB8D39"/>
  <w15:chartTrackingRefBased/>
  <w15:docId w15:val="{511EF078-7BB9-45FC-87D2-8C9AAB6F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AB3"/>
    <w:rPr>
      <w:rFonts w:ascii="Ping LCG" w:hAnsi="Ping LCG" w:cs="Times New Roman (Body CS)"/>
    </w:rPr>
  </w:style>
  <w:style w:type="paragraph" w:styleId="Heading1">
    <w:name w:val="heading 1"/>
    <w:basedOn w:val="Normal"/>
    <w:next w:val="Normal"/>
    <w:link w:val="Heading1Char"/>
    <w:autoRedefine/>
    <w:uiPriority w:val="9"/>
    <w:qFormat/>
    <w:rsid w:val="000E10BE"/>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10BE"/>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E10B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E10BE"/>
    <w:rPr>
      <w:rFonts w:ascii="Ping LCG" w:eastAsiaTheme="majorEastAsia" w:hAnsi="Ping LCG" w:cstheme="majorBidi"/>
      <w:spacing w:val="-10"/>
      <w:kern w:val="28"/>
      <w:sz w:val="56"/>
      <w:szCs w:val="56"/>
    </w:rPr>
  </w:style>
  <w:style w:type="character" w:customStyle="1" w:styleId="Heading1Char">
    <w:name w:val="Heading 1 Char"/>
    <w:basedOn w:val="DefaultParagraphFont"/>
    <w:link w:val="Heading1"/>
    <w:uiPriority w:val="9"/>
    <w:rsid w:val="000E10BE"/>
    <w:rPr>
      <w:rFonts w:ascii="Ping LCG" w:eastAsiaTheme="majorEastAsia" w:hAnsi="Ping LCG" w:cstheme="majorBidi"/>
      <w:color w:val="2F5496" w:themeColor="accent1" w:themeShade="BF"/>
      <w:sz w:val="32"/>
      <w:szCs w:val="32"/>
    </w:rPr>
  </w:style>
  <w:style w:type="character" w:customStyle="1" w:styleId="Heading2Char">
    <w:name w:val="Heading 2 Char"/>
    <w:basedOn w:val="DefaultParagraphFont"/>
    <w:link w:val="Heading2"/>
    <w:uiPriority w:val="9"/>
    <w:rsid w:val="000E10BE"/>
    <w:rPr>
      <w:rFonts w:ascii="Ping LCG" w:eastAsiaTheme="majorEastAsia" w:hAnsi="Ping LCG" w:cstheme="majorBidi"/>
      <w:color w:val="2F5496" w:themeColor="accent1" w:themeShade="BF"/>
      <w:sz w:val="26"/>
      <w:szCs w:val="26"/>
    </w:rPr>
  </w:style>
  <w:style w:type="paragraph" w:styleId="Subtitle">
    <w:name w:val="Subtitle"/>
    <w:basedOn w:val="Normal"/>
    <w:next w:val="Normal"/>
    <w:link w:val="SubtitleChar"/>
    <w:autoRedefine/>
    <w:uiPriority w:val="11"/>
    <w:qFormat/>
    <w:rsid w:val="000E10BE"/>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E10BE"/>
    <w:rPr>
      <w:rFonts w:ascii="Ping LCG" w:eastAsiaTheme="minorEastAsia" w:hAnsi="Ping LCG"/>
      <w:color w:val="5A5A5A" w:themeColor="text1" w:themeTint="A5"/>
      <w:spacing w:val="15"/>
      <w:sz w:val="22"/>
      <w:szCs w:val="22"/>
    </w:rPr>
  </w:style>
  <w:style w:type="character" w:styleId="SubtleEmphasis">
    <w:name w:val="Subtle Emphasis"/>
    <w:basedOn w:val="DefaultParagraphFont"/>
    <w:uiPriority w:val="19"/>
    <w:qFormat/>
    <w:rsid w:val="000E10BE"/>
    <w:rPr>
      <w:rFonts w:ascii="Ping LCG" w:hAnsi="Ping LCG"/>
      <w:i/>
      <w:iCs/>
      <w:color w:val="404040" w:themeColor="text1" w:themeTint="BF"/>
    </w:rPr>
  </w:style>
  <w:style w:type="character" w:styleId="BookTitle">
    <w:name w:val="Book Title"/>
    <w:basedOn w:val="DefaultParagraphFont"/>
    <w:uiPriority w:val="33"/>
    <w:qFormat/>
    <w:rsid w:val="000E10BE"/>
    <w:rPr>
      <w:rFonts w:ascii="Ping LCG" w:hAnsi="Ping LCG"/>
      <w:b/>
      <w:bCs/>
      <w:i/>
      <w:iCs/>
      <w:spacing w:val="5"/>
    </w:rPr>
  </w:style>
  <w:style w:type="character" w:styleId="IntenseReference">
    <w:name w:val="Intense Reference"/>
    <w:basedOn w:val="DefaultParagraphFont"/>
    <w:uiPriority w:val="32"/>
    <w:qFormat/>
    <w:rsid w:val="000E10BE"/>
    <w:rPr>
      <w:rFonts w:ascii="Ping LCG" w:hAnsi="Ping LCG"/>
      <w:b/>
      <w:bCs/>
      <w:smallCaps/>
      <w:color w:val="4472C4" w:themeColor="accent1"/>
      <w:spacing w:val="5"/>
    </w:rPr>
  </w:style>
  <w:style w:type="character" w:styleId="SubtleReference">
    <w:name w:val="Subtle Reference"/>
    <w:basedOn w:val="DefaultParagraphFont"/>
    <w:uiPriority w:val="31"/>
    <w:qFormat/>
    <w:rsid w:val="000E10BE"/>
    <w:rPr>
      <w:rFonts w:ascii="Ping LCG" w:hAnsi="Ping LCG"/>
      <w:smallCaps/>
      <w:color w:val="5A5A5A" w:themeColor="text1" w:themeTint="A5"/>
    </w:rPr>
  </w:style>
  <w:style w:type="character" w:styleId="Strong">
    <w:name w:val="Strong"/>
    <w:basedOn w:val="DefaultParagraphFont"/>
    <w:uiPriority w:val="22"/>
    <w:qFormat/>
    <w:rsid w:val="000E10BE"/>
    <w:rPr>
      <w:rFonts w:ascii="Ping LCG" w:hAnsi="Ping LCG"/>
      <w:b/>
      <w:bCs/>
    </w:rPr>
  </w:style>
  <w:style w:type="paragraph" w:styleId="Quote">
    <w:name w:val="Quote"/>
    <w:basedOn w:val="Normal"/>
    <w:next w:val="Normal"/>
    <w:link w:val="QuoteChar"/>
    <w:uiPriority w:val="29"/>
    <w:qFormat/>
    <w:rsid w:val="000E10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10BE"/>
    <w:rPr>
      <w:rFonts w:ascii="Ping LCG" w:hAnsi="Ping LCG" w:cs="Times New Roman (Body CS)"/>
      <w:i/>
      <w:iCs/>
      <w:color w:val="404040" w:themeColor="text1" w:themeTint="BF"/>
    </w:rPr>
  </w:style>
  <w:style w:type="paragraph" w:styleId="IntenseQuote">
    <w:name w:val="Intense Quote"/>
    <w:basedOn w:val="Normal"/>
    <w:next w:val="Normal"/>
    <w:link w:val="IntenseQuoteChar"/>
    <w:uiPriority w:val="30"/>
    <w:qFormat/>
    <w:rsid w:val="000E10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E10BE"/>
    <w:rPr>
      <w:rFonts w:ascii="Ping LCG" w:hAnsi="Ping LCG" w:cs="Times New Roman (Body CS)"/>
      <w:i/>
      <w:iCs/>
      <w:color w:val="4472C4" w:themeColor="accent1"/>
    </w:rPr>
  </w:style>
  <w:style w:type="character" w:styleId="Emphasis">
    <w:name w:val="Emphasis"/>
    <w:basedOn w:val="DefaultParagraphFont"/>
    <w:uiPriority w:val="20"/>
    <w:qFormat/>
    <w:rsid w:val="000E10BE"/>
    <w:rPr>
      <w:rFonts w:ascii="Ping LCG" w:hAnsi="Ping LCG"/>
      <w:i/>
      <w:iCs/>
    </w:rPr>
  </w:style>
  <w:style w:type="character" w:styleId="IntenseEmphasis">
    <w:name w:val="Intense Emphasis"/>
    <w:basedOn w:val="DefaultParagraphFont"/>
    <w:uiPriority w:val="21"/>
    <w:qFormat/>
    <w:rsid w:val="000E10BE"/>
    <w:rPr>
      <w:rFonts w:ascii="Ping LCG" w:hAnsi="Ping LCG"/>
      <w:i/>
      <w:iCs/>
      <w:color w:val="4472C4" w:themeColor="accent1"/>
    </w:rPr>
  </w:style>
  <w:style w:type="paragraph" w:styleId="Header">
    <w:name w:val="header"/>
    <w:basedOn w:val="Normal"/>
    <w:link w:val="HeaderChar"/>
    <w:uiPriority w:val="99"/>
    <w:unhideWhenUsed/>
    <w:rsid w:val="000E10BE"/>
    <w:pPr>
      <w:tabs>
        <w:tab w:val="center" w:pos="4680"/>
        <w:tab w:val="right" w:pos="9360"/>
      </w:tabs>
    </w:pPr>
  </w:style>
  <w:style w:type="character" w:customStyle="1" w:styleId="HeaderChar">
    <w:name w:val="Header Char"/>
    <w:basedOn w:val="DefaultParagraphFont"/>
    <w:link w:val="Header"/>
    <w:uiPriority w:val="99"/>
    <w:rsid w:val="000E10BE"/>
    <w:rPr>
      <w:rFonts w:ascii="Ping LCG" w:hAnsi="Ping LCG" w:cs="Times New Roman (Body CS)"/>
    </w:rPr>
  </w:style>
  <w:style w:type="paragraph" w:styleId="Footer">
    <w:name w:val="footer"/>
    <w:basedOn w:val="Normal"/>
    <w:link w:val="FooterChar"/>
    <w:uiPriority w:val="99"/>
    <w:unhideWhenUsed/>
    <w:rsid w:val="000E10BE"/>
    <w:pPr>
      <w:tabs>
        <w:tab w:val="center" w:pos="4680"/>
        <w:tab w:val="right" w:pos="9360"/>
      </w:tabs>
    </w:pPr>
  </w:style>
  <w:style w:type="character" w:customStyle="1" w:styleId="FooterChar">
    <w:name w:val="Footer Char"/>
    <w:basedOn w:val="DefaultParagraphFont"/>
    <w:link w:val="Footer"/>
    <w:uiPriority w:val="99"/>
    <w:rsid w:val="000E10BE"/>
    <w:rPr>
      <w:rFonts w:ascii="Ping LCG" w:hAnsi="Ping LCG" w:cs="Times New Roman (Body CS)"/>
    </w:rPr>
  </w:style>
  <w:style w:type="table" w:styleId="TableGrid">
    <w:name w:val="Table Grid"/>
    <w:basedOn w:val="TableNormal"/>
    <w:uiPriority w:val="39"/>
    <w:rsid w:val="00BB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9A6"/>
    <w:pPr>
      <w:ind w:left="720"/>
      <w:contextualSpacing/>
    </w:pPr>
    <w:rPr>
      <w:rFonts w:ascii="Times New Roman" w:eastAsia="Times New Roman" w:hAnsi="Times New Roman" w:cs="Times New Roman"/>
      <w:lang w:val="el-GR" w:eastAsia="el-GR"/>
    </w:rPr>
  </w:style>
  <w:style w:type="paragraph" w:customStyle="1" w:styleId="Default">
    <w:name w:val="Default"/>
    <w:rsid w:val="00A249A6"/>
    <w:pPr>
      <w:autoSpaceDE w:val="0"/>
      <w:autoSpaceDN w:val="0"/>
      <w:adjustRightInd w:val="0"/>
    </w:pPr>
    <w:rPr>
      <w:rFonts w:ascii="Calibri" w:hAnsi="Calibri" w:cs="Calibri"/>
      <w:color w:val="000000"/>
      <w:lang w:val="el-GR"/>
    </w:rPr>
  </w:style>
  <w:style w:type="character" w:styleId="Hyperlink">
    <w:name w:val="Hyperlink"/>
    <w:basedOn w:val="DefaultParagraphFont"/>
    <w:uiPriority w:val="99"/>
    <w:unhideWhenUsed/>
    <w:rsid w:val="00A249A6"/>
    <w:rPr>
      <w:color w:val="0563C1" w:themeColor="hyperlink"/>
      <w:u w:val="single"/>
    </w:rPr>
  </w:style>
  <w:style w:type="character" w:styleId="UnresolvedMention">
    <w:name w:val="Unresolved Mention"/>
    <w:basedOn w:val="DefaultParagraphFont"/>
    <w:uiPriority w:val="99"/>
    <w:semiHidden/>
    <w:unhideWhenUsed/>
    <w:rsid w:val="00A249A6"/>
    <w:rPr>
      <w:color w:val="605E5C"/>
      <w:shd w:val="clear" w:color="auto" w:fill="E1DFDD"/>
    </w:rPr>
  </w:style>
  <w:style w:type="paragraph" w:styleId="BalloonText">
    <w:name w:val="Balloon Text"/>
    <w:basedOn w:val="Normal"/>
    <w:link w:val="BalloonTextChar"/>
    <w:uiPriority w:val="99"/>
    <w:semiHidden/>
    <w:unhideWhenUsed/>
    <w:rsid w:val="001737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777"/>
    <w:rPr>
      <w:rFonts w:ascii="Segoe UI" w:hAnsi="Segoe UI" w:cs="Segoe UI"/>
      <w:sz w:val="18"/>
      <w:szCs w:val="18"/>
    </w:rPr>
  </w:style>
  <w:style w:type="character" w:styleId="CommentReference">
    <w:name w:val="annotation reference"/>
    <w:basedOn w:val="DefaultParagraphFont"/>
    <w:uiPriority w:val="99"/>
    <w:semiHidden/>
    <w:unhideWhenUsed/>
    <w:rsid w:val="002F17FD"/>
    <w:rPr>
      <w:sz w:val="16"/>
      <w:szCs w:val="16"/>
    </w:rPr>
  </w:style>
  <w:style w:type="paragraph" w:styleId="CommentText">
    <w:name w:val="annotation text"/>
    <w:basedOn w:val="Normal"/>
    <w:link w:val="CommentTextChar"/>
    <w:uiPriority w:val="99"/>
    <w:semiHidden/>
    <w:unhideWhenUsed/>
    <w:rsid w:val="002F17FD"/>
    <w:rPr>
      <w:sz w:val="20"/>
      <w:szCs w:val="20"/>
    </w:rPr>
  </w:style>
  <w:style w:type="character" w:customStyle="1" w:styleId="CommentTextChar">
    <w:name w:val="Comment Text Char"/>
    <w:basedOn w:val="DefaultParagraphFont"/>
    <w:link w:val="CommentText"/>
    <w:uiPriority w:val="99"/>
    <w:semiHidden/>
    <w:rsid w:val="002F17FD"/>
    <w:rPr>
      <w:rFonts w:ascii="Ping LCG" w:hAnsi="Ping LCG" w:cs="Times New Roman (Body CS)"/>
      <w:sz w:val="20"/>
      <w:szCs w:val="20"/>
    </w:rPr>
  </w:style>
  <w:style w:type="paragraph" w:styleId="CommentSubject">
    <w:name w:val="annotation subject"/>
    <w:basedOn w:val="CommentText"/>
    <w:next w:val="CommentText"/>
    <w:link w:val="CommentSubjectChar"/>
    <w:uiPriority w:val="99"/>
    <w:semiHidden/>
    <w:unhideWhenUsed/>
    <w:rsid w:val="002F17FD"/>
    <w:rPr>
      <w:b/>
      <w:bCs/>
    </w:rPr>
  </w:style>
  <w:style w:type="character" w:customStyle="1" w:styleId="CommentSubjectChar">
    <w:name w:val="Comment Subject Char"/>
    <w:basedOn w:val="CommentTextChar"/>
    <w:link w:val="CommentSubject"/>
    <w:uiPriority w:val="99"/>
    <w:semiHidden/>
    <w:rsid w:val="002F17FD"/>
    <w:rPr>
      <w:rFonts w:ascii="Ping LCG" w:hAnsi="Ping LCG" w:cs="Times New Roman (Body CS)"/>
      <w:b/>
      <w:bCs/>
      <w:sz w:val="20"/>
      <w:szCs w:val="20"/>
    </w:rPr>
  </w:style>
  <w:style w:type="paragraph" w:styleId="Revision">
    <w:name w:val="Revision"/>
    <w:hidden/>
    <w:uiPriority w:val="99"/>
    <w:semiHidden/>
    <w:rsid w:val="002F17FD"/>
    <w:rPr>
      <w:rFonts w:ascii="Ping LCG" w:hAnsi="Ping LCG" w:cs="Times New Roman (Body CS)"/>
    </w:rPr>
  </w:style>
  <w:style w:type="paragraph" w:styleId="FootnoteText">
    <w:name w:val="footnote text"/>
    <w:basedOn w:val="Normal"/>
    <w:link w:val="FootnoteTextChar"/>
    <w:uiPriority w:val="99"/>
    <w:semiHidden/>
    <w:unhideWhenUsed/>
    <w:rsid w:val="00FE7DED"/>
    <w:rPr>
      <w:sz w:val="20"/>
      <w:szCs w:val="20"/>
    </w:rPr>
  </w:style>
  <w:style w:type="character" w:customStyle="1" w:styleId="FootnoteTextChar">
    <w:name w:val="Footnote Text Char"/>
    <w:basedOn w:val="DefaultParagraphFont"/>
    <w:link w:val="FootnoteText"/>
    <w:uiPriority w:val="99"/>
    <w:semiHidden/>
    <w:rsid w:val="00FE7DED"/>
    <w:rPr>
      <w:rFonts w:ascii="Ping LCG" w:hAnsi="Ping LCG" w:cs="Times New Roman (Body CS)"/>
      <w:sz w:val="20"/>
      <w:szCs w:val="20"/>
    </w:rPr>
  </w:style>
  <w:style w:type="character" w:styleId="FootnoteReference">
    <w:name w:val="footnote reference"/>
    <w:basedOn w:val="DefaultParagraphFont"/>
    <w:uiPriority w:val="99"/>
    <w:semiHidden/>
    <w:unhideWhenUsed/>
    <w:rsid w:val="00FE7DED"/>
    <w:rPr>
      <w:vertAlign w:val="superscript"/>
    </w:rPr>
  </w:style>
  <w:style w:type="paragraph" w:styleId="NormalWeb">
    <w:name w:val="Normal (Web)"/>
    <w:basedOn w:val="Normal"/>
    <w:uiPriority w:val="99"/>
    <w:unhideWhenUsed/>
    <w:rsid w:val="00486A4F"/>
    <w:pPr>
      <w:spacing w:before="100" w:beforeAutospacing="1" w:after="100" w:afterAutospacing="1"/>
    </w:pPr>
    <w:rPr>
      <w:rFonts w:ascii="Times New Roman" w:eastAsia="Times New Roman" w:hAnsi="Times New Roman" w:cs="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50101">
      <w:bodyDiv w:val="1"/>
      <w:marLeft w:val="0"/>
      <w:marRight w:val="0"/>
      <w:marTop w:val="0"/>
      <w:marBottom w:val="0"/>
      <w:divBdr>
        <w:top w:val="none" w:sz="0" w:space="0" w:color="auto"/>
        <w:left w:val="none" w:sz="0" w:space="0" w:color="auto"/>
        <w:bottom w:val="none" w:sz="0" w:space="0" w:color="auto"/>
        <w:right w:val="none" w:sz="0" w:space="0" w:color="auto"/>
      </w:divBdr>
    </w:div>
    <w:div w:id="473371395">
      <w:bodyDiv w:val="1"/>
      <w:marLeft w:val="0"/>
      <w:marRight w:val="0"/>
      <w:marTop w:val="0"/>
      <w:marBottom w:val="0"/>
      <w:divBdr>
        <w:top w:val="none" w:sz="0" w:space="0" w:color="auto"/>
        <w:left w:val="none" w:sz="0" w:space="0" w:color="auto"/>
        <w:bottom w:val="none" w:sz="0" w:space="0" w:color="auto"/>
        <w:right w:val="none" w:sz="0" w:space="0" w:color="auto"/>
      </w:divBdr>
    </w:div>
    <w:div w:id="575211679">
      <w:bodyDiv w:val="1"/>
      <w:marLeft w:val="0"/>
      <w:marRight w:val="0"/>
      <w:marTop w:val="0"/>
      <w:marBottom w:val="0"/>
      <w:divBdr>
        <w:top w:val="none" w:sz="0" w:space="0" w:color="auto"/>
        <w:left w:val="none" w:sz="0" w:space="0" w:color="auto"/>
        <w:bottom w:val="none" w:sz="0" w:space="0" w:color="auto"/>
        <w:right w:val="none" w:sz="0" w:space="0" w:color="auto"/>
      </w:divBdr>
    </w:div>
    <w:div w:id="660236966">
      <w:bodyDiv w:val="1"/>
      <w:marLeft w:val="0"/>
      <w:marRight w:val="0"/>
      <w:marTop w:val="0"/>
      <w:marBottom w:val="0"/>
      <w:divBdr>
        <w:top w:val="none" w:sz="0" w:space="0" w:color="auto"/>
        <w:left w:val="none" w:sz="0" w:space="0" w:color="auto"/>
        <w:bottom w:val="none" w:sz="0" w:space="0" w:color="auto"/>
        <w:right w:val="none" w:sz="0" w:space="0" w:color="auto"/>
      </w:divBdr>
    </w:div>
    <w:div w:id="699428838">
      <w:bodyDiv w:val="1"/>
      <w:marLeft w:val="0"/>
      <w:marRight w:val="0"/>
      <w:marTop w:val="0"/>
      <w:marBottom w:val="0"/>
      <w:divBdr>
        <w:top w:val="none" w:sz="0" w:space="0" w:color="auto"/>
        <w:left w:val="none" w:sz="0" w:space="0" w:color="auto"/>
        <w:bottom w:val="none" w:sz="0" w:space="0" w:color="auto"/>
        <w:right w:val="none" w:sz="0" w:space="0" w:color="auto"/>
      </w:divBdr>
    </w:div>
    <w:div w:id="769356194">
      <w:bodyDiv w:val="1"/>
      <w:marLeft w:val="0"/>
      <w:marRight w:val="0"/>
      <w:marTop w:val="0"/>
      <w:marBottom w:val="0"/>
      <w:divBdr>
        <w:top w:val="none" w:sz="0" w:space="0" w:color="auto"/>
        <w:left w:val="none" w:sz="0" w:space="0" w:color="auto"/>
        <w:bottom w:val="none" w:sz="0" w:space="0" w:color="auto"/>
        <w:right w:val="none" w:sz="0" w:space="0" w:color="auto"/>
      </w:divBdr>
    </w:div>
    <w:div w:id="1034816461">
      <w:bodyDiv w:val="1"/>
      <w:marLeft w:val="0"/>
      <w:marRight w:val="0"/>
      <w:marTop w:val="0"/>
      <w:marBottom w:val="0"/>
      <w:divBdr>
        <w:top w:val="none" w:sz="0" w:space="0" w:color="auto"/>
        <w:left w:val="none" w:sz="0" w:space="0" w:color="auto"/>
        <w:bottom w:val="none" w:sz="0" w:space="0" w:color="auto"/>
        <w:right w:val="none" w:sz="0" w:space="0" w:color="auto"/>
      </w:divBdr>
    </w:div>
    <w:div w:id="1063985980">
      <w:bodyDiv w:val="1"/>
      <w:marLeft w:val="0"/>
      <w:marRight w:val="0"/>
      <w:marTop w:val="0"/>
      <w:marBottom w:val="0"/>
      <w:divBdr>
        <w:top w:val="none" w:sz="0" w:space="0" w:color="auto"/>
        <w:left w:val="none" w:sz="0" w:space="0" w:color="auto"/>
        <w:bottom w:val="none" w:sz="0" w:space="0" w:color="auto"/>
        <w:right w:val="none" w:sz="0" w:space="0" w:color="auto"/>
      </w:divBdr>
      <w:divsChild>
        <w:div w:id="107311080">
          <w:marLeft w:val="547"/>
          <w:marRight w:val="0"/>
          <w:marTop w:val="0"/>
          <w:marBottom w:val="200"/>
          <w:divBdr>
            <w:top w:val="none" w:sz="0" w:space="0" w:color="auto"/>
            <w:left w:val="none" w:sz="0" w:space="0" w:color="auto"/>
            <w:bottom w:val="none" w:sz="0" w:space="0" w:color="auto"/>
            <w:right w:val="none" w:sz="0" w:space="0" w:color="auto"/>
          </w:divBdr>
        </w:div>
      </w:divsChild>
    </w:div>
    <w:div w:id="1165707547">
      <w:bodyDiv w:val="1"/>
      <w:marLeft w:val="0"/>
      <w:marRight w:val="0"/>
      <w:marTop w:val="0"/>
      <w:marBottom w:val="0"/>
      <w:divBdr>
        <w:top w:val="none" w:sz="0" w:space="0" w:color="auto"/>
        <w:left w:val="none" w:sz="0" w:space="0" w:color="auto"/>
        <w:bottom w:val="none" w:sz="0" w:space="0" w:color="auto"/>
        <w:right w:val="none" w:sz="0" w:space="0" w:color="auto"/>
      </w:divBdr>
    </w:div>
    <w:div w:id="1187906504">
      <w:bodyDiv w:val="1"/>
      <w:marLeft w:val="0"/>
      <w:marRight w:val="0"/>
      <w:marTop w:val="0"/>
      <w:marBottom w:val="0"/>
      <w:divBdr>
        <w:top w:val="none" w:sz="0" w:space="0" w:color="auto"/>
        <w:left w:val="none" w:sz="0" w:space="0" w:color="auto"/>
        <w:bottom w:val="none" w:sz="0" w:space="0" w:color="auto"/>
        <w:right w:val="none" w:sz="0" w:space="0" w:color="auto"/>
      </w:divBdr>
    </w:div>
    <w:div w:id="1280062805">
      <w:bodyDiv w:val="1"/>
      <w:marLeft w:val="0"/>
      <w:marRight w:val="0"/>
      <w:marTop w:val="0"/>
      <w:marBottom w:val="0"/>
      <w:divBdr>
        <w:top w:val="none" w:sz="0" w:space="0" w:color="auto"/>
        <w:left w:val="none" w:sz="0" w:space="0" w:color="auto"/>
        <w:bottom w:val="none" w:sz="0" w:space="0" w:color="auto"/>
        <w:right w:val="none" w:sz="0" w:space="0" w:color="auto"/>
      </w:divBdr>
    </w:div>
    <w:div w:id="1349989360">
      <w:bodyDiv w:val="1"/>
      <w:marLeft w:val="0"/>
      <w:marRight w:val="0"/>
      <w:marTop w:val="0"/>
      <w:marBottom w:val="0"/>
      <w:divBdr>
        <w:top w:val="none" w:sz="0" w:space="0" w:color="auto"/>
        <w:left w:val="none" w:sz="0" w:space="0" w:color="auto"/>
        <w:bottom w:val="none" w:sz="0" w:space="0" w:color="auto"/>
        <w:right w:val="none" w:sz="0" w:space="0" w:color="auto"/>
      </w:divBdr>
      <w:divsChild>
        <w:div w:id="1889759098">
          <w:marLeft w:val="0"/>
          <w:marRight w:val="0"/>
          <w:marTop w:val="0"/>
          <w:marBottom w:val="0"/>
          <w:divBdr>
            <w:top w:val="none" w:sz="0" w:space="0" w:color="auto"/>
            <w:left w:val="none" w:sz="0" w:space="0" w:color="auto"/>
            <w:bottom w:val="none" w:sz="0" w:space="0" w:color="auto"/>
            <w:right w:val="none" w:sz="0" w:space="0" w:color="auto"/>
          </w:divBdr>
        </w:div>
      </w:divsChild>
    </w:div>
    <w:div w:id="1432117443">
      <w:bodyDiv w:val="1"/>
      <w:marLeft w:val="0"/>
      <w:marRight w:val="0"/>
      <w:marTop w:val="0"/>
      <w:marBottom w:val="0"/>
      <w:divBdr>
        <w:top w:val="none" w:sz="0" w:space="0" w:color="auto"/>
        <w:left w:val="none" w:sz="0" w:space="0" w:color="auto"/>
        <w:bottom w:val="none" w:sz="0" w:space="0" w:color="auto"/>
        <w:right w:val="none" w:sz="0" w:space="0" w:color="auto"/>
      </w:divBdr>
    </w:div>
    <w:div w:id="1588491341">
      <w:bodyDiv w:val="1"/>
      <w:marLeft w:val="0"/>
      <w:marRight w:val="0"/>
      <w:marTop w:val="0"/>
      <w:marBottom w:val="0"/>
      <w:divBdr>
        <w:top w:val="none" w:sz="0" w:space="0" w:color="auto"/>
        <w:left w:val="none" w:sz="0" w:space="0" w:color="auto"/>
        <w:bottom w:val="none" w:sz="0" w:space="0" w:color="auto"/>
        <w:right w:val="none" w:sz="0" w:space="0" w:color="auto"/>
      </w:divBdr>
    </w:div>
    <w:div w:id="1877549142">
      <w:bodyDiv w:val="1"/>
      <w:marLeft w:val="0"/>
      <w:marRight w:val="0"/>
      <w:marTop w:val="0"/>
      <w:marBottom w:val="0"/>
      <w:divBdr>
        <w:top w:val="none" w:sz="0" w:space="0" w:color="auto"/>
        <w:left w:val="none" w:sz="0" w:space="0" w:color="auto"/>
        <w:bottom w:val="none" w:sz="0" w:space="0" w:color="auto"/>
        <w:right w:val="none" w:sz="0" w:space="0" w:color="auto"/>
      </w:divBdr>
    </w:div>
    <w:div w:id="2005469848">
      <w:bodyDiv w:val="1"/>
      <w:marLeft w:val="0"/>
      <w:marRight w:val="0"/>
      <w:marTop w:val="0"/>
      <w:marBottom w:val="0"/>
      <w:divBdr>
        <w:top w:val="none" w:sz="0" w:space="0" w:color="auto"/>
        <w:left w:val="none" w:sz="0" w:space="0" w:color="auto"/>
        <w:bottom w:val="none" w:sz="0" w:space="0" w:color="auto"/>
        <w:right w:val="none" w:sz="0" w:space="0" w:color="auto"/>
      </w:divBdr>
    </w:div>
    <w:div w:id="2085953214">
      <w:bodyDiv w:val="1"/>
      <w:marLeft w:val="0"/>
      <w:marRight w:val="0"/>
      <w:marTop w:val="0"/>
      <w:marBottom w:val="0"/>
      <w:divBdr>
        <w:top w:val="none" w:sz="0" w:space="0" w:color="auto"/>
        <w:left w:val="none" w:sz="0" w:space="0" w:color="auto"/>
        <w:bottom w:val="none" w:sz="0" w:space="0" w:color="auto"/>
        <w:right w:val="none" w:sz="0" w:space="0" w:color="auto"/>
      </w:divBdr>
    </w:div>
    <w:div w:id="21236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hatzakis@dei.com.gr"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yperlink" Target="http://www.de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C1AF0-3B88-46BB-9504-DB41A9D3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3835</Words>
  <Characters>20711</Characters>
  <Application>Microsoft Office Word</Application>
  <DocSecurity>0</DocSecurity>
  <Lines>172</Lines>
  <Paragraphs>48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Χατζάκης Εμμανουήλ</cp:lastModifiedBy>
  <cp:revision>3</cp:revision>
  <cp:lastPrinted>2021-11-30T13:27:00Z</cp:lastPrinted>
  <dcterms:created xsi:type="dcterms:W3CDTF">2021-11-30T15:33:00Z</dcterms:created>
  <dcterms:modified xsi:type="dcterms:W3CDTF">2021-11-30T15:33:00Z</dcterms:modified>
</cp:coreProperties>
</file>