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C02" w:rsidRPr="005A60BB" w:rsidRDefault="00BC5C02" w:rsidP="00A66F02">
      <w:pPr>
        <w:spacing w:after="0" w:line="240" w:lineRule="auto"/>
        <w:rPr>
          <w:sz w:val="16"/>
          <w:szCs w:val="16"/>
        </w:rPr>
      </w:pPr>
      <w:bookmarkStart w:id="0" w:name="_GoBack"/>
      <w:bookmarkEnd w:id="0"/>
    </w:p>
    <w:p w:rsidR="005469EE" w:rsidRPr="00E06DC1" w:rsidRDefault="0054669A" w:rsidP="00A66F02">
      <w:pPr>
        <w:spacing w:after="0" w:line="240" w:lineRule="auto"/>
      </w:pPr>
      <w:r>
        <w:t>20</w:t>
      </w:r>
      <w:r w:rsidR="00236248" w:rsidRPr="00C67267">
        <w:t xml:space="preserve"> </w:t>
      </w:r>
      <w:r w:rsidR="008E3004">
        <w:t xml:space="preserve">Σεπτεμβρίου </w:t>
      </w:r>
      <w:r w:rsidR="00F50F42" w:rsidRPr="00C67267">
        <w:t>201</w:t>
      </w:r>
      <w:r w:rsidR="00974663" w:rsidRPr="00C67267">
        <w:t>6</w:t>
      </w:r>
    </w:p>
    <w:p w:rsidR="00364DDE" w:rsidRPr="00117538" w:rsidRDefault="007031EE" w:rsidP="000150DD">
      <w:pPr>
        <w:spacing w:before="240" w:after="240"/>
        <w:jc w:val="center"/>
        <w:rPr>
          <w:rFonts w:eastAsia="Times New Roman" w:cs="Consolas"/>
          <w:b/>
          <w:sz w:val="28"/>
          <w:szCs w:val="28"/>
        </w:rPr>
      </w:pPr>
      <w:r w:rsidRPr="00117538">
        <w:rPr>
          <w:rFonts w:eastAsia="Times New Roman" w:cs="Consolas"/>
          <w:b/>
          <w:sz w:val="28"/>
          <w:szCs w:val="28"/>
        </w:rPr>
        <w:t>ΔΕΛΤΙΟ ΤΥΠΟΥ</w:t>
      </w:r>
    </w:p>
    <w:p w:rsidR="00BC5C02" w:rsidRPr="00E75A8E" w:rsidRDefault="00976329" w:rsidP="00EE0986">
      <w:pPr>
        <w:spacing w:before="160" w:after="160" w:line="264" w:lineRule="auto"/>
        <w:jc w:val="center"/>
        <w:rPr>
          <w:rFonts w:eastAsia="Times New Roman" w:cs="Consolas"/>
          <w:b/>
          <w:sz w:val="28"/>
          <w:szCs w:val="28"/>
        </w:rPr>
      </w:pPr>
      <w:r w:rsidRPr="00E75A8E">
        <w:rPr>
          <w:rFonts w:eastAsia="Times New Roman" w:cs="Consolas"/>
          <w:b/>
          <w:sz w:val="28"/>
          <w:szCs w:val="28"/>
        </w:rPr>
        <w:t>Ο</w:t>
      </w:r>
      <w:r w:rsidR="007031EE" w:rsidRPr="00E75A8E">
        <w:rPr>
          <w:rFonts w:eastAsia="Times New Roman" w:cs="Consolas"/>
          <w:b/>
          <w:sz w:val="28"/>
          <w:szCs w:val="28"/>
        </w:rPr>
        <w:t xml:space="preserve">ικονομικά αποτελέσματα </w:t>
      </w:r>
      <w:r w:rsidR="00236248" w:rsidRPr="00E75A8E">
        <w:rPr>
          <w:rFonts w:eastAsia="Times New Roman" w:cs="Consolas"/>
          <w:b/>
          <w:sz w:val="28"/>
          <w:szCs w:val="28"/>
        </w:rPr>
        <w:t xml:space="preserve">Α’ </w:t>
      </w:r>
      <w:r w:rsidR="008E3004">
        <w:rPr>
          <w:rFonts w:eastAsia="Times New Roman" w:cs="Consolas"/>
          <w:b/>
          <w:sz w:val="28"/>
          <w:szCs w:val="28"/>
        </w:rPr>
        <w:t>Εξαμήνου</w:t>
      </w:r>
      <w:r w:rsidR="00236248" w:rsidRPr="00E75A8E">
        <w:rPr>
          <w:rFonts w:eastAsia="Times New Roman" w:cs="Consolas"/>
          <w:b/>
          <w:sz w:val="28"/>
          <w:szCs w:val="28"/>
        </w:rPr>
        <w:t xml:space="preserve"> </w:t>
      </w:r>
      <w:r w:rsidR="00C53BB4" w:rsidRPr="00E75A8E">
        <w:rPr>
          <w:rFonts w:eastAsia="Times New Roman" w:cs="Consolas"/>
          <w:b/>
          <w:sz w:val="28"/>
          <w:szCs w:val="28"/>
        </w:rPr>
        <w:t>201</w:t>
      </w:r>
      <w:r w:rsidR="00236248" w:rsidRPr="00E75A8E">
        <w:rPr>
          <w:rFonts w:eastAsia="Times New Roman" w:cs="Consolas"/>
          <w:b/>
          <w:sz w:val="28"/>
          <w:szCs w:val="28"/>
        </w:rPr>
        <w:t>6</w:t>
      </w:r>
    </w:p>
    <w:p w:rsidR="005E709D" w:rsidRDefault="00EF2602" w:rsidP="005E709D">
      <w:pPr>
        <w:pStyle w:val="Default"/>
        <w:spacing w:before="160" w:after="160" w:line="264" w:lineRule="auto"/>
        <w:ind w:left="425"/>
        <w:jc w:val="center"/>
        <w:rPr>
          <w:rFonts w:asciiTheme="minorHAnsi" w:eastAsia="Times New Roman" w:hAnsiTheme="minorHAnsi" w:cs="Consolas"/>
          <w:b/>
        </w:rPr>
      </w:pPr>
      <w:r>
        <w:rPr>
          <w:rFonts w:asciiTheme="minorHAnsi" w:eastAsia="Times New Roman" w:hAnsiTheme="minorHAnsi" w:cs="Consolas"/>
          <w:b/>
        </w:rPr>
        <w:t>Α</w:t>
      </w:r>
      <w:r w:rsidR="008A7AF9">
        <w:rPr>
          <w:rFonts w:asciiTheme="minorHAnsi" w:eastAsia="Times New Roman" w:hAnsiTheme="minorHAnsi" w:cs="Consolas"/>
          <w:b/>
        </w:rPr>
        <w:t xml:space="preserve">ύξηση </w:t>
      </w:r>
      <w:r w:rsidR="00AE7CE3">
        <w:rPr>
          <w:rFonts w:asciiTheme="minorHAnsi" w:eastAsia="Times New Roman" w:hAnsiTheme="minorHAnsi" w:cs="Consolas"/>
          <w:b/>
        </w:rPr>
        <w:t>23</w:t>
      </w:r>
      <w:r w:rsidR="0077055E">
        <w:rPr>
          <w:rFonts w:asciiTheme="minorHAnsi" w:eastAsia="Times New Roman" w:hAnsiTheme="minorHAnsi" w:cs="Consolas"/>
          <w:b/>
        </w:rPr>
        <w:t xml:space="preserve">% </w:t>
      </w:r>
      <w:r w:rsidR="00162233">
        <w:rPr>
          <w:rFonts w:asciiTheme="minorHAnsi" w:eastAsia="Times New Roman" w:hAnsiTheme="minorHAnsi" w:cs="Consolas"/>
          <w:b/>
        </w:rPr>
        <w:t xml:space="preserve">των </w:t>
      </w:r>
      <w:r w:rsidR="004E687C" w:rsidRPr="005C577D">
        <w:rPr>
          <w:rFonts w:asciiTheme="minorHAnsi" w:eastAsia="Times New Roman" w:hAnsiTheme="minorHAnsi" w:cs="Consolas"/>
          <w:b/>
        </w:rPr>
        <w:t>λειτουργικ</w:t>
      </w:r>
      <w:r w:rsidR="00162233">
        <w:rPr>
          <w:rFonts w:asciiTheme="minorHAnsi" w:eastAsia="Times New Roman" w:hAnsiTheme="minorHAnsi" w:cs="Consolas"/>
          <w:b/>
        </w:rPr>
        <w:t>ών</w:t>
      </w:r>
      <w:r w:rsidR="00E43C23" w:rsidRPr="005C577D">
        <w:rPr>
          <w:rFonts w:asciiTheme="minorHAnsi" w:eastAsia="Times New Roman" w:hAnsiTheme="minorHAnsi" w:cs="Consolas"/>
          <w:b/>
        </w:rPr>
        <w:t xml:space="preserve"> κερδ</w:t>
      </w:r>
      <w:r w:rsidR="00162233">
        <w:rPr>
          <w:rFonts w:asciiTheme="minorHAnsi" w:eastAsia="Times New Roman" w:hAnsiTheme="minorHAnsi" w:cs="Consolas"/>
          <w:b/>
        </w:rPr>
        <w:t xml:space="preserve">ών </w:t>
      </w:r>
      <w:r w:rsidR="00D40EE5" w:rsidRPr="005C577D">
        <w:rPr>
          <w:rFonts w:asciiTheme="minorHAnsi" w:eastAsia="Times New Roman" w:hAnsiTheme="minorHAnsi" w:cs="Consolas"/>
          <w:b/>
        </w:rPr>
        <w:t xml:space="preserve">EBITDA </w:t>
      </w:r>
      <w:r w:rsidR="005D5390" w:rsidRPr="005C577D">
        <w:rPr>
          <w:rFonts w:asciiTheme="minorHAnsi" w:eastAsia="Times New Roman" w:hAnsiTheme="minorHAnsi" w:cs="Consolas"/>
          <w:b/>
        </w:rPr>
        <w:t xml:space="preserve">στο σύνολο </w:t>
      </w:r>
      <w:r w:rsidR="00C53BB4" w:rsidRPr="005C577D">
        <w:rPr>
          <w:rFonts w:asciiTheme="minorHAnsi" w:eastAsia="Times New Roman" w:hAnsiTheme="minorHAnsi" w:cs="Consolas"/>
          <w:b/>
        </w:rPr>
        <w:t>των θυγατρικών</w:t>
      </w:r>
      <w:r w:rsidR="00847E1C" w:rsidRPr="005C577D">
        <w:rPr>
          <w:rFonts w:asciiTheme="minorHAnsi" w:hAnsiTheme="minorHAnsi"/>
          <w:vertAlign w:val="superscript"/>
        </w:rPr>
        <w:footnoteReference w:id="1"/>
      </w:r>
      <w:r w:rsidR="00E066D2" w:rsidRPr="005C577D">
        <w:rPr>
          <w:rFonts w:asciiTheme="minorHAnsi" w:eastAsia="Times New Roman" w:hAnsiTheme="minorHAnsi" w:cs="Consolas"/>
          <w:b/>
        </w:rPr>
        <w:t>:</w:t>
      </w:r>
      <w:r w:rsidR="00B40805" w:rsidRPr="005C577D">
        <w:rPr>
          <w:rFonts w:asciiTheme="minorHAnsi" w:eastAsia="Times New Roman" w:hAnsiTheme="minorHAnsi" w:cs="Consolas"/>
          <w:b/>
        </w:rPr>
        <w:t xml:space="preserve"> </w:t>
      </w:r>
      <w:r w:rsidR="003A506F" w:rsidRPr="005C577D">
        <w:rPr>
          <w:rFonts w:asciiTheme="minorHAnsi" w:eastAsia="Times New Roman" w:hAnsiTheme="minorHAnsi" w:cs="Consolas"/>
          <w:b/>
        </w:rPr>
        <w:t>€</w:t>
      </w:r>
      <w:r>
        <w:rPr>
          <w:rFonts w:asciiTheme="minorHAnsi" w:eastAsia="Times New Roman" w:hAnsiTheme="minorHAnsi" w:cs="Consolas"/>
          <w:b/>
        </w:rPr>
        <w:t>6</w:t>
      </w:r>
      <w:r w:rsidR="00AE7CE3">
        <w:rPr>
          <w:rFonts w:asciiTheme="minorHAnsi" w:eastAsia="Times New Roman" w:hAnsiTheme="minorHAnsi" w:cs="Consolas"/>
          <w:b/>
        </w:rPr>
        <w:t>8</w:t>
      </w:r>
      <w:r w:rsidR="003A506F" w:rsidRPr="005C577D">
        <w:rPr>
          <w:rFonts w:asciiTheme="minorHAnsi" w:eastAsia="Times New Roman" w:hAnsiTheme="minorHAnsi" w:cs="Consolas"/>
          <w:b/>
        </w:rPr>
        <w:t>,</w:t>
      </w:r>
      <w:r w:rsidR="00AE7CE3">
        <w:rPr>
          <w:rFonts w:asciiTheme="minorHAnsi" w:eastAsia="Times New Roman" w:hAnsiTheme="minorHAnsi" w:cs="Consolas"/>
          <w:b/>
        </w:rPr>
        <w:t>5</w:t>
      </w:r>
      <w:r w:rsidR="003A506F" w:rsidRPr="005C577D">
        <w:rPr>
          <w:rFonts w:asciiTheme="minorHAnsi" w:eastAsia="Times New Roman" w:hAnsiTheme="minorHAnsi" w:cs="Consolas"/>
          <w:b/>
        </w:rPr>
        <w:t xml:space="preserve">εκ έναντι </w:t>
      </w:r>
      <w:r w:rsidR="00E51B24" w:rsidRPr="005C577D">
        <w:rPr>
          <w:rFonts w:asciiTheme="minorHAnsi" w:eastAsia="Times New Roman" w:hAnsiTheme="minorHAnsi" w:cs="Consolas"/>
          <w:b/>
        </w:rPr>
        <w:t>€</w:t>
      </w:r>
      <w:r>
        <w:rPr>
          <w:rFonts w:asciiTheme="minorHAnsi" w:eastAsia="Times New Roman" w:hAnsiTheme="minorHAnsi" w:cs="Consolas"/>
          <w:b/>
        </w:rPr>
        <w:t>55</w:t>
      </w:r>
      <w:r w:rsidR="005E40E1" w:rsidRPr="005E40E1">
        <w:rPr>
          <w:rFonts w:asciiTheme="minorHAnsi" w:eastAsia="Times New Roman" w:hAnsiTheme="minorHAnsi" w:cs="Consolas"/>
          <w:b/>
        </w:rPr>
        <w:t>,</w:t>
      </w:r>
      <w:r>
        <w:rPr>
          <w:rFonts w:asciiTheme="minorHAnsi" w:eastAsia="Times New Roman" w:hAnsiTheme="minorHAnsi" w:cs="Consolas"/>
          <w:b/>
        </w:rPr>
        <w:t>5</w:t>
      </w:r>
      <w:r w:rsidR="008A7AF9">
        <w:rPr>
          <w:rFonts w:asciiTheme="minorHAnsi" w:eastAsia="Times New Roman" w:hAnsiTheme="minorHAnsi" w:cs="Consolas"/>
          <w:b/>
        </w:rPr>
        <w:t xml:space="preserve">εκ το Α’ </w:t>
      </w:r>
      <w:r w:rsidR="00231088">
        <w:rPr>
          <w:rFonts w:asciiTheme="minorHAnsi" w:eastAsia="Times New Roman" w:hAnsiTheme="minorHAnsi" w:cs="Consolas"/>
          <w:b/>
        </w:rPr>
        <w:t>Εξάμηνο</w:t>
      </w:r>
      <w:r w:rsidR="008A7AF9">
        <w:rPr>
          <w:rFonts w:asciiTheme="minorHAnsi" w:eastAsia="Times New Roman" w:hAnsiTheme="minorHAnsi" w:cs="Consolas"/>
          <w:b/>
        </w:rPr>
        <w:t xml:space="preserve"> 2015</w:t>
      </w:r>
    </w:p>
    <w:p w:rsidR="008773AD" w:rsidRPr="008773AD" w:rsidRDefault="008773AD" w:rsidP="008773AD">
      <w:pPr>
        <w:spacing w:after="0" w:line="240" w:lineRule="auto"/>
        <w:rPr>
          <w:sz w:val="16"/>
          <w:szCs w:val="16"/>
        </w:rPr>
      </w:pPr>
    </w:p>
    <w:p w:rsidR="00825962" w:rsidRPr="00825962" w:rsidRDefault="00071B9A" w:rsidP="00071B9A">
      <w:pPr>
        <w:pStyle w:val="Default"/>
        <w:numPr>
          <w:ilvl w:val="0"/>
          <w:numId w:val="1"/>
        </w:numPr>
        <w:spacing w:before="120" w:after="120" w:line="264" w:lineRule="auto"/>
        <w:ind w:left="425" w:hanging="425"/>
        <w:jc w:val="both"/>
        <w:rPr>
          <w:rFonts w:ascii="Calibri" w:hAnsi="Calibri"/>
          <w:b/>
          <w:bCs/>
          <w:sz w:val="22"/>
          <w:szCs w:val="22"/>
        </w:rPr>
      </w:pPr>
      <w:r w:rsidRPr="00A525BF">
        <w:rPr>
          <w:rFonts w:ascii="Calibri" w:hAnsi="Calibri"/>
          <w:b/>
          <w:bCs/>
          <w:sz w:val="22"/>
          <w:szCs w:val="22"/>
        </w:rPr>
        <w:t>Τα λειτουργικά αποτελέσματα EBITDA στο σύνολο των θυγατρικών</w:t>
      </w:r>
      <w:r w:rsidRPr="00A525BF">
        <w:rPr>
          <w:rFonts w:ascii="Calibri" w:hAnsi="Calibri"/>
          <w:bCs/>
          <w:sz w:val="22"/>
          <w:szCs w:val="22"/>
          <w:vertAlign w:val="superscript"/>
        </w:rPr>
        <w:t>1</w:t>
      </w:r>
      <w:r w:rsidRPr="00A525BF">
        <w:rPr>
          <w:rFonts w:ascii="Calibri" w:hAnsi="Calibri"/>
          <w:b/>
          <w:bCs/>
          <w:sz w:val="22"/>
          <w:szCs w:val="22"/>
        </w:rPr>
        <w:t xml:space="preserve"> αυξήθηκαν 23% στα €68,5εκ έναντι €55,5εκ το Α’ </w:t>
      </w:r>
      <w:r w:rsidRPr="00A525BF">
        <w:rPr>
          <w:rFonts w:ascii="Calibri" w:hAnsi="Calibri"/>
          <w:b/>
          <w:bCs/>
          <w:color w:val="auto"/>
          <w:sz w:val="22"/>
          <w:szCs w:val="22"/>
        </w:rPr>
        <w:t xml:space="preserve">Εξάμηνο </w:t>
      </w:r>
      <w:r w:rsidRPr="00A525BF">
        <w:rPr>
          <w:rFonts w:ascii="Calibri" w:hAnsi="Calibri"/>
          <w:b/>
          <w:bCs/>
          <w:sz w:val="22"/>
          <w:szCs w:val="22"/>
        </w:rPr>
        <w:t xml:space="preserve">2015. </w:t>
      </w:r>
      <w:r w:rsidRPr="00A525BF">
        <w:rPr>
          <w:rFonts w:ascii="Calibri" w:hAnsi="Calibri"/>
          <w:b/>
          <w:bCs/>
          <w:color w:val="auto"/>
          <w:sz w:val="22"/>
          <w:szCs w:val="22"/>
        </w:rPr>
        <w:t xml:space="preserve">Τα ενοποιημένα λειτουργικά αποτελέσματα EBITDA του Ομίλου (περιλαμβανομένων των εταιριών </w:t>
      </w:r>
      <w:r w:rsidRPr="00A525BF">
        <w:rPr>
          <w:rFonts w:ascii="Calibri" w:hAnsi="Calibri"/>
          <w:b/>
          <w:bCs/>
          <w:color w:val="auto"/>
          <w:sz w:val="22"/>
          <w:szCs w:val="22"/>
          <w:lang w:val="en-GB"/>
        </w:rPr>
        <w:t>holding</w:t>
      </w:r>
      <w:r w:rsidRPr="00A525BF">
        <w:rPr>
          <w:rFonts w:ascii="Calibri" w:hAnsi="Calibri"/>
          <w:b/>
          <w:bCs/>
          <w:color w:val="auto"/>
          <w:sz w:val="22"/>
          <w:szCs w:val="22"/>
        </w:rPr>
        <w:t xml:space="preserve"> και των μη επαναλαμβανόμενων δραστηριοτήτων) ανήλθαν σε κέρδη €47,7εκ έναντι €48,3εκ </w:t>
      </w:r>
      <w:r w:rsidRPr="00A525BF">
        <w:rPr>
          <w:rFonts w:ascii="Calibri" w:hAnsi="Calibri"/>
          <w:b/>
          <w:bCs/>
          <w:sz w:val="22"/>
          <w:szCs w:val="22"/>
        </w:rPr>
        <w:t xml:space="preserve">το Α’ </w:t>
      </w:r>
      <w:r w:rsidRPr="00A525BF">
        <w:rPr>
          <w:rFonts w:ascii="Calibri" w:hAnsi="Calibri"/>
          <w:b/>
          <w:bCs/>
          <w:color w:val="auto"/>
          <w:sz w:val="22"/>
          <w:szCs w:val="22"/>
        </w:rPr>
        <w:t xml:space="preserve">Εξάμηνο </w:t>
      </w:r>
      <w:r w:rsidRPr="00A525BF">
        <w:rPr>
          <w:rFonts w:ascii="Calibri" w:hAnsi="Calibri"/>
          <w:b/>
          <w:bCs/>
          <w:sz w:val="22"/>
          <w:szCs w:val="22"/>
        </w:rPr>
        <w:t>2015</w:t>
      </w:r>
      <w:r w:rsidRPr="00A525BF">
        <w:rPr>
          <w:rFonts w:ascii="Calibri" w:hAnsi="Calibri"/>
          <w:b/>
          <w:bCs/>
          <w:color w:val="auto"/>
          <w:sz w:val="22"/>
          <w:szCs w:val="22"/>
        </w:rPr>
        <w:t xml:space="preserve">. Τα εν λόγω αποτελέσματα για το Α’ Εξάμηνο 2016 επιβαρύνθηκαν με ποσό ύψους €13,6εκ </w:t>
      </w:r>
      <w:r w:rsidR="00825962">
        <w:rPr>
          <w:rFonts w:ascii="Calibri" w:hAnsi="Calibri"/>
          <w:b/>
          <w:bCs/>
          <w:color w:val="auto"/>
          <w:sz w:val="22"/>
          <w:szCs w:val="22"/>
        </w:rPr>
        <w:t xml:space="preserve">από τη διενέργεια </w:t>
      </w:r>
      <w:r w:rsidR="00825962" w:rsidRPr="00A525BF">
        <w:rPr>
          <w:rFonts w:ascii="Calibri" w:hAnsi="Calibri"/>
          <w:b/>
          <w:bCs/>
          <w:color w:val="auto"/>
          <w:sz w:val="22"/>
          <w:szCs w:val="22"/>
        </w:rPr>
        <w:t>έκτακτης απομείωσης στα υπόλοιπα απαιτήσεων από τον όμιλο ΜΑΡΙΝΟΠΟΥΛΟΣ</w:t>
      </w:r>
      <w:r w:rsidR="00825962">
        <w:rPr>
          <w:rFonts w:ascii="Calibri" w:hAnsi="Calibri"/>
          <w:b/>
          <w:bCs/>
          <w:color w:val="auto"/>
          <w:sz w:val="22"/>
          <w:szCs w:val="22"/>
        </w:rPr>
        <w:t xml:space="preserve">, στο πλαίσιο της </w:t>
      </w:r>
      <w:r w:rsidR="00825962" w:rsidRPr="00A525BF">
        <w:rPr>
          <w:rFonts w:ascii="Calibri" w:hAnsi="Calibri"/>
          <w:b/>
          <w:bCs/>
          <w:color w:val="auto"/>
          <w:sz w:val="22"/>
          <w:szCs w:val="22"/>
        </w:rPr>
        <w:t>εν εξελίξει διαδικασία αναδιάρθρωσης του</w:t>
      </w:r>
      <w:r w:rsidR="00825962">
        <w:rPr>
          <w:rFonts w:ascii="Calibri" w:hAnsi="Calibri"/>
          <w:b/>
          <w:bCs/>
          <w:color w:val="auto"/>
          <w:sz w:val="22"/>
          <w:szCs w:val="22"/>
        </w:rPr>
        <w:t xml:space="preserve"> </w:t>
      </w:r>
      <w:r w:rsidR="00825962" w:rsidRPr="00A525BF">
        <w:rPr>
          <w:rFonts w:ascii="Calibri" w:hAnsi="Calibri"/>
          <w:b/>
          <w:bCs/>
          <w:color w:val="auto"/>
          <w:sz w:val="22"/>
          <w:szCs w:val="22"/>
        </w:rPr>
        <w:t>ομίλου ΜΑΡΙΝΟΠΟΥΛΟΣ</w:t>
      </w:r>
      <w:r w:rsidR="00825962">
        <w:rPr>
          <w:rFonts w:ascii="Calibri" w:hAnsi="Calibri"/>
          <w:b/>
          <w:bCs/>
          <w:color w:val="auto"/>
          <w:sz w:val="22"/>
          <w:szCs w:val="22"/>
        </w:rPr>
        <w:t>.</w:t>
      </w:r>
    </w:p>
    <w:p w:rsidR="00E6180B" w:rsidRDefault="00990462" w:rsidP="00E6180B">
      <w:pPr>
        <w:pStyle w:val="Default"/>
        <w:numPr>
          <w:ilvl w:val="0"/>
          <w:numId w:val="1"/>
        </w:numPr>
        <w:spacing w:before="120" w:after="120" w:line="264" w:lineRule="auto"/>
        <w:ind w:left="425" w:hanging="425"/>
        <w:jc w:val="both"/>
        <w:rPr>
          <w:rFonts w:ascii="Calibri" w:hAnsi="Calibri"/>
          <w:b/>
          <w:bCs/>
          <w:color w:val="auto"/>
          <w:sz w:val="22"/>
          <w:szCs w:val="22"/>
        </w:rPr>
      </w:pPr>
      <w:r w:rsidRPr="00231088">
        <w:rPr>
          <w:rFonts w:ascii="Calibri" w:hAnsi="Calibri"/>
          <w:b/>
          <w:bCs/>
          <w:color w:val="auto"/>
          <w:sz w:val="22"/>
          <w:szCs w:val="22"/>
        </w:rPr>
        <w:t xml:space="preserve">Οι ενοποιημένες πωλήσεις του Ομίλου </w:t>
      </w:r>
      <w:r w:rsidR="00872827" w:rsidRPr="00231088">
        <w:rPr>
          <w:rFonts w:ascii="Calibri" w:hAnsi="Calibri"/>
          <w:b/>
          <w:bCs/>
          <w:color w:val="auto"/>
          <w:sz w:val="22"/>
          <w:szCs w:val="22"/>
        </w:rPr>
        <w:t xml:space="preserve">το </w:t>
      </w:r>
      <w:r w:rsidR="001409B9" w:rsidRPr="00231088">
        <w:rPr>
          <w:rFonts w:ascii="Calibri" w:hAnsi="Calibri"/>
          <w:b/>
          <w:bCs/>
          <w:color w:val="auto"/>
          <w:sz w:val="22"/>
          <w:szCs w:val="22"/>
        </w:rPr>
        <w:t xml:space="preserve">Α’ </w:t>
      </w:r>
      <w:r w:rsidR="00231088" w:rsidRPr="00231088">
        <w:rPr>
          <w:rFonts w:ascii="Calibri" w:hAnsi="Calibri"/>
          <w:b/>
          <w:bCs/>
          <w:color w:val="auto"/>
          <w:sz w:val="22"/>
          <w:szCs w:val="22"/>
        </w:rPr>
        <w:t xml:space="preserve">Εξάμηνο </w:t>
      </w:r>
      <w:r w:rsidR="001409B9" w:rsidRPr="00231088">
        <w:rPr>
          <w:rFonts w:ascii="Calibri" w:hAnsi="Calibri"/>
          <w:b/>
          <w:bCs/>
          <w:color w:val="auto"/>
          <w:sz w:val="22"/>
          <w:szCs w:val="22"/>
        </w:rPr>
        <w:t xml:space="preserve">2016 </w:t>
      </w:r>
      <w:r w:rsidR="00C22CC5" w:rsidRPr="00231088">
        <w:rPr>
          <w:rFonts w:ascii="Calibri" w:hAnsi="Calibri"/>
          <w:b/>
          <w:bCs/>
          <w:color w:val="auto"/>
          <w:sz w:val="22"/>
          <w:szCs w:val="22"/>
        </w:rPr>
        <w:t>ανήλθαν στα €</w:t>
      </w:r>
      <w:r w:rsidR="0061597D">
        <w:rPr>
          <w:rFonts w:ascii="Calibri" w:hAnsi="Calibri"/>
          <w:b/>
          <w:bCs/>
          <w:color w:val="auto"/>
          <w:sz w:val="22"/>
          <w:szCs w:val="22"/>
        </w:rPr>
        <w:t>524</w:t>
      </w:r>
      <w:r w:rsidR="00C22CC5" w:rsidRPr="00231088">
        <w:rPr>
          <w:rFonts w:ascii="Calibri" w:hAnsi="Calibri"/>
          <w:b/>
          <w:bCs/>
          <w:color w:val="auto"/>
          <w:sz w:val="22"/>
          <w:szCs w:val="22"/>
        </w:rPr>
        <w:t xml:space="preserve">εκ, </w:t>
      </w:r>
      <w:r w:rsidR="00E34581" w:rsidRPr="00231088">
        <w:rPr>
          <w:rFonts w:ascii="Calibri" w:hAnsi="Calibri"/>
          <w:b/>
          <w:bCs/>
          <w:color w:val="auto"/>
          <w:sz w:val="22"/>
          <w:szCs w:val="22"/>
        </w:rPr>
        <w:t xml:space="preserve">καταγράφοντας </w:t>
      </w:r>
      <w:r w:rsidR="001409B9" w:rsidRPr="00231088">
        <w:rPr>
          <w:rFonts w:ascii="Calibri" w:hAnsi="Calibri"/>
          <w:b/>
          <w:bCs/>
          <w:color w:val="auto"/>
          <w:sz w:val="22"/>
          <w:szCs w:val="22"/>
        </w:rPr>
        <w:t>μείωση</w:t>
      </w:r>
      <w:r w:rsidR="00AF6D1E" w:rsidRPr="00231088">
        <w:rPr>
          <w:rFonts w:ascii="Calibri" w:hAnsi="Calibri"/>
          <w:b/>
          <w:bCs/>
          <w:color w:val="auto"/>
          <w:sz w:val="22"/>
          <w:szCs w:val="22"/>
        </w:rPr>
        <w:t xml:space="preserve"> </w:t>
      </w:r>
      <w:r w:rsidR="006F19E6" w:rsidRPr="00231088">
        <w:rPr>
          <w:rFonts w:ascii="Calibri" w:hAnsi="Calibri"/>
          <w:b/>
          <w:bCs/>
          <w:color w:val="auto"/>
          <w:sz w:val="22"/>
          <w:szCs w:val="22"/>
        </w:rPr>
        <w:t>€</w:t>
      </w:r>
      <w:r w:rsidR="001409B9" w:rsidRPr="00231088">
        <w:rPr>
          <w:rFonts w:ascii="Calibri" w:hAnsi="Calibri"/>
          <w:b/>
          <w:bCs/>
          <w:color w:val="auto"/>
          <w:sz w:val="22"/>
          <w:szCs w:val="22"/>
        </w:rPr>
        <w:t>1</w:t>
      </w:r>
      <w:r w:rsidR="0061597D">
        <w:rPr>
          <w:rFonts w:ascii="Calibri" w:hAnsi="Calibri"/>
          <w:b/>
          <w:bCs/>
          <w:color w:val="auto"/>
          <w:sz w:val="22"/>
          <w:szCs w:val="22"/>
        </w:rPr>
        <w:t>3</w:t>
      </w:r>
      <w:r w:rsidR="00DC09E2" w:rsidRPr="00231088">
        <w:rPr>
          <w:rFonts w:ascii="Calibri" w:hAnsi="Calibri"/>
          <w:b/>
          <w:bCs/>
          <w:color w:val="auto"/>
          <w:sz w:val="22"/>
          <w:szCs w:val="22"/>
        </w:rPr>
        <w:t>εκ</w:t>
      </w:r>
      <w:r w:rsidR="00663274" w:rsidRPr="00231088">
        <w:rPr>
          <w:rFonts w:ascii="Calibri" w:hAnsi="Calibri"/>
          <w:b/>
          <w:bCs/>
          <w:color w:val="auto"/>
          <w:sz w:val="22"/>
          <w:szCs w:val="22"/>
        </w:rPr>
        <w:t xml:space="preserve">, </w:t>
      </w:r>
      <w:r w:rsidR="00DC09E2" w:rsidRPr="00231088">
        <w:rPr>
          <w:rFonts w:ascii="Calibri" w:hAnsi="Calibri"/>
          <w:b/>
          <w:bCs/>
          <w:color w:val="auto"/>
          <w:sz w:val="22"/>
          <w:szCs w:val="22"/>
        </w:rPr>
        <w:t xml:space="preserve">ήτοι </w:t>
      </w:r>
      <w:r w:rsidR="0083020C">
        <w:rPr>
          <w:rFonts w:ascii="Calibri" w:hAnsi="Calibri"/>
          <w:b/>
          <w:bCs/>
          <w:color w:val="auto"/>
          <w:sz w:val="22"/>
          <w:szCs w:val="22"/>
        </w:rPr>
        <w:t>–</w:t>
      </w:r>
      <w:r w:rsidR="0061597D">
        <w:rPr>
          <w:rFonts w:ascii="Calibri" w:hAnsi="Calibri"/>
          <w:b/>
          <w:bCs/>
          <w:color w:val="auto"/>
          <w:sz w:val="22"/>
          <w:szCs w:val="22"/>
        </w:rPr>
        <w:t>2</w:t>
      </w:r>
      <w:r w:rsidR="00DC09E2" w:rsidRPr="00231088">
        <w:rPr>
          <w:rFonts w:ascii="Calibri" w:hAnsi="Calibri"/>
          <w:b/>
          <w:bCs/>
          <w:color w:val="auto"/>
          <w:sz w:val="22"/>
          <w:szCs w:val="22"/>
        </w:rPr>
        <w:t>%</w:t>
      </w:r>
      <w:r w:rsidR="00274E11" w:rsidRPr="00231088">
        <w:rPr>
          <w:rFonts w:ascii="Calibri" w:hAnsi="Calibri"/>
          <w:b/>
          <w:bCs/>
          <w:color w:val="auto"/>
          <w:sz w:val="22"/>
          <w:szCs w:val="22"/>
        </w:rPr>
        <w:t xml:space="preserve"> </w:t>
      </w:r>
      <w:r w:rsidR="00E34581" w:rsidRPr="00231088">
        <w:rPr>
          <w:rFonts w:ascii="Calibri" w:hAnsi="Calibri"/>
          <w:b/>
          <w:bCs/>
          <w:color w:val="auto"/>
          <w:sz w:val="22"/>
          <w:szCs w:val="22"/>
        </w:rPr>
        <w:t xml:space="preserve">έναντι του Α’ </w:t>
      </w:r>
      <w:r w:rsidR="00231088">
        <w:rPr>
          <w:rFonts w:ascii="Calibri" w:hAnsi="Calibri"/>
          <w:b/>
          <w:bCs/>
          <w:color w:val="auto"/>
          <w:sz w:val="22"/>
          <w:szCs w:val="22"/>
        </w:rPr>
        <w:t>Εξαμήνου</w:t>
      </w:r>
      <w:r w:rsidR="00E34581" w:rsidRPr="00231088">
        <w:rPr>
          <w:rFonts w:ascii="Calibri" w:hAnsi="Calibri"/>
          <w:b/>
          <w:bCs/>
          <w:color w:val="auto"/>
          <w:sz w:val="22"/>
          <w:szCs w:val="22"/>
        </w:rPr>
        <w:t xml:space="preserve"> 2015</w:t>
      </w:r>
      <w:r w:rsidR="0021790A" w:rsidRPr="00231088">
        <w:rPr>
          <w:rFonts w:ascii="Calibri" w:hAnsi="Calibri"/>
          <w:b/>
          <w:bCs/>
          <w:color w:val="auto"/>
          <w:sz w:val="22"/>
          <w:szCs w:val="22"/>
        </w:rPr>
        <w:t xml:space="preserve">. </w:t>
      </w:r>
      <w:r w:rsidR="00D53031" w:rsidRPr="00231088">
        <w:rPr>
          <w:rFonts w:ascii="Calibri" w:hAnsi="Calibri"/>
          <w:b/>
          <w:bCs/>
          <w:color w:val="auto"/>
          <w:sz w:val="22"/>
          <w:szCs w:val="22"/>
        </w:rPr>
        <w:t>Η μείωση οφείλεται στην παρατεταμένη ύφεση τ</w:t>
      </w:r>
      <w:r w:rsidR="007376EE" w:rsidRPr="00231088">
        <w:rPr>
          <w:rFonts w:ascii="Calibri" w:hAnsi="Calibri"/>
          <w:b/>
          <w:bCs/>
          <w:color w:val="auto"/>
          <w:sz w:val="22"/>
          <w:szCs w:val="22"/>
        </w:rPr>
        <w:t>ης Ελληνικής οικονομίας</w:t>
      </w:r>
      <w:r w:rsidR="0061597D">
        <w:rPr>
          <w:rFonts w:ascii="Calibri" w:hAnsi="Calibri"/>
          <w:b/>
          <w:bCs/>
          <w:color w:val="auto"/>
          <w:sz w:val="22"/>
          <w:szCs w:val="22"/>
        </w:rPr>
        <w:t xml:space="preserve"> </w:t>
      </w:r>
      <w:r w:rsidR="00D53031" w:rsidRPr="00231088">
        <w:rPr>
          <w:rFonts w:ascii="Calibri" w:hAnsi="Calibri"/>
          <w:b/>
          <w:bCs/>
          <w:color w:val="auto"/>
          <w:sz w:val="22"/>
          <w:szCs w:val="22"/>
        </w:rPr>
        <w:t>και στις συνεχιζόμενες αντίξοες συνθήκες στην πλειοψηφία των κλάδων της οικονομίας.</w:t>
      </w:r>
    </w:p>
    <w:p w:rsidR="003E7A71" w:rsidRPr="003E7A71" w:rsidRDefault="003E7A71" w:rsidP="00022F8D">
      <w:pPr>
        <w:pStyle w:val="Default"/>
        <w:numPr>
          <w:ilvl w:val="0"/>
          <w:numId w:val="1"/>
        </w:numPr>
        <w:spacing w:before="120" w:after="120" w:line="264" w:lineRule="auto"/>
        <w:ind w:left="425" w:hanging="425"/>
        <w:jc w:val="both"/>
        <w:rPr>
          <w:rFonts w:ascii="Calibri" w:hAnsi="Calibri"/>
          <w:b/>
          <w:bCs/>
          <w:color w:val="auto"/>
          <w:sz w:val="22"/>
          <w:szCs w:val="22"/>
        </w:rPr>
      </w:pPr>
      <w:r w:rsidRPr="003E7A71">
        <w:rPr>
          <w:rFonts w:ascii="Calibri" w:hAnsi="Calibri"/>
          <w:b/>
          <w:bCs/>
          <w:color w:val="auto"/>
          <w:sz w:val="22"/>
          <w:szCs w:val="22"/>
        </w:rPr>
        <w:t>Τα ενοποιημένα αποτελέσματα μετά από φόρους και δικαιώματα μειοψηφίας ανήλθαν σε ζημία €</w:t>
      </w:r>
      <w:r>
        <w:rPr>
          <w:rFonts w:ascii="Calibri" w:hAnsi="Calibri"/>
          <w:b/>
          <w:bCs/>
          <w:color w:val="auto"/>
          <w:sz w:val="22"/>
          <w:szCs w:val="22"/>
        </w:rPr>
        <w:t>45</w:t>
      </w:r>
      <w:r w:rsidRPr="003E7A71">
        <w:rPr>
          <w:rFonts w:ascii="Calibri" w:hAnsi="Calibri"/>
          <w:b/>
          <w:bCs/>
          <w:color w:val="auto"/>
          <w:sz w:val="22"/>
          <w:szCs w:val="22"/>
        </w:rPr>
        <w:t>,</w:t>
      </w:r>
      <w:r>
        <w:rPr>
          <w:rFonts w:ascii="Calibri" w:hAnsi="Calibri"/>
          <w:b/>
          <w:bCs/>
          <w:color w:val="auto"/>
          <w:sz w:val="22"/>
          <w:szCs w:val="22"/>
        </w:rPr>
        <w:t>9</w:t>
      </w:r>
      <w:r w:rsidRPr="003E7A71">
        <w:rPr>
          <w:rFonts w:ascii="Calibri" w:hAnsi="Calibri"/>
          <w:b/>
          <w:bCs/>
          <w:color w:val="auto"/>
          <w:sz w:val="22"/>
          <w:szCs w:val="22"/>
        </w:rPr>
        <w:t>εκ, έναντι ζημίας €</w:t>
      </w:r>
      <w:r>
        <w:rPr>
          <w:rFonts w:ascii="Calibri" w:hAnsi="Calibri"/>
          <w:b/>
          <w:bCs/>
          <w:color w:val="auto"/>
          <w:sz w:val="22"/>
          <w:szCs w:val="22"/>
        </w:rPr>
        <w:t>51</w:t>
      </w:r>
      <w:r w:rsidRPr="003E7A71">
        <w:rPr>
          <w:rFonts w:ascii="Calibri" w:hAnsi="Calibri"/>
          <w:b/>
          <w:bCs/>
          <w:color w:val="auto"/>
          <w:sz w:val="22"/>
          <w:szCs w:val="22"/>
        </w:rPr>
        <w:t>,</w:t>
      </w:r>
      <w:r>
        <w:rPr>
          <w:rFonts w:ascii="Calibri" w:hAnsi="Calibri"/>
          <w:b/>
          <w:bCs/>
          <w:color w:val="auto"/>
          <w:sz w:val="22"/>
          <w:szCs w:val="22"/>
        </w:rPr>
        <w:t>9</w:t>
      </w:r>
      <w:r w:rsidRPr="003E7A71">
        <w:rPr>
          <w:rFonts w:ascii="Calibri" w:hAnsi="Calibri"/>
          <w:b/>
          <w:bCs/>
          <w:color w:val="auto"/>
          <w:sz w:val="22"/>
          <w:szCs w:val="22"/>
        </w:rPr>
        <w:t xml:space="preserve">εκ το </w:t>
      </w:r>
      <w:r w:rsidRPr="0070610E">
        <w:rPr>
          <w:rFonts w:ascii="Calibri" w:hAnsi="Calibri"/>
          <w:b/>
          <w:bCs/>
          <w:sz w:val="22"/>
          <w:szCs w:val="22"/>
        </w:rPr>
        <w:t xml:space="preserve">Α’ </w:t>
      </w:r>
      <w:r w:rsidRPr="0070610E">
        <w:rPr>
          <w:rFonts w:ascii="Calibri" w:hAnsi="Calibri"/>
          <w:b/>
          <w:bCs/>
          <w:color w:val="auto"/>
          <w:sz w:val="22"/>
          <w:szCs w:val="22"/>
        </w:rPr>
        <w:t xml:space="preserve">Εξάμηνο </w:t>
      </w:r>
      <w:r w:rsidRPr="0070610E">
        <w:rPr>
          <w:rFonts w:ascii="Calibri" w:hAnsi="Calibri"/>
          <w:b/>
          <w:bCs/>
          <w:sz w:val="22"/>
          <w:szCs w:val="22"/>
        </w:rPr>
        <w:t>2015</w:t>
      </w:r>
      <w:r w:rsidR="001C2553">
        <w:rPr>
          <w:rFonts w:ascii="Calibri" w:hAnsi="Calibri"/>
          <w:b/>
          <w:bCs/>
          <w:color w:val="auto"/>
          <w:sz w:val="22"/>
          <w:szCs w:val="22"/>
        </w:rPr>
        <w:t>.</w:t>
      </w:r>
    </w:p>
    <w:p w:rsidR="000D153C" w:rsidRPr="000F3719" w:rsidRDefault="00F6260F" w:rsidP="00022F8D">
      <w:pPr>
        <w:pStyle w:val="Default"/>
        <w:numPr>
          <w:ilvl w:val="0"/>
          <w:numId w:val="1"/>
        </w:numPr>
        <w:spacing w:before="120" w:after="120" w:line="264" w:lineRule="auto"/>
        <w:ind w:left="425" w:hanging="425"/>
        <w:jc w:val="both"/>
        <w:rPr>
          <w:rFonts w:ascii="Calibri" w:hAnsi="Calibri"/>
          <w:b/>
          <w:bCs/>
          <w:sz w:val="22"/>
          <w:szCs w:val="22"/>
        </w:rPr>
      </w:pPr>
      <w:r w:rsidRPr="000F3719">
        <w:rPr>
          <w:rFonts w:ascii="Calibri" w:hAnsi="Calibri"/>
          <w:b/>
          <w:bCs/>
          <w:sz w:val="22"/>
          <w:szCs w:val="22"/>
        </w:rPr>
        <w:t>Η Καθαρή Εσωτερική Αξία (NAV) της Εταιρίας την 30.06.2016 ανήλθε στα €</w:t>
      </w:r>
      <w:r w:rsidR="00383A24" w:rsidRPr="000F3719">
        <w:rPr>
          <w:rFonts w:ascii="Calibri" w:hAnsi="Calibri"/>
          <w:b/>
          <w:bCs/>
          <w:sz w:val="22"/>
          <w:szCs w:val="22"/>
        </w:rPr>
        <w:t>756</w:t>
      </w:r>
      <w:r w:rsidRPr="000F3719">
        <w:rPr>
          <w:rFonts w:ascii="Calibri" w:hAnsi="Calibri"/>
          <w:b/>
          <w:bCs/>
          <w:sz w:val="22"/>
          <w:szCs w:val="22"/>
        </w:rPr>
        <w:t>εκ, ποσό που αντιστοιχεί σε €0,81 ανά μετοχή. Τα ταμειακά διαθέσιμα του Ομίλου ανήλθαν στα €</w:t>
      </w:r>
      <w:r w:rsidR="00383A24" w:rsidRPr="000F3719">
        <w:rPr>
          <w:rFonts w:ascii="Calibri" w:hAnsi="Calibri"/>
          <w:b/>
          <w:bCs/>
          <w:sz w:val="22"/>
          <w:szCs w:val="22"/>
        </w:rPr>
        <w:t>126</w:t>
      </w:r>
      <w:r w:rsidRPr="000F3719">
        <w:rPr>
          <w:rFonts w:ascii="Calibri" w:hAnsi="Calibri"/>
          <w:b/>
          <w:bCs/>
          <w:sz w:val="22"/>
          <w:szCs w:val="22"/>
        </w:rPr>
        <w:t>εκ. Οι ενοποιημένες δανειακές υποχρεώσεις του Ομίλου την 3</w:t>
      </w:r>
      <w:r w:rsidR="00383A24" w:rsidRPr="000F3719">
        <w:rPr>
          <w:rFonts w:ascii="Calibri" w:hAnsi="Calibri"/>
          <w:b/>
          <w:bCs/>
          <w:sz w:val="22"/>
          <w:szCs w:val="22"/>
        </w:rPr>
        <w:t>0</w:t>
      </w:r>
      <w:r w:rsidRPr="000F3719">
        <w:rPr>
          <w:rFonts w:ascii="Calibri" w:hAnsi="Calibri"/>
          <w:b/>
          <w:bCs/>
          <w:sz w:val="22"/>
          <w:szCs w:val="22"/>
        </w:rPr>
        <w:t>.</w:t>
      </w:r>
      <w:r w:rsidR="00383A24" w:rsidRPr="000F3719">
        <w:rPr>
          <w:rFonts w:ascii="Calibri" w:hAnsi="Calibri"/>
          <w:b/>
          <w:bCs/>
          <w:sz w:val="22"/>
          <w:szCs w:val="22"/>
        </w:rPr>
        <w:t>06</w:t>
      </w:r>
      <w:r w:rsidRPr="000F3719">
        <w:rPr>
          <w:rFonts w:ascii="Calibri" w:hAnsi="Calibri"/>
          <w:b/>
          <w:bCs/>
          <w:sz w:val="22"/>
          <w:szCs w:val="22"/>
        </w:rPr>
        <w:t>.201</w:t>
      </w:r>
      <w:r w:rsidR="00383A24" w:rsidRPr="000F3719">
        <w:rPr>
          <w:rFonts w:ascii="Calibri" w:hAnsi="Calibri"/>
          <w:b/>
          <w:bCs/>
          <w:sz w:val="22"/>
          <w:szCs w:val="22"/>
        </w:rPr>
        <w:t>6</w:t>
      </w:r>
      <w:r w:rsidRPr="000F3719">
        <w:rPr>
          <w:rFonts w:ascii="Calibri" w:hAnsi="Calibri"/>
          <w:b/>
          <w:bCs/>
          <w:sz w:val="22"/>
          <w:szCs w:val="22"/>
        </w:rPr>
        <w:t xml:space="preserve"> ανήλθαν στα €1,6</w:t>
      </w:r>
      <w:r w:rsidR="00383A24" w:rsidRPr="000F3719">
        <w:rPr>
          <w:rFonts w:ascii="Calibri" w:hAnsi="Calibri"/>
          <w:b/>
          <w:bCs/>
          <w:sz w:val="22"/>
          <w:szCs w:val="22"/>
        </w:rPr>
        <w:t>6</w:t>
      </w:r>
      <w:r w:rsidRPr="000F3719">
        <w:rPr>
          <w:rFonts w:ascii="Calibri" w:hAnsi="Calibri"/>
          <w:b/>
          <w:bCs/>
          <w:sz w:val="22"/>
          <w:szCs w:val="22"/>
        </w:rPr>
        <w:t xml:space="preserve"> </w:t>
      </w:r>
      <w:proofErr w:type="spellStart"/>
      <w:r w:rsidRPr="000F3719">
        <w:rPr>
          <w:rFonts w:ascii="Calibri" w:hAnsi="Calibri"/>
          <w:b/>
          <w:bCs/>
          <w:sz w:val="22"/>
          <w:szCs w:val="22"/>
        </w:rPr>
        <w:t>δισ</w:t>
      </w:r>
      <w:proofErr w:type="spellEnd"/>
      <w:r w:rsidRPr="000F3719">
        <w:rPr>
          <w:rFonts w:ascii="Calibri" w:hAnsi="Calibri"/>
          <w:b/>
          <w:bCs/>
          <w:sz w:val="22"/>
          <w:szCs w:val="22"/>
        </w:rPr>
        <w:t>, μειωμένες κατά €</w:t>
      </w:r>
      <w:r w:rsidR="00383A24" w:rsidRPr="000F3719">
        <w:rPr>
          <w:rFonts w:ascii="Calibri" w:hAnsi="Calibri"/>
          <w:b/>
          <w:bCs/>
          <w:sz w:val="22"/>
          <w:szCs w:val="22"/>
        </w:rPr>
        <w:t>27</w:t>
      </w:r>
      <w:r w:rsidRPr="000F3719">
        <w:rPr>
          <w:rFonts w:ascii="Calibri" w:hAnsi="Calibri"/>
          <w:b/>
          <w:bCs/>
          <w:sz w:val="22"/>
          <w:szCs w:val="22"/>
        </w:rPr>
        <w:t>εκ έναντι της 31.12.201</w:t>
      </w:r>
      <w:r w:rsidR="00383A24" w:rsidRPr="000F3719">
        <w:rPr>
          <w:rFonts w:ascii="Calibri" w:hAnsi="Calibri"/>
          <w:b/>
          <w:bCs/>
          <w:sz w:val="22"/>
          <w:szCs w:val="22"/>
        </w:rPr>
        <w:t>5</w:t>
      </w:r>
      <w:r w:rsidRPr="000F3719">
        <w:rPr>
          <w:rFonts w:ascii="Calibri" w:hAnsi="Calibri"/>
          <w:b/>
          <w:bCs/>
          <w:sz w:val="22"/>
          <w:szCs w:val="22"/>
        </w:rPr>
        <w:t>.</w:t>
      </w:r>
    </w:p>
    <w:p w:rsidR="00B01486" w:rsidRPr="0089240E" w:rsidRDefault="00B01486" w:rsidP="00C07045">
      <w:pPr>
        <w:pStyle w:val="Default"/>
        <w:spacing w:before="80" w:after="80" w:line="280" w:lineRule="exact"/>
        <w:jc w:val="both"/>
        <w:rPr>
          <w:rFonts w:ascii="Calibri" w:hAnsi="Calibri"/>
          <w:b/>
          <w:bCs/>
          <w:sz w:val="22"/>
          <w:szCs w:val="22"/>
        </w:rPr>
      </w:pPr>
      <w:r w:rsidRPr="0089240E">
        <w:rPr>
          <w:rFonts w:ascii="Calibri" w:hAnsi="Calibri"/>
          <w:b/>
          <w:bCs/>
          <w:sz w:val="22"/>
          <w:szCs w:val="22"/>
        </w:rPr>
        <w:br w:type="page"/>
      </w:r>
    </w:p>
    <w:p w:rsidR="006E38A0" w:rsidRPr="008C6CEB" w:rsidRDefault="00956A98" w:rsidP="00192C69">
      <w:pPr>
        <w:spacing w:before="200" w:line="264" w:lineRule="auto"/>
        <w:jc w:val="both"/>
        <w:rPr>
          <w:rFonts w:eastAsia="Times New Roman" w:cs="Consolas"/>
        </w:rPr>
      </w:pPr>
      <w:r w:rsidRPr="009C4109">
        <w:rPr>
          <w:rFonts w:eastAsia="Times New Roman" w:cs="Consolas"/>
        </w:rPr>
        <w:lastRenderedPageBreak/>
        <w:t>Οι ενοποιημ</w:t>
      </w:r>
      <w:r w:rsidR="00851ACA" w:rsidRPr="009C4109">
        <w:rPr>
          <w:rFonts w:eastAsia="Times New Roman" w:cs="Consolas"/>
        </w:rPr>
        <w:t xml:space="preserve">ένες πωλήσεις </w:t>
      </w:r>
      <w:r w:rsidR="006C60CF" w:rsidRPr="009C4109">
        <w:rPr>
          <w:rFonts w:eastAsia="Times New Roman" w:cs="Consolas"/>
        </w:rPr>
        <w:t xml:space="preserve">του Ομίλου </w:t>
      </w:r>
      <w:r w:rsidR="00D22D89" w:rsidRPr="009C4109">
        <w:rPr>
          <w:rFonts w:eastAsia="Times New Roman" w:cs="Consolas"/>
        </w:rPr>
        <w:t xml:space="preserve">MIG </w:t>
      </w:r>
      <w:r w:rsidR="006E38A0" w:rsidRPr="009C4109">
        <w:rPr>
          <w:rFonts w:eastAsia="Times New Roman" w:cs="Consolas"/>
        </w:rPr>
        <w:t xml:space="preserve">το Α’ </w:t>
      </w:r>
      <w:r w:rsidR="0083020C" w:rsidRPr="009C4109">
        <w:rPr>
          <w:rFonts w:eastAsia="Times New Roman" w:cs="Consolas"/>
        </w:rPr>
        <w:t>Εξάμηνο</w:t>
      </w:r>
      <w:r w:rsidR="006E38A0" w:rsidRPr="009C4109">
        <w:rPr>
          <w:rFonts w:eastAsia="Times New Roman" w:cs="Consolas"/>
        </w:rPr>
        <w:t xml:space="preserve"> 2016 </w:t>
      </w:r>
      <w:r w:rsidR="002E1662" w:rsidRPr="009C4109">
        <w:rPr>
          <w:rFonts w:eastAsia="Times New Roman" w:cs="Consolas"/>
        </w:rPr>
        <w:t>ανήλθαν στα €</w:t>
      </w:r>
      <w:r w:rsidR="0083020C" w:rsidRPr="009C4109">
        <w:rPr>
          <w:rFonts w:eastAsia="Times New Roman" w:cs="Consolas"/>
        </w:rPr>
        <w:t>524</w:t>
      </w:r>
      <w:r w:rsidR="002E1662" w:rsidRPr="009C4109">
        <w:rPr>
          <w:rFonts w:eastAsia="Times New Roman" w:cs="Consolas"/>
        </w:rPr>
        <w:t xml:space="preserve">εκ, καταγράφοντας </w:t>
      </w:r>
      <w:r w:rsidR="00457B78" w:rsidRPr="009C4109">
        <w:rPr>
          <w:rFonts w:eastAsia="Times New Roman" w:cs="Consolas"/>
        </w:rPr>
        <w:t>μείωση €</w:t>
      </w:r>
      <w:r w:rsidR="0083020C" w:rsidRPr="009C4109">
        <w:rPr>
          <w:rFonts w:eastAsia="Times New Roman" w:cs="Consolas"/>
        </w:rPr>
        <w:t>13</w:t>
      </w:r>
      <w:r w:rsidR="00457B78" w:rsidRPr="009C4109">
        <w:rPr>
          <w:rFonts w:eastAsia="Times New Roman" w:cs="Consolas"/>
        </w:rPr>
        <w:t xml:space="preserve">εκ, ήτοι </w:t>
      </w:r>
      <w:r w:rsidR="000E3484">
        <w:rPr>
          <w:rFonts w:eastAsia="Times New Roman" w:cs="Consolas"/>
        </w:rPr>
        <w:t>–2</w:t>
      </w:r>
      <w:r w:rsidR="006E38A0" w:rsidRPr="009C4109">
        <w:rPr>
          <w:rFonts w:eastAsia="Times New Roman" w:cs="Consolas"/>
        </w:rPr>
        <w:t>%</w:t>
      </w:r>
      <w:r w:rsidR="00215963" w:rsidRPr="009C4109">
        <w:rPr>
          <w:rFonts w:eastAsia="Times New Roman" w:cs="Consolas"/>
        </w:rPr>
        <w:t xml:space="preserve">, </w:t>
      </w:r>
      <w:r w:rsidR="002E1662" w:rsidRPr="009C4109">
        <w:rPr>
          <w:rFonts w:eastAsia="Times New Roman" w:cs="Consolas"/>
        </w:rPr>
        <w:t xml:space="preserve">έναντι του Α’ </w:t>
      </w:r>
      <w:r w:rsidR="0083020C" w:rsidRPr="009C4109">
        <w:rPr>
          <w:rFonts w:eastAsia="Times New Roman" w:cs="Consolas"/>
        </w:rPr>
        <w:t>Εξαμήνου</w:t>
      </w:r>
      <w:r w:rsidR="002E1662" w:rsidRPr="009C4109">
        <w:rPr>
          <w:rFonts w:eastAsia="Times New Roman" w:cs="Consolas"/>
        </w:rPr>
        <w:t xml:space="preserve"> 2015</w:t>
      </w:r>
      <w:r w:rsidR="006E38A0" w:rsidRPr="009C4109">
        <w:rPr>
          <w:rFonts w:eastAsia="Times New Roman" w:cs="Consolas"/>
        </w:rPr>
        <w:t xml:space="preserve">. </w:t>
      </w:r>
      <w:r w:rsidR="001C6E07" w:rsidRPr="009C4109">
        <w:rPr>
          <w:rFonts w:eastAsia="Times New Roman" w:cs="Consolas"/>
        </w:rPr>
        <w:t xml:space="preserve">Η μείωση οφείλεται στην παρατεταμένη ύφεση της Ελληνικής οικονομίας, με το ρυθμό μείωσης του ΑΕΠ της χώρας το Α’ </w:t>
      </w:r>
      <w:r w:rsidR="0083020C" w:rsidRPr="009C4109">
        <w:rPr>
          <w:rFonts w:eastAsia="Times New Roman" w:cs="Consolas"/>
        </w:rPr>
        <w:t xml:space="preserve">Εξάμηνο </w:t>
      </w:r>
      <w:r w:rsidR="001C6E07" w:rsidRPr="009C4109">
        <w:rPr>
          <w:rFonts w:eastAsia="Times New Roman" w:cs="Consolas"/>
        </w:rPr>
        <w:t xml:space="preserve">2016 να </w:t>
      </w:r>
      <w:r w:rsidR="00AD3330">
        <w:rPr>
          <w:rFonts w:eastAsia="Times New Roman" w:cs="Consolas"/>
        </w:rPr>
        <w:t>ανέρχεται στο -1</w:t>
      </w:r>
      <w:r w:rsidR="001C6E07" w:rsidRPr="009C4109">
        <w:rPr>
          <w:rFonts w:eastAsia="Times New Roman" w:cs="Consolas"/>
        </w:rPr>
        <w:t>%</w:t>
      </w:r>
      <w:r w:rsidR="00717497" w:rsidRPr="009C4109">
        <w:rPr>
          <w:rFonts w:eastAsia="Times New Roman" w:cs="Consolas"/>
        </w:rPr>
        <w:t xml:space="preserve"> έναντι του Α’ </w:t>
      </w:r>
      <w:r w:rsidR="0083020C" w:rsidRPr="009C4109">
        <w:rPr>
          <w:rFonts w:eastAsia="Times New Roman" w:cs="Consolas"/>
        </w:rPr>
        <w:t xml:space="preserve">Εξαμήνου </w:t>
      </w:r>
      <w:r w:rsidR="00717497" w:rsidRPr="009C4109">
        <w:rPr>
          <w:rFonts w:eastAsia="Times New Roman" w:cs="Consolas"/>
        </w:rPr>
        <w:t>2015</w:t>
      </w:r>
      <w:r w:rsidR="001C6E07" w:rsidRPr="009C4109">
        <w:rPr>
          <w:rFonts w:eastAsia="Times New Roman" w:cs="Consolas"/>
        </w:rPr>
        <w:t>, και στις συνεχιζόμενες αντίξοες συνθήκες στην πλειοψηφία των κλάδων της οικονομίας</w:t>
      </w:r>
      <w:r w:rsidR="0083020C" w:rsidRPr="009C4109">
        <w:rPr>
          <w:rFonts w:eastAsia="Times New Roman" w:cs="Consolas"/>
        </w:rPr>
        <w:t xml:space="preserve"> (</w:t>
      </w:r>
      <w:r w:rsidR="009C2C57" w:rsidRPr="009C4109">
        <w:rPr>
          <w:rFonts w:eastAsia="Times New Roman" w:cs="Consolas"/>
        </w:rPr>
        <w:t xml:space="preserve">περιορισμοί </w:t>
      </w:r>
      <w:r w:rsidR="00245F10" w:rsidRPr="009C4109">
        <w:rPr>
          <w:rFonts w:eastAsia="Times New Roman" w:cs="Consolas"/>
        </w:rPr>
        <w:t xml:space="preserve">στην κίνηση </w:t>
      </w:r>
      <w:r w:rsidR="00F6763D" w:rsidRPr="009C4109">
        <w:rPr>
          <w:rFonts w:eastAsia="Times New Roman" w:cs="Consolas"/>
        </w:rPr>
        <w:t>κεφαλαίων</w:t>
      </w:r>
      <w:r w:rsidR="00827B63" w:rsidRPr="009C4109">
        <w:rPr>
          <w:rFonts w:eastAsia="Times New Roman" w:cs="Consolas"/>
        </w:rPr>
        <w:t xml:space="preserve"> που ισχύουν από </w:t>
      </w:r>
      <w:r w:rsidR="001F7B80">
        <w:rPr>
          <w:rFonts w:eastAsia="Times New Roman" w:cs="Consolas"/>
        </w:rPr>
        <w:t xml:space="preserve">την 26.06.2015 </w:t>
      </w:r>
      <w:r w:rsidR="00E05BFF">
        <w:rPr>
          <w:rFonts w:eastAsia="Times New Roman" w:cs="Consolas"/>
        </w:rPr>
        <w:t>με τις συν</w:t>
      </w:r>
      <w:r w:rsidR="001E2E6A" w:rsidRPr="009C4109">
        <w:rPr>
          <w:rFonts w:eastAsia="Times New Roman" w:cs="Consolas"/>
        </w:rPr>
        <w:t xml:space="preserve">ακόλουθες </w:t>
      </w:r>
      <w:r w:rsidR="00827B63" w:rsidRPr="009C4109">
        <w:rPr>
          <w:rFonts w:eastAsia="Times New Roman" w:cs="Consolas"/>
        </w:rPr>
        <w:t xml:space="preserve">επιδεινούμενες </w:t>
      </w:r>
      <w:r w:rsidR="00354CDD" w:rsidRPr="009C4109">
        <w:rPr>
          <w:rFonts w:eastAsia="Times New Roman" w:cs="Consolas"/>
        </w:rPr>
        <w:t xml:space="preserve">συνθήκες ρευστότητας </w:t>
      </w:r>
      <w:r w:rsidR="00450939">
        <w:rPr>
          <w:rFonts w:eastAsia="Times New Roman" w:cs="Consolas"/>
        </w:rPr>
        <w:t>στην αγορά</w:t>
      </w:r>
      <w:r w:rsidR="00354CDD" w:rsidRPr="009C4109">
        <w:rPr>
          <w:rFonts w:eastAsia="Times New Roman" w:cs="Consolas"/>
        </w:rPr>
        <w:t>,</w:t>
      </w:r>
      <w:r w:rsidR="00190846" w:rsidRPr="009C4109">
        <w:rPr>
          <w:rFonts w:eastAsia="Times New Roman" w:cs="Consolas"/>
        </w:rPr>
        <w:t xml:space="preserve"> νέες φορολογικές και ασφαλιστικές μεταρρυθμίσε</w:t>
      </w:r>
      <w:r w:rsidR="00827B63" w:rsidRPr="009C4109">
        <w:rPr>
          <w:rFonts w:eastAsia="Times New Roman" w:cs="Consolas"/>
        </w:rPr>
        <w:t xml:space="preserve">ις </w:t>
      </w:r>
      <w:r w:rsidR="00E05BFF">
        <w:rPr>
          <w:rFonts w:eastAsia="Times New Roman" w:cs="Consolas"/>
        </w:rPr>
        <w:t xml:space="preserve">που </w:t>
      </w:r>
      <w:r w:rsidR="00A50ED4">
        <w:rPr>
          <w:rFonts w:eastAsia="Times New Roman" w:cs="Consolas"/>
        </w:rPr>
        <w:t>συνέβαλαν στην π</w:t>
      </w:r>
      <w:r w:rsidR="00190846" w:rsidRPr="009C4109">
        <w:rPr>
          <w:rFonts w:eastAsia="Times New Roman" w:cs="Consolas"/>
        </w:rPr>
        <w:t>εραιτέρω μείωση της κατανάλωσης των νοικοκυριών</w:t>
      </w:r>
      <w:r w:rsidR="00A50ED4">
        <w:rPr>
          <w:rFonts w:eastAsia="Times New Roman" w:cs="Consolas"/>
        </w:rPr>
        <w:t xml:space="preserve"> κατά το Β’ Τρίμηνο 2016</w:t>
      </w:r>
      <w:r w:rsidR="00190846" w:rsidRPr="009C4109">
        <w:rPr>
          <w:rFonts w:eastAsia="Times New Roman" w:cs="Consolas"/>
        </w:rPr>
        <w:t>)</w:t>
      </w:r>
      <w:r w:rsidR="00D3238A" w:rsidRPr="009C4109">
        <w:rPr>
          <w:rFonts w:eastAsia="Times New Roman" w:cs="Consolas"/>
        </w:rPr>
        <w:t>.</w:t>
      </w:r>
    </w:p>
    <w:p w:rsidR="001E09F0" w:rsidRDefault="003335BE" w:rsidP="00192C69">
      <w:pPr>
        <w:spacing w:before="200" w:line="264" w:lineRule="auto"/>
        <w:jc w:val="both"/>
        <w:rPr>
          <w:rFonts w:eastAsia="Times New Roman" w:cs="Consolas"/>
        </w:rPr>
      </w:pPr>
      <w:r w:rsidRPr="00211E9B">
        <w:rPr>
          <w:rFonts w:eastAsia="Times New Roman" w:cs="Consolas"/>
        </w:rPr>
        <w:t xml:space="preserve">Τα λειτουργικά </w:t>
      </w:r>
      <w:r w:rsidR="00B70D15" w:rsidRPr="00211E9B">
        <w:rPr>
          <w:rFonts w:eastAsia="Times New Roman" w:cs="Consolas"/>
        </w:rPr>
        <w:t xml:space="preserve">αποτελέσματα </w:t>
      </w:r>
      <w:r w:rsidRPr="00211E9B">
        <w:rPr>
          <w:rFonts w:eastAsia="Times New Roman" w:cs="Consolas"/>
        </w:rPr>
        <w:t>προ φόρων, τόκων και αποσβέσεων (</w:t>
      </w:r>
      <w:r w:rsidRPr="00211E9B">
        <w:rPr>
          <w:rFonts w:eastAsia="Times New Roman" w:cs="Consolas"/>
          <w:lang w:val="en-GB"/>
        </w:rPr>
        <w:t>EBITDA</w:t>
      </w:r>
      <w:r w:rsidRPr="00211E9B">
        <w:rPr>
          <w:rFonts w:eastAsia="Times New Roman" w:cs="Consolas"/>
        </w:rPr>
        <w:t xml:space="preserve">) </w:t>
      </w:r>
      <w:r w:rsidR="00D22D89" w:rsidRPr="00211E9B">
        <w:rPr>
          <w:rFonts w:eastAsia="Times New Roman" w:cs="Consolas"/>
        </w:rPr>
        <w:t>στο σύνολο των θυγατρικών</w:t>
      </w:r>
      <w:r w:rsidR="005F37FF" w:rsidRPr="00211E9B">
        <w:rPr>
          <w:vertAlign w:val="superscript"/>
          <w:lang w:val="en-GB"/>
        </w:rPr>
        <w:footnoteReference w:id="2"/>
      </w:r>
      <w:r w:rsidR="006B4C76" w:rsidRPr="00211E9B">
        <w:rPr>
          <w:rFonts w:eastAsia="Times New Roman" w:cs="Consolas"/>
        </w:rPr>
        <w:t xml:space="preserve"> </w:t>
      </w:r>
      <w:r w:rsidR="004E6938">
        <w:rPr>
          <w:rFonts w:eastAsia="Times New Roman" w:cs="Consolas"/>
        </w:rPr>
        <w:t xml:space="preserve">το </w:t>
      </w:r>
      <w:r w:rsidR="006E38A0" w:rsidRPr="006E38A0">
        <w:rPr>
          <w:rFonts w:eastAsia="Times New Roman" w:cs="Consolas"/>
        </w:rPr>
        <w:t xml:space="preserve">Α’ </w:t>
      </w:r>
      <w:r w:rsidR="0083020C">
        <w:rPr>
          <w:rFonts w:eastAsia="Times New Roman" w:cs="Consolas"/>
        </w:rPr>
        <w:t>Εξάμηνο</w:t>
      </w:r>
      <w:r w:rsidR="0083020C" w:rsidRPr="006E38A0">
        <w:rPr>
          <w:rFonts w:eastAsia="Times New Roman" w:cs="Consolas"/>
        </w:rPr>
        <w:t xml:space="preserve"> </w:t>
      </w:r>
      <w:r w:rsidR="006E38A0" w:rsidRPr="006E38A0">
        <w:rPr>
          <w:rFonts w:eastAsia="Times New Roman" w:cs="Consolas"/>
        </w:rPr>
        <w:t xml:space="preserve">2016 </w:t>
      </w:r>
      <w:r w:rsidR="00022F8D">
        <w:rPr>
          <w:rFonts w:eastAsia="Times New Roman" w:cs="Consolas"/>
        </w:rPr>
        <w:t>αυξήθηκαν</w:t>
      </w:r>
      <w:r w:rsidR="006E38A0">
        <w:rPr>
          <w:rFonts w:eastAsia="Times New Roman" w:cs="Consolas"/>
        </w:rPr>
        <w:t xml:space="preserve"> </w:t>
      </w:r>
      <w:r w:rsidR="00D27D49">
        <w:rPr>
          <w:rFonts w:eastAsia="Times New Roman" w:cs="Consolas"/>
        </w:rPr>
        <w:t>2</w:t>
      </w:r>
      <w:r w:rsidR="009F3BA9">
        <w:rPr>
          <w:rFonts w:eastAsia="Times New Roman" w:cs="Consolas"/>
        </w:rPr>
        <w:t>3</w:t>
      </w:r>
      <w:r w:rsidR="00DE07B4">
        <w:rPr>
          <w:rFonts w:eastAsia="Times New Roman" w:cs="Consolas"/>
        </w:rPr>
        <w:t xml:space="preserve">% </w:t>
      </w:r>
      <w:r w:rsidR="00022F8D">
        <w:rPr>
          <w:rFonts w:eastAsia="Times New Roman" w:cs="Consolas"/>
        </w:rPr>
        <w:t>στα</w:t>
      </w:r>
      <w:r w:rsidR="00DE07B4">
        <w:rPr>
          <w:rFonts w:eastAsia="Times New Roman" w:cs="Consolas"/>
        </w:rPr>
        <w:t xml:space="preserve"> </w:t>
      </w:r>
      <w:r w:rsidR="006E0F0F" w:rsidRPr="00211E9B">
        <w:rPr>
          <w:rFonts w:eastAsia="Times New Roman" w:cs="Consolas"/>
        </w:rPr>
        <w:t>€</w:t>
      </w:r>
      <w:r w:rsidR="006B5EBF">
        <w:rPr>
          <w:rFonts w:eastAsia="Times New Roman" w:cs="Consolas"/>
        </w:rPr>
        <w:t>6</w:t>
      </w:r>
      <w:r w:rsidR="009F3BA9">
        <w:rPr>
          <w:rFonts w:eastAsia="Times New Roman" w:cs="Consolas"/>
        </w:rPr>
        <w:t>8</w:t>
      </w:r>
      <w:r w:rsidR="006E0F0F" w:rsidRPr="00211E9B">
        <w:rPr>
          <w:rFonts w:eastAsia="Times New Roman" w:cs="Consolas"/>
        </w:rPr>
        <w:t>,</w:t>
      </w:r>
      <w:r w:rsidR="009F3BA9">
        <w:rPr>
          <w:rFonts w:eastAsia="Times New Roman" w:cs="Consolas"/>
        </w:rPr>
        <w:t>5</w:t>
      </w:r>
      <w:r w:rsidR="006E0F0F" w:rsidRPr="00211E9B">
        <w:rPr>
          <w:rFonts w:eastAsia="Times New Roman" w:cs="Consolas"/>
        </w:rPr>
        <w:t xml:space="preserve">εκ </w:t>
      </w:r>
      <w:r w:rsidR="00E32614" w:rsidRPr="00211E9B">
        <w:rPr>
          <w:rFonts w:eastAsia="Times New Roman" w:cs="Consolas"/>
        </w:rPr>
        <w:t xml:space="preserve">έναντι </w:t>
      </w:r>
      <w:r w:rsidR="007511B9" w:rsidRPr="00211E9B">
        <w:rPr>
          <w:rFonts w:eastAsia="Times New Roman" w:cs="Consolas"/>
        </w:rPr>
        <w:t>€</w:t>
      </w:r>
      <w:r w:rsidR="006B5EBF">
        <w:rPr>
          <w:rFonts w:eastAsia="Times New Roman" w:cs="Consolas"/>
        </w:rPr>
        <w:t>55</w:t>
      </w:r>
      <w:r w:rsidR="00E30FBE" w:rsidRPr="00211E9B">
        <w:rPr>
          <w:rFonts w:eastAsia="Times New Roman" w:cs="Consolas"/>
        </w:rPr>
        <w:t>,</w:t>
      </w:r>
      <w:r w:rsidR="00DE07B4">
        <w:rPr>
          <w:rFonts w:eastAsia="Times New Roman" w:cs="Consolas"/>
        </w:rPr>
        <w:t>5</w:t>
      </w:r>
      <w:r w:rsidR="00E30FBE" w:rsidRPr="00211E9B">
        <w:rPr>
          <w:rFonts w:eastAsia="Times New Roman" w:cs="Consolas"/>
        </w:rPr>
        <w:t xml:space="preserve">εκ το </w:t>
      </w:r>
      <w:r w:rsidR="00DE07B4">
        <w:rPr>
          <w:rFonts w:eastAsia="Times New Roman" w:cs="Consolas"/>
        </w:rPr>
        <w:t xml:space="preserve">Α’ </w:t>
      </w:r>
      <w:r w:rsidR="00CA06FF">
        <w:rPr>
          <w:rFonts w:eastAsia="Times New Roman" w:cs="Consolas"/>
        </w:rPr>
        <w:t>Εξάμηνο</w:t>
      </w:r>
      <w:r w:rsidR="00CA06FF" w:rsidRPr="006E38A0">
        <w:rPr>
          <w:rFonts w:eastAsia="Times New Roman" w:cs="Consolas"/>
        </w:rPr>
        <w:t xml:space="preserve"> </w:t>
      </w:r>
      <w:r w:rsidR="00DE07B4">
        <w:rPr>
          <w:rFonts w:eastAsia="Times New Roman" w:cs="Consolas"/>
        </w:rPr>
        <w:t>2015</w:t>
      </w:r>
      <w:r w:rsidR="00E30FBE" w:rsidRPr="00211E9B">
        <w:rPr>
          <w:rFonts w:eastAsia="Times New Roman" w:cs="Consolas"/>
        </w:rPr>
        <w:t xml:space="preserve">. </w:t>
      </w:r>
      <w:r w:rsidR="001E09F0">
        <w:rPr>
          <w:rFonts w:eastAsia="Times New Roman" w:cs="Consolas"/>
        </w:rPr>
        <w:t xml:space="preserve">Η βελτίωση της αποδοτικότητας και οι ενέργειες εξορθολογισμού του κόστους συνέβαλαν στη διεύρυνση του ενοποιημένου μεικτού περιθωρίου κέρδους του Ομίλου κατά </w:t>
      </w:r>
      <w:r w:rsidR="00CB3BB0">
        <w:rPr>
          <w:rFonts w:eastAsia="Times New Roman" w:cs="Consolas"/>
        </w:rPr>
        <w:t xml:space="preserve">2,8 </w:t>
      </w:r>
      <w:r w:rsidR="001E09F0">
        <w:rPr>
          <w:rFonts w:eastAsia="Times New Roman" w:cs="Consolas"/>
        </w:rPr>
        <w:t xml:space="preserve">ποσοστιαίες </w:t>
      </w:r>
      <w:r w:rsidR="001E09F0" w:rsidRPr="00211E9B">
        <w:rPr>
          <w:rFonts w:eastAsia="Times New Roman" w:cs="Consolas"/>
        </w:rPr>
        <w:t xml:space="preserve">μονάδες στο </w:t>
      </w:r>
      <w:r w:rsidR="00CB3BB0">
        <w:rPr>
          <w:rFonts w:eastAsia="Times New Roman" w:cs="Consolas"/>
        </w:rPr>
        <w:t>27</w:t>
      </w:r>
      <w:r w:rsidR="001E09F0" w:rsidRPr="007B78F5">
        <w:rPr>
          <w:rFonts w:eastAsia="Times New Roman" w:cs="Consolas"/>
        </w:rPr>
        <w:t>,</w:t>
      </w:r>
      <w:r w:rsidR="00CB3BB0">
        <w:rPr>
          <w:rFonts w:eastAsia="Times New Roman" w:cs="Consolas"/>
        </w:rPr>
        <w:t>5</w:t>
      </w:r>
      <w:r w:rsidR="001E09F0" w:rsidRPr="00211E9B">
        <w:rPr>
          <w:rFonts w:eastAsia="Times New Roman" w:cs="Consolas"/>
        </w:rPr>
        <w:t>%</w:t>
      </w:r>
      <w:r w:rsidR="001E09F0">
        <w:rPr>
          <w:rFonts w:eastAsia="Times New Roman" w:cs="Consolas"/>
        </w:rPr>
        <w:t xml:space="preserve">, ενώ το περιθώριο </w:t>
      </w:r>
      <w:r w:rsidR="001E09F0" w:rsidRPr="00211E9B">
        <w:rPr>
          <w:rFonts w:eastAsia="Times New Roman" w:cs="Consolas"/>
          <w:lang w:val="en-GB"/>
        </w:rPr>
        <w:t>EBITDA</w:t>
      </w:r>
      <w:r w:rsidR="001E09F0" w:rsidRPr="00211E9B">
        <w:rPr>
          <w:rFonts w:eastAsia="Times New Roman" w:cs="Consolas"/>
        </w:rPr>
        <w:t xml:space="preserve"> στο σύνολο των θυγατρικών</w:t>
      </w:r>
      <w:r w:rsidR="00B15439" w:rsidRPr="00B15439">
        <w:rPr>
          <w:rFonts w:eastAsia="Times New Roman" w:cs="Consolas"/>
          <w:vertAlign w:val="superscript"/>
        </w:rPr>
        <w:t>2</w:t>
      </w:r>
      <w:r w:rsidR="00CB3BB0">
        <w:rPr>
          <w:rFonts w:eastAsia="Times New Roman" w:cs="Consolas"/>
        </w:rPr>
        <w:t xml:space="preserve"> βελτιώθηκε κατά περίπου 2,7</w:t>
      </w:r>
      <w:r w:rsidR="001E09F0">
        <w:rPr>
          <w:rFonts w:eastAsia="Times New Roman" w:cs="Consolas"/>
        </w:rPr>
        <w:t xml:space="preserve"> ποσοστιαίες </w:t>
      </w:r>
      <w:r w:rsidR="001E09F0" w:rsidRPr="00211E9B">
        <w:rPr>
          <w:rFonts w:eastAsia="Times New Roman" w:cs="Consolas"/>
        </w:rPr>
        <w:t xml:space="preserve">μονάδες στο </w:t>
      </w:r>
      <w:r w:rsidR="001E09F0">
        <w:rPr>
          <w:rFonts w:eastAsia="Times New Roman" w:cs="Consolas"/>
        </w:rPr>
        <w:t>1</w:t>
      </w:r>
      <w:r w:rsidR="00CB3BB0">
        <w:rPr>
          <w:rFonts w:eastAsia="Times New Roman" w:cs="Consolas"/>
        </w:rPr>
        <w:t>3</w:t>
      </w:r>
      <w:r w:rsidR="001E09F0">
        <w:rPr>
          <w:rFonts w:eastAsia="Times New Roman" w:cs="Consolas"/>
        </w:rPr>
        <w:t>,</w:t>
      </w:r>
      <w:r w:rsidR="00CB3BB0">
        <w:rPr>
          <w:rFonts w:eastAsia="Times New Roman" w:cs="Consolas"/>
        </w:rPr>
        <w:t>1</w:t>
      </w:r>
      <w:r w:rsidR="001E09F0" w:rsidRPr="00211E9B">
        <w:rPr>
          <w:rFonts w:eastAsia="Times New Roman" w:cs="Consolas"/>
        </w:rPr>
        <w:t>%</w:t>
      </w:r>
      <w:r w:rsidR="001E09F0">
        <w:rPr>
          <w:rFonts w:eastAsia="Times New Roman" w:cs="Consolas"/>
        </w:rPr>
        <w:t>.</w:t>
      </w:r>
    </w:p>
    <w:p w:rsidR="00A41579" w:rsidRPr="00A41579" w:rsidRDefault="00DB5280" w:rsidP="00E05BFF">
      <w:pPr>
        <w:spacing w:before="200" w:line="264" w:lineRule="auto"/>
        <w:jc w:val="both"/>
        <w:rPr>
          <w:rFonts w:eastAsia="Times New Roman" w:cs="Consolas"/>
        </w:rPr>
      </w:pPr>
      <w:r w:rsidRPr="004F6D07">
        <w:rPr>
          <w:rFonts w:eastAsia="Times New Roman" w:cs="Consolas"/>
        </w:rPr>
        <w:t xml:space="preserve">Τα ενοποιημένα αποτελέσματα </w:t>
      </w:r>
      <w:r w:rsidRPr="004F6D07">
        <w:rPr>
          <w:rFonts w:eastAsia="Times New Roman" w:cs="Consolas"/>
          <w:lang w:val="en-GB"/>
        </w:rPr>
        <w:t>EBITDA</w:t>
      </w:r>
      <w:r w:rsidRPr="004F6D07">
        <w:rPr>
          <w:rFonts w:eastAsia="Times New Roman" w:cs="Consolas"/>
        </w:rPr>
        <w:t xml:space="preserve">, περιλαμβανομένων των </w:t>
      </w:r>
      <w:r w:rsidR="00A02865" w:rsidRPr="004F6D07">
        <w:rPr>
          <w:rFonts w:eastAsia="Times New Roman" w:cs="Consolas"/>
        </w:rPr>
        <w:t>εταιρ</w:t>
      </w:r>
      <w:r w:rsidRPr="004F6D07">
        <w:rPr>
          <w:rFonts w:eastAsia="Times New Roman" w:cs="Consolas"/>
        </w:rPr>
        <w:t>ιών συμμετοχών</w:t>
      </w:r>
      <w:r w:rsidR="00022F8D">
        <w:rPr>
          <w:rFonts w:eastAsia="Times New Roman" w:cs="Consolas"/>
        </w:rPr>
        <w:t xml:space="preserve"> </w:t>
      </w:r>
      <w:r w:rsidR="00022F8D" w:rsidRPr="00022F8D">
        <w:rPr>
          <w:rFonts w:eastAsia="Times New Roman" w:cs="Consolas"/>
        </w:rPr>
        <w:t>και των μη-επαναλαμβανόμενων δραστηριοτήτων</w:t>
      </w:r>
      <w:r w:rsidRPr="004F6D07">
        <w:rPr>
          <w:rFonts w:eastAsia="Times New Roman" w:cs="Consolas"/>
        </w:rPr>
        <w:t>, ανήλθαν σε κέρδη €</w:t>
      </w:r>
      <w:r w:rsidR="00CB3BB0" w:rsidRPr="004F6D07">
        <w:rPr>
          <w:rFonts w:eastAsia="Times New Roman" w:cs="Consolas"/>
        </w:rPr>
        <w:t>47</w:t>
      </w:r>
      <w:r w:rsidRPr="004F6D07">
        <w:rPr>
          <w:rFonts w:eastAsia="Times New Roman" w:cs="Consolas"/>
        </w:rPr>
        <w:t>,</w:t>
      </w:r>
      <w:r w:rsidR="00CB3BB0" w:rsidRPr="004F6D07">
        <w:rPr>
          <w:rFonts w:eastAsia="Times New Roman" w:cs="Consolas"/>
        </w:rPr>
        <w:t>7</w:t>
      </w:r>
      <w:r w:rsidR="002C7DF2">
        <w:rPr>
          <w:rFonts w:eastAsia="Times New Roman" w:cs="Consolas"/>
        </w:rPr>
        <w:t xml:space="preserve">εκ </w:t>
      </w:r>
      <w:r w:rsidRPr="004F6D07">
        <w:rPr>
          <w:rFonts w:eastAsia="Times New Roman" w:cs="Consolas"/>
        </w:rPr>
        <w:t>έναντι €</w:t>
      </w:r>
      <w:r w:rsidR="00A31CCF" w:rsidRPr="004F6D07">
        <w:rPr>
          <w:rFonts w:eastAsia="Times New Roman" w:cs="Consolas"/>
        </w:rPr>
        <w:t>48</w:t>
      </w:r>
      <w:r w:rsidRPr="004F6D07">
        <w:rPr>
          <w:rFonts w:eastAsia="Times New Roman" w:cs="Consolas"/>
        </w:rPr>
        <w:t>,</w:t>
      </w:r>
      <w:r w:rsidR="00DE07B4" w:rsidRPr="004F6D07">
        <w:rPr>
          <w:rFonts w:eastAsia="Times New Roman" w:cs="Consolas"/>
        </w:rPr>
        <w:t>3</w:t>
      </w:r>
      <w:r w:rsidRPr="004F6D07">
        <w:rPr>
          <w:rFonts w:eastAsia="Times New Roman" w:cs="Consolas"/>
        </w:rPr>
        <w:t xml:space="preserve">εκ </w:t>
      </w:r>
      <w:r w:rsidR="00DE07B4" w:rsidRPr="004F6D07">
        <w:rPr>
          <w:rFonts w:eastAsia="Times New Roman" w:cs="Consolas"/>
        </w:rPr>
        <w:t xml:space="preserve">το Α’ </w:t>
      </w:r>
      <w:r w:rsidR="006B5EBF" w:rsidRPr="004F6D07">
        <w:rPr>
          <w:rFonts w:eastAsia="Times New Roman" w:cs="Consolas"/>
        </w:rPr>
        <w:t xml:space="preserve">Εξάμηνο </w:t>
      </w:r>
      <w:r w:rsidR="00DE07B4" w:rsidRPr="004F6D07">
        <w:rPr>
          <w:rFonts w:eastAsia="Times New Roman" w:cs="Consolas"/>
        </w:rPr>
        <w:t>2015</w:t>
      </w:r>
      <w:r w:rsidRPr="004F6D07">
        <w:rPr>
          <w:rFonts w:eastAsia="Times New Roman" w:cs="Consolas"/>
        </w:rPr>
        <w:t>,</w:t>
      </w:r>
      <w:r w:rsidR="00CB3BB0" w:rsidRPr="004F6D07">
        <w:rPr>
          <w:rFonts w:eastAsia="Times New Roman" w:cs="Consolas"/>
        </w:rPr>
        <w:t xml:space="preserve"> </w:t>
      </w:r>
      <w:r w:rsidR="00C57538">
        <w:rPr>
          <w:rFonts w:eastAsia="Times New Roman" w:cs="Consolas"/>
        </w:rPr>
        <w:t xml:space="preserve">επιβαρυμένα κατά το </w:t>
      </w:r>
      <w:r w:rsidR="00D05BCA" w:rsidRPr="004F6D07">
        <w:rPr>
          <w:rFonts w:eastAsia="Times New Roman" w:cs="Consolas"/>
        </w:rPr>
        <w:t>ποσ</w:t>
      </w:r>
      <w:r w:rsidR="00022F8D">
        <w:rPr>
          <w:rFonts w:eastAsia="Times New Roman" w:cs="Consolas"/>
        </w:rPr>
        <w:t>ό</w:t>
      </w:r>
      <w:r w:rsidR="00D05BCA" w:rsidRPr="004F6D07">
        <w:rPr>
          <w:rFonts w:eastAsia="Times New Roman" w:cs="Consolas"/>
        </w:rPr>
        <w:t xml:space="preserve"> €</w:t>
      </w:r>
      <w:r w:rsidR="00CB3BB0" w:rsidRPr="004F6D07">
        <w:rPr>
          <w:rFonts w:eastAsia="Times New Roman" w:cs="Consolas"/>
        </w:rPr>
        <w:t>13</w:t>
      </w:r>
      <w:r w:rsidR="00D05BCA" w:rsidRPr="004F6D07">
        <w:rPr>
          <w:rFonts w:eastAsia="Times New Roman" w:cs="Consolas"/>
        </w:rPr>
        <w:t>,</w:t>
      </w:r>
      <w:r w:rsidR="00CB3BB0" w:rsidRPr="004F6D07">
        <w:rPr>
          <w:rFonts w:eastAsia="Times New Roman" w:cs="Consolas"/>
        </w:rPr>
        <w:t>6</w:t>
      </w:r>
      <w:r w:rsidR="001C64EA" w:rsidRPr="004F6D07">
        <w:rPr>
          <w:rFonts w:eastAsia="Times New Roman" w:cs="Consolas"/>
        </w:rPr>
        <w:t xml:space="preserve">εκ </w:t>
      </w:r>
      <w:r w:rsidR="002C7DF2">
        <w:rPr>
          <w:rFonts w:eastAsia="Times New Roman" w:cs="Consolas"/>
        </w:rPr>
        <w:t>(</w:t>
      </w:r>
      <w:r w:rsidR="00450512">
        <w:rPr>
          <w:rFonts w:eastAsia="Times New Roman" w:cs="Consolas"/>
        </w:rPr>
        <w:t xml:space="preserve">€12,7εκ για τον όμιλο </w:t>
      </w:r>
      <w:r w:rsidR="002C7DF2" w:rsidRPr="004F6D07">
        <w:rPr>
          <w:rFonts w:eastAsia="Times New Roman" w:cs="Consolas"/>
          <w:lang w:val="en-GB"/>
        </w:rPr>
        <w:t>VIVARTIA</w:t>
      </w:r>
      <w:r w:rsidR="002C7DF2" w:rsidRPr="004F6D07">
        <w:rPr>
          <w:rFonts w:eastAsia="Times New Roman" w:cs="Consolas"/>
        </w:rPr>
        <w:t xml:space="preserve"> και €0,9εκ για τη </w:t>
      </w:r>
      <w:r w:rsidR="002C7DF2" w:rsidRPr="004F6D07">
        <w:rPr>
          <w:rFonts w:eastAsia="Times New Roman" w:cs="Consolas"/>
          <w:lang w:val="en-GB"/>
        </w:rPr>
        <w:t>SINGULARLOGIC</w:t>
      </w:r>
      <w:r w:rsidR="002C7DF2">
        <w:rPr>
          <w:rFonts w:eastAsia="Times New Roman" w:cs="Consolas"/>
        </w:rPr>
        <w:t xml:space="preserve">) </w:t>
      </w:r>
      <w:r w:rsidR="00E05BFF" w:rsidRPr="00E05BFF">
        <w:rPr>
          <w:rFonts w:eastAsia="Times New Roman" w:cs="Consolas"/>
        </w:rPr>
        <w:t xml:space="preserve">από τη διενέργεια έκτακτης απομείωσης στα υπόλοιπα απαιτήσεων </w:t>
      </w:r>
      <w:r w:rsidR="00E05BFF" w:rsidRPr="004F6D07">
        <w:rPr>
          <w:rFonts w:eastAsia="Times New Roman" w:cs="Consolas"/>
        </w:rPr>
        <w:t>των εν λόγω θυγατρικών από τον όμιλο ΜΑΡΙΝΟΠΟΥΛΟΣ</w:t>
      </w:r>
      <w:r w:rsidR="00E05BFF" w:rsidRPr="00E05BFF">
        <w:rPr>
          <w:rFonts w:eastAsia="Times New Roman" w:cs="Consolas"/>
        </w:rPr>
        <w:t>, στο πλαίσιο της εν εξελίξει διαδικασία</w:t>
      </w:r>
      <w:r w:rsidR="00EA75E5">
        <w:rPr>
          <w:rFonts w:eastAsia="Times New Roman" w:cs="Consolas"/>
        </w:rPr>
        <w:t>ς</w:t>
      </w:r>
      <w:r w:rsidR="00E05BFF" w:rsidRPr="00E05BFF">
        <w:rPr>
          <w:rFonts w:eastAsia="Times New Roman" w:cs="Consolas"/>
        </w:rPr>
        <w:t xml:space="preserve"> αναδιάρθρωσης του ομίλου ΜΑΡΙΝΟΠΟΥΛΟΣ</w:t>
      </w:r>
      <w:r w:rsidR="00E05BFF">
        <w:rPr>
          <w:rFonts w:eastAsia="Times New Roman" w:cs="Consolas"/>
        </w:rPr>
        <w:t xml:space="preserve">. </w:t>
      </w:r>
      <w:r w:rsidR="00A41579" w:rsidRPr="00A41579">
        <w:rPr>
          <w:rFonts w:eastAsia="Times New Roman" w:cs="Consolas"/>
        </w:rPr>
        <w:t>Δεδομένου ότι μέχρι την ημερομηνία έγκρισης των ενδιάμεσων οικονομικών καταστάσεων δεν έχει ληφθεί οποιοδήποτε σχέδιο συμ</w:t>
      </w:r>
      <w:r w:rsidR="00A41579">
        <w:rPr>
          <w:rFonts w:eastAsia="Times New Roman" w:cs="Consolas"/>
        </w:rPr>
        <w:t xml:space="preserve">φωνίας συναίνεσης των πιστωτών, ούτως </w:t>
      </w:r>
      <w:r w:rsidR="00A41579" w:rsidRPr="00A41579">
        <w:rPr>
          <w:rFonts w:eastAsia="Times New Roman" w:cs="Consolas"/>
        </w:rPr>
        <w:t>ώστε να προσδιοριστεί το ενδεχόμενο ποσοστό απομείωσης ή και ο τρόπος διευθέτησης των υπολοίπων, το ποσό της απομείωσης προσδιορίστηκε στα πλαίσια της αρχής της συντηρητικότητας με βάση υφιστάμενα δημοσιεύματα.</w:t>
      </w:r>
    </w:p>
    <w:p w:rsidR="00F6260F" w:rsidRPr="003313C6" w:rsidRDefault="00F6260F" w:rsidP="000F3719">
      <w:pPr>
        <w:spacing w:before="200" w:line="264" w:lineRule="auto"/>
        <w:jc w:val="both"/>
        <w:rPr>
          <w:rFonts w:eastAsia="Times New Roman" w:cs="Consolas"/>
        </w:rPr>
      </w:pPr>
      <w:r w:rsidRPr="004F6D07">
        <w:rPr>
          <w:rFonts w:eastAsia="Times New Roman" w:cs="Consolas"/>
        </w:rPr>
        <w:t>Η Καθαρή Εσωτερική Αξία (</w:t>
      </w:r>
      <w:r w:rsidRPr="004F6D07">
        <w:rPr>
          <w:rFonts w:eastAsia="Times New Roman" w:cs="Consolas"/>
          <w:lang w:val="en-GB"/>
        </w:rPr>
        <w:t>NAV</w:t>
      </w:r>
      <w:r w:rsidRPr="004F6D07">
        <w:rPr>
          <w:rFonts w:eastAsia="Times New Roman" w:cs="Consolas"/>
        </w:rPr>
        <w:t xml:space="preserve">) την 30.06.2016 ανήλθε στα €756εκ (έναντι €783εκ την 31.12.2015), που αντιστοιχεί σε €0,81 ανά μετοχή (έναντι €0,83 την 31.12.2015). </w:t>
      </w:r>
      <w:r w:rsidR="003313C6" w:rsidRPr="004F6D07">
        <w:rPr>
          <w:rFonts w:eastAsia="Times New Roman" w:cs="Consolas"/>
        </w:rPr>
        <w:t xml:space="preserve">Η μείωση της </w:t>
      </w:r>
      <w:r w:rsidR="003313C6" w:rsidRPr="004F6D07">
        <w:rPr>
          <w:rFonts w:eastAsia="Times New Roman" w:cs="Consolas"/>
          <w:lang w:val="en-GB"/>
        </w:rPr>
        <w:t>NAV</w:t>
      </w:r>
      <w:r w:rsidR="003313C6" w:rsidRPr="004F6D07">
        <w:rPr>
          <w:rFonts w:eastAsia="Times New Roman" w:cs="Consolas"/>
        </w:rPr>
        <w:t xml:space="preserve"> την 30.06.2016 έναντι της 31.12.2015 οφείλεται </w:t>
      </w:r>
      <w:r w:rsidR="00644566" w:rsidRPr="004F6D07">
        <w:rPr>
          <w:rFonts w:eastAsia="Times New Roman" w:cs="Consolas"/>
        </w:rPr>
        <w:t>αποκλειστικά στη μεταβολή του καθαρού κεφαλαίου κίνησης (</w:t>
      </w:r>
      <w:r w:rsidR="00644566" w:rsidRPr="004F6D07">
        <w:rPr>
          <w:rFonts w:eastAsia="Times New Roman" w:cs="Consolas"/>
          <w:lang w:val="en-GB"/>
        </w:rPr>
        <w:t>net</w:t>
      </w:r>
      <w:r w:rsidR="00644566" w:rsidRPr="004F6D07">
        <w:rPr>
          <w:rFonts w:eastAsia="Times New Roman" w:cs="Consolas"/>
        </w:rPr>
        <w:t xml:space="preserve"> </w:t>
      </w:r>
      <w:r w:rsidR="00644566" w:rsidRPr="004F6D07">
        <w:rPr>
          <w:rFonts w:eastAsia="Times New Roman" w:cs="Consolas"/>
          <w:lang w:val="en-GB"/>
        </w:rPr>
        <w:t>working</w:t>
      </w:r>
      <w:r w:rsidR="00644566" w:rsidRPr="004F6D07">
        <w:rPr>
          <w:rFonts w:eastAsia="Times New Roman" w:cs="Consolas"/>
        </w:rPr>
        <w:t xml:space="preserve"> </w:t>
      </w:r>
      <w:r w:rsidR="00644566" w:rsidRPr="004F6D07">
        <w:rPr>
          <w:rFonts w:eastAsia="Times New Roman" w:cs="Consolas"/>
          <w:lang w:val="en-GB"/>
        </w:rPr>
        <w:t>capital</w:t>
      </w:r>
      <w:r w:rsidR="00644566" w:rsidRPr="004F6D07">
        <w:rPr>
          <w:rFonts w:eastAsia="Times New Roman" w:cs="Consolas"/>
        </w:rPr>
        <w:t>)</w:t>
      </w:r>
      <w:r w:rsidR="00864F96" w:rsidRPr="004F6D07">
        <w:rPr>
          <w:rFonts w:eastAsia="Times New Roman" w:cs="Consolas"/>
        </w:rPr>
        <w:t>.</w:t>
      </w:r>
    </w:p>
    <w:p w:rsidR="00F6260F" w:rsidRDefault="00F6260F" w:rsidP="00F6260F">
      <w:pPr>
        <w:spacing w:before="200" w:line="264" w:lineRule="auto"/>
        <w:jc w:val="both"/>
        <w:rPr>
          <w:rFonts w:eastAsia="Times New Roman" w:cs="Consolas"/>
        </w:rPr>
      </w:pPr>
      <w:r w:rsidRPr="00B86C00">
        <w:rPr>
          <w:rFonts w:eastAsia="Times New Roman" w:cs="Consolas"/>
        </w:rPr>
        <w:t>Τα ταμειακά διαθέσιμα σε ενοποιημένη βάση για τον Όμιλο ανήλθαν στα €</w:t>
      </w:r>
      <w:r w:rsidR="004F6D07">
        <w:rPr>
          <w:rFonts w:eastAsia="Times New Roman" w:cs="Consolas"/>
        </w:rPr>
        <w:t>126</w:t>
      </w:r>
      <w:r w:rsidRPr="00B86C00">
        <w:rPr>
          <w:rFonts w:eastAsia="Times New Roman" w:cs="Consolas"/>
        </w:rPr>
        <w:t>εκ. Οι ενοποιημένες δανειακές υποχρεώσεις του Ομίλου την 3</w:t>
      </w:r>
      <w:r>
        <w:rPr>
          <w:rFonts w:eastAsia="Times New Roman" w:cs="Consolas"/>
        </w:rPr>
        <w:t>0</w:t>
      </w:r>
      <w:r w:rsidRPr="00B86C00">
        <w:rPr>
          <w:rFonts w:eastAsia="Times New Roman" w:cs="Consolas"/>
        </w:rPr>
        <w:t>.</w:t>
      </w:r>
      <w:r>
        <w:rPr>
          <w:rFonts w:eastAsia="Times New Roman" w:cs="Consolas"/>
        </w:rPr>
        <w:t>06</w:t>
      </w:r>
      <w:r w:rsidRPr="00B86C00">
        <w:rPr>
          <w:rFonts w:eastAsia="Times New Roman" w:cs="Consolas"/>
        </w:rPr>
        <w:t>.201</w:t>
      </w:r>
      <w:r>
        <w:rPr>
          <w:rFonts w:eastAsia="Times New Roman" w:cs="Consolas"/>
        </w:rPr>
        <w:t>6</w:t>
      </w:r>
      <w:r w:rsidRPr="00B86C00">
        <w:rPr>
          <w:rFonts w:eastAsia="Times New Roman" w:cs="Consolas"/>
        </w:rPr>
        <w:t xml:space="preserve"> ανήλθαν στα €1,6</w:t>
      </w:r>
      <w:r w:rsidR="000959AC">
        <w:rPr>
          <w:rFonts w:eastAsia="Times New Roman" w:cs="Consolas"/>
        </w:rPr>
        <w:t>6</w:t>
      </w:r>
      <w:r w:rsidRPr="00B86C00">
        <w:rPr>
          <w:rFonts w:eastAsia="Times New Roman" w:cs="Consolas"/>
        </w:rPr>
        <w:t xml:space="preserve"> </w:t>
      </w:r>
      <w:proofErr w:type="spellStart"/>
      <w:r w:rsidRPr="00B86C00">
        <w:rPr>
          <w:rFonts w:eastAsia="Times New Roman" w:cs="Consolas"/>
        </w:rPr>
        <w:t>δισ</w:t>
      </w:r>
      <w:proofErr w:type="spellEnd"/>
      <w:r w:rsidRPr="00B86C00">
        <w:rPr>
          <w:rFonts w:eastAsia="Times New Roman" w:cs="Consolas"/>
        </w:rPr>
        <w:t>, μειωμένες κατά €</w:t>
      </w:r>
      <w:r w:rsidR="000959AC">
        <w:rPr>
          <w:rFonts w:eastAsia="Times New Roman" w:cs="Consolas"/>
        </w:rPr>
        <w:t>27</w:t>
      </w:r>
      <w:r w:rsidRPr="00B86C00">
        <w:rPr>
          <w:rFonts w:eastAsia="Times New Roman" w:cs="Consolas"/>
        </w:rPr>
        <w:t>εκ έναντι της 31.12.201</w:t>
      </w:r>
      <w:r>
        <w:rPr>
          <w:rFonts w:eastAsia="Times New Roman" w:cs="Consolas"/>
        </w:rPr>
        <w:t>5</w:t>
      </w:r>
      <w:r w:rsidRPr="00B86C00">
        <w:rPr>
          <w:rFonts w:eastAsia="Times New Roman" w:cs="Consolas"/>
        </w:rPr>
        <w:t>.</w:t>
      </w:r>
    </w:p>
    <w:p w:rsidR="003349E9" w:rsidRDefault="00A62BEB" w:rsidP="00192C69">
      <w:pPr>
        <w:spacing w:before="200" w:line="264" w:lineRule="auto"/>
        <w:jc w:val="both"/>
        <w:rPr>
          <w:rFonts w:eastAsia="Times New Roman" w:cs="Consolas"/>
        </w:rPr>
      </w:pPr>
      <w:r>
        <w:rPr>
          <w:rFonts w:eastAsia="Times New Roman" w:cs="Consolas"/>
        </w:rPr>
        <w:t>Οι</w:t>
      </w:r>
      <w:r w:rsidR="009E3F88">
        <w:rPr>
          <w:rFonts w:eastAsia="Times New Roman" w:cs="Consolas"/>
        </w:rPr>
        <w:t xml:space="preserve"> στρατηγικής σημασίας </w:t>
      </w:r>
      <w:r w:rsidR="00F668EB" w:rsidRPr="00F668EB">
        <w:rPr>
          <w:rFonts w:eastAsia="Times New Roman" w:cs="Consolas"/>
        </w:rPr>
        <w:t xml:space="preserve">θυγατρικές του Ομίλου </w:t>
      </w:r>
      <w:r w:rsidR="00F668EB" w:rsidRPr="00F668EB">
        <w:rPr>
          <w:rFonts w:eastAsia="Times New Roman" w:cs="Consolas"/>
          <w:lang w:val="en-GB"/>
        </w:rPr>
        <w:t>MIG</w:t>
      </w:r>
      <w:r w:rsidR="00F668EB" w:rsidRPr="00F668EB">
        <w:rPr>
          <w:rFonts w:eastAsia="Times New Roman" w:cs="Consolas"/>
        </w:rPr>
        <w:t xml:space="preserve"> </w:t>
      </w:r>
      <w:r w:rsidR="0053342C">
        <w:rPr>
          <w:rFonts w:eastAsia="Times New Roman" w:cs="Consolas"/>
        </w:rPr>
        <w:t xml:space="preserve">συνεχίζουν να καταγράφουν </w:t>
      </w:r>
      <w:r w:rsidR="00F668EB" w:rsidRPr="00F668EB">
        <w:rPr>
          <w:rFonts w:eastAsia="Times New Roman" w:cs="Consolas"/>
        </w:rPr>
        <w:t xml:space="preserve">βελτίωση στα οικονομικά αποτελέσματά τους, παρά </w:t>
      </w:r>
      <w:r w:rsidR="001800E5">
        <w:rPr>
          <w:rFonts w:eastAsia="Times New Roman" w:cs="Consolas"/>
        </w:rPr>
        <w:t xml:space="preserve">τις </w:t>
      </w:r>
      <w:r w:rsidR="00F22290">
        <w:rPr>
          <w:rFonts w:eastAsia="Times New Roman" w:cs="Consolas"/>
        </w:rPr>
        <w:t xml:space="preserve">προαναφερθείσες </w:t>
      </w:r>
      <w:r w:rsidR="001800E5">
        <w:rPr>
          <w:rFonts w:eastAsia="Times New Roman" w:cs="Consolas"/>
        </w:rPr>
        <w:t xml:space="preserve">δυσμενείς συνθήκες στο </w:t>
      </w:r>
      <w:r w:rsidR="001800E5" w:rsidRPr="00F668EB">
        <w:rPr>
          <w:rFonts w:eastAsia="Times New Roman" w:cs="Consolas"/>
        </w:rPr>
        <w:t>οικονομικό και επιχειρηματικό περιβάλλον της χώρας</w:t>
      </w:r>
      <w:r w:rsidR="001800E5">
        <w:rPr>
          <w:rFonts w:eastAsia="Times New Roman" w:cs="Consolas"/>
        </w:rPr>
        <w:t>.</w:t>
      </w:r>
    </w:p>
    <w:p w:rsidR="00D05BCA" w:rsidRDefault="009649DE" w:rsidP="001D4424">
      <w:pPr>
        <w:pStyle w:val="a6"/>
        <w:numPr>
          <w:ilvl w:val="0"/>
          <w:numId w:val="4"/>
        </w:numPr>
        <w:spacing w:before="200" w:line="264" w:lineRule="auto"/>
        <w:ind w:left="425" w:hanging="425"/>
        <w:jc w:val="both"/>
        <w:rPr>
          <w:rFonts w:eastAsia="Times New Roman" w:cs="Consolas"/>
        </w:rPr>
      </w:pPr>
      <w:r w:rsidRPr="00EC59D7">
        <w:rPr>
          <w:rFonts w:eastAsia="Times New Roman" w:cs="Consolas"/>
          <w:b/>
        </w:rPr>
        <w:lastRenderedPageBreak/>
        <w:t xml:space="preserve">Όμιλος </w:t>
      </w:r>
      <w:r w:rsidRPr="00EC59D7">
        <w:rPr>
          <w:rFonts w:eastAsia="Times New Roman" w:cs="Consolas"/>
          <w:b/>
          <w:lang w:val="en-GB"/>
        </w:rPr>
        <w:t>ATTICA</w:t>
      </w:r>
      <w:r w:rsidRPr="00EC59D7">
        <w:rPr>
          <w:rFonts w:eastAsia="Times New Roman" w:cs="Consolas"/>
          <w:b/>
        </w:rPr>
        <w:t>:</w:t>
      </w:r>
      <w:r w:rsidRPr="00D3517F">
        <w:rPr>
          <w:rFonts w:eastAsia="Times New Roman" w:cs="Consolas"/>
        </w:rPr>
        <w:t xml:space="preserve"> </w:t>
      </w:r>
      <w:r>
        <w:rPr>
          <w:rFonts w:eastAsia="Times New Roman" w:cs="Consolas"/>
        </w:rPr>
        <w:t>το κυριότερο χαρακτηριστικό</w:t>
      </w:r>
      <w:r w:rsidRPr="00D3517F">
        <w:rPr>
          <w:rFonts w:eastAsia="Times New Roman" w:cs="Consolas"/>
        </w:rPr>
        <w:t xml:space="preserve"> των αποτελεσμάτων </w:t>
      </w:r>
      <w:r w:rsidR="0053342C">
        <w:rPr>
          <w:rFonts w:eastAsia="Times New Roman" w:cs="Consolas"/>
        </w:rPr>
        <w:t xml:space="preserve">του Α’ </w:t>
      </w:r>
      <w:r w:rsidR="002E3942">
        <w:rPr>
          <w:rFonts w:eastAsia="Times New Roman" w:cs="Consolas"/>
        </w:rPr>
        <w:t xml:space="preserve">Εξαμήνου 2016 είναι η αύξηση </w:t>
      </w:r>
      <w:r w:rsidR="0053342C">
        <w:rPr>
          <w:rFonts w:eastAsia="Times New Roman" w:cs="Consolas"/>
        </w:rPr>
        <w:t xml:space="preserve">της λειτουργικής κερδοφορίας </w:t>
      </w:r>
      <w:r w:rsidR="0053342C" w:rsidRPr="0000450D">
        <w:rPr>
          <w:rFonts w:eastAsia="Times New Roman" w:cs="Consolas"/>
          <w:lang w:val="en-GB"/>
        </w:rPr>
        <w:t>EBITDA</w:t>
      </w:r>
      <w:r w:rsidR="002E3942">
        <w:rPr>
          <w:rFonts w:eastAsia="Times New Roman" w:cs="Consolas"/>
        </w:rPr>
        <w:t xml:space="preserve"> (κέρδη €21</w:t>
      </w:r>
      <w:r w:rsidR="0053342C" w:rsidRPr="00D3517F">
        <w:rPr>
          <w:rFonts w:eastAsia="Times New Roman" w:cs="Consolas"/>
        </w:rPr>
        <w:t>,</w:t>
      </w:r>
      <w:r w:rsidR="0053342C">
        <w:rPr>
          <w:rFonts w:eastAsia="Times New Roman" w:cs="Consolas"/>
        </w:rPr>
        <w:t>7</w:t>
      </w:r>
      <w:r w:rsidR="0053342C" w:rsidRPr="00D3517F">
        <w:rPr>
          <w:rFonts w:eastAsia="Times New Roman" w:cs="Consolas"/>
        </w:rPr>
        <w:t>εκ</w:t>
      </w:r>
      <w:r w:rsidR="002E3942">
        <w:rPr>
          <w:rFonts w:eastAsia="Times New Roman" w:cs="Consolas"/>
        </w:rPr>
        <w:t>, αυξημένα 14% έναντι του Α’ Εξαμήνου 2015)</w:t>
      </w:r>
      <w:r w:rsidR="0053342C">
        <w:rPr>
          <w:rFonts w:eastAsia="Times New Roman" w:cs="Consolas"/>
        </w:rPr>
        <w:t>.</w:t>
      </w:r>
      <w:r w:rsidR="00936070">
        <w:rPr>
          <w:rFonts w:eastAsia="Times New Roman" w:cs="Consolas"/>
        </w:rPr>
        <w:t xml:space="preserve"> </w:t>
      </w:r>
      <w:r>
        <w:rPr>
          <w:rFonts w:eastAsia="Times New Roman" w:cs="Consolas"/>
        </w:rPr>
        <w:t>Οι κύριοι παράγοντες που συνέβαλαν στ</w:t>
      </w:r>
      <w:r w:rsidR="0033133D">
        <w:rPr>
          <w:rFonts w:eastAsia="Times New Roman" w:cs="Consolas"/>
        </w:rPr>
        <w:t>ο</w:t>
      </w:r>
      <w:r>
        <w:rPr>
          <w:rFonts w:eastAsia="Times New Roman" w:cs="Consolas"/>
        </w:rPr>
        <w:t xml:space="preserve"> παραπάνω είναι </w:t>
      </w:r>
      <w:r w:rsidR="00213D96">
        <w:rPr>
          <w:rFonts w:eastAsia="Times New Roman" w:cs="Consolas"/>
        </w:rPr>
        <w:t xml:space="preserve">η </w:t>
      </w:r>
      <w:r w:rsidR="00E05BFF">
        <w:rPr>
          <w:rFonts w:eastAsia="Times New Roman" w:cs="Consolas"/>
        </w:rPr>
        <w:t xml:space="preserve">αύξηση </w:t>
      </w:r>
      <w:r w:rsidR="00213D96">
        <w:rPr>
          <w:rFonts w:eastAsia="Times New Roman" w:cs="Consolas"/>
        </w:rPr>
        <w:t xml:space="preserve">του μεταφορικού έργου και </w:t>
      </w:r>
      <w:r w:rsidR="00F34EB9">
        <w:rPr>
          <w:rFonts w:eastAsia="Times New Roman" w:cs="Consolas"/>
        </w:rPr>
        <w:t>η εξοικονόμηση κόστους καυσίμων</w:t>
      </w:r>
      <w:r w:rsidR="00F34EB9" w:rsidRPr="00F34EB9">
        <w:rPr>
          <w:rFonts w:eastAsia="Times New Roman" w:cs="Consolas"/>
        </w:rPr>
        <w:t xml:space="preserve">, </w:t>
      </w:r>
      <w:r w:rsidR="00F34EB9">
        <w:rPr>
          <w:rFonts w:eastAsia="Times New Roman" w:cs="Consolas"/>
        </w:rPr>
        <w:t xml:space="preserve">απόρροια της </w:t>
      </w:r>
      <w:r w:rsidR="00213D96">
        <w:rPr>
          <w:rFonts w:eastAsia="Times New Roman" w:cs="Consolas"/>
        </w:rPr>
        <w:t>υποχώρηση</w:t>
      </w:r>
      <w:r w:rsidR="00F34EB9">
        <w:rPr>
          <w:rFonts w:eastAsia="Times New Roman" w:cs="Consolas"/>
        </w:rPr>
        <w:t>ς</w:t>
      </w:r>
      <w:r w:rsidR="00213D96">
        <w:rPr>
          <w:rFonts w:eastAsia="Times New Roman" w:cs="Consolas"/>
        </w:rPr>
        <w:t xml:space="preserve"> των τιμών των καυσίμων.</w:t>
      </w:r>
      <w:r w:rsidR="000963DD">
        <w:rPr>
          <w:rFonts w:eastAsia="Times New Roman" w:cs="Consolas"/>
        </w:rPr>
        <w:t xml:space="preserve"> </w:t>
      </w:r>
      <w:r w:rsidR="000963DD" w:rsidRPr="000963DD">
        <w:rPr>
          <w:rFonts w:eastAsia="Times New Roman" w:cs="Consolas"/>
        </w:rPr>
        <w:t>Επισημαίνεται ότι ο κλάδος της επιβατηγού ναυτιλίας χαρακτηρίζεται από έντονη εποχικότητα</w:t>
      </w:r>
      <w:r w:rsidR="001358F8">
        <w:rPr>
          <w:rFonts w:eastAsia="Times New Roman" w:cs="Consolas"/>
        </w:rPr>
        <w:t xml:space="preserve"> </w:t>
      </w:r>
      <w:r w:rsidR="002E3942">
        <w:rPr>
          <w:rFonts w:eastAsia="Times New Roman" w:cs="Consolas"/>
        </w:rPr>
        <w:t>όσον αφορά την τουριστική κίνηση, με υψηλότερη κίνηση τους μήνες Ιούλιο έως Σεπτέμβριο και χαμηλότερη τους μήνες Νοέμβριο έως Φεβρουάριο</w:t>
      </w:r>
      <w:r w:rsidR="000963DD" w:rsidRPr="000963DD">
        <w:rPr>
          <w:rFonts w:eastAsia="Times New Roman" w:cs="Consolas"/>
        </w:rPr>
        <w:t>.</w:t>
      </w:r>
      <w:r w:rsidR="001C2553" w:rsidRPr="001C2553">
        <w:rPr>
          <w:rFonts w:eastAsia="Times New Roman" w:cs="Consolas"/>
        </w:rPr>
        <w:t xml:space="preserve"> </w:t>
      </w:r>
      <w:r w:rsidR="00C57538">
        <w:rPr>
          <w:rFonts w:eastAsia="Times New Roman" w:cs="Consolas"/>
        </w:rPr>
        <w:t xml:space="preserve">Στα πλαίσια του </w:t>
      </w:r>
      <w:r w:rsidR="00A21726">
        <w:rPr>
          <w:rFonts w:eastAsia="Times New Roman" w:cs="Consolas"/>
        </w:rPr>
        <w:t xml:space="preserve">στρατηγικού </w:t>
      </w:r>
      <w:r w:rsidR="00C57538">
        <w:rPr>
          <w:rFonts w:eastAsia="Times New Roman" w:cs="Consolas"/>
        </w:rPr>
        <w:t xml:space="preserve">σχεδιασμού για περαιτέρω ανάπτυξη σε νέες διεθνείς αγορές, </w:t>
      </w:r>
      <w:r w:rsidR="001C2553">
        <w:rPr>
          <w:rFonts w:eastAsia="Times New Roman" w:cs="Consolas"/>
        </w:rPr>
        <w:t xml:space="preserve">η </w:t>
      </w:r>
      <w:r w:rsidR="001C2553">
        <w:rPr>
          <w:rFonts w:eastAsia="Times New Roman" w:cs="Consolas"/>
          <w:lang w:val="en-GB"/>
        </w:rPr>
        <w:t>ATTICA</w:t>
      </w:r>
      <w:r w:rsidR="001C2553" w:rsidRPr="001C2553">
        <w:rPr>
          <w:rFonts w:eastAsia="Times New Roman" w:cs="Consolas"/>
        </w:rPr>
        <w:t xml:space="preserve"> </w:t>
      </w:r>
      <w:r w:rsidR="001C2553">
        <w:rPr>
          <w:rFonts w:eastAsia="Times New Roman" w:cs="Consolas"/>
        </w:rPr>
        <w:t xml:space="preserve">σύναψε συμφωνία </w:t>
      </w:r>
      <w:r w:rsidR="00C57538">
        <w:rPr>
          <w:rFonts w:eastAsia="Times New Roman" w:cs="Consolas"/>
        </w:rPr>
        <w:t xml:space="preserve">τον Ιούνιο 2016 </w:t>
      </w:r>
      <w:r w:rsidR="001C2553">
        <w:rPr>
          <w:rFonts w:eastAsia="Times New Roman" w:cs="Consolas"/>
        </w:rPr>
        <w:t xml:space="preserve">με την τράπεζα </w:t>
      </w:r>
      <w:r w:rsidR="001C2553" w:rsidRPr="001C2553">
        <w:rPr>
          <w:rFonts w:eastAsia="Times New Roman" w:cs="Consolas"/>
        </w:rPr>
        <w:t xml:space="preserve">«BMCE </w:t>
      </w:r>
      <w:proofErr w:type="spellStart"/>
      <w:r w:rsidR="001C2553" w:rsidRPr="001C2553">
        <w:rPr>
          <w:rFonts w:eastAsia="Times New Roman" w:cs="Consolas"/>
        </w:rPr>
        <w:t>Bank</w:t>
      </w:r>
      <w:proofErr w:type="spellEnd"/>
      <w:r w:rsidR="001C2553" w:rsidRPr="001C2553">
        <w:rPr>
          <w:rFonts w:eastAsia="Times New Roman" w:cs="Consolas"/>
        </w:rPr>
        <w:t xml:space="preserve"> </w:t>
      </w:r>
      <w:proofErr w:type="spellStart"/>
      <w:r w:rsidR="001C2553" w:rsidRPr="001C2553">
        <w:rPr>
          <w:rFonts w:eastAsia="Times New Roman" w:cs="Consolas"/>
        </w:rPr>
        <w:t>Of</w:t>
      </w:r>
      <w:proofErr w:type="spellEnd"/>
      <w:r w:rsidR="001C2553" w:rsidRPr="001C2553">
        <w:rPr>
          <w:rFonts w:eastAsia="Times New Roman" w:cs="Consolas"/>
        </w:rPr>
        <w:t xml:space="preserve"> </w:t>
      </w:r>
      <w:proofErr w:type="spellStart"/>
      <w:r w:rsidR="001C2553" w:rsidRPr="001C2553">
        <w:rPr>
          <w:rFonts w:eastAsia="Times New Roman" w:cs="Consolas"/>
        </w:rPr>
        <w:t>Africa</w:t>
      </w:r>
      <w:proofErr w:type="spellEnd"/>
      <w:r w:rsidR="001C2553" w:rsidRPr="001C2553">
        <w:rPr>
          <w:rFonts w:eastAsia="Times New Roman" w:cs="Consolas"/>
        </w:rPr>
        <w:t xml:space="preserve"> </w:t>
      </w:r>
      <w:proofErr w:type="spellStart"/>
      <w:r w:rsidR="001C2553" w:rsidRPr="001C2553">
        <w:rPr>
          <w:rFonts w:eastAsia="Times New Roman" w:cs="Consolas"/>
        </w:rPr>
        <w:t>Group</w:t>
      </w:r>
      <w:proofErr w:type="spellEnd"/>
      <w:r w:rsidR="001C2553" w:rsidRPr="001C2553">
        <w:t xml:space="preserve"> </w:t>
      </w:r>
      <w:r w:rsidR="001C2553" w:rsidRPr="001C2553">
        <w:rPr>
          <w:rFonts w:eastAsia="Times New Roman" w:cs="Consolas"/>
        </w:rPr>
        <w:t>(BMCE)» του Μαρόκου για τη δρομολόγηση πλοίων μεταξύ Μαρόκου και Ηπειρωτικής Ευρώπης μέσω της νεοσυσταθείσας εταιρίας «</w:t>
      </w:r>
      <w:proofErr w:type="spellStart"/>
      <w:r w:rsidR="001C2553" w:rsidRPr="001C2553">
        <w:rPr>
          <w:rFonts w:eastAsia="Times New Roman" w:cs="Consolas"/>
        </w:rPr>
        <w:t>Africa</w:t>
      </w:r>
      <w:proofErr w:type="spellEnd"/>
      <w:r w:rsidR="001C2553" w:rsidRPr="001C2553">
        <w:rPr>
          <w:rFonts w:eastAsia="Times New Roman" w:cs="Consolas"/>
        </w:rPr>
        <w:t xml:space="preserve"> </w:t>
      </w:r>
      <w:proofErr w:type="spellStart"/>
      <w:r w:rsidR="001C2553" w:rsidRPr="001C2553">
        <w:rPr>
          <w:rFonts w:eastAsia="Times New Roman" w:cs="Consolas"/>
        </w:rPr>
        <w:t>Morocco</w:t>
      </w:r>
      <w:proofErr w:type="spellEnd"/>
      <w:r w:rsidR="001C2553" w:rsidRPr="001C2553">
        <w:rPr>
          <w:rFonts w:eastAsia="Times New Roman" w:cs="Consolas"/>
        </w:rPr>
        <w:t xml:space="preserve"> </w:t>
      </w:r>
      <w:proofErr w:type="spellStart"/>
      <w:r w:rsidR="001C2553" w:rsidRPr="001C2553">
        <w:rPr>
          <w:rFonts w:eastAsia="Times New Roman" w:cs="Consolas"/>
        </w:rPr>
        <w:t>Links</w:t>
      </w:r>
      <w:proofErr w:type="spellEnd"/>
      <w:r w:rsidR="001C2553" w:rsidRPr="001C2553">
        <w:rPr>
          <w:rFonts w:eastAsia="Times New Roman" w:cs="Consolas"/>
        </w:rPr>
        <w:t xml:space="preserve"> (AML)» με έδρα το Μαρόκο.</w:t>
      </w:r>
      <w:r w:rsidR="001C2553">
        <w:rPr>
          <w:rFonts w:eastAsia="Times New Roman" w:cs="Consolas"/>
        </w:rPr>
        <w:t xml:space="preserve"> </w:t>
      </w:r>
      <w:r w:rsidR="001C2553" w:rsidRPr="001C2553">
        <w:rPr>
          <w:rFonts w:eastAsia="Times New Roman" w:cs="Consolas"/>
        </w:rPr>
        <w:t>Η υλοποίηση της συμφωνίας ξεκίνησε από τα τέλη Ιουνίου 2016 με τη δρομολόγηση από την AML δύο</w:t>
      </w:r>
      <w:r w:rsidR="008002D6">
        <w:rPr>
          <w:rFonts w:eastAsia="Times New Roman" w:cs="Consolas"/>
        </w:rPr>
        <w:t xml:space="preserve"> επιβατηγών οχηματαγωγών πλοίων σ</w:t>
      </w:r>
      <w:r w:rsidR="008002D6" w:rsidRPr="008002D6">
        <w:rPr>
          <w:rFonts w:eastAsia="Times New Roman" w:cs="Consolas"/>
        </w:rPr>
        <w:t xml:space="preserve">τη γραμμή </w:t>
      </w:r>
      <w:proofErr w:type="spellStart"/>
      <w:r w:rsidR="008002D6" w:rsidRPr="008002D6">
        <w:rPr>
          <w:rFonts w:eastAsia="Times New Roman" w:cs="Consolas"/>
        </w:rPr>
        <w:t>Tanger</w:t>
      </w:r>
      <w:proofErr w:type="spellEnd"/>
      <w:r w:rsidR="008002D6" w:rsidRPr="008002D6">
        <w:rPr>
          <w:rFonts w:eastAsia="Times New Roman" w:cs="Consolas"/>
        </w:rPr>
        <w:t xml:space="preserve"> </w:t>
      </w:r>
      <w:proofErr w:type="spellStart"/>
      <w:r w:rsidR="008002D6" w:rsidRPr="008002D6">
        <w:rPr>
          <w:rFonts w:eastAsia="Times New Roman" w:cs="Consolas"/>
        </w:rPr>
        <w:t>Med</w:t>
      </w:r>
      <w:proofErr w:type="spellEnd"/>
      <w:r w:rsidR="008002D6" w:rsidRPr="008002D6">
        <w:rPr>
          <w:rFonts w:eastAsia="Times New Roman" w:cs="Consolas"/>
        </w:rPr>
        <w:t xml:space="preserve"> (Μαρόκο) – </w:t>
      </w:r>
      <w:proofErr w:type="spellStart"/>
      <w:r w:rsidR="008002D6" w:rsidRPr="008002D6">
        <w:rPr>
          <w:rFonts w:eastAsia="Times New Roman" w:cs="Consolas"/>
        </w:rPr>
        <w:t>Algeciras</w:t>
      </w:r>
      <w:proofErr w:type="spellEnd"/>
      <w:r w:rsidR="008002D6" w:rsidRPr="008002D6">
        <w:rPr>
          <w:rFonts w:eastAsia="Times New Roman" w:cs="Consolas"/>
        </w:rPr>
        <w:t xml:space="preserve"> (Ισπανία)</w:t>
      </w:r>
      <w:r w:rsidR="008002D6">
        <w:rPr>
          <w:rFonts w:eastAsia="Times New Roman" w:cs="Consolas"/>
        </w:rPr>
        <w:t>.</w:t>
      </w:r>
    </w:p>
    <w:p w:rsidR="00C34454" w:rsidRPr="003E7A71" w:rsidRDefault="001A21B2" w:rsidP="00C1327D">
      <w:pPr>
        <w:pStyle w:val="a6"/>
        <w:numPr>
          <w:ilvl w:val="0"/>
          <w:numId w:val="4"/>
        </w:numPr>
        <w:spacing w:before="200" w:line="264" w:lineRule="auto"/>
        <w:ind w:left="425" w:hanging="425"/>
        <w:jc w:val="both"/>
        <w:rPr>
          <w:rFonts w:eastAsia="Times New Roman" w:cs="Consolas"/>
        </w:rPr>
      </w:pPr>
      <w:r w:rsidRPr="003E7A71">
        <w:rPr>
          <w:rFonts w:eastAsia="Times New Roman" w:cs="Consolas"/>
          <w:b/>
        </w:rPr>
        <w:t xml:space="preserve">Όμιλος </w:t>
      </w:r>
      <w:r w:rsidR="00F668EB" w:rsidRPr="003E7A71">
        <w:rPr>
          <w:rFonts w:eastAsia="Times New Roman" w:cs="Consolas"/>
          <w:b/>
          <w:lang w:val="en-GB"/>
        </w:rPr>
        <w:t>VIVARTIA</w:t>
      </w:r>
      <w:r w:rsidRPr="003E7A71">
        <w:rPr>
          <w:rFonts w:eastAsia="Times New Roman" w:cs="Consolas"/>
          <w:b/>
        </w:rPr>
        <w:t>:</w:t>
      </w:r>
      <w:r w:rsidRPr="003E7A71">
        <w:rPr>
          <w:rFonts w:eastAsia="Times New Roman" w:cs="Consolas"/>
        </w:rPr>
        <w:t xml:space="preserve"> </w:t>
      </w:r>
      <w:r w:rsidR="00C1327D" w:rsidRPr="003E7A71">
        <w:rPr>
          <w:rFonts w:eastAsia="Times New Roman" w:cs="Consolas"/>
        </w:rPr>
        <w:t>Εξαιρουμένης</w:t>
      </w:r>
      <w:r w:rsidR="00C1327D">
        <w:rPr>
          <w:rFonts w:eastAsia="Times New Roman" w:cs="Consolas"/>
        </w:rPr>
        <w:t xml:space="preserve"> της </w:t>
      </w:r>
      <w:r w:rsidR="00C1327D" w:rsidRPr="003E7A71">
        <w:rPr>
          <w:rFonts w:eastAsia="Times New Roman" w:cs="Consolas"/>
        </w:rPr>
        <w:t>επιβάρυνση</w:t>
      </w:r>
      <w:r w:rsidR="00C1327D">
        <w:rPr>
          <w:rFonts w:eastAsia="Times New Roman" w:cs="Consolas"/>
        </w:rPr>
        <w:t>ς</w:t>
      </w:r>
      <w:r w:rsidR="00C1327D" w:rsidRPr="003E7A71">
        <w:rPr>
          <w:rFonts w:eastAsia="Times New Roman" w:cs="Consolas"/>
        </w:rPr>
        <w:t xml:space="preserve"> ποσού €12,7εκ που προέκυψε από τη διενέργεια έκτακτης απομείωσης στα υπόλοιπα απαιτήσεων από τον όμιλο ΜΑΡΙΝΟΠΟΥΛΟΣ</w:t>
      </w:r>
      <w:r w:rsidR="00C1327D">
        <w:rPr>
          <w:rFonts w:eastAsia="Times New Roman" w:cs="Consolas"/>
        </w:rPr>
        <w:t xml:space="preserve">, τα </w:t>
      </w:r>
      <w:r w:rsidR="005209D5">
        <w:rPr>
          <w:rFonts w:eastAsia="Times New Roman" w:cs="Consolas"/>
        </w:rPr>
        <w:t xml:space="preserve">αναπροσαρμοσμένα </w:t>
      </w:r>
      <w:r w:rsidR="00C1327D" w:rsidRPr="003E7A71">
        <w:rPr>
          <w:rFonts w:eastAsia="Times New Roman" w:cs="Consolas"/>
        </w:rPr>
        <w:t xml:space="preserve">λειτουργικά κέρδη </w:t>
      </w:r>
      <w:r w:rsidR="00C1327D" w:rsidRPr="003E7A71">
        <w:rPr>
          <w:rFonts w:eastAsia="Times New Roman" w:cs="Consolas"/>
          <w:lang w:val="en-GB"/>
        </w:rPr>
        <w:t>EBITDA</w:t>
      </w:r>
      <w:r w:rsidR="00C1327D" w:rsidRPr="003E7A71">
        <w:rPr>
          <w:rFonts w:eastAsia="Times New Roman" w:cs="Consolas"/>
        </w:rPr>
        <w:t xml:space="preserve"> </w:t>
      </w:r>
      <w:r w:rsidR="00C1327D">
        <w:rPr>
          <w:rFonts w:eastAsia="Times New Roman" w:cs="Consolas"/>
        </w:rPr>
        <w:t xml:space="preserve">διαμορφώθηκαν στα </w:t>
      </w:r>
      <w:r w:rsidR="00C1327D" w:rsidRPr="003E7A71">
        <w:rPr>
          <w:rFonts w:eastAsia="Times New Roman" w:cs="Consolas"/>
        </w:rPr>
        <w:t>€23,2εκ</w:t>
      </w:r>
      <w:r w:rsidR="00C1327D">
        <w:rPr>
          <w:rFonts w:eastAsia="Times New Roman" w:cs="Consolas"/>
        </w:rPr>
        <w:t xml:space="preserve">, αυξημένα κατά </w:t>
      </w:r>
      <w:r w:rsidR="00C1327D" w:rsidRPr="003E7A71">
        <w:rPr>
          <w:rFonts w:eastAsia="Times New Roman" w:cs="Consolas"/>
        </w:rPr>
        <w:t>20% έναντι του Α’ Εξαμήνου 2015</w:t>
      </w:r>
      <w:r w:rsidR="00C1327D">
        <w:rPr>
          <w:rFonts w:eastAsia="Times New Roman" w:cs="Consolas"/>
        </w:rPr>
        <w:t>. Η εν λόγω αύξηση οφείλεται στη</w:t>
      </w:r>
      <w:r w:rsidR="00C1327D" w:rsidRPr="003E7A71">
        <w:rPr>
          <w:rFonts w:eastAsia="Times New Roman" w:cs="Consolas"/>
        </w:rPr>
        <w:t xml:space="preserve"> βελτίωση της αποδοτικότητας και </w:t>
      </w:r>
      <w:r w:rsidR="00C1327D">
        <w:rPr>
          <w:rFonts w:eastAsia="Times New Roman" w:cs="Consolas"/>
        </w:rPr>
        <w:t>στη</w:t>
      </w:r>
      <w:r w:rsidR="00C1327D" w:rsidRPr="003E7A71">
        <w:rPr>
          <w:rFonts w:eastAsia="Times New Roman" w:cs="Consolas"/>
        </w:rPr>
        <w:t xml:space="preserve"> συνεχιζόμενη</w:t>
      </w:r>
      <w:r w:rsidR="00C1327D">
        <w:rPr>
          <w:rFonts w:eastAsia="Times New Roman" w:cs="Consolas"/>
        </w:rPr>
        <w:t xml:space="preserve"> αποτελεσματική</w:t>
      </w:r>
      <w:r w:rsidR="00C1327D" w:rsidRPr="003E7A71">
        <w:rPr>
          <w:rFonts w:eastAsia="Times New Roman" w:cs="Consolas"/>
        </w:rPr>
        <w:t xml:space="preserve"> διαχείριση του κόστους, όπως αυτή απεικονίζεται στη διεύρυνση του μεικτού περιθωρίου κέρδ</w:t>
      </w:r>
      <w:r w:rsidR="00C1327D">
        <w:rPr>
          <w:rFonts w:eastAsia="Times New Roman" w:cs="Consolas"/>
        </w:rPr>
        <w:t>ους κατά περίπου 1,5 ποσοστιαία μονάδα στο 34,1%</w:t>
      </w:r>
      <w:r w:rsidR="00C1327D" w:rsidRPr="003E7A71">
        <w:rPr>
          <w:rFonts w:eastAsia="Times New Roman" w:cs="Consolas"/>
        </w:rPr>
        <w:t>.</w:t>
      </w:r>
      <w:r w:rsidR="00C1327D">
        <w:rPr>
          <w:rFonts w:eastAsia="Times New Roman" w:cs="Consolas"/>
        </w:rPr>
        <w:t xml:space="preserve"> Περιλαμβανομένης της εν λόγω </w:t>
      </w:r>
      <w:r w:rsidR="00C1327D" w:rsidRPr="003E7A71">
        <w:rPr>
          <w:rFonts w:eastAsia="Times New Roman" w:cs="Consolas"/>
        </w:rPr>
        <w:t>έκτακτης</w:t>
      </w:r>
      <w:r w:rsidR="00C1327D">
        <w:rPr>
          <w:rFonts w:eastAsia="Times New Roman" w:cs="Consolas"/>
        </w:rPr>
        <w:t xml:space="preserve"> </w:t>
      </w:r>
      <w:r w:rsidR="00C1327D" w:rsidRPr="003E7A71">
        <w:rPr>
          <w:rFonts w:eastAsia="Times New Roman" w:cs="Consolas"/>
        </w:rPr>
        <w:t>επιβάρυνση</w:t>
      </w:r>
      <w:r w:rsidR="00C1327D">
        <w:rPr>
          <w:rFonts w:eastAsia="Times New Roman" w:cs="Consolas"/>
        </w:rPr>
        <w:t xml:space="preserve">ς, </w:t>
      </w:r>
      <w:r w:rsidR="00C1327D" w:rsidRPr="003E7A71">
        <w:rPr>
          <w:rFonts w:eastAsia="Times New Roman" w:cs="Consolas"/>
        </w:rPr>
        <w:t xml:space="preserve">τα δημοσιευμένα αποτελέσματα </w:t>
      </w:r>
      <w:r w:rsidR="00C1327D" w:rsidRPr="003E7A71">
        <w:rPr>
          <w:rFonts w:eastAsia="Times New Roman" w:cs="Consolas"/>
          <w:lang w:val="en-GB"/>
        </w:rPr>
        <w:t>EBITDA</w:t>
      </w:r>
      <w:r w:rsidR="00C1327D">
        <w:rPr>
          <w:rFonts w:eastAsia="Times New Roman" w:cs="Consolas"/>
        </w:rPr>
        <w:t xml:space="preserve"> </w:t>
      </w:r>
      <w:r w:rsidR="00C1327D" w:rsidRPr="003E7A71">
        <w:rPr>
          <w:rFonts w:eastAsia="Times New Roman" w:cs="Consolas"/>
        </w:rPr>
        <w:t>ανήλθαν στα €10,5εκ</w:t>
      </w:r>
      <w:r w:rsidR="00752D71">
        <w:rPr>
          <w:rFonts w:eastAsia="Times New Roman" w:cs="Consolas"/>
        </w:rPr>
        <w:t xml:space="preserve"> έναντι €19,4εκ το </w:t>
      </w:r>
      <w:r w:rsidR="00752D71" w:rsidRPr="003E7A71">
        <w:rPr>
          <w:rFonts w:eastAsia="Times New Roman" w:cs="Consolas"/>
          <w:color w:val="000000" w:themeColor="text1"/>
        </w:rPr>
        <w:t xml:space="preserve">Α’ Εξάμηνο </w:t>
      </w:r>
      <w:r w:rsidR="00752D71">
        <w:rPr>
          <w:rFonts w:eastAsia="Times New Roman" w:cs="Consolas"/>
          <w:color w:val="000000" w:themeColor="text1"/>
        </w:rPr>
        <w:t>2015</w:t>
      </w:r>
      <w:r w:rsidR="00C1327D">
        <w:rPr>
          <w:rFonts w:eastAsia="Times New Roman" w:cs="Consolas"/>
        </w:rPr>
        <w:t>.</w:t>
      </w:r>
      <w:r w:rsidR="00B177EA" w:rsidRPr="003E7A71">
        <w:rPr>
          <w:rFonts w:eastAsia="Times New Roman" w:cs="Consolas"/>
        </w:rPr>
        <w:t xml:space="preserve"> </w:t>
      </w:r>
      <w:r w:rsidR="0018009A" w:rsidRPr="003E7A71">
        <w:rPr>
          <w:rFonts w:eastAsia="Times New Roman" w:cs="Consolas"/>
        </w:rPr>
        <w:t>Ο</w:t>
      </w:r>
      <w:r w:rsidR="003F2C75" w:rsidRPr="003E7A71">
        <w:rPr>
          <w:rFonts w:eastAsia="Times New Roman" w:cs="Consolas"/>
        </w:rPr>
        <w:t xml:space="preserve">ι εταιρίες του ομίλου </w:t>
      </w:r>
      <w:r w:rsidR="0018009A" w:rsidRPr="003E7A71">
        <w:rPr>
          <w:rFonts w:eastAsia="Times New Roman" w:cs="Consolas"/>
          <w:color w:val="000000" w:themeColor="text1"/>
          <w:lang w:val="en-GB"/>
        </w:rPr>
        <w:t>Vivartia</w:t>
      </w:r>
      <w:r w:rsidR="0018009A" w:rsidRPr="003E7A71">
        <w:rPr>
          <w:rFonts w:eastAsia="Times New Roman" w:cs="Consolas"/>
          <w:color w:val="000000" w:themeColor="text1"/>
        </w:rPr>
        <w:t xml:space="preserve"> </w:t>
      </w:r>
      <w:r w:rsidR="003F2C75" w:rsidRPr="003E7A71">
        <w:rPr>
          <w:rFonts w:eastAsia="Times New Roman" w:cs="Consolas"/>
          <w:color w:val="000000" w:themeColor="text1"/>
        </w:rPr>
        <w:t xml:space="preserve">διατήρησαν </w:t>
      </w:r>
      <w:r w:rsidR="0051593D" w:rsidRPr="003E7A71">
        <w:rPr>
          <w:rFonts w:eastAsia="Times New Roman" w:cs="Consolas"/>
        </w:rPr>
        <w:t xml:space="preserve">την ηγετική </w:t>
      </w:r>
      <w:r w:rsidR="006B2A2C" w:rsidRPr="003E7A71">
        <w:rPr>
          <w:rFonts w:eastAsia="Times New Roman" w:cs="Consolas"/>
        </w:rPr>
        <w:t>του</w:t>
      </w:r>
      <w:r w:rsidR="003F2C75" w:rsidRPr="003E7A71">
        <w:rPr>
          <w:rFonts w:eastAsia="Times New Roman" w:cs="Consolas"/>
        </w:rPr>
        <w:t>ς</w:t>
      </w:r>
      <w:r w:rsidR="006B2A2C" w:rsidRPr="003E7A71">
        <w:rPr>
          <w:rFonts w:eastAsia="Times New Roman" w:cs="Consolas"/>
        </w:rPr>
        <w:t xml:space="preserve"> </w:t>
      </w:r>
      <w:r w:rsidR="0051593D" w:rsidRPr="003E7A71">
        <w:rPr>
          <w:rFonts w:eastAsia="Times New Roman" w:cs="Consolas"/>
        </w:rPr>
        <w:t>θέση στους κύριους τομείς δραστηριότητας, τόσο στην αγορά του φρέσκου γάλακτος (</w:t>
      </w:r>
      <w:r w:rsidR="00675483" w:rsidRPr="003E7A71">
        <w:rPr>
          <w:rFonts w:eastAsia="Times New Roman" w:cs="Consolas"/>
        </w:rPr>
        <w:t>μερίδιο αγοράς</w:t>
      </w:r>
      <w:r w:rsidR="00B51885" w:rsidRPr="003E7A71">
        <w:rPr>
          <w:rFonts w:eastAsia="Times New Roman" w:cs="Consolas"/>
        </w:rPr>
        <w:t xml:space="preserve"> 33,</w:t>
      </w:r>
      <w:r w:rsidR="0034187E" w:rsidRPr="003E7A71">
        <w:rPr>
          <w:rFonts w:eastAsia="Times New Roman" w:cs="Consolas"/>
        </w:rPr>
        <w:t>5</w:t>
      </w:r>
      <w:r w:rsidR="00B96356" w:rsidRPr="003E7A71">
        <w:rPr>
          <w:rFonts w:eastAsia="Times New Roman" w:cs="Consolas"/>
        </w:rPr>
        <w:t xml:space="preserve">% </w:t>
      </w:r>
      <w:r w:rsidR="005A5F16" w:rsidRPr="003E7A71">
        <w:rPr>
          <w:rFonts w:eastAsia="Times New Roman" w:cs="Consolas"/>
        </w:rPr>
        <w:t xml:space="preserve">το </w:t>
      </w:r>
      <w:r w:rsidR="00FC6EDA" w:rsidRPr="00FC6EDA">
        <w:rPr>
          <w:rFonts w:eastAsia="Times New Roman" w:cs="Consolas"/>
        </w:rPr>
        <w:t>5</w:t>
      </w:r>
      <w:r w:rsidR="00FC6EDA">
        <w:rPr>
          <w:rFonts w:eastAsia="Times New Roman" w:cs="Consolas"/>
        </w:rPr>
        <w:t>μηνο</w:t>
      </w:r>
      <w:r w:rsidR="00103D29" w:rsidRPr="003E7A71">
        <w:rPr>
          <w:rFonts w:eastAsia="Times New Roman" w:cs="Consolas"/>
          <w:color w:val="000000" w:themeColor="text1"/>
        </w:rPr>
        <w:t xml:space="preserve"> 2016</w:t>
      </w:r>
      <w:r w:rsidR="00873AB3" w:rsidRPr="003E7A71">
        <w:rPr>
          <w:rFonts w:eastAsia="Times New Roman" w:cs="Consolas"/>
          <w:color w:val="000000" w:themeColor="text1"/>
        </w:rPr>
        <w:t>)</w:t>
      </w:r>
      <w:r w:rsidR="00CF5CBC" w:rsidRPr="003E7A71">
        <w:rPr>
          <w:rFonts w:eastAsia="Times New Roman" w:cs="Consolas"/>
          <w:color w:val="000000" w:themeColor="text1"/>
        </w:rPr>
        <w:t xml:space="preserve"> </w:t>
      </w:r>
      <w:r w:rsidR="0051593D" w:rsidRPr="003E7A71">
        <w:rPr>
          <w:rFonts w:eastAsia="Times New Roman" w:cs="Consolas"/>
          <w:color w:val="000000" w:themeColor="text1"/>
        </w:rPr>
        <w:t>όσο και στην αγορά των κατε</w:t>
      </w:r>
      <w:r w:rsidR="00531182" w:rsidRPr="003E7A71">
        <w:rPr>
          <w:rFonts w:eastAsia="Times New Roman" w:cs="Consolas"/>
          <w:color w:val="000000" w:themeColor="text1"/>
        </w:rPr>
        <w:t xml:space="preserve">ψυγμένων λαχανικών </w:t>
      </w:r>
      <w:r w:rsidR="00B96356" w:rsidRPr="003E7A71">
        <w:rPr>
          <w:rFonts w:eastAsia="Times New Roman" w:cs="Consolas"/>
          <w:color w:val="000000" w:themeColor="text1"/>
        </w:rPr>
        <w:t>(μερίδιο αγοράς</w:t>
      </w:r>
      <w:r w:rsidR="00B51885" w:rsidRPr="003E7A71">
        <w:rPr>
          <w:rFonts w:eastAsia="Times New Roman" w:cs="Consolas"/>
          <w:color w:val="000000" w:themeColor="text1"/>
        </w:rPr>
        <w:t xml:space="preserve"> 62,</w:t>
      </w:r>
      <w:r w:rsidR="00B96356" w:rsidRPr="003E7A71">
        <w:rPr>
          <w:rFonts w:eastAsia="Times New Roman" w:cs="Consolas"/>
          <w:color w:val="000000" w:themeColor="text1"/>
        </w:rPr>
        <w:t xml:space="preserve">8% </w:t>
      </w:r>
      <w:r w:rsidR="005A5F16" w:rsidRPr="003E7A71">
        <w:rPr>
          <w:rFonts w:eastAsia="Times New Roman" w:cs="Consolas"/>
          <w:color w:val="000000" w:themeColor="text1"/>
        </w:rPr>
        <w:t xml:space="preserve">το </w:t>
      </w:r>
      <w:r w:rsidR="00103D29" w:rsidRPr="003E7A71">
        <w:rPr>
          <w:rFonts w:eastAsia="Times New Roman" w:cs="Consolas"/>
          <w:color w:val="000000" w:themeColor="text1"/>
        </w:rPr>
        <w:t xml:space="preserve">Α’ </w:t>
      </w:r>
      <w:r w:rsidR="0018009A" w:rsidRPr="003E7A71">
        <w:rPr>
          <w:rFonts w:eastAsia="Times New Roman" w:cs="Consolas"/>
          <w:color w:val="000000" w:themeColor="text1"/>
        </w:rPr>
        <w:t xml:space="preserve">Εξάμηνο </w:t>
      </w:r>
      <w:r w:rsidR="00103D29" w:rsidRPr="003E7A71">
        <w:rPr>
          <w:rFonts w:eastAsia="Times New Roman" w:cs="Consolas"/>
          <w:color w:val="000000" w:themeColor="text1"/>
        </w:rPr>
        <w:t>2016</w:t>
      </w:r>
      <w:r w:rsidR="005A5F16" w:rsidRPr="003E7A71">
        <w:rPr>
          <w:rFonts w:eastAsia="Times New Roman" w:cs="Consolas"/>
          <w:color w:val="000000" w:themeColor="text1"/>
        </w:rPr>
        <w:t>)</w:t>
      </w:r>
      <w:r w:rsidR="0051593D" w:rsidRPr="003E7A71">
        <w:rPr>
          <w:rFonts w:eastAsia="Times New Roman" w:cs="Consolas"/>
          <w:color w:val="000000" w:themeColor="text1"/>
        </w:rPr>
        <w:t>.</w:t>
      </w:r>
      <w:r w:rsidR="00531182" w:rsidRPr="003E7A71">
        <w:rPr>
          <w:rFonts w:eastAsia="Times New Roman" w:cs="Consolas"/>
          <w:color w:val="000000" w:themeColor="text1"/>
        </w:rPr>
        <w:t xml:space="preserve"> </w:t>
      </w:r>
      <w:r w:rsidR="00B31037" w:rsidRPr="003E7A71">
        <w:rPr>
          <w:rFonts w:eastAsia="Times New Roman" w:cs="Consolas"/>
          <w:color w:val="000000" w:themeColor="text1"/>
        </w:rPr>
        <w:t xml:space="preserve">Η </w:t>
      </w:r>
      <w:r w:rsidR="00B31037" w:rsidRPr="003E7A71">
        <w:rPr>
          <w:rFonts w:eastAsia="Times New Roman" w:cs="Consolas"/>
          <w:color w:val="000000" w:themeColor="text1"/>
          <w:lang w:val="en-GB"/>
        </w:rPr>
        <w:t>Vivartia</w:t>
      </w:r>
      <w:r w:rsidR="00B31037" w:rsidRPr="003E7A71">
        <w:rPr>
          <w:rFonts w:eastAsia="Times New Roman" w:cs="Consolas"/>
          <w:color w:val="000000" w:themeColor="text1"/>
        </w:rPr>
        <w:t xml:space="preserve"> </w:t>
      </w:r>
      <w:r w:rsidR="00D377EC" w:rsidRPr="003E7A71">
        <w:rPr>
          <w:rFonts w:eastAsia="Times New Roman" w:cs="Consolas"/>
          <w:color w:val="000000" w:themeColor="text1"/>
        </w:rPr>
        <w:t>παραμένει</w:t>
      </w:r>
      <w:r w:rsidR="005D6BBA" w:rsidRPr="003E7A71">
        <w:rPr>
          <w:rFonts w:eastAsia="Times New Roman" w:cs="Consolas"/>
          <w:color w:val="000000" w:themeColor="text1"/>
        </w:rPr>
        <w:t xml:space="preserve"> </w:t>
      </w:r>
      <w:r w:rsidR="00D377EC" w:rsidRPr="003E7A71">
        <w:rPr>
          <w:rFonts w:eastAsia="Times New Roman" w:cs="Consolas"/>
          <w:color w:val="000000" w:themeColor="text1"/>
        </w:rPr>
        <w:t>ηγέτιδα εταιρία σ</w:t>
      </w:r>
      <w:r w:rsidR="00CF5CBC" w:rsidRPr="003E7A71">
        <w:rPr>
          <w:rFonts w:eastAsia="Times New Roman" w:cs="Consolas"/>
          <w:color w:val="000000" w:themeColor="text1"/>
        </w:rPr>
        <w:t>τη συνολική α</w:t>
      </w:r>
      <w:r w:rsidR="00B31037" w:rsidRPr="003E7A71">
        <w:rPr>
          <w:rFonts w:eastAsia="Times New Roman" w:cs="Consolas"/>
          <w:color w:val="000000" w:themeColor="text1"/>
        </w:rPr>
        <w:t xml:space="preserve">γορά </w:t>
      </w:r>
      <w:r w:rsidR="00FC6EDA">
        <w:rPr>
          <w:rFonts w:eastAsia="Times New Roman" w:cs="Consolas"/>
          <w:color w:val="000000" w:themeColor="text1"/>
        </w:rPr>
        <w:t>γάλακτος</w:t>
      </w:r>
      <w:r w:rsidR="00B31037" w:rsidRPr="003E7A71">
        <w:rPr>
          <w:rFonts w:eastAsia="Times New Roman" w:cs="Consolas"/>
          <w:color w:val="000000" w:themeColor="text1"/>
        </w:rPr>
        <w:t xml:space="preserve"> στην Ελλάδα, με το μερίδιο αγοράς να ανέρχεται </w:t>
      </w:r>
      <w:r w:rsidR="00CF5CBC" w:rsidRPr="003E7A71">
        <w:rPr>
          <w:rFonts w:eastAsia="Times New Roman" w:cs="Consolas"/>
          <w:color w:val="000000" w:themeColor="text1"/>
        </w:rPr>
        <w:t>στο</w:t>
      </w:r>
      <w:r w:rsidR="00B51885" w:rsidRPr="003E7A71">
        <w:rPr>
          <w:rFonts w:eastAsia="Times New Roman" w:cs="Consolas"/>
          <w:color w:val="000000" w:themeColor="text1"/>
        </w:rPr>
        <w:t xml:space="preserve"> 27,</w:t>
      </w:r>
      <w:r w:rsidR="0034187E" w:rsidRPr="003E7A71">
        <w:rPr>
          <w:rFonts w:eastAsia="Times New Roman" w:cs="Consolas"/>
          <w:color w:val="000000" w:themeColor="text1"/>
        </w:rPr>
        <w:t>5</w:t>
      </w:r>
      <w:r w:rsidR="00B96356" w:rsidRPr="003E7A71">
        <w:rPr>
          <w:rFonts w:eastAsia="Times New Roman" w:cs="Consolas"/>
          <w:color w:val="000000" w:themeColor="text1"/>
        </w:rPr>
        <w:t>%</w:t>
      </w:r>
      <w:r w:rsidR="00595BD4">
        <w:rPr>
          <w:rFonts w:eastAsia="Times New Roman" w:cs="Consolas"/>
          <w:color w:val="000000" w:themeColor="text1"/>
        </w:rPr>
        <w:t xml:space="preserve"> (στοιχεία </w:t>
      </w:r>
      <w:r w:rsidR="00A75CE4">
        <w:rPr>
          <w:rFonts w:eastAsia="Times New Roman" w:cs="Consolas"/>
          <w:color w:val="000000" w:themeColor="text1"/>
        </w:rPr>
        <w:t xml:space="preserve">για το </w:t>
      </w:r>
      <w:r w:rsidR="00A75CE4" w:rsidRPr="00FC6EDA">
        <w:rPr>
          <w:rFonts w:eastAsia="Times New Roman" w:cs="Consolas"/>
        </w:rPr>
        <w:t>5</w:t>
      </w:r>
      <w:r w:rsidR="00A75CE4">
        <w:rPr>
          <w:rFonts w:eastAsia="Times New Roman" w:cs="Consolas"/>
        </w:rPr>
        <w:t>μηνο</w:t>
      </w:r>
      <w:r w:rsidR="00A75CE4" w:rsidRPr="003E7A71">
        <w:rPr>
          <w:rFonts w:eastAsia="Times New Roman" w:cs="Consolas"/>
          <w:color w:val="000000" w:themeColor="text1"/>
        </w:rPr>
        <w:t xml:space="preserve"> 2016</w:t>
      </w:r>
      <w:r w:rsidR="00595BD4">
        <w:rPr>
          <w:rFonts w:eastAsia="Times New Roman" w:cs="Consolas"/>
          <w:color w:val="000000" w:themeColor="text1"/>
        </w:rPr>
        <w:t>)</w:t>
      </w:r>
      <w:r w:rsidR="0000450D" w:rsidRPr="003E7A71">
        <w:rPr>
          <w:rFonts w:eastAsia="Times New Roman" w:cs="Consolas"/>
          <w:color w:val="000000" w:themeColor="text1"/>
        </w:rPr>
        <w:t>.</w:t>
      </w:r>
    </w:p>
    <w:p w:rsidR="00DD3440" w:rsidRPr="005209D5" w:rsidRDefault="001A21B2" w:rsidP="005209D5">
      <w:pPr>
        <w:pStyle w:val="a6"/>
        <w:numPr>
          <w:ilvl w:val="0"/>
          <w:numId w:val="4"/>
        </w:numPr>
        <w:spacing w:before="200" w:line="264" w:lineRule="auto"/>
        <w:ind w:left="425" w:hanging="425"/>
        <w:jc w:val="both"/>
        <w:rPr>
          <w:rFonts w:eastAsia="Times New Roman" w:cs="Consolas"/>
        </w:rPr>
      </w:pPr>
      <w:r w:rsidRPr="005209D5">
        <w:rPr>
          <w:rFonts w:eastAsia="Times New Roman" w:cs="Consolas"/>
          <w:b/>
        </w:rPr>
        <w:t xml:space="preserve">Όμιλος </w:t>
      </w:r>
      <w:r w:rsidR="00F668EB" w:rsidRPr="005209D5">
        <w:rPr>
          <w:rFonts w:eastAsia="Times New Roman" w:cs="Consolas"/>
          <w:b/>
        </w:rPr>
        <w:t>ΥΓΕΙΑ</w:t>
      </w:r>
      <w:r w:rsidRPr="005209D5">
        <w:rPr>
          <w:rFonts w:eastAsia="Times New Roman" w:cs="Consolas"/>
          <w:b/>
        </w:rPr>
        <w:t>:</w:t>
      </w:r>
      <w:r w:rsidR="006C3A60" w:rsidRPr="005209D5">
        <w:rPr>
          <w:rFonts w:eastAsia="Times New Roman" w:cs="Consolas"/>
        </w:rPr>
        <w:t xml:space="preserve"> </w:t>
      </w:r>
      <w:r w:rsidR="00E84782" w:rsidRPr="005209D5">
        <w:rPr>
          <w:rFonts w:eastAsia="Times New Roman" w:cs="Consolas"/>
        </w:rPr>
        <w:t xml:space="preserve">τα κύρια χαρακτηριστικά των αποτελεσμάτων </w:t>
      </w:r>
      <w:r w:rsidR="004D482B" w:rsidRPr="005209D5">
        <w:rPr>
          <w:rFonts w:eastAsia="Times New Roman" w:cs="Consolas"/>
        </w:rPr>
        <w:t xml:space="preserve">του Α’ </w:t>
      </w:r>
      <w:r w:rsidR="00EA181B" w:rsidRPr="005209D5">
        <w:rPr>
          <w:rFonts w:eastAsia="Times New Roman" w:cs="Consolas"/>
        </w:rPr>
        <w:t xml:space="preserve">Εξαμήνου </w:t>
      </w:r>
      <w:r w:rsidR="004D482B" w:rsidRPr="005209D5">
        <w:rPr>
          <w:rFonts w:eastAsia="Times New Roman" w:cs="Consolas"/>
        </w:rPr>
        <w:t>2016 ε</w:t>
      </w:r>
      <w:r w:rsidR="00EA181B" w:rsidRPr="005209D5">
        <w:rPr>
          <w:rFonts w:eastAsia="Times New Roman" w:cs="Consolas"/>
        </w:rPr>
        <w:t>ίναι (α) η αύξηση των πωλήσεων κατά 2</w:t>
      </w:r>
      <w:r w:rsidR="004F6D07" w:rsidRPr="005209D5">
        <w:rPr>
          <w:rFonts w:eastAsia="Times New Roman" w:cs="Consolas"/>
        </w:rPr>
        <w:t>%</w:t>
      </w:r>
      <w:r w:rsidR="000D7F27" w:rsidRPr="005209D5">
        <w:rPr>
          <w:rFonts w:eastAsia="Times New Roman" w:cs="Consolas"/>
        </w:rPr>
        <w:t xml:space="preserve"> </w:t>
      </w:r>
      <w:r w:rsidR="00D7361C" w:rsidRPr="005209D5">
        <w:rPr>
          <w:rFonts w:eastAsia="Times New Roman" w:cs="Consolas"/>
        </w:rPr>
        <w:t xml:space="preserve">έναντι του Α’ </w:t>
      </w:r>
      <w:r w:rsidR="00EA181B" w:rsidRPr="005209D5">
        <w:rPr>
          <w:rFonts w:eastAsia="Times New Roman" w:cs="Consolas"/>
        </w:rPr>
        <w:t xml:space="preserve">Εξαμήνου </w:t>
      </w:r>
      <w:r w:rsidR="00D7361C" w:rsidRPr="005209D5">
        <w:rPr>
          <w:rFonts w:eastAsia="Times New Roman" w:cs="Consolas"/>
        </w:rPr>
        <w:t>2015</w:t>
      </w:r>
      <w:r w:rsidR="000D7F27" w:rsidRPr="005209D5">
        <w:rPr>
          <w:rFonts w:eastAsia="Times New Roman" w:cs="Consolas"/>
        </w:rPr>
        <w:t xml:space="preserve">, </w:t>
      </w:r>
      <w:r w:rsidR="00EA181B" w:rsidRPr="005209D5">
        <w:rPr>
          <w:rFonts w:eastAsia="Times New Roman" w:cs="Consolas"/>
        </w:rPr>
        <w:t>στα €116,7</w:t>
      </w:r>
      <w:r w:rsidR="004D482B" w:rsidRPr="005209D5">
        <w:rPr>
          <w:rFonts w:eastAsia="Times New Roman" w:cs="Consolas"/>
        </w:rPr>
        <w:t>εκ</w:t>
      </w:r>
      <w:r w:rsidR="00EC3D28" w:rsidRPr="005209D5">
        <w:rPr>
          <w:rFonts w:eastAsia="Times New Roman" w:cs="Consolas"/>
        </w:rPr>
        <w:t>, παρά τις αντίξοες συνθήκες αγοράς λόγω των φορολογικών και ασφαλιστικών μεταρρυθμίσεων</w:t>
      </w:r>
      <w:r w:rsidR="004D482B" w:rsidRPr="005209D5">
        <w:rPr>
          <w:rFonts w:eastAsia="Times New Roman" w:cs="Consolas"/>
        </w:rPr>
        <w:t xml:space="preserve">, </w:t>
      </w:r>
      <w:r w:rsidR="003B137A" w:rsidRPr="005209D5">
        <w:rPr>
          <w:rFonts w:eastAsia="Times New Roman" w:cs="Consolas"/>
        </w:rPr>
        <w:t xml:space="preserve">και </w:t>
      </w:r>
      <w:r w:rsidR="004D482B" w:rsidRPr="005209D5">
        <w:rPr>
          <w:rFonts w:eastAsia="Times New Roman" w:cs="Consolas"/>
        </w:rPr>
        <w:t xml:space="preserve">(β) </w:t>
      </w:r>
      <w:r w:rsidR="00EE1F18" w:rsidRPr="005209D5">
        <w:rPr>
          <w:rFonts w:eastAsia="Times New Roman" w:cs="Consolas"/>
        </w:rPr>
        <w:t xml:space="preserve">η </w:t>
      </w:r>
      <w:r w:rsidR="004D482B" w:rsidRPr="005209D5">
        <w:rPr>
          <w:rFonts w:eastAsia="Times New Roman" w:cs="Consolas"/>
        </w:rPr>
        <w:t xml:space="preserve">σημαντική </w:t>
      </w:r>
      <w:r w:rsidR="00835791" w:rsidRPr="005209D5">
        <w:rPr>
          <w:rFonts w:eastAsia="Times New Roman" w:cs="Consolas"/>
        </w:rPr>
        <w:t>ενίσχυση</w:t>
      </w:r>
      <w:r w:rsidR="00A577F3" w:rsidRPr="005209D5">
        <w:rPr>
          <w:rFonts w:eastAsia="Times New Roman" w:cs="Consolas"/>
        </w:rPr>
        <w:t xml:space="preserve"> </w:t>
      </w:r>
      <w:r w:rsidR="00696029" w:rsidRPr="005209D5">
        <w:rPr>
          <w:rFonts w:eastAsia="Times New Roman" w:cs="Consolas"/>
        </w:rPr>
        <w:t xml:space="preserve">των αποτελεσμάτων </w:t>
      </w:r>
      <w:r w:rsidR="00A577F3" w:rsidRPr="005209D5">
        <w:rPr>
          <w:rFonts w:eastAsia="Times New Roman" w:cs="Consolas"/>
          <w:lang w:val="en-GB"/>
        </w:rPr>
        <w:t>EBITDA</w:t>
      </w:r>
      <w:r w:rsidR="00A577F3" w:rsidRPr="005209D5">
        <w:rPr>
          <w:rFonts w:eastAsia="Times New Roman" w:cs="Consolas"/>
        </w:rPr>
        <w:t xml:space="preserve"> (</w:t>
      </w:r>
      <w:r w:rsidR="004D482B" w:rsidRPr="005209D5">
        <w:rPr>
          <w:rFonts w:eastAsia="Times New Roman" w:cs="Consolas"/>
        </w:rPr>
        <w:t>αύξηση κερδών 5</w:t>
      </w:r>
      <w:r w:rsidR="00EA181B" w:rsidRPr="005209D5">
        <w:rPr>
          <w:rFonts w:eastAsia="Times New Roman" w:cs="Consolas"/>
        </w:rPr>
        <w:t>3</w:t>
      </w:r>
      <w:r w:rsidR="003E7A71" w:rsidRPr="005209D5">
        <w:rPr>
          <w:rFonts w:eastAsia="Times New Roman" w:cs="Consolas"/>
        </w:rPr>
        <w:t>%</w:t>
      </w:r>
      <w:r w:rsidR="000D7F27" w:rsidRPr="005209D5">
        <w:rPr>
          <w:rFonts w:eastAsia="Times New Roman" w:cs="Consolas"/>
        </w:rPr>
        <w:t xml:space="preserve"> έναντι του Α’ Εξαμήνου 2015, </w:t>
      </w:r>
      <w:r w:rsidR="00A577F3" w:rsidRPr="005209D5">
        <w:rPr>
          <w:rFonts w:eastAsia="Times New Roman" w:cs="Consolas"/>
        </w:rPr>
        <w:t xml:space="preserve">στα </w:t>
      </w:r>
      <w:r w:rsidR="00EA181B" w:rsidRPr="005209D5">
        <w:rPr>
          <w:rFonts w:eastAsia="Times New Roman" w:cs="Consolas"/>
        </w:rPr>
        <w:t>€18</w:t>
      </w:r>
      <w:r w:rsidR="00A577F3" w:rsidRPr="005209D5">
        <w:rPr>
          <w:rFonts w:eastAsia="Times New Roman" w:cs="Consolas"/>
        </w:rPr>
        <w:t>,</w:t>
      </w:r>
      <w:r w:rsidR="00EA181B" w:rsidRPr="005209D5">
        <w:rPr>
          <w:rFonts w:eastAsia="Times New Roman" w:cs="Consolas"/>
        </w:rPr>
        <w:t>2</w:t>
      </w:r>
      <w:r w:rsidR="000D7F27" w:rsidRPr="005209D5">
        <w:rPr>
          <w:rFonts w:eastAsia="Times New Roman" w:cs="Consolas"/>
        </w:rPr>
        <w:t>εκ</w:t>
      </w:r>
      <w:r w:rsidR="004D482B" w:rsidRPr="005209D5">
        <w:rPr>
          <w:rFonts w:eastAsia="Times New Roman" w:cs="Consolas"/>
        </w:rPr>
        <w:t>)</w:t>
      </w:r>
      <w:r w:rsidR="00E84782" w:rsidRPr="005209D5">
        <w:rPr>
          <w:rFonts w:eastAsia="Times New Roman" w:cs="Consolas"/>
        </w:rPr>
        <w:t xml:space="preserve">. </w:t>
      </w:r>
      <w:r w:rsidR="00425F33" w:rsidRPr="005209D5">
        <w:rPr>
          <w:rFonts w:eastAsia="Times New Roman" w:cs="Consolas"/>
        </w:rPr>
        <w:t xml:space="preserve">Η </w:t>
      </w:r>
      <w:r w:rsidR="00EC3D28" w:rsidRPr="005209D5">
        <w:rPr>
          <w:rFonts w:eastAsia="Times New Roman" w:cs="Consolas"/>
        </w:rPr>
        <w:t xml:space="preserve">αύξηση των πωλήσεων </w:t>
      </w:r>
      <w:r w:rsidR="00E84782" w:rsidRPr="005209D5">
        <w:rPr>
          <w:rFonts w:eastAsia="Times New Roman" w:cs="Consolas"/>
        </w:rPr>
        <w:t>σε συνδυασμό με τη</w:t>
      </w:r>
      <w:r w:rsidR="00A577F3" w:rsidRPr="005209D5">
        <w:rPr>
          <w:rFonts w:eastAsia="Times New Roman" w:cs="Consolas"/>
        </w:rPr>
        <w:t xml:space="preserve"> </w:t>
      </w:r>
      <w:r w:rsidR="00E84782" w:rsidRPr="005209D5">
        <w:rPr>
          <w:rFonts w:eastAsia="Times New Roman" w:cs="Consolas"/>
        </w:rPr>
        <w:t>συνεχιζόμενη βελτίωση</w:t>
      </w:r>
      <w:r w:rsidR="00425F33" w:rsidRPr="005209D5">
        <w:rPr>
          <w:rFonts w:eastAsia="Times New Roman" w:cs="Consolas"/>
        </w:rPr>
        <w:t xml:space="preserve"> </w:t>
      </w:r>
      <w:r w:rsidR="00A577F3" w:rsidRPr="005209D5">
        <w:rPr>
          <w:rFonts w:eastAsia="Times New Roman" w:cs="Consolas"/>
        </w:rPr>
        <w:t>της αποδοτικότητας</w:t>
      </w:r>
      <w:r w:rsidR="00E84782" w:rsidRPr="005209D5">
        <w:rPr>
          <w:rFonts w:eastAsia="Times New Roman" w:cs="Consolas"/>
        </w:rPr>
        <w:t xml:space="preserve"> </w:t>
      </w:r>
      <w:r w:rsidR="00DC442C" w:rsidRPr="005209D5">
        <w:rPr>
          <w:rFonts w:eastAsia="Times New Roman" w:cs="Consolas"/>
        </w:rPr>
        <w:t>συνέβαλαν στη διεύρυνση του περιθωρίου</w:t>
      </w:r>
      <w:r w:rsidR="00E84782" w:rsidRPr="005209D5">
        <w:rPr>
          <w:rFonts w:eastAsia="Times New Roman" w:cs="Consolas"/>
        </w:rPr>
        <w:t xml:space="preserve"> </w:t>
      </w:r>
      <w:r w:rsidR="00E84782" w:rsidRPr="005209D5">
        <w:rPr>
          <w:rFonts w:eastAsia="Times New Roman" w:cs="Consolas"/>
          <w:lang w:val="en-GB"/>
        </w:rPr>
        <w:t>EBITDA</w:t>
      </w:r>
      <w:r w:rsidR="00E84782" w:rsidRPr="005209D5">
        <w:rPr>
          <w:rFonts w:eastAsia="Times New Roman" w:cs="Consolas"/>
        </w:rPr>
        <w:t xml:space="preserve"> </w:t>
      </w:r>
      <w:r w:rsidR="00EC3D28" w:rsidRPr="005209D5">
        <w:rPr>
          <w:rFonts w:eastAsia="Times New Roman" w:cs="Consolas"/>
        </w:rPr>
        <w:t xml:space="preserve">κατά </w:t>
      </w:r>
      <w:r w:rsidR="000D7F27" w:rsidRPr="005209D5">
        <w:rPr>
          <w:rFonts w:eastAsia="Times New Roman" w:cs="Consolas"/>
        </w:rPr>
        <w:t xml:space="preserve">περίπου </w:t>
      </w:r>
      <w:r w:rsidR="00EA181B" w:rsidRPr="005209D5">
        <w:rPr>
          <w:rFonts w:eastAsia="Times New Roman" w:cs="Consolas"/>
        </w:rPr>
        <w:t>5 ποσοστιαίες μονάδες στο 15</w:t>
      </w:r>
      <w:r w:rsidR="00EC3D28" w:rsidRPr="005209D5">
        <w:rPr>
          <w:rFonts w:eastAsia="Times New Roman" w:cs="Consolas"/>
        </w:rPr>
        <w:t>,</w:t>
      </w:r>
      <w:r w:rsidR="00EA181B" w:rsidRPr="005209D5">
        <w:rPr>
          <w:rFonts w:eastAsia="Times New Roman" w:cs="Consolas"/>
        </w:rPr>
        <w:t>6</w:t>
      </w:r>
      <w:r w:rsidR="00E84782" w:rsidRPr="005209D5">
        <w:rPr>
          <w:rFonts w:eastAsia="Times New Roman" w:cs="Consolas"/>
        </w:rPr>
        <w:t xml:space="preserve">%. </w:t>
      </w:r>
      <w:r w:rsidR="00A577F3" w:rsidRPr="005209D5">
        <w:rPr>
          <w:rFonts w:eastAsia="Times New Roman" w:cs="Consolas"/>
        </w:rPr>
        <w:t xml:space="preserve">Στις δημοσιευμένες πωλήσεις και τα αποτελέσματα </w:t>
      </w:r>
      <w:r w:rsidR="00A577F3" w:rsidRPr="005209D5">
        <w:rPr>
          <w:rFonts w:eastAsia="Times New Roman" w:cs="Consolas"/>
          <w:lang w:val="en-GB"/>
        </w:rPr>
        <w:t>EBITDA</w:t>
      </w:r>
      <w:r w:rsidR="00A577F3" w:rsidRPr="005209D5">
        <w:rPr>
          <w:rFonts w:eastAsia="Times New Roman" w:cs="Consolas"/>
        </w:rPr>
        <w:t xml:space="preserve"> περιλαμβάνεται η επιβάρυνση λόγω της υποχρέωσης εφαρμογής</w:t>
      </w:r>
      <w:r w:rsidR="00A577F3" w:rsidRPr="00A177E6">
        <w:t xml:space="preserve"> </w:t>
      </w:r>
      <w:r w:rsidR="00A577F3" w:rsidRPr="005209D5">
        <w:rPr>
          <w:rFonts w:eastAsia="Times New Roman" w:cs="Consolas"/>
        </w:rPr>
        <w:t>των μηχανισμών αυτόματης επιστροφής και εκπτώσεων (</w:t>
      </w:r>
      <w:proofErr w:type="spellStart"/>
      <w:r w:rsidR="00A577F3" w:rsidRPr="005209D5">
        <w:rPr>
          <w:rFonts w:eastAsia="Times New Roman" w:cs="Consolas"/>
        </w:rPr>
        <w:t>claw</w:t>
      </w:r>
      <w:proofErr w:type="spellEnd"/>
      <w:r w:rsidR="00A577F3" w:rsidRPr="005209D5">
        <w:rPr>
          <w:rFonts w:eastAsia="Times New Roman" w:cs="Consolas"/>
        </w:rPr>
        <w:t xml:space="preserve"> </w:t>
      </w:r>
      <w:proofErr w:type="spellStart"/>
      <w:r w:rsidR="00A577F3" w:rsidRPr="005209D5">
        <w:rPr>
          <w:rFonts w:eastAsia="Times New Roman" w:cs="Consolas"/>
        </w:rPr>
        <w:t>back</w:t>
      </w:r>
      <w:proofErr w:type="spellEnd"/>
      <w:r w:rsidR="00A577F3" w:rsidRPr="005209D5">
        <w:rPr>
          <w:rFonts w:eastAsia="Times New Roman" w:cs="Consolas"/>
        </w:rPr>
        <w:t xml:space="preserve"> και </w:t>
      </w:r>
      <w:proofErr w:type="spellStart"/>
      <w:r w:rsidR="00A577F3" w:rsidRPr="005209D5">
        <w:rPr>
          <w:rFonts w:eastAsia="Times New Roman" w:cs="Consolas"/>
        </w:rPr>
        <w:t>rebate</w:t>
      </w:r>
      <w:proofErr w:type="spellEnd"/>
      <w:r w:rsidR="00A577F3" w:rsidRPr="005209D5">
        <w:rPr>
          <w:rFonts w:eastAsia="Times New Roman" w:cs="Consolas"/>
        </w:rPr>
        <w:t>) στον κλάδο υγείας</w:t>
      </w:r>
      <w:r w:rsidR="00E90997" w:rsidRPr="005209D5">
        <w:rPr>
          <w:rFonts w:eastAsia="Times New Roman" w:cs="Consolas"/>
        </w:rPr>
        <w:t xml:space="preserve">, οι οποίοι ισχύουν αναδρομικά από την 01.01.2013 </w:t>
      </w:r>
      <w:r w:rsidR="00107647" w:rsidRPr="005209D5">
        <w:rPr>
          <w:rFonts w:eastAsia="Times New Roman" w:cs="Consolas"/>
        </w:rPr>
        <w:t>έως</w:t>
      </w:r>
      <w:r w:rsidR="00E90997" w:rsidRPr="005209D5">
        <w:rPr>
          <w:rFonts w:eastAsia="Times New Roman" w:cs="Consolas"/>
        </w:rPr>
        <w:t xml:space="preserve"> την 31.12.2018</w:t>
      </w:r>
      <w:r w:rsidR="00A577F3" w:rsidRPr="005209D5">
        <w:rPr>
          <w:rFonts w:eastAsia="Times New Roman" w:cs="Consolas"/>
        </w:rPr>
        <w:t>.</w:t>
      </w:r>
      <w:r w:rsidR="00DD3440" w:rsidRPr="005209D5">
        <w:rPr>
          <w:rFonts w:eastAsia="Times New Roman" w:cs="Consolas"/>
        </w:rPr>
        <w:br w:type="page"/>
      </w:r>
    </w:p>
    <w:tbl>
      <w:tblPr>
        <w:tblStyle w:val="TableGrid1"/>
        <w:tblW w:w="8187" w:type="dxa"/>
        <w:jc w:val="center"/>
        <w:tblInd w:w="177" w:type="dxa"/>
        <w:tblLook w:val="04A0"/>
      </w:tblPr>
      <w:tblGrid>
        <w:gridCol w:w="4515"/>
        <w:gridCol w:w="1836"/>
        <w:gridCol w:w="1836"/>
      </w:tblGrid>
      <w:tr w:rsidR="00A2467A" w:rsidRPr="00C42CBB" w:rsidTr="00BC4323">
        <w:trPr>
          <w:trHeight w:val="397"/>
          <w:jc w:val="center"/>
        </w:trPr>
        <w:tc>
          <w:tcPr>
            <w:tcW w:w="8187" w:type="dxa"/>
            <w:gridSpan w:val="3"/>
            <w:shd w:val="clear" w:color="auto" w:fill="4F81BD" w:themeFill="accent1"/>
            <w:vAlign w:val="center"/>
          </w:tcPr>
          <w:p w:rsidR="00A2467A" w:rsidRPr="00CC1607" w:rsidRDefault="00A2467A" w:rsidP="00696029">
            <w:pPr>
              <w:pStyle w:val="a6"/>
              <w:spacing w:after="0" w:line="240" w:lineRule="auto"/>
              <w:ind w:left="0"/>
              <w:rPr>
                <w:rFonts w:eastAsia="Times New Roman" w:cs="Consolas"/>
                <w:b/>
                <w:color w:val="FFFFFF" w:themeColor="background1"/>
              </w:rPr>
            </w:pPr>
            <w:r w:rsidRPr="00CC1607">
              <w:rPr>
                <w:rFonts w:eastAsia="Times New Roman" w:cs="Consolas"/>
                <w:b/>
                <w:color w:val="FFFFFF" w:themeColor="background1"/>
              </w:rPr>
              <w:lastRenderedPageBreak/>
              <w:t>Σύνοψη κυριότερων οικονομικών στοιχείων</w:t>
            </w:r>
          </w:p>
        </w:tc>
      </w:tr>
      <w:tr w:rsidR="00236248" w:rsidRPr="00C42CBB" w:rsidTr="00735D90">
        <w:trPr>
          <w:trHeight w:val="397"/>
          <w:jc w:val="center"/>
        </w:trPr>
        <w:tc>
          <w:tcPr>
            <w:tcW w:w="4515" w:type="dxa"/>
            <w:shd w:val="clear" w:color="auto" w:fill="A6A6A6" w:themeFill="background1" w:themeFillShade="A6"/>
            <w:vAlign w:val="center"/>
          </w:tcPr>
          <w:p w:rsidR="00236248" w:rsidRPr="00C47884" w:rsidRDefault="00236248" w:rsidP="00696029">
            <w:pPr>
              <w:pStyle w:val="a6"/>
              <w:spacing w:after="0" w:line="240" w:lineRule="auto"/>
              <w:ind w:left="0"/>
              <w:jc w:val="both"/>
              <w:rPr>
                <w:rFonts w:eastAsia="Times New Roman" w:cs="Consolas"/>
                <w:b/>
              </w:rPr>
            </w:pPr>
            <w:r>
              <w:rPr>
                <w:rFonts w:eastAsia="Times New Roman" w:cs="Consolas"/>
                <w:b/>
              </w:rPr>
              <w:t xml:space="preserve">ΟΜΙΛΟΣ </w:t>
            </w:r>
            <w:r w:rsidRPr="00EF151B">
              <w:rPr>
                <w:rFonts w:eastAsia="Times New Roman" w:cs="Consolas"/>
                <w:i/>
              </w:rPr>
              <w:t>(</w:t>
            </w:r>
            <w:r>
              <w:rPr>
                <w:rFonts w:eastAsia="Times New Roman" w:cs="Consolas"/>
                <w:i/>
              </w:rPr>
              <w:t>ενοποιημένη βάση</w:t>
            </w:r>
            <w:r w:rsidRPr="00EF151B">
              <w:rPr>
                <w:rFonts w:eastAsia="Times New Roman" w:cs="Consolas"/>
                <w:i/>
              </w:rPr>
              <w:t xml:space="preserve"> σε €</w:t>
            </w:r>
            <w:r w:rsidR="006D6B2D" w:rsidRPr="00AA4570">
              <w:rPr>
                <w:rFonts w:eastAsia="Times New Roman" w:cs="Consolas"/>
                <w:i/>
              </w:rPr>
              <w:t xml:space="preserve"> </w:t>
            </w:r>
            <w:r w:rsidRPr="00EF151B">
              <w:rPr>
                <w:rFonts w:eastAsia="Times New Roman" w:cs="Consolas"/>
                <w:i/>
              </w:rPr>
              <w:t>εκ</w:t>
            </w:r>
            <w:r>
              <w:rPr>
                <w:rFonts w:eastAsia="Times New Roman" w:cs="Consolas"/>
                <w:i/>
              </w:rPr>
              <w:t>)</w:t>
            </w:r>
          </w:p>
        </w:tc>
        <w:tc>
          <w:tcPr>
            <w:tcW w:w="1836" w:type="dxa"/>
            <w:shd w:val="clear" w:color="auto" w:fill="A6A6A6" w:themeFill="background1" w:themeFillShade="A6"/>
            <w:vAlign w:val="center"/>
          </w:tcPr>
          <w:p w:rsidR="00236248" w:rsidRPr="00C42CBB" w:rsidRDefault="00735D90" w:rsidP="00696029">
            <w:pPr>
              <w:spacing w:after="0" w:line="240" w:lineRule="auto"/>
              <w:contextualSpacing/>
              <w:jc w:val="center"/>
              <w:rPr>
                <w:rFonts w:eastAsia="Times New Roman" w:cs="Consolas"/>
                <w:b/>
              </w:rPr>
            </w:pPr>
            <w:r>
              <w:rPr>
                <w:rFonts w:eastAsia="Times New Roman" w:cs="Consolas"/>
                <w:b/>
              </w:rPr>
              <w:t xml:space="preserve">Α’ </w:t>
            </w:r>
            <w:r w:rsidR="008E3004">
              <w:rPr>
                <w:rFonts w:eastAsia="Times New Roman" w:cs="Consolas"/>
                <w:b/>
              </w:rPr>
              <w:t>Εξάμηνο</w:t>
            </w:r>
            <w:r>
              <w:rPr>
                <w:rFonts w:eastAsia="Times New Roman" w:cs="Consolas"/>
                <w:b/>
              </w:rPr>
              <w:t xml:space="preserve"> </w:t>
            </w:r>
            <w:r w:rsidR="00236248">
              <w:rPr>
                <w:rFonts w:eastAsia="Times New Roman" w:cs="Consolas"/>
                <w:b/>
              </w:rPr>
              <w:t>2015</w:t>
            </w:r>
          </w:p>
        </w:tc>
        <w:tc>
          <w:tcPr>
            <w:tcW w:w="1836" w:type="dxa"/>
            <w:shd w:val="clear" w:color="auto" w:fill="A6A6A6" w:themeFill="background1" w:themeFillShade="A6"/>
            <w:vAlign w:val="center"/>
          </w:tcPr>
          <w:p w:rsidR="00236248" w:rsidRPr="00C42CBB" w:rsidRDefault="00735D90" w:rsidP="00696029">
            <w:pPr>
              <w:spacing w:after="0" w:line="240" w:lineRule="auto"/>
              <w:contextualSpacing/>
              <w:jc w:val="center"/>
              <w:rPr>
                <w:rFonts w:eastAsia="Times New Roman" w:cs="Consolas"/>
                <w:b/>
              </w:rPr>
            </w:pPr>
            <w:r>
              <w:rPr>
                <w:rFonts w:eastAsia="Times New Roman" w:cs="Consolas"/>
                <w:b/>
              </w:rPr>
              <w:t xml:space="preserve">Α’ </w:t>
            </w:r>
            <w:r w:rsidR="008E3004">
              <w:rPr>
                <w:rFonts w:eastAsia="Times New Roman" w:cs="Consolas"/>
                <w:b/>
              </w:rPr>
              <w:t xml:space="preserve">Εξάμηνο </w:t>
            </w:r>
            <w:r w:rsidR="00236248">
              <w:rPr>
                <w:rFonts w:eastAsia="Times New Roman" w:cs="Consolas"/>
                <w:b/>
              </w:rPr>
              <w:t>2016</w:t>
            </w:r>
          </w:p>
        </w:tc>
      </w:tr>
      <w:tr w:rsidR="008E3004" w:rsidRPr="00C42CBB" w:rsidTr="00735D90">
        <w:trPr>
          <w:trHeight w:val="397"/>
          <w:jc w:val="center"/>
        </w:trPr>
        <w:tc>
          <w:tcPr>
            <w:tcW w:w="4515" w:type="dxa"/>
            <w:vAlign w:val="center"/>
          </w:tcPr>
          <w:p w:rsidR="008E3004" w:rsidRDefault="008E3004" w:rsidP="00696029">
            <w:pPr>
              <w:pStyle w:val="a6"/>
              <w:spacing w:after="0" w:line="240" w:lineRule="auto"/>
              <w:ind w:left="0"/>
              <w:rPr>
                <w:rFonts w:eastAsia="Times New Roman" w:cs="Consolas"/>
              </w:rPr>
            </w:pPr>
            <w:r>
              <w:rPr>
                <w:rFonts w:eastAsia="Times New Roman" w:cs="Consolas"/>
              </w:rPr>
              <w:t>Πωλήσεις</w:t>
            </w:r>
          </w:p>
        </w:tc>
        <w:tc>
          <w:tcPr>
            <w:tcW w:w="1836" w:type="dxa"/>
            <w:vAlign w:val="center"/>
          </w:tcPr>
          <w:p w:rsidR="008E3004" w:rsidRPr="00C42CBB" w:rsidRDefault="000577A5" w:rsidP="000577A5">
            <w:pPr>
              <w:spacing w:after="0" w:line="240" w:lineRule="auto"/>
              <w:contextualSpacing/>
              <w:jc w:val="center"/>
              <w:rPr>
                <w:rFonts w:eastAsia="Times New Roman" w:cs="Consolas"/>
              </w:rPr>
            </w:pPr>
            <w:r>
              <w:rPr>
                <w:rFonts w:eastAsia="Times New Roman" w:cs="Consolas"/>
              </w:rPr>
              <w:t>536</w:t>
            </w:r>
            <w:r w:rsidR="008E3004" w:rsidRPr="008E3004">
              <w:rPr>
                <w:rFonts w:eastAsia="Times New Roman" w:cs="Consolas"/>
              </w:rPr>
              <w:t>,</w:t>
            </w:r>
            <w:r>
              <w:rPr>
                <w:rFonts w:eastAsia="Times New Roman" w:cs="Consolas"/>
              </w:rPr>
              <w:t>2</w:t>
            </w:r>
          </w:p>
        </w:tc>
        <w:tc>
          <w:tcPr>
            <w:tcW w:w="1836" w:type="dxa"/>
            <w:vAlign w:val="center"/>
          </w:tcPr>
          <w:p w:rsidR="008E3004" w:rsidRPr="008E3004" w:rsidRDefault="0070610E" w:rsidP="0070610E">
            <w:pPr>
              <w:spacing w:after="0" w:line="240" w:lineRule="auto"/>
              <w:contextualSpacing/>
              <w:jc w:val="center"/>
              <w:rPr>
                <w:rFonts w:eastAsia="Times New Roman" w:cs="Consolas"/>
                <w:b/>
              </w:rPr>
            </w:pPr>
            <w:r>
              <w:rPr>
                <w:rFonts w:eastAsia="Times New Roman" w:cs="Consolas"/>
                <w:b/>
              </w:rPr>
              <w:t>523</w:t>
            </w:r>
            <w:r w:rsidR="008E3004" w:rsidRPr="008E3004">
              <w:rPr>
                <w:rFonts w:eastAsia="Times New Roman" w:cs="Consolas"/>
                <w:b/>
              </w:rPr>
              <w:t>,</w:t>
            </w:r>
            <w:r>
              <w:rPr>
                <w:rFonts w:eastAsia="Times New Roman" w:cs="Consolas"/>
                <w:b/>
              </w:rPr>
              <w:t>6</w:t>
            </w:r>
          </w:p>
        </w:tc>
      </w:tr>
      <w:tr w:rsidR="008E3004" w:rsidRPr="00C42CBB" w:rsidTr="00735D90">
        <w:trPr>
          <w:trHeight w:val="397"/>
          <w:jc w:val="center"/>
        </w:trPr>
        <w:tc>
          <w:tcPr>
            <w:tcW w:w="4515" w:type="dxa"/>
            <w:vAlign w:val="center"/>
          </w:tcPr>
          <w:p w:rsidR="008E3004" w:rsidRPr="00CC1607" w:rsidRDefault="008E3004" w:rsidP="00696029">
            <w:pPr>
              <w:pStyle w:val="a6"/>
              <w:spacing w:after="0" w:line="240" w:lineRule="auto"/>
              <w:ind w:left="0"/>
              <w:rPr>
                <w:rFonts w:eastAsia="Times New Roman" w:cs="Consolas"/>
              </w:rPr>
            </w:pPr>
            <w:r>
              <w:rPr>
                <w:rFonts w:eastAsia="Times New Roman" w:cs="Consolas"/>
                <w:lang w:val="en-GB"/>
              </w:rPr>
              <w:t>EBITDA</w:t>
            </w:r>
            <w:r w:rsidRPr="002A1E81">
              <w:rPr>
                <w:rFonts w:eastAsia="Times New Roman" w:cs="Consolas"/>
              </w:rPr>
              <w:t xml:space="preserve"> </w:t>
            </w:r>
            <w:r>
              <w:rPr>
                <w:rFonts w:eastAsia="Times New Roman" w:cs="Consolas"/>
              </w:rPr>
              <w:t>σύνολο θυγατρικών</w:t>
            </w:r>
            <w:r w:rsidRPr="00CC1607">
              <w:rPr>
                <w:rFonts w:eastAsia="Times New Roman" w:cs="Consolas"/>
                <w:vertAlign w:val="superscript"/>
              </w:rPr>
              <w:t>(</w:t>
            </w:r>
            <w:r>
              <w:rPr>
                <w:rFonts w:eastAsia="Times New Roman" w:cs="Consolas"/>
                <w:vertAlign w:val="superscript"/>
              </w:rPr>
              <w:t>1</w:t>
            </w:r>
            <w:r w:rsidRPr="00CC1607">
              <w:rPr>
                <w:rFonts w:eastAsia="Times New Roman" w:cs="Consolas"/>
                <w:vertAlign w:val="superscript"/>
              </w:rPr>
              <w:t>)</w:t>
            </w:r>
          </w:p>
        </w:tc>
        <w:tc>
          <w:tcPr>
            <w:tcW w:w="1836" w:type="dxa"/>
            <w:vAlign w:val="center"/>
          </w:tcPr>
          <w:p w:rsidR="008E3004" w:rsidRPr="00936070" w:rsidRDefault="000577A5" w:rsidP="000577A5">
            <w:pPr>
              <w:spacing w:after="0" w:line="240" w:lineRule="auto"/>
              <w:contextualSpacing/>
              <w:jc w:val="center"/>
              <w:rPr>
                <w:rFonts w:eastAsia="Times New Roman" w:cs="Consolas"/>
              </w:rPr>
            </w:pPr>
            <w:r>
              <w:rPr>
                <w:rFonts w:eastAsia="Times New Roman" w:cs="Consolas"/>
              </w:rPr>
              <w:t>55</w:t>
            </w:r>
            <w:r w:rsidR="008E3004" w:rsidRPr="008E3004">
              <w:rPr>
                <w:rFonts w:eastAsia="Times New Roman" w:cs="Consolas"/>
              </w:rPr>
              <w:t>,</w:t>
            </w:r>
            <w:r>
              <w:rPr>
                <w:rFonts w:eastAsia="Times New Roman" w:cs="Consolas"/>
              </w:rPr>
              <w:t>5</w:t>
            </w:r>
          </w:p>
        </w:tc>
        <w:tc>
          <w:tcPr>
            <w:tcW w:w="1836" w:type="dxa"/>
            <w:vAlign w:val="center"/>
          </w:tcPr>
          <w:p w:rsidR="008E3004" w:rsidRPr="008E3004" w:rsidRDefault="0070610E" w:rsidP="0070610E">
            <w:pPr>
              <w:spacing w:after="0" w:line="240" w:lineRule="auto"/>
              <w:contextualSpacing/>
              <w:jc w:val="center"/>
              <w:rPr>
                <w:rFonts w:eastAsia="Times New Roman" w:cs="Consolas"/>
                <w:b/>
              </w:rPr>
            </w:pPr>
            <w:r>
              <w:rPr>
                <w:rFonts w:eastAsia="Times New Roman" w:cs="Consolas"/>
                <w:b/>
              </w:rPr>
              <w:t>68</w:t>
            </w:r>
            <w:r w:rsidR="008E3004" w:rsidRPr="008E3004">
              <w:rPr>
                <w:rFonts w:eastAsia="Times New Roman" w:cs="Consolas"/>
                <w:b/>
              </w:rPr>
              <w:t>,</w:t>
            </w:r>
            <w:r>
              <w:rPr>
                <w:rFonts w:eastAsia="Times New Roman" w:cs="Consolas"/>
                <w:b/>
              </w:rPr>
              <w:t>5</w:t>
            </w:r>
          </w:p>
        </w:tc>
      </w:tr>
      <w:tr w:rsidR="008E3004" w:rsidRPr="00C42CBB" w:rsidTr="00735D90">
        <w:trPr>
          <w:trHeight w:val="397"/>
          <w:jc w:val="center"/>
        </w:trPr>
        <w:tc>
          <w:tcPr>
            <w:tcW w:w="4515" w:type="dxa"/>
            <w:vAlign w:val="center"/>
          </w:tcPr>
          <w:p w:rsidR="008E3004" w:rsidRPr="00C05416" w:rsidRDefault="008E3004" w:rsidP="00696029">
            <w:pPr>
              <w:pStyle w:val="a6"/>
              <w:spacing w:after="0" w:line="240" w:lineRule="auto"/>
              <w:ind w:left="0"/>
              <w:rPr>
                <w:rFonts w:eastAsia="Times New Roman" w:cs="Consolas"/>
                <w:i/>
              </w:rPr>
            </w:pPr>
            <w:r w:rsidRPr="00C05416">
              <w:rPr>
                <w:rFonts w:eastAsia="Times New Roman" w:cs="Consolas"/>
                <w:i/>
              </w:rPr>
              <w:t xml:space="preserve">περιθώριο </w:t>
            </w:r>
            <w:r w:rsidRPr="00C05416">
              <w:rPr>
                <w:rFonts w:eastAsia="Times New Roman" w:cs="Consolas"/>
                <w:i/>
                <w:lang w:val="en-GB"/>
              </w:rPr>
              <w:t>EBITDA</w:t>
            </w:r>
            <w:r w:rsidRPr="00C05416">
              <w:rPr>
                <w:rFonts w:eastAsia="Times New Roman" w:cs="Consolas"/>
                <w:i/>
              </w:rPr>
              <w:t xml:space="preserve"> σύνολο θυγατρικών</w:t>
            </w:r>
          </w:p>
        </w:tc>
        <w:tc>
          <w:tcPr>
            <w:tcW w:w="1836" w:type="dxa"/>
            <w:vAlign w:val="center"/>
          </w:tcPr>
          <w:p w:rsidR="008E3004" w:rsidRPr="00C42CBB" w:rsidRDefault="000577A5" w:rsidP="000577A5">
            <w:pPr>
              <w:spacing w:after="0" w:line="240" w:lineRule="auto"/>
              <w:contextualSpacing/>
              <w:jc w:val="center"/>
              <w:rPr>
                <w:rFonts w:eastAsia="Times New Roman" w:cs="Consolas"/>
                <w:i/>
              </w:rPr>
            </w:pPr>
            <w:r>
              <w:rPr>
                <w:rFonts w:eastAsia="Times New Roman" w:cs="Consolas"/>
                <w:i/>
              </w:rPr>
              <w:t>10</w:t>
            </w:r>
            <w:r w:rsidR="008E3004">
              <w:rPr>
                <w:rFonts w:eastAsia="Times New Roman" w:cs="Consolas"/>
                <w:i/>
              </w:rPr>
              <w:t>,</w:t>
            </w:r>
            <w:r>
              <w:rPr>
                <w:rFonts w:eastAsia="Times New Roman" w:cs="Consolas"/>
                <w:i/>
              </w:rPr>
              <w:t>4</w:t>
            </w:r>
            <w:r w:rsidR="008E3004" w:rsidRPr="00C42CBB">
              <w:rPr>
                <w:rFonts w:eastAsia="Times New Roman" w:cs="Consolas"/>
                <w:i/>
              </w:rPr>
              <w:t>%</w:t>
            </w:r>
          </w:p>
        </w:tc>
        <w:tc>
          <w:tcPr>
            <w:tcW w:w="1836" w:type="dxa"/>
            <w:vAlign w:val="center"/>
          </w:tcPr>
          <w:p w:rsidR="008E3004" w:rsidRPr="008E3004" w:rsidRDefault="0070610E" w:rsidP="0070610E">
            <w:pPr>
              <w:spacing w:after="0" w:line="240" w:lineRule="auto"/>
              <w:contextualSpacing/>
              <w:jc w:val="center"/>
              <w:rPr>
                <w:rFonts w:eastAsia="Times New Roman" w:cs="Consolas"/>
                <w:b/>
                <w:i/>
              </w:rPr>
            </w:pPr>
            <w:r>
              <w:rPr>
                <w:rFonts w:eastAsia="Times New Roman" w:cs="Consolas"/>
                <w:b/>
                <w:i/>
              </w:rPr>
              <w:t>13</w:t>
            </w:r>
            <w:r w:rsidR="008E3004" w:rsidRPr="008E3004">
              <w:rPr>
                <w:rFonts w:eastAsia="Times New Roman" w:cs="Consolas"/>
                <w:b/>
                <w:i/>
              </w:rPr>
              <w:t>,</w:t>
            </w:r>
            <w:r>
              <w:rPr>
                <w:rFonts w:eastAsia="Times New Roman" w:cs="Consolas"/>
                <w:b/>
                <w:i/>
              </w:rPr>
              <w:t>1</w:t>
            </w:r>
            <w:r w:rsidR="008E3004" w:rsidRPr="008E3004">
              <w:rPr>
                <w:rFonts w:eastAsia="Times New Roman" w:cs="Consolas"/>
                <w:b/>
                <w:i/>
              </w:rPr>
              <w:t>%</w:t>
            </w:r>
          </w:p>
        </w:tc>
      </w:tr>
      <w:tr w:rsidR="008E3004" w:rsidRPr="00C42CBB" w:rsidTr="00735D90">
        <w:trPr>
          <w:trHeight w:val="397"/>
          <w:jc w:val="center"/>
        </w:trPr>
        <w:tc>
          <w:tcPr>
            <w:tcW w:w="4515" w:type="dxa"/>
            <w:vAlign w:val="center"/>
          </w:tcPr>
          <w:p w:rsidR="008E3004" w:rsidRPr="00CC1607" w:rsidRDefault="008E3004" w:rsidP="00D93437">
            <w:pPr>
              <w:pStyle w:val="a6"/>
              <w:spacing w:after="0" w:line="240" w:lineRule="auto"/>
              <w:ind w:left="0"/>
              <w:rPr>
                <w:rFonts w:eastAsia="Times New Roman" w:cs="Consolas"/>
              </w:rPr>
            </w:pPr>
            <w:r>
              <w:rPr>
                <w:rFonts w:eastAsia="Times New Roman" w:cs="Consolas"/>
                <w:lang w:val="en-GB"/>
              </w:rPr>
              <w:t>EBITDA</w:t>
            </w:r>
            <w:r w:rsidRPr="00936070">
              <w:rPr>
                <w:rFonts w:eastAsia="Times New Roman" w:cs="Consolas"/>
              </w:rPr>
              <w:t xml:space="preserve"> </w:t>
            </w:r>
            <w:r>
              <w:rPr>
                <w:rFonts w:eastAsia="Times New Roman" w:cs="Consolas"/>
              </w:rPr>
              <w:t>Ομίλου</w:t>
            </w:r>
            <w:r w:rsidRPr="00CC1607">
              <w:rPr>
                <w:rFonts w:eastAsia="Times New Roman" w:cs="Consolas"/>
                <w:vertAlign w:val="superscript"/>
              </w:rPr>
              <w:t>(</w:t>
            </w:r>
            <w:r>
              <w:rPr>
                <w:rFonts w:eastAsia="Times New Roman" w:cs="Consolas"/>
                <w:vertAlign w:val="superscript"/>
              </w:rPr>
              <w:t>2</w:t>
            </w:r>
            <w:r w:rsidRPr="00CC1607">
              <w:rPr>
                <w:rFonts w:eastAsia="Times New Roman" w:cs="Consolas"/>
                <w:vertAlign w:val="superscript"/>
              </w:rPr>
              <w:t>)</w:t>
            </w:r>
          </w:p>
        </w:tc>
        <w:tc>
          <w:tcPr>
            <w:tcW w:w="1836" w:type="dxa"/>
            <w:vAlign w:val="center"/>
          </w:tcPr>
          <w:p w:rsidR="008E3004" w:rsidRPr="00936070" w:rsidRDefault="000577A5" w:rsidP="000577A5">
            <w:pPr>
              <w:spacing w:after="0" w:line="240" w:lineRule="auto"/>
              <w:contextualSpacing/>
              <w:jc w:val="center"/>
              <w:rPr>
                <w:rFonts w:eastAsia="Times New Roman" w:cs="Consolas"/>
              </w:rPr>
            </w:pPr>
            <w:r>
              <w:rPr>
                <w:rFonts w:eastAsia="Times New Roman" w:cs="Consolas"/>
              </w:rPr>
              <w:t>48,3</w:t>
            </w:r>
          </w:p>
        </w:tc>
        <w:tc>
          <w:tcPr>
            <w:tcW w:w="1836" w:type="dxa"/>
            <w:vAlign w:val="center"/>
          </w:tcPr>
          <w:p w:rsidR="008E3004" w:rsidRPr="008E3004" w:rsidRDefault="0070610E" w:rsidP="0070610E">
            <w:pPr>
              <w:spacing w:after="0" w:line="240" w:lineRule="auto"/>
              <w:contextualSpacing/>
              <w:jc w:val="center"/>
              <w:rPr>
                <w:rFonts w:eastAsia="Times New Roman" w:cs="Consolas"/>
                <w:b/>
              </w:rPr>
            </w:pPr>
            <w:r>
              <w:rPr>
                <w:rFonts w:eastAsia="Times New Roman" w:cs="Consolas"/>
                <w:b/>
              </w:rPr>
              <w:t>47</w:t>
            </w:r>
            <w:r w:rsidR="008E3004" w:rsidRPr="008E3004">
              <w:rPr>
                <w:rFonts w:eastAsia="Times New Roman" w:cs="Consolas"/>
                <w:b/>
              </w:rPr>
              <w:t>,</w:t>
            </w:r>
            <w:r>
              <w:rPr>
                <w:rFonts w:eastAsia="Times New Roman" w:cs="Consolas"/>
                <w:b/>
              </w:rPr>
              <w:t>7</w:t>
            </w:r>
            <w:r w:rsidR="00D93437">
              <w:rPr>
                <w:rFonts w:eastAsia="Times New Roman" w:cs="Consolas"/>
                <w:vertAlign w:val="superscript"/>
              </w:rPr>
              <w:t>(3)</w:t>
            </w:r>
          </w:p>
        </w:tc>
      </w:tr>
      <w:tr w:rsidR="008E3004" w:rsidRPr="00C42CBB" w:rsidTr="00735D90">
        <w:trPr>
          <w:trHeight w:val="397"/>
          <w:jc w:val="center"/>
        </w:trPr>
        <w:tc>
          <w:tcPr>
            <w:tcW w:w="4515" w:type="dxa"/>
            <w:vAlign w:val="center"/>
          </w:tcPr>
          <w:p w:rsidR="008E3004" w:rsidRPr="00654070" w:rsidRDefault="008E3004" w:rsidP="00696029">
            <w:pPr>
              <w:pStyle w:val="a6"/>
              <w:spacing w:after="0" w:line="240" w:lineRule="auto"/>
              <w:ind w:left="0"/>
              <w:rPr>
                <w:rFonts w:eastAsia="Times New Roman" w:cs="Consolas"/>
                <w:i/>
              </w:rPr>
            </w:pPr>
            <w:r w:rsidRPr="00C05416">
              <w:rPr>
                <w:rFonts w:eastAsia="Times New Roman" w:cs="Consolas"/>
                <w:i/>
              </w:rPr>
              <w:t xml:space="preserve">περιθώριο </w:t>
            </w:r>
            <w:r w:rsidRPr="00C05416">
              <w:rPr>
                <w:rFonts w:eastAsia="Times New Roman" w:cs="Consolas"/>
                <w:i/>
                <w:lang w:val="en-GB"/>
              </w:rPr>
              <w:t>EBITDA</w:t>
            </w:r>
            <w:r>
              <w:rPr>
                <w:rFonts w:eastAsia="Times New Roman" w:cs="Consolas"/>
                <w:i/>
              </w:rPr>
              <w:t xml:space="preserve"> </w:t>
            </w:r>
            <w:r w:rsidRPr="00654070">
              <w:rPr>
                <w:rFonts w:eastAsia="Times New Roman" w:cs="Consolas"/>
                <w:i/>
              </w:rPr>
              <w:t>Ομίλου</w:t>
            </w:r>
          </w:p>
        </w:tc>
        <w:tc>
          <w:tcPr>
            <w:tcW w:w="1836" w:type="dxa"/>
            <w:vAlign w:val="center"/>
          </w:tcPr>
          <w:p w:rsidR="008E3004" w:rsidRPr="00C42CBB" w:rsidRDefault="000577A5" w:rsidP="000577A5">
            <w:pPr>
              <w:spacing w:after="0" w:line="240" w:lineRule="auto"/>
              <w:contextualSpacing/>
              <w:jc w:val="center"/>
              <w:rPr>
                <w:rFonts w:eastAsia="Times New Roman" w:cs="Consolas"/>
                <w:i/>
              </w:rPr>
            </w:pPr>
            <w:r>
              <w:rPr>
                <w:rFonts w:eastAsia="Times New Roman" w:cs="Consolas"/>
                <w:i/>
              </w:rPr>
              <w:t>9</w:t>
            </w:r>
            <w:r w:rsidR="008E3004" w:rsidRPr="008E3004">
              <w:rPr>
                <w:rFonts w:eastAsia="Times New Roman" w:cs="Consolas"/>
                <w:i/>
                <w:lang w:val="en-GB"/>
              </w:rPr>
              <w:t>,</w:t>
            </w:r>
            <w:r>
              <w:rPr>
                <w:rFonts w:eastAsia="Times New Roman" w:cs="Consolas"/>
                <w:i/>
              </w:rPr>
              <w:t>0</w:t>
            </w:r>
            <w:r w:rsidR="008E3004" w:rsidRPr="008E3004">
              <w:rPr>
                <w:rFonts w:eastAsia="Times New Roman" w:cs="Consolas"/>
                <w:i/>
                <w:lang w:val="en-GB"/>
              </w:rPr>
              <w:t>%</w:t>
            </w:r>
          </w:p>
        </w:tc>
        <w:tc>
          <w:tcPr>
            <w:tcW w:w="1836" w:type="dxa"/>
            <w:vAlign w:val="center"/>
          </w:tcPr>
          <w:p w:rsidR="008E3004" w:rsidRPr="008E3004" w:rsidRDefault="0070610E" w:rsidP="0070610E">
            <w:pPr>
              <w:spacing w:after="0" w:line="240" w:lineRule="auto"/>
              <w:contextualSpacing/>
              <w:jc w:val="center"/>
              <w:rPr>
                <w:rFonts w:eastAsia="Times New Roman" w:cs="Consolas"/>
                <w:b/>
                <w:i/>
              </w:rPr>
            </w:pPr>
            <w:r>
              <w:rPr>
                <w:rFonts w:eastAsia="Times New Roman" w:cs="Consolas"/>
                <w:b/>
                <w:i/>
              </w:rPr>
              <w:t>9</w:t>
            </w:r>
            <w:r w:rsidR="008E3004" w:rsidRPr="008E3004">
              <w:rPr>
                <w:rFonts w:eastAsia="Times New Roman" w:cs="Consolas"/>
                <w:b/>
                <w:i/>
                <w:lang w:val="en-GB"/>
              </w:rPr>
              <w:t>,</w:t>
            </w:r>
            <w:r>
              <w:rPr>
                <w:rFonts w:eastAsia="Times New Roman" w:cs="Consolas"/>
                <w:b/>
                <w:i/>
              </w:rPr>
              <w:t>1</w:t>
            </w:r>
            <w:r w:rsidR="008E3004" w:rsidRPr="008E3004">
              <w:rPr>
                <w:rFonts w:eastAsia="Times New Roman" w:cs="Consolas"/>
                <w:b/>
                <w:i/>
                <w:lang w:val="en-GB"/>
              </w:rPr>
              <w:t>%</w:t>
            </w:r>
          </w:p>
        </w:tc>
      </w:tr>
      <w:tr w:rsidR="008E3004" w:rsidRPr="00C42CBB" w:rsidTr="00735D90">
        <w:trPr>
          <w:trHeight w:val="397"/>
          <w:jc w:val="center"/>
        </w:trPr>
        <w:tc>
          <w:tcPr>
            <w:tcW w:w="4515" w:type="dxa"/>
            <w:vAlign w:val="center"/>
          </w:tcPr>
          <w:p w:rsidR="008E3004" w:rsidRDefault="008E3004" w:rsidP="00696029">
            <w:pPr>
              <w:pStyle w:val="a6"/>
              <w:spacing w:after="0" w:line="240" w:lineRule="auto"/>
              <w:ind w:left="0"/>
              <w:rPr>
                <w:rFonts w:eastAsia="Times New Roman" w:cs="Consolas"/>
              </w:rPr>
            </w:pPr>
            <w:r>
              <w:rPr>
                <w:rFonts w:eastAsia="Times New Roman" w:cs="Consolas"/>
              </w:rPr>
              <w:t>Καθαρά αποτελέσματα μετά από φόρους και δικαιώματα μειοψηφίας</w:t>
            </w:r>
          </w:p>
        </w:tc>
        <w:tc>
          <w:tcPr>
            <w:tcW w:w="1836" w:type="dxa"/>
            <w:vAlign w:val="center"/>
          </w:tcPr>
          <w:p w:rsidR="008E3004" w:rsidRPr="00C42CBB" w:rsidRDefault="000577A5" w:rsidP="000577A5">
            <w:pPr>
              <w:spacing w:after="0" w:line="240" w:lineRule="auto"/>
              <w:contextualSpacing/>
              <w:jc w:val="center"/>
              <w:rPr>
                <w:rFonts w:eastAsia="Times New Roman" w:cs="Consolas"/>
              </w:rPr>
            </w:pPr>
            <w:r>
              <w:rPr>
                <w:rFonts w:eastAsia="Times New Roman" w:cs="Consolas"/>
              </w:rPr>
              <w:t>(51</w:t>
            </w:r>
            <w:r w:rsidR="008E3004">
              <w:rPr>
                <w:rFonts w:eastAsia="Times New Roman" w:cs="Consolas"/>
              </w:rPr>
              <w:t>,</w:t>
            </w:r>
            <w:r>
              <w:rPr>
                <w:rFonts w:eastAsia="Times New Roman" w:cs="Consolas"/>
              </w:rPr>
              <w:t>9</w:t>
            </w:r>
            <w:r w:rsidR="008E3004" w:rsidRPr="00C42CBB">
              <w:rPr>
                <w:rFonts w:eastAsia="Times New Roman" w:cs="Consolas"/>
              </w:rPr>
              <w:t>)</w:t>
            </w:r>
          </w:p>
        </w:tc>
        <w:tc>
          <w:tcPr>
            <w:tcW w:w="1836" w:type="dxa"/>
            <w:vAlign w:val="center"/>
          </w:tcPr>
          <w:p w:rsidR="008E3004" w:rsidRPr="00C42CBB" w:rsidRDefault="0070610E" w:rsidP="0070610E">
            <w:pPr>
              <w:spacing w:after="0" w:line="240" w:lineRule="auto"/>
              <w:contextualSpacing/>
              <w:jc w:val="center"/>
              <w:rPr>
                <w:rFonts w:eastAsia="Times New Roman" w:cs="Consolas"/>
                <w:b/>
              </w:rPr>
            </w:pPr>
            <w:r>
              <w:rPr>
                <w:rFonts w:eastAsia="Times New Roman" w:cs="Consolas"/>
                <w:b/>
              </w:rPr>
              <w:t>(45</w:t>
            </w:r>
            <w:r w:rsidR="008E3004" w:rsidRPr="008E3004">
              <w:rPr>
                <w:rFonts w:eastAsia="Times New Roman" w:cs="Consolas"/>
                <w:b/>
              </w:rPr>
              <w:t>,</w:t>
            </w:r>
            <w:r>
              <w:rPr>
                <w:rFonts w:eastAsia="Times New Roman" w:cs="Consolas"/>
                <w:b/>
              </w:rPr>
              <w:t>9</w:t>
            </w:r>
            <w:r w:rsidR="008E3004" w:rsidRPr="008E3004">
              <w:rPr>
                <w:rFonts w:eastAsia="Times New Roman" w:cs="Consolas"/>
                <w:b/>
              </w:rPr>
              <w:t>)</w:t>
            </w:r>
          </w:p>
        </w:tc>
      </w:tr>
      <w:tr w:rsidR="00236248" w:rsidRPr="00A2467A" w:rsidTr="002B2273">
        <w:trPr>
          <w:trHeight w:val="63"/>
          <w:jc w:val="center"/>
        </w:trPr>
        <w:tc>
          <w:tcPr>
            <w:tcW w:w="8187" w:type="dxa"/>
            <w:gridSpan w:val="3"/>
            <w:vAlign w:val="center"/>
          </w:tcPr>
          <w:p w:rsidR="00236248" w:rsidRPr="00C64513" w:rsidRDefault="00236248" w:rsidP="00F30F74">
            <w:pPr>
              <w:pStyle w:val="a6"/>
              <w:spacing w:after="0" w:line="240" w:lineRule="auto"/>
              <w:ind w:left="0"/>
              <w:jc w:val="both"/>
              <w:rPr>
                <w:rFonts w:eastAsia="Times New Roman" w:cs="Consolas"/>
                <w:i/>
                <w:sz w:val="16"/>
                <w:szCs w:val="16"/>
              </w:rPr>
            </w:pPr>
            <w:r w:rsidRPr="00357874">
              <w:rPr>
                <w:rFonts w:eastAsia="Times New Roman" w:cs="Consolas"/>
                <w:i/>
                <w:sz w:val="16"/>
                <w:szCs w:val="16"/>
              </w:rPr>
              <w:t xml:space="preserve">(1) Τα ενοποιημένα λειτουργικά </w:t>
            </w:r>
            <w:r w:rsidR="008E3004">
              <w:rPr>
                <w:rFonts w:eastAsia="Times New Roman" w:cs="Consolas"/>
                <w:i/>
                <w:sz w:val="16"/>
                <w:szCs w:val="16"/>
              </w:rPr>
              <w:t>α</w:t>
            </w:r>
            <w:r w:rsidR="008E3004" w:rsidRPr="00357874">
              <w:rPr>
                <w:rFonts w:eastAsia="Times New Roman" w:cs="Consolas"/>
                <w:i/>
                <w:sz w:val="16"/>
                <w:szCs w:val="16"/>
              </w:rPr>
              <w:t xml:space="preserve">ποτελέσματα </w:t>
            </w:r>
            <w:r w:rsidRPr="00357874">
              <w:rPr>
                <w:rFonts w:eastAsia="Times New Roman" w:cs="Consolas"/>
                <w:i/>
                <w:sz w:val="16"/>
                <w:szCs w:val="16"/>
              </w:rPr>
              <w:t xml:space="preserve">προ φόρων, τόκων και αποσβέσεων (EBITDA) στο σύνολο των θυγατρικών ορίζονται ως τα ενοποιημένα </w:t>
            </w:r>
            <w:r w:rsidR="008E3004">
              <w:rPr>
                <w:rFonts w:eastAsia="Times New Roman" w:cs="Consolas"/>
                <w:i/>
                <w:sz w:val="16"/>
                <w:szCs w:val="16"/>
              </w:rPr>
              <w:t>α</w:t>
            </w:r>
            <w:r w:rsidR="008E3004" w:rsidRPr="00357874">
              <w:rPr>
                <w:rFonts w:eastAsia="Times New Roman" w:cs="Consolas"/>
                <w:i/>
                <w:sz w:val="16"/>
                <w:szCs w:val="16"/>
              </w:rPr>
              <w:t xml:space="preserve">ποτελέσματα </w:t>
            </w:r>
            <w:r w:rsidRPr="00357874">
              <w:rPr>
                <w:rFonts w:eastAsia="Times New Roman" w:cs="Consolas"/>
                <w:i/>
                <w:sz w:val="16"/>
                <w:szCs w:val="16"/>
              </w:rPr>
              <w:t xml:space="preserve">EBITDA εξαιρουμένων των </w:t>
            </w:r>
            <w:r>
              <w:rPr>
                <w:rFonts w:eastAsia="Times New Roman" w:cs="Consolas"/>
                <w:i/>
                <w:sz w:val="16"/>
                <w:szCs w:val="16"/>
              </w:rPr>
              <w:t>εταιρ</w:t>
            </w:r>
            <w:r w:rsidRPr="00357874">
              <w:rPr>
                <w:rFonts w:eastAsia="Times New Roman" w:cs="Consolas"/>
                <w:i/>
                <w:sz w:val="16"/>
                <w:szCs w:val="16"/>
              </w:rPr>
              <w:t xml:space="preserve">ιών </w:t>
            </w:r>
            <w:proofErr w:type="spellStart"/>
            <w:r w:rsidRPr="00357874">
              <w:rPr>
                <w:rFonts w:eastAsia="Times New Roman" w:cs="Consolas"/>
                <w:i/>
                <w:sz w:val="16"/>
                <w:szCs w:val="16"/>
              </w:rPr>
              <w:t>holding</w:t>
            </w:r>
            <w:proofErr w:type="spellEnd"/>
            <w:r w:rsidRPr="00357874">
              <w:rPr>
                <w:rFonts w:eastAsia="Times New Roman" w:cs="Consolas"/>
                <w:i/>
                <w:sz w:val="16"/>
                <w:szCs w:val="16"/>
              </w:rPr>
              <w:t xml:space="preserve"> και των μη-ε</w:t>
            </w:r>
            <w:r w:rsidR="00C64513">
              <w:rPr>
                <w:rFonts w:eastAsia="Times New Roman" w:cs="Consolas"/>
                <w:i/>
                <w:sz w:val="16"/>
                <w:szCs w:val="16"/>
              </w:rPr>
              <w:t>παναλαμβανόμενων δραστηριοτήτων</w:t>
            </w:r>
            <w:r w:rsidR="00C64513" w:rsidRPr="00C64513">
              <w:rPr>
                <w:rFonts w:eastAsia="Times New Roman" w:cs="Consolas"/>
                <w:i/>
                <w:sz w:val="16"/>
                <w:szCs w:val="16"/>
              </w:rPr>
              <w:t xml:space="preserve"> (δεν περιλαμβάνεται η έκτακτη απομείωση €13,6εκ στα υπόλοιπα απαιτήσεων από τον όμιλο ΜΑΡΙΝΟΠΟΥΛΟΣ</w:t>
            </w:r>
            <w:r w:rsidR="00C64513">
              <w:rPr>
                <w:rFonts w:eastAsia="Times New Roman" w:cs="Consolas"/>
                <w:i/>
                <w:sz w:val="16"/>
                <w:szCs w:val="16"/>
              </w:rPr>
              <w:t>)</w:t>
            </w:r>
          </w:p>
          <w:p w:rsidR="00117538" w:rsidRDefault="00236248" w:rsidP="00F30F74">
            <w:pPr>
              <w:spacing w:after="0" w:line="240" w:lineRule="auto"/>
              <w:contextualSpacing/>
              <w:jc w:val="both"/>
              <w:rPr>
                <w:rFonts w:eastAsia="Times New Roman" w:cs="Consolas"/>
                <w:i/>
                <w:sz w:val="16"/>
                <w:szCs w:val="16"/>
              </w:rPr>
            </w:pPr>
            <w:r w:rsidRPr="00357874">
              <w:rPr>
                <w:rFonts w:eastAsia="Times New Roman" w:cs="Consolas"/>
                <w:i/>
                <w:sz w:val="16"/>
                <w:szCs w:val="16"/>
              </w:rPr>
              <w:t xml:space="preserve">(2) </w:t>
            </w:r>
            <w:r>
              <w:rPr>
                <w:rFonts w:eastAsia="Times New Roman" w:cs="Consolas"/>
                <w:i/>
                <w:sz w:val="16"/>
                <w:szCs w:val="16"/>
              </w:rPr>
              <w:t>Ε</w:t>
            </w:r>
            <w:r w:rsidRPr="000F243A">
              <w:rPr>
                <w:rFonts w:eastAsia="Times New Roman" w:cs="Consolas"/>
                <w:i/>
                <w:sz w:val="16"/>
                <w:szCs w:val="16"/>
              </w:rPr>
              <w:t xml:space="preserve">νοποιημένα </w:t>
            </w:r>
            <w:r>
              <w:rPr>
                <w:rFonts w:eastAsia="Times New Roman" w:cs="Consolas"/>
                <w:i/>
                <w:sz w:val="16"/>
                <w:szCs w:val="16"/>
              </w:rPr>
              <w:t>α</w:t>
            </w:r>
            <w:r w:rsidRPr="00357874">
              <w:rPr>
                <w:rFonts w:eastAsia="Times New Roman" w:cs="Consolas"/>
                <w:i/>
                <w:sz w:val="16"/>
                <w:szCs w:val="16"/>
              </w:rPr>
              <w:t>ποτελέσματα προ φόρων, χρηματοδοτικών, επενδυτικών αποτελεσμάτων και αποσβέσεων</w:t>
            </w:r>
            <w:r>
              <w:rPr>
                <w:rFonts w:eastAsia="Times New Roman" w:cs="Consolas"/>
                <w:i/>
                <w:sz w:val="16"/>
                <w:szCs w:val="16"/>
              </w:rPr>
              <w:t xml:space="preserve"> (</w:t>
            </w:r>
            <w:r w:rsidRPr="00E96F07">
              <w:rPr>
                <w:rFonts w:eastAsia="Times New Roman" w:cs="Consolas"/>
                <w:i/>
                <w:sz w:val="16"/>
                <w:szCs w:val="16"/>
              </w:rPr>
              <w:t>EBITDA</w:t>
            </w:r>
            <w:r>
              <w:rPr>
                <w:rFonts w:eastAsia="Times New Roman" w:cs="Consolas"/>
                <w:i/>
                <w:sz w:val="16"/>
                <w:szCs w:val="16"/>
              </w:rPr>
              <w:t>)</w:t>
            </w:r>
          </w:p>
          <w:p w:rsidR="0007353D" w:rsidRPr="00274E11" w:rsidRDefault="0007353D" w:rsidP="00F30F74">
            <w:pPr>
              <w:spacing w:after="0" w:line="240" w:lineRule="auto"/>
              <w:contextualSpacing/>
              <w:jc w:val="both"/>
              <w:rPr>
                <w:rFonts w:eastAsia="Times New Roman" w:cs="Consolas"/>
                <w:i/>
                <w:sz w:val="16"/>
                <w:szCs w:val="16"/>
              </w:rPr>
            </w:pPr>
            <w:r>
              <w:rPr>
                <w:rFonts w:eastAsia="Times New Roman" w:cs="Consolas"/>
                <w:i/>
                <w:sz w:val="16"/>
                <w:szCs w:val="16"/>
              </w:rPr>
              <w:t xml:space="preserve">(3) Περιλαμβάνει </w:t>
            </w:r>
            <w:r w:rsidR="00BF6D46">
              <w:rPr>
                <w:rFonts w:eastAsia="Times New Roman" w:cs="Consolas"/>
                <w:i/>
                <w:sz w:val="16"/>
                <w:szCs w:val="16"/>
              </w:rPr>
              <w:t xml:space="preserve">έκτακτη </w:t>
            </w:r>
            <w:r>
              <w:rPr>
                <w:rFonts w:eastAsia="Times New Roman" w:cs="Consolas"/>
                <w:i/>
                <w:sz w:val="16"/>
                <w:szCs w:val="16"/>
              </w:rPr>
              <w:t xml:space="preserve">επιβάρυνση </w:t>
            </w:r>
            <w:r w:rsidR="00D93437">
              <w:rPr>
                <w:rFonts w:eastAsia="Times New Roman" w:cs="Consolas"/>
                <w:i/>
                <w:sz w:val="16"/>
                <w:szCs w:val="16"/>
              </w:rPr>
              <w:t xml:space="preserve">ποσού </w:t>
            </w:r>
            <w:r w:rsidR="00D93437" w:rsidRPr="00D93437">
              <w:rPr>
                <w:rFonts w:eastAsia="Times New Roman" w:cs="Consolas"/>
                <w:i/>
                <w:sz w:val="16"/>
                <w:szCs w:val="16"/>
              </w:rPr>
              <w:t>€13,6εκ</w:t>
            </w:r>
            <w:r w:rsidR="00D93437">
              <w:rPr>
                <w:rFonts w:eastAsia="Times New Roman" w:cs="Consolas"/>
                <w:i/>
                <w:sz w:val="16"/>
                <w:szCs w:val="16"/>
              </w:rPr>
              <w:t xml:space="preserve"> </w:t>
            </w:r>
            <w:r w:rsidR="00BF6D46">
              <w:rPr>
                <w:rFonts w:eastAsia="Times New Roman" w:cs="Consolas"/>
                <w:i/>
                <w:sz w:val="16"/>
                <w:szCs w:val="16"/>
              </w:rPr>
              <w:t xml:space="preserve">λόγω </w:t>
            </w:r>
            <w:r w:rsidR="00D93437" w:rsidRPr="00D93437">
              <w:rPr>
                <w:rFonts w:eastAsia="Times New Roman" w:cs="Consolas"/>
                <w:i/>
                <w:sz w:val="16"/>
                <w:szCs w:val="16"/>
              </w:rPr>
              <w:t>απομείωσης στα υπόλοιπα απαιτήσεων από τον όμιλο ΜΑΡΙΝΟΠΟΥΛΟΣ</w:t>
            </w:r>
          </w:p>
        </w:tc>
      </w:tr>
    </w:tbl>
    <w:p w:rsidR="00D43C8D" w:rsidRDefault="00D43C8D">
      <w:pPr>
        <w:spacing w:after="0" w:line="240" w:lineRule="auto"/>
        <w:rPr>
          <w:rFonts w:cs="Verdana"/>
          <w:color w:val="333333"/>
        </w:rPr>
      </w:pPr>
      <w:r>
        <w:rPr>
          <w:rFonts w:cs="Verdana"/>
          <w:color w:val="333333"/>
        </w:rPr>
        <w:br w:type="page"/>
      </w:r>
    </w:p>
    <w:p w:rsidR="00F71F08" w:rsidRPr="00294B8B" w:rsidRDefault="00064AF3" w:rsidP="00F71F08">
      <w:pPr>
        <w:spacing w:before="40" w:after="40"/>
        <w:jc w:val="both"/>
        <w:rPr>
          <w:rFonts w:cs="Verdana"/>
          <w:color w:val="333333"/>
        </w:rPr>
      </w:pPr>
      <w:r w:rsidRPr="00294B8B">
        <w:rPr>
          <w:rFonts w:cs="Verdana"/>
          <w:color w:val="333333"/>
        </w:rPr>
        <w:lastRenderedPageBreak/>
        <w:t>Επικοινωνία</w:t>
      </w:r>
      <w:r w:rsidR="00F71F08" w:rsidRPr="00294B8B">
        <w:rPr>
          <w:rFonts w:cs="Verdana"/>
          <w:color w:val="333333"/>
        </w:rPr>
        <w:t>:</w:t>
      </w:r>
    </w:p>
    <w:p w:rsidR="00F71F08" w:rsidRPr="00294B8B" w:rsidRDefault="00064AF3" w:rsidP="00F71F08">
      <w:pPr>
        <w:spacing w:before="40" w:after="40"/>
        <w:jc w:val="both"/>
        <w:rPr>
          <w:rFonts w:cs="Verdana"/>
          <w:color w:val="333333"/>
        </w:rPr>
      </w:pPr>
      <w:r w:rsidRPr="00294B8B">
        <w:rPr>
          <w:rFonts w:cs="Verdana"/>
          <w:color w:val="333333"/>
        </w:rPr>
        <w:t>Τμήμα Επενδυτικών Σχέσεων</w:t>
      </w:r>
      <w:r w:rsidR="00F71F08" w:rsidRPr="00294B8B">
        <w:rPr>
          <w:rFonts w:cs="Verdana"/>
          <w:color w:val="333333"/>
        </w:rPr>
        <w:t xml:space="preserve"> +30 210 350 4046</w:t>
      </w:r>
    </w:p>
    <w:p w:rsidR="00F71F08" w:rsidRPr="00294B8B" w:rsidRDefault="00D15D1D" w:rsidP="00F71F08">
      <w:pPr>
        <w:spacing w:before="40" w:after="40"/>
        <w:jc w:val="both"/>
        <w:rPr>
          <w:rFonts w:cs="Verdana"/>
          <w:color w:val="333333"/>
        </w:rPr>
      </w:pPr>
      <w:hyperlink r:id="rId8" w:history="1">
        <w:r w:rsidR="00F71F08" w:rsidRPr="00294B8B">
          <w:rPr>
            <w:rStyle w:val="-"/>
            <w:rFonts w:cs="Verdana"/>
          </w:rPr>
          <w:t>InvestorRelations@marfingroup.gr</w:t>
        </w:r>
      </w:hyperlink>
    </w:p>
    <w:p w:rsidR="0000518B" w:rsidRPr="00294B8B" w:rsidRDefault="0000518B" w:rsidP="00F71F08">
      <w:pPr>
        <w:spacing w:after="0"/>
        <w:jc w:val="both"/>
        <w:rPr>
          <w:rFonts w:cs="Verdana"/>
          <w:color w:val="333333"/>
          <w:sz w:val="24"/>
          <w:szCs w:val="24"/>
        </w:rPr>
      </w:pPr>
    </w:p>
    <w:p w:rsidR="00782242" w:rsidRPr="00294B8B" w:rsidRDefault="00782242" w:rsidP="00F71F08">
      <w:pPr>
        <w:spacing w:after="0"/>
        <w:jc w:val="both"/>
        <w:rPr>
          <w:rFonts w:cs="Verdana"/>
          <w:color w:val="333333"/>
          <w:sz w:val="24"/>
          <w:szCs w:val="24"/>
        </w:rPr>
      </w:pPr>
    </w:p>
    <w:p w:rsidR="008E2DA4" w:rsidRPr="00294B8B" w:rsidRDefault="008E2DA4" w:rsidP="00F71F08">
      <w:pPr>
        <w:spacing w:after="0"/>
        <w:jc w:val="both"/>
        <w:rPr>
          <w:rFonts w:cs="Verdana"/>
          <w:color w:val="333333"/>
          <w:sz w:val="24"/>
          <w:szCs w:val="24"/>
        </w:rPr>
      </w:pPr>
    </w:p>
    <w:p w:rsidR="005C381F" w:rsidRPr="00294B8B" w:rsidRDefault="005C381F" w:rsidP="00782242">
      <w:pPr>
        <w:spacing w:before="40" w:after="40"/>
        <w:jc w:val="both"/>
        <w:rPr>
          <w:rFonts w:cs="Verdana"/>
          <w:i/>
          <w:color w:val="333333"/>
          <w:sz w:val="24"/>
          <w:szCs w:val="24"/>
        </w:rPr>
      </w:pPr>
    </w:p>
    <w:p w:rsidR="005C381F" w:rsidRPr="00294B8B" w:rsidRDefault="005C381F" w:rsidP="00782242">
      <w:pPr>
        <w:spacing w:before="40" w:after="40"/>
        <w:jc w:val="both"/>
        <w:rPr>
          <w:rFonts w:cs="Verdana"/>
          <w:i/>
          <w:color w:val="333333"/>
          <w:sz w:val="24"/>
          <w:szCs w:val="24"/>
        </w:rPr>
      </w:pPr>
    </w:p>
    <w:p w:rsidR="005C381F" w:rsidRPr="00294B8B" w:rsidRDefault="005C381F" w:rsidP="00782242">
      <w:pPr>
        <w:spacing w:before="40" w:after="40"/>
        <w:jc w:val="both"/>
        <w:rPr>
          <w:rFonts w:cs="Verdana"/>
          <w:i/>
          <w:color w:val="333333"/>
          <w:sz w:val="24"/>
          <w:szCs w:val="24"/>
        </w:rPr>
      </w:pPr>
    </w:p>
    <w:p w:rsidR="005C381F" w:rsidRPr="00294B8B" w:rsidRDefault="005C381F" w:rsidP="00782242">
      <w:pPr>
        <w:spacing w:before="40" w:after="40"/>
        <w:jc w:val="both"/>
        <w:rPr>
          <w:rFonts w:cs="Verdana"/>
          <w:i/>
          <w:color w:val="333333"/>
          <w:sz w:val="24"/>
          <w:szCs w:val="24"/>
        </w:rPr>
      </w:pPr>
    </w:p>
    <w:p w:rsidR="005C381F" w:rsidRPr="00294B8B" w:rsidRDefault="005C381F" w:rsidP="00782242">
      <w:pPr>
        <w:spacing w:before="40" w:after="40"/>
        <w:jc w:val="both"/>
        <w:rPr>
          <w:rFonts w:cs="Verdana"/>
          <w:i/>
          <w:color w:val="333333"/>
          <w:sz w:val="24"/>
          <w:szCs w:val="24"/>
        </w:rPr>
      </w:pPr>
    </w:p>
    <w:p w:rsidR="003A506F" w:rsidRPr="00294B8B" w:rsidRDefault="003A506F" w:rsidP="00782242">
      <w:pPr>
        <w:spacing w:before="40" w:after="40"/>
        <w:jc w:val="both"/>
        <w:rPr>
          <w:rFonts w:cs="Verdana"/>
          <w:i/>
          <w:color w:val="333333"/>
          <w:sz w:val="20"/>
          <w:szCs w:val="20"/>
        </w:rPr>
      </w:pPr>
    </w:p>
    <w:p w:rsidR="003A506F" w:rsidRPr="00294B8B" w:rsidRDefault="003A506F" w:rsidP="00782242">
      <w:pPr>
        <w:spacing w:before="40" w:after="40"/>
        <w:jc w:val="both"/>
        <w:rPr>
          <w:rFonts w:cs="Verdana"/>
          <w:i/>
          <w:color w:val="333333"/>
          <w:sz w:val="20"/>
          <w:szCs w:val="20"/>
        </w:rPr>
      </w:pPr>
    </w:p>
    <w:p w:rsidR="003A506F" w:rsidRPr="00294B8B" w:rsidRDefault="003A506F" w:rsidP="00782242">
      <w:pPr>
        <w:spacing w:before="40" w:after="40"/>
        <w:jc w:val="both"/>
        <w:rPr>
          <w:rFonts w:cs="Verdana"/>
          <w:i/>
          <w:color w:val="333333"/>
          <w:sz w:val="20"/>
          <w:szCs w:val="20"/>
        </w:rPr>
      </w:pPr>
    </w:p>
    <w:p w:rsidR="003A506F" w:rsidRPr="00294B8B" w:rsidRDefault="003A506F" w:rsidP="00782242">
      <w:pPr>
        <w:spacing w:before="40" w:after="40"/>
        <w:jc w:val="both"/>
        <w:rPr>
          <w:rFonts w:cs="Verdana"/>
          <w:i/>
          <w:color w:val="333333"/>
          <w:sz w:val="20"/>
          <w:szCs w:val="20"/>
        </w:rPr>
      </w:pPr>
    </w:p>
    <w:p w:rsidR="003A506F" w:rsidRPr="00294B8B" w:rsidRDefault="003A506F" w:rsidP="00782242">
      <w:pPr>
        <w:spacing w:before="40" w:after="40"/>
        <w:jc w:val="both"/>
        <w:rPr>
          <w:rFonts w:cs="Verdana"/>
          <w:i/>
          <w:color w:val="333333"/>
          <w:sz w:val="20"/>
          <w:szCs w:val="20"/>
        </w:rPr>
      </w:pPr>
    </w:p>
    <w:p w:rsidR="003A506F" w:rsidRPr="00294B8B" w:rsidRDefault="003A506F" w:rsidP="00782242">
      <w:pPr>
        <w:spacing w:before="40" w:after="40"/>
        <w:jc w:val="both"/>
        <w:rPr>
          <w:rFonts w:cs="Verdana"/>
          <w:i/>
          <w:color w:val="333333"/>
          <w:sz w:val="20"/>
          <w:szCs w:val="20"/>
        </w:rPr>
      </w:pPr>
    </w:p>
    <w:p w:rsidR="003A506F" w:rsidRPr="00294B8B" w:rsidRDefault="003A506F" w:rsidP="00782242">
      <w:pPr>
        <w:spacing w:before="40" w:after="40"/>
        <w:jc w:val="both"/>
        <w:rPr>
          <w:rFonts w:cs="Verdana"/>
          <w:i/>
          <w:color w:val="333333"/>
          <w:sz w:val="20"/>
          <w:szCs w:val="20"/>
        </w:rPr>
      </w:pPr>
    </w:p>
    <w:p w:rsidR="003A506F" w:rsidRPr="00294B8B" w:rsidRDefault="003A506F" w:rsidP="00782242">
      <w:pPr>
        <w:spacing w:before="40" w:after="40"/>
        <w:jc w:val="both"/>
        <w:rPr>
          <w:rFonts w:cs="Verdana"/>
          <w:i/>
          <w:color w:val="333333"/>
          <w:sz w:val="20"/>
          <w:szCs w:val="20"/>
        </w:rPr>
      </w:pPr>
    </w:p>
    <w:p w:rsidR="00782242" w:rsidRPr="00294B8B" w:rsidRDefault="00782242" w:rsidP="00782242">
      <w:pPr>
        <w:spacing w:before="40" w:after="40"/>
        <w:jc w:val="both"/>
        <w:rPr>
          <w:rFonts w:cs="Verdana"/>
          <w:i/>
          <w:color w:val="333333"/>
          <w:sz w:val="20"/>
          <w:szCs w:val="20"/>
        </w:rPr>
      </w:pPr>
      <w:r w:rsidRPr="00294B8B">
        <w:rPr>
          <w:rFonts w:cs="Verdana"/>
          <w:i/>
          <w:color w:val="333333"/>
          <w:sz w:val="20"/>
          <w:szCs w:val="20"/>
        </w:rPr>
        <w:t xml:space="preserve">Η </w:t>
      </w:r>
      <w:proofErr w:type="spellStart"/>
      <w:r w:rsidRPr="00294B8B">
        <w:rPr>
          <w:rFonts w:cs="Verdana"/>
          <w:i/>
          <w:color w:val="333333"/>
          <w:sz w:val="20"/>
          <w:szCs w:val="20"/>
        </w:rPr>
        <w:t>Marfin</w:t>
      </w:r>
      <w:proofErr w:type="spellEnd"/>
      <w:r w:rsidRPr="00294B8B">
        <w:rPr>
          <w:rFonts w:cs="Verdana"/>
          <w:i/>
          <w:color w:val="333333"/>
          <w:sz w:val="20"/>
          <w:szCs w:val="20"/>
        </w:rPr>
        <w:t xml:space="preserve"> </w:t>
      </w:r>
      <w:proofErr w:type="spellStart"/>
      <w:r w:rsidRPr="00294B8B">
        <w:rPr>
          <w:rFonts w:cs="Verdana"/>
          <w:i/>
          <w:color w:val="333333"/>
          <w:sz w:val="20"/>
          <w:szCs w:val="20"/>
        </w:rPr>
        <w:t>Investment</w:t>
      </w:r>
      <w:proofErr w:type="spellEnd"/>
      <w:r w:rsidRPr="00294B8B">
        <w:rPr>
          <w:rFonts w:cs="Verdana"/>
          <w:i/>
          <w:color w:val="333333"/>
          <w:sz w:val="20"/>
          <w:szCs w:val="20"/>
        </w:rPr>
        <w:t xml:space="preserve"> </w:t>
      </w:r>
      <w:proofErr w:type="spellStart"/>
      <w:r w:rsidRPr="00294B8B">
        <w:rPr>
          <w:rFonts w:cs="Verdana"/>
          <w:i/>
          <w:color w:val="333333"/>
          <w:sz w:val="20"/>
          <w:szCs w:val="20"/>
        </w:rPr>
        <w:t>Group</w:t>
      </w:r>
      <w:proofErr w:type="spellEnd"/>
      <w:r w:rsidRPr="00294B8B">
        <w:rPr>
          <w:rFonts w:cs="Verdana"/>
          <w:i/>
          <w:color w:val="333333"/>
          <w:sz w:val="20"/>
          <w:szCs w:val="20"/>
        </w:rPr>
        <w:t xml:space="preserve"> Συμμετοχών ΑΕ (MIG) είναι μία διεθνής </w:t>
      </w:r>
      <w:r w:rsidR="00A02865">
        <w:rPr>
          <w:rFonts w:cs="Verdana"/>
          <w:i/>
          <w:color w:val="333333"/>
          <w:sz w:val="20"/>
          <w:szCs w:val="20"/>
        </w:rPr>
        <w:t>εταιρ</w:t>
      </w:r>
      <w:r w:rsidRPr="00294B8B">
        <w:rPr>
          <w:rFonts w:cs="Verdana"/>
          <w:i/>
          <w:color w:val="333333"/>
          <w:sz w:val="20"/>
          <w:szCs w:val="20"/>
        </w:rPr>
        <w:t xml:space="preserve">ία επενδύσεων χαρτοφυλακίου με έδρα την Ελλάδα και παρουσία στην ευρύτερη περιοχή της Νοτιοανατολικής Ευρώπης. Η </w:t>
      </w:r>
      <w:r w:rsidR="00A02865">
        <w:rPr>
          <w:rFonts w:cs="Verdana"/>
          <w:i/>
          <w:color w:val="333333"/>
          <w:sz w:val="20"/>
          <w:szCs w:val="20"/>
        </w:rPr>
        <w:t>εταιρ</w:t>
      </w:r>
      <w:r w:rsidRPr="00294B8B">
        <w:rPr>
          <w:rFonts w:cs="Verdana"/>
          <w:i/>
          <w:color w:val="333333"/>
          <w:sz w:val="20"/>
          <w:szCs w:val="20"/>
        </w:rPr>
        <w:t xml:space="preserve">ία θεωρεί ότι βρίσκεται σε μοναδική θέση ώστε να εκμεταλλευτεί τις ολοένα αυξανόμενες επενδυτικές ευκαιρίες στην περιοχή, ευκαιρίες τις οποίες παραδοσιακά επενδυτικά οχήματα, που δεν διαθέτουν την περιφερειακή εξειδίκευση, μέγεθος και τεχνογνωσία της MIG, και/ή την επενδυτική ευελιξία και τους οικονομικούς πόρους, ενδέχεται να δυσκολευθούν να εντοπίσουν και να αξιοποιήσουν. </w:t>
      </w:r>
    </w:p>
    <w:p w:rsidR="00373017" w:rsidRPr="00294B8B" w:rsidRDefault="00782242" w:rsidP="00782242">
      <w:pPr>
        <w:spacing w:before="40" w:after="40"/>
        <w:jc w:val="both"/>
        <w:rPr>
          <w:rFonts w:eastAsia="Times New Roman" w:cs="Consolas"/>
          <w:sz w:val="20"/>
          <w:szCs w:val="20"/>
        </w:rPr>
      </w:pPr>
      <w:r w:rsidRPr="00294B8B">
        <w:rPr>
          <w:rFonts w:cs="Verdana"/>
          <w:i/>
          <w:color w:val="333333"/>
          <w:sz w:val="20"/>
          <w:szCs w:val="20"/>
        </w:rPr>
        <w:t xml:space="preserve">Η MIG </w:t>
      </w:r>
      <w:r w:rsidR="007E3CB4" w:rsidRPr="00294B8B">
        <w:rPr>
          <w:rFonts w:cs="Verdana"/>
          <w:i/>
          <w:color w:val="333333"/>
          <w:sz w:val="20"/>
          <w:szCs w:val="20"/>
        </w:rPr>
        <w:t xml:space="preserve">υπό τη σημερινή της μορφή </w:t>
      </w:r>
      <w:r w:rsidRPr="00294B8B">
        <w:rPr>
          <w:rFonts w:cs="Verdana"/>
          <w:i/>
          <w:color w:val="333333"/>
          <w:sz w:val="20"/>
          <w:szCs w:val="20"/>
        </w:rPr>
        <w:t xml:space="preserve">είναι εισηγμένη </w:t>
      </w:r>
      <w:r w:rsidR="00A02865">
        <w:rPr>
          <w:rFonts w:cs="Verdana"/>
          <w:i/>
          <w:color w:val="333333"/>
          <w:sz w:val="20"/>
          <w:szCs w:val="20"/>
        </w:rPr>
        <w:t>εταιρ</w:t>
      </w:r>
      <w:r w:rsidRPr="00294B8B">
        <w:rPr>
          <w:rFonts w:cs="Verdana"/>
          <w:i/>
          <w:color w:val="333333"/>
          <w:sz w:val="20"/>
          <w:szCs w:val="20"/>
        </w:rPr>
        <w:t xml:space="preserve">ία στο Χρηματιστήριο Αθηνών από τον Ιούλιο του 2007. Το χαρτοφυλάκιο επενδύσεων αποτελείται από ηγέτιδες </w:t>
      </w:r>
      <w:r w:rsidR="00A02865">
        <w:rPr>
          <w:rFonts w:cs="Verdana"/>
          <w:i/>
          <w:color w:val="333333"/>
          <w:sz w:val="20"/>
          <w:szCs w:val="20"/>
        </w:rPr>
        <w:t>εταιρ</w:t>
      </w:r>
      <w:r w:rsidRPr="00294B8B">
        <w:rPr>
          <w:rFonts w:cs="Verdana"/>
          <w:i/>
          <w:color w:val="333333"/>
          <w:sz w:val="20"/>
          <w:szCs w:val="20"/>
        </w:rPr>
        <w:t xml:space="preserve">ίες στη Νοτιοανατολική Ευρώπη, που δραστηριοποιούνται στους κλάδους Τροφίμων &amp; Ποτών, </w:t>
      </w:r>
      <w:r w:rsidR="003842F4" w:rsidRPr="00294B8B">
        <w:rPr>
          <w:rFonts w:cs="Verdana"/>
          <w:i/>
          <w:color w:val="333333"/>
          <w:sz w:val="20"/>
          <w:szCs w:val="20"/>
        </w:rPr>
        <w:t xml:space="preserve">Μεταφορών &amp; Ναυτιλίας, </w:t>
      </w:r>
      <w:r w:rsidR="00B01486">
        <w:rPr>
          <w:rFonts w:cs="Verdana"/>
          <w:i/>
          <w:color w:val="333333"/>
          <w:sz w:val="20"/>
          <w:szCs w:val="20"/>
        </w:rPr>
        <w:t>Υγείας, Πληροφορικής</w:t>
      </w:r>
      <w:r w:rsidRPr="00294B8B">
        <w:rPr>
          <w:rFonts w:cs="Verdana"/>
          <w:i/>
          <w:color w:val="333333"/>
          <w:sz w:val="20"/>
          <w:szCs w:val="20"/>
        </w:rPr>
        <w:t xml:space="preserve">, Διαχείρισης Ακινήτων, Τουρισμού &amp; Αναψυχής. Στο επενδυτικό χαρτοφυλάκιο και τις θυγατρικές της MIG περιλαμβάνονται οι ακόλουθες </w:t>
      </w:r>
      <w:r w:rsidR="00A02865">
        <w:rPr>
          <w:rFonts w:cs="Verdana"/>
          <w:i/>
          <w:color w:val="333333"/>
          <w:sz w:val="20"/>
          <w:szCs w:val="20"/>
        </w:rPr>
        <w:t>εταιρ</w:t>
      </w:r>
      <w:r w:rsidRPr="00294B8B">
        <w:rPr>
          <w:rFonts w:cs="Verdana"/>
          <w:i/>
          <w:color w:val="333333"/>
          <w:sz w:val="20"/>
          <w:szCs w:val="20"/>
        </w:rPr>
        <w:t xml:space="preserve">ίες: </w:t>
      </w:r>
      <w:r w:rsidR="009A383C" w:rsidRPr="00294B8B">
        <w:rPr>
          <w:rFonts w:cs="Verdana"/>
          <w:i/>
          <w:color w:val="333333"/>
          <w:sz w:val="20"/>
          <w:szCs w:val="20"/>
        </w:rPr>
        <w:t xml:space="preserve">η </w:t>
      </w:r>
      <w:proofErr w:type="spellStart"/>
      <w:r w:rsidR="009A383C" w:rsidRPr="00294B8B">
        <w:rPr>
          <w:rFonts w:cs="Verdana"/>
          <w:i/>
          <w:color w:val="333333"/>
          <w:sz w:val="20"/>
          <w:szCs w:val="20"/>
        </w:rPr>
        <w:t>Attica</w:t>
      </w:r>
      <w:proofErr w:type="spellEnd"/>
      <w:r w:rsidR="009A383C" w:rsidRPr="00294B8B">
        <w:rPr>
          <w:rFonts w:cs="Verdana"/>
          <w:i/>
          <w:color w:val="333333"/>
          <w:sz w:val="20"/>
          <w:szCs w:val="20"/>
        </w:rPr>
        <w:t xml:space="preserve"> </w:t>
      </w:r>
      <w:proofErr w:type="spellStart"/>
      <w:r w:rsidR="009A383C" w:rsidRPr="00294B8B">
        <w:rPr>
          <w:rFonts w:cs="Verdana"/>
          <w:i/>
          <w:color w:val="333333"/>
          <w:sz w:val="20"/>
          <w:szCs w:val="20"/>
        </w:rPr>
        <w:t>Group</w:t>
      </w:r>
      <w:proofErr w:type="spellEnd"/>
      <w:r w:rsidR="009A383C" w:rsidRPr="00294B8B">
        <w:rPr>
          <w:rFonts w:cs="Verdana"/>
          <w:i/>
          <w:color w:val="333333"/>
          <w:sz w:val="20"/>
          <w:szCs w:val="20"/>
        </w:rPr>
        <w:t xml:space="preserve"> κορυφαία </w:t>
      </w:r>
      <w:r w:rsidR="009A383C">
        <w:rPr>
          <w:rFonts w:cs="Verdana"/>
          <w:i/>
          <w:color w:val="333333"/>
          <w:sz w:val="20"/>
          <w:szCs w:val="20"/>
        </w:rPr>
        <w:t>εταιρ</w:t>
      </w:r>
      <w:r w:rsidR="009A383C" w:rsidRPr="00294B8B">
        <w:rPr>
          <w:rFonts w:cs="Verdana"/>
          <w:i/>
          <w:color w:val="333333"/>
          <w:sz w:val="20"/>
          <w:szCs w:val="20"/>
        </w:rPr>
        <w:t xml:space="preserve">ία της επιβατηγού/οχηματαγωγού ναυτιλίας στην περιοχή της Ανατολικής Μεσογείου, </w:t>
      </w:r>
      <w:r w:rsidRPr="00294B8B">
        <w:rPr>
          <w:rFonts w:cs="Verdana"/>
          <w:i/>
          <w:color w:val="333333"/>
          <w:sz w:val="20"/>
          <w:szCs w:val="20"/>
        </w:rPr>
        <w:t xml:space="preserve">η Vivartia ηγέτιδα </w:t>
      </w:r>
      <w:r w:rsidR="00A02865">
        <w:rPr>
          <w:rFonts w:cs="Verdana"/>
          <w:i/>
          <w:color w:val="333333"/>
          <w:sz w:val="20"/>
          <w:szCs w:val="20"/>
        </w:rPr>
        <w:t>εταιρ</w:t>
      </w:r>
      <w:r w:rsidRPr="00294B8B">
        <w:rPr>
          <w:rFonts w:cs="Verdana"/>
          <w:i/>
          <w:color w:val="333333"/>
          <w:sz w:val="20"/>
          <w:szCs w:val="20"/>
        </w:rPr>
        <w:t>ία στον κλάδο γαλακτοκομικών, κατεψυγμένων τροφίμων και υπηρε</w:t>
      </w:r>
      <w:r w:rsidR="0016269C">
        <w:rPr>
          <w:rFonts w:cs="Verdana"/>
          <w:i/>
          <w:color w:val="333333"/>
          <w:sz w:val="20"/>
          <w:szCs w:val="20"/>
        </w:rPr>
        <w:t>σιών εστίασης και ψυχαγωγίας στην Ελλάδα</w:t>
      </w:r>
      <w:r w:rsidRPr="00294B8B">
        <w:rPr>
          <w:rFonts w:cs="Verdana"/>
          <w:i/>
          <w:color w:val="333333"/>
          <w:sz w:val="20"/>
          <w:szCs w:val="20"/>
        </w:rPr>
        <w:t xml:space="preserve">, ο Όμιλος </w:t>
      </w:r>
      <w:r w:rsidR="00C36F5D">
        <w:rPr>
          <w:rFonts w:cs="Verdana"/>
          <w:i/>
          <w:color w:val="333333"/>
          <w:sz w:val="20"/>
          <w:szCs w:val="20"/>
        </w:rPr>
        <w:t>ΥΓΕΙΑ</w:t>
      </w:r>
      <w:r w:rsidRPr="00294B8B">
        <w:rPr>
          <w:rFonts w:cs="Verdana"/>
          <w:i/>
          <w:color w:val="333333"/>
          <w:sz w:val="20"/>
          <w:szCs w:val="20"/>
        </w:rPr>
        <w:t xml:space="preserve"> κορυφαίος όμιλος ιδιωτικών νοσοκομείων και μαιευτικών κλινικών στη</w:t>
      </w:r>
      <w:r w:rsidR="00442CA4">
        <w:rPr>
          <w:rFonts w:cs="Verdana"/>
          <w:i/>
          <w:color w:val="333333"/>
          <w:sz w:val="20"/>
          <w:szCs w:val="20"/>
        </w:rPr>
        <w:t>ν</w:t>
      </w:r>
      <w:r w:rsidRPr="00294B8B">
        <w:rPr>
          <w:rFonts w:cs="Verdana"/>
          <w:i/>
          <w:color w:val="333333"/>
          <w:sz w:val="20"/>
          <w:szCs w:val="20"/>
        </w:rPr>
        <w:t xml:space="preserve"> </w:t>
      </w:r>
      <w:r w:rsidR="00442CA4">
        <w:rPr>
          <w:rFonts w:cs="Verdana"/>
          <w:i/>
          <w:color w:val="333333"/>
          <w:sz w:val="20"/>
          <w:szCs w:val="20"/>
        </w:rPr>
        <w:t>Ελλάδα</w:t>
      </w:r>
      <w:r w:rsidR="00454E53">
        <w:rPr>
          <w:rFonts w:cs="Verdana"/>
          <w:i/>
          <w:color w:val="333333"/>
          <w:sz w:val="20"/>
          <w:szCs w:val="20"/>
        </w:rPr>
        <w:t>, η Singular</w:t>
      </w:r>
      <w:r w:rsidRPr="00294B8B">
        <w:rPr>
          <w:rFonts w:cs="Verdana"/>
          <w:i/>
          <w:color w:val="333333"/>
          <w:sz w:val="20"/>
          <w:szCs w:val="20"/>
        </w:rPr>
        <w:t xml:space="preserve">Logic η μεγαλύτερη </w:t>
      </w:r>
      <w:r w:rsidR="00A02865">
        <w:rPr>
          <w:rFonts w:cs="Verdana"/>
          <w:i/>
          <w:color w:val="333333"/>
          <w:sz w:val="20"/>
          <w:szCs w:val="20"/>
        </w:rPr>
        <w:t>εταιρ</w:t>
      </w:r>
      <w:r w:rsidRPr="00294B8B">
        <w:rPr>
          <w:rFonts w:cs="Verdana"/>
          <w:i/>
          <w:color w:val="333333"/>
          <w:sz w:val="20"/>
          <w:szCs w:val="20"/>
        </w:rPr>
        <w:t xml:space="preserve">ία στην αγορά ολοκληρωμένων λύσεων πληροφορικής στην Ελλάδα, η Sunce (Bluesun) ένας από τους μεγαλύτερους ομίλους </w:t>
      </w:r>
      <w:r w:rsidR="00862D2A" w:rsidRPr="00294B8B">
        <w:rPr>
          <w:rFonts w:cs="Verdana"/>
          <w:i/>
          <w:color w:val="333333"/>
          <w:sz w:val="20"/>
          <w:szCs w:val="20"/>
        </w:rPr>
        <w:t xml:space="preserve">στον κλάδο </w:t>
      </w:r>
      <w:r w:rsidRPr="00294B8B">
        <w:rPr>
          <w:rFonts w:cs="Verdana"/>
          <w:i/>
          <w:color w:val="333333"/>
          <w:sz w:val="20"/>
          <w:szCs w:val="20"/>
        </w:rPr>
        <w:t>τουρ</w:t>
      </w:r>
      <w:r w:rsidR="005C1A15">
        <w:rPr>
          <w:rFonts w:cs="Verdana"/>
          <w:i/>
          <w:color w:val="333333"/>
          <w:sz w:val="20"/>
          <w:szCs w:val="20"/>
        </w:rPr>
        <w:t xml:space="preserve">ισμού και αναψυχής στην Κροατία, το </w:t>
      </w:r>
      <w:r w:rsidR="005C1A15">
        <w:rPr>
          <w:rFonts w:cs="Verdana"/>
          <w:i/>
          <w:color w:val="333333"/>
          <w:sz w:val="20"/>
          <w:szCs w:val="20"/>
          <w:lang w:val="en-GB"/>
        </w:rPr>
        <w:t>Hilton</w:t>
      </w:r>
      <w:r w:rsidR="005C1A15" w:rsidRPr="005C1A15">
        <w:rPr>
          <w:rFonts w:cs="Verdana"/>
          <w:i/>
          <w:color w:val="333333"/>
          <w:sz w:val="20"/>
          <w:szCs w:val="20"/>
        </w:rPr>
        <w:t xml:space="preserve"> </w:t>
      </w:r>
      <w:r w:rsidR="005C1A15">
        <w:rPr>
          <w:rFonts w:cs="Verdana"/>
          <w:i/>
          <w:color w:val="333333"/>
          <w:sz w:val="20"/>
          <w:szCs w:val="20"/>
          <w:lang w:val="en-US"/>
        </w:rPr>
        <w:t>Cyprus</w:t>
      </w:r>
      <w:r w:rsidR="005C1A15">
        <w:rPr>
          <w:rFonts w:cs="Verdana"/>
          <w:i/>
          <w:color w:val="333333"/>
          <w:sz w:val="20"/>
          <w:szCs w:val="20"/>
        </w:rPr>
        <w:t>,</w:t>
      </w:r>
      <w:r w:rsidR="005C1A15" w:rsidRPr="005C1A15">
        <w:rPr>
          <w:rFonts w:cs="Verdana"/>
          <w:i/>
          <w:color w:val="333333"/>
          <w:sz w:val="20"/>
          <w:szCs w:val="20"/>
        </w:rPr>
        <w:t xml:space="preserve"> </w:t>
      </w:r>
      <w:r w:rsidR="005C1A15">
        <w:rPr>
          <w:rFonts w:cs="Verdana"/>
          <w:i/>
          <w:color w:val="333333"/>
          <w:sz w:val="20"/>
          <w:szCs w:val="20"/>
        </w:rPr>
        <w:t xml:space="preserve">το μοναδικό ξενοδοχείο 5 αστέρων στην πρωτεύουσα Λευκωσία </w:t>
      </w:r>
      <w:r w:rsidRPr="00294B8B">
        <w:rPr>
          <w:rFonts w:cs="Verdana"/>
          <w:i/>
          <w:color w:val="333333"/>
          <w:sz w:val="20"/>
          <w:szCs w:val="20"/>
        </w:rPr>
        <w:t xml:space="preserve">και η </w:t>
      </w:r>
      <w:proofErr w:type="spellStart"/>
      <w:r w:rsidRPr="00294B8B">
        <w:rPr>
          <w:rFonts w:cs="Verdana"/>
          <w:i/>
          <w:color w:val="333333"/>
          <w:sz w:val="20"/>
          <w:szCs w:val="20"/>
        </w:rPr>
        <w:t>Robne</w:t>
      </w:r>
      <w:proofErr w:type="spellEnd"/>
      <w:r w:rsidRPr="00294B8B">
        <w:rPr>
          <w:rFonts w:cs="Verdana"/>
          <w:i/>
          <w:color w:val="333333"/>
          <w:sz w:val="20"/>
          <w:szCs w:val="20"/>
        </w:rPr>
        <w:t xml:space="preserve"> </w:t>
      </w:r>
      <w:proofErr w:type="spellStart"/>
      <w:r w:rsidRPr="00294B8B">
        <w:rPr>
          <w:rFonts w:cs="Verdana"/>
          <w:i/>
          <w:color w:val="333333"/>
          <w:sz w:val="20"/>
          <w:szCs w:val="20"/>
        </w:rPr>
        <w:t>Kuce</w:t>
      </w:r>
      <w:proofErr w:type="spellEnd"/>
      <w:r w:rsidRPr="00294B8B">
        <w:rPr>
          <w:rFonts w:cs="Verdana"/>
          <w:i/>
          <w:color w:val="333333"/>
          <w:sz w:val="20"/>
          <w:szCs w:val="20"/>
        </w:rPr>
        <w:t xml:space="preserve"> </w:t>
      </w:r>
      <w:proofErr w:type="spellStart"/>
      <w:r w:rsidRPr="00294B8B">
        <w:rPr>
          <w:rFonts w:cs="Verdana"/>
          <w:i/>
          <w:color w:val="333333"/>
          <w:sz w:val="20"/>
          <w:szCs w:val="20"/>
        </w:rPr>
        <w:t>Beograd</w:t>
      </w:r>
      <w:proofErr w:type="spellEnd"/>
      <w:r w:rsidRPr="00294B8B">
        <w:rPr>
          <w:rFonts w:cs="Verdana"/>
          <w:i/>
          <w:color w:val="333333"/>
          <w:sz w:val="20"/>
          <w:szCs w:val="20"/>
        </w:rPr>
        <w:t xml:space="preserve"> (RKB) η μεγαλύτερη </w:t>
      </w:r>
      <w:r w:rsidR="00A02865">
        <w:rPr>
          <w:rFonts w:cs="Verdana"/>
          <w:i/>
          <w:color w:val="333333"/>
          <w:sz w:val="20"/>
          <w:szCs w:val="20"/>
        </w:rPr>
        <w:t>εταιρ</w:t>
      </w:r>
      <w:r w:rsidRPr="00294B8B">
        <w:rPr>
          <w:rFonts w:cs="Verdana"/>
          <w:i/>
          <w:color w:val="333333"/>
          <w:sz w:val="20"/>
          <w:szCs w:val="20"/>
        </w:rPr>
        <w:t>ία διαχείρισης εμπορικών ακινήτων στη Σερβία.</w:t>
      </w:r>
    </w:p>
    <w:sectPr w:rsidR="00373017" w:rsidRPr="00294B8B" w:rsidSect="00882706">
      <w:headerReference w:type="default" r:id="rId9"/>
      <w:footerReference w:type="default" r:id="rId10"/>
      <w:pgSz w:w="11906" w:h="16838"/>
      <w:pgMar w:top="1418" w:right="1797" w:bottom="1418"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357" w:rsidRDefault="00444357" w:rsidP="005469EE">
      <w:pPr>
        <w:spacing w:after="0" w:line="240" w:lineRule="auto"/>
      </w:pPr>
      <w:r>
        <w:separator/>
      </w:r>
    </w:p>
  </w:endnote>
  <w:endnote w:type="continuationSeparator" w:id="0">
    <w:p w:rsidR="00444357" w:rsidRDefault="00444357" w:rsidP="005469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A1"/>
    <w:family w:val="modern"/>
    <w:pitch w:val="fixed"/>
    <w:sig w:usb0="E10002FF" w:usb1="4000FCFF" w:usb2="00000009"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B8" w:rsidRPr="00064AF3" w:rsidRDefault="00D15D1D">
    <w:pPr>
      <w:pStyle w:val="a4"/>
      <w:jc w:val="right"/>
      <w:rPr>
        <w:sz w:val="18"/>
        <w:szCs w:val="18"/>
      </w:rPr>
    </w:pPr>
    <w:r w:rsidRPr="00064AF3">
      <w:rPr>
        <w:sz w:val="18"/>
        <w:szCs w:val="18"/>
      </w:rPr>
      <w:fldChar w:fldCharType="begin"/>
    </w:r>
    <w:r w:rsidR="005909B8" w:rsidRPr="00064AF3">
      <w:rPr>
        <w:sz w:val="18"/>
        <w:szCs w:val="18"/>
      </w:rPr>
      <w:instrText xml:space="preserve"> PAGE   \* MERGEFORMAT </w:instrText>
    </w:r>
    <w:r w:rsidRPr="00064AF3">
      <w:rPr>
        <w:sz w:val="18"/>
        <w:szCs w:val="18"/>
      </w:rPr>
      <w:fldChar w:fldCharType="separate"/>
    </w:r>
    <w:r w:rsidR="00EF2439">
      <w:rPr>
        <w:noProof/>
        <w:sz w:val="18"/>
        <w:szCs w:val="18"/>
      </w:rPr>
      <w:t>1</w:t>
    </w:r>
    <w:r w:rsidRPr="00064AF3">
      <w:rPr>
        <w:noProo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357" w:rsidRDefault="00444357" w:rsidP="005469EE">
      <w:pPr>
        <w:spacing w:after="0" w:line="240" w:lineRule="auto"/>
      </w:pPr>
      <w:r>
        <w:separator/>
      </w:r>
    </w:p>
  </w:footnote>
  <w:footnote w:type="continuationSeparator" w:id="0">
    <w:p w:rsidR="00444357" w:rsidRDefault="00444357" w:rsidP="005469EE">
      <w:pPr>
        <w:spacing w:after="0" w:line="240" w:lineRule="auto"/>
      </w:pPr>
      <w:r>
        <w:continuationSeparator/>
      </w:r>
    </w:p>
  </w:footnote>
  <w:footnote w:id="1">
    <w:p w:rsidR="005909B8" w:rsidRPr="00847E1C" w:rsidRDefault="005909B8" w:rsidP="00847E1C">
      <w:pPr>
        <w:pStyle w:val="a7"/>
        <w:jc w:val="both"/>
        <w:rPr>
          <w:i/>
          <w:sz w:val="19"/>
          <w:szCs w:val="19"/>
        </w:rPr>
      </w:pPr>
      <w:r w:rsidRPr="00847E1C">
        <w:rPr>
          <w:rStyle w:val="a8"/>
          <w:sz w:val="19"/>
          <w:szCs w:val="19"/>
        </w:rPr>
        <w:footnoteRef/>
      </w:r>
      <w:r w:rsidRPr="00847E1C">
        <w:rPr>
          <w:sz w:val="19"/>
          <w:szCs w:val="19"/>
        </w:rPr>
        <w:t xml:space="preserve"> </w:t>
      </w:r>
      <w:r w:rsidRPr="000841DF">
        <w:rPr>
          <w:i/>
          <w:sz w:val="19"/>
          <w:szCs w:val="19"/>
        </w:rPr>
        <w:t xml:space="preserve">Τα ενοποιημένα λειτουργικά κέρδη προ φόρων, τόκων και αποσβέσεων (EBITDA) στο σύνολο των θυγατρικών ορίζονται ως τα ενοποιημένα κέρδη EBITDA εξαιρουμένων των εταιρειών </w:t>
      </w:r>
      <w:proofErr w:type="spellStart"/>
      <w:r w:rsidRPr="000841DF">
        <w:rPr>
          <w:i/>
          <w:sz w:val="19"/>
          <w:szCs w:val="19"/>
        </w:rPr>
        <w:t>holding</w:t>
      </w:r>
      <w:proofErr w:type="spellEnd"/>
      <w:r w:rsidRPr="000841DF">
        <w:rPr>
          <w:i/>
          <w:sz w:val="19"/>
          <w:szCs w:val="19"/>
        </w:rPr>
        <w:t xml:space="preserve"> και των μη-επ</w:t>
      </w:r>
      <w:r w:rsidR="00F42ECC">
        <w:rPr>
          <w:i/>
          <w:sz w:val="19"/>
          <w:szCs w:val="19"/>
        </w:rPr>
        <w:t>αναλαμβανόμενων δραστηριοτήτων</w:t>
      </w:r>
      <w:r w:rsidR="00E5016D">
        <w:rPr>
          <w:i/>
          <w:sz w:val="19"/>
          <w:szCs w:val="19"/>
        </w:rPr>
        <w:t xml:space="preserve"> </w:t>
      </w:r>
      <w:r w:rsidR="00E5016D" w:rsidRPr="00E5016D">
        <w:rPr>
          <w:i/>
          <w:sz w:val="19"/>
          <w:szCs w:val="19"/>
        </w:rPr>
        <w:t>(δεν περιλαμβάνεται η έκτακτη απομείωση €13,6εκ στα υπόλοιπα απαιτήσ</w:t>
      </w:r>
      <w:r w:rsidR="00E5016D">
        <w:rPr>
          <w:i/>
          <w:sz w:val="19"/>
          <w:szCs w:val="19"/>
        </w:rPr>
        <w:t xml:space="preserve">εων από τον όμιλο </w:t>
      </w:r>
      <w:r w:rsidR="002C3716" w:rsidRPr="002C3716">
        <w:rPr>
          <w:i/>
          <w:sz w:val="19"/>
          <w:szCs w:val="19"/>
        </w:rPr>
        <w:t>ΜΑΡΙΝΟΠΟΥΛΟΣ</w:t>
      </w:r>
      <w:r w:rsidR="00E5016D">
        <w:rPr>
          <w:i/>
          <w:sz w:val="19"/>
          <w:szCs w:val="19"/>
        </w:rPr>
        <w:t>)</w:t>
      </w:r>
      <w:r w:rsidR="00F42ECC">
        <w:rPr>
          <w:i/>
          <w:sz w:val="19"/>
          <w:szCs w:val="19"/>
        </w:rPr>
        <w:t>.</w:t>
      </w:r>
    </w:p>
  </w:footnote>
  <w:footnote w:id="2">
    <w:p w:rsidR="005909B8" w:rsidRPr="00E96A16" w:rsidRDefault="005909B8" w:rsidP="005F37FF">
      <w:pPr>
        <w:pStyle w:val="a7"/>
        <w:jc w:val="both"/>
        <w:rPr>
          <w:rStyle w:val="a8"/>
          <w:i/>
          <w:sz w:val="19"/>
          <w:szCs w:val="19"/>
          <w:vertAlign w:val="baseline"/>
        </w:rPr>
      </w:pPr>
      <w:r w:rsidRPr="00312A2D">
        <w:rPr>
          <w:rStyle w:val="a8"/>
          <w:i/>
          <w:sz w:val="19"/>
          <w:szCs w:val="19"/>
        </w:rPr>
        <w:footnoteRef/>
      </w:r>
      <w:r w:rsidRPr="00312A2D">
        <w:rPr>
          <w:rStyle w:val="a8"/>
          <w:i/>
          <w:sz w:val="19"/>
          <w:szCs w:val="19"/>
        </w:rPr>
        <w:t xml:space="preserve"> </w:t>
      </w:r>
      <w:r w:rsidRPr="00312A2D">
        <w:rPr>
          <w:i/>
          <w:sz w:val="19"/>
          <w:szCs w:val="19"/>
        </w:rPr>
        <w:t xml:space="preserve">Τα ενοποιημένα λειτουργικά κέρδη προ φόρων, τόκων και αποσβέσεων (EBITDA) στο σύνολο των θυγατρικών ορίζονται ως τα ενοποιημένα κέρδη EBITDA εξαιρουμένων των εταιρειών </w:t>
      </w:r>
      <w:proofErr w:type="spellStart"/>
      <w:r w:rsidRPr="00312A2D">
        <w:rPr>
          <w:i/>
          <w:sz w:val="19"/>
          <w:szCs w:val="19"/>
        </w:rPr>
        <w:t>holding</w:t>
      </w:r>
      <w:proofErr w:type="spellEnd"/>
      <w:r w:rsidRPr="00312A2D">
        <w:rPr>
          <w:i/>
          <w:sz w:val="19"/>
          <w:szCs w:val="19"/>
        </w:rPr>
        <w:t xml:space="preserve"> και των μη-επανα</w:t>
      </w:r>
      <w:r w:rsidR="002275D6">
        <w:rPr>
          <w:i/>
          <w:sz w:val="19"/>
          <w:szCs w:val="19"/>
        </w:rPr>
        <w:t>λαμβανόμενων δραστηριοτήτων</w:t>
      </w:r>
      <w:r w:rsidR="00A525BF">
        <w:rPr>
          <w:i/>
          <w:sz w:val="19"/>
          <w:szCs w:val="19"/>
        </w:rPr>
        <w:t xml:space="preserve"> (</w:t>
      </w:r>
      <w:r w:rsidR="00B15439">
        <w:rPr>
          <w:i/>
          <w:sz w:val="19"/>
          <w:szCs w:val="19"/>
        </w:rPr>
        <w:t xml:space="preserve">δεν περιλαμβάνεται η </w:t>
      </w:r>
      <w:r w:rsidR="00A525BF" w:rsidRPr="00A525BF">
        <w:rPr>
          <w:i/>
          <w:sz w:val="19"/>
          <w:szCs w:val="19"/>
        </w:rPr>
        <w:t xml:space="preserve">έκτακτη </w:t>
      </w:r>
      <w:r w:rsidR="00A525BF">
        <w:rPr>
          <w:i/>
          <w:sz w:val="19"/>
          <w:szCs w:val="19"/>
        </w:rPr>
        <w:t>απομείωση €13,6εκ</w:t>
      </w:r>
      <w:r w:rsidR="00A525BF" w:rsidRPr="00A525BF">
        <w:rPr>
          <w:i/>
          <w:sz w:val="19"/>
          <w:szCs w:val="19"/>
        </w:rPr>
        <w:t xml:space="preserve"> στα υπόλοιπα απαιτήσεων</w:t>
      </w:r>
      <w:r w:rsidR="00A525BF">
        <w:rPr>
          <w:i/>
          <w:sz w:val="19"/>
          <w:szCs w:val="19"/>
        </w:rPr>
        <w:t xml:space="preserve"> από τον όμιλο </w:t>
      </w:r>
      <w:r w:rsidR="002C3716" w:rsidRPr="002C3716">
        <w:rPr>
          <w:i/>
          <w:sz w:val="19"/>
          <w:szCs w:val="19"/>
        </w:rPr>
        <w:t>ΜΑΡΙΝΟΠΟΥΛΟΣ</w:t>
      </w:r>
      <w:r w:rsidR="00A525BF">
        <w:rPr>
          <w:i/>
          <w:sz w:val="19"/>
          <w:szCs w:val="19"/>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B8" w:rsidRDefault="005909B8" w:rsidP="005469EE">
    <w:pPr>
      <w:pStyle w:val="a3"/>
      <w:jc w:val="center"/>
      <w:rPr>
        <w:lang w:val="en-GB"/>
      </w:rPr>
    </w:pPr>
    <w:r>
      <w:rPr>
        <w:noProof/>
        <w:lang w:eastAsia="el-GR"/>
      </w:rPr>
      <w:drawing>
        <wp:inline distT="0" distB="0" distL="0" distR="0">
          <wp:extent cx="2289810" cy="40576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9810" cy="405765"/>
                  </a:xfrm>
                  <a:prstGeom prst="rect">
                    <a:avLst/>
                  </a:prstGeom>
                  <a:noFill/>
                  <a:ln>
                    <a:noFill/>
                  </a:ln>
                </pic:spPr>
              </pic:pic>
            </a:graphicData>
          </a:graphic>
        </wp:inline>
      </w:drawing>
    </w:r>
  </w:p>
  <w:p w:rsidR="005909B8" w:rsidRPr="0019608D" w:rsidRDefault="005909B8" w:rsidP="005469EE">
    <w:pPr>
      <w:pStyle w:val="a3"/>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F5098"/>
    <w:multiLevelType w:val="hybridMultilevel"/>
    <w:tmpl w:val="488A272E"/>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3411DFD"/>
    <w:multiLevelType w:val="hybridMultilevel"/>
    <w:tmpl w:val="494EADF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F1106AC"/>
    <w:multiLevelType w:val="hybridMultilevel"/>
    <w:tmpl w:val="2DFA24D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105474"/>
  </w:hdrShapeDefaults>
  <w:footnotePr>
    <w:footnote w:id="-1"/>
    <w:footnote w:id="0"/>
  </w:footnotePr>
  <w:endnotePr>
    <w:endnote w:id="-1"/>
    <w:endnote w:id="0"/>
  </w:endnotePr>
  <w:compat/>
  <w:rsids>
    <w:rsidRoot w:val="00C155BB"/>
    <w:rsid w:val="00000A30"/>
    <w:rsid w:val="00001B1F"/>
    <w:rsid w:val="00001C73"/>
    <w:rsid w:val="000026D6"/>
    <w:rsid w:val="00004278"/>
    <w:rsid w:val="0000445F"/>
    <w:rsid w:val="0000450D"/>
    <w:rsid w:val="0000518B"/>
    <w:rsid w:val="00005DAD"/>
    <w:rsid w:val="0001036F"/>
    <w:rsid w:val="00011AC8"/>
    <w:rsid w:val="00011ED9"/>
    <w:rsid w:val="0001373A"/>
    <w:rsid w:val="00014191"/>
    <w:rsid w:val="00015031"/>
    <w:rsid w:val="000150DD"/>
    <w:rsid w:val="00015242"/>
    <w:rsid w:val="00017C98"/>
    <w:rsid w:val="00021E04"/>
    <w:rsid w:val="00022F8D"/>
    <w:rsid w:val="00023A5D"/>
    <w:rsid w:val="00025871"/>
    <w:rsid w:val="000261EE"/>
    <w:rsid w:val="00026EF8"/>
    <w:rsid w:val="00027637"/>
    <w:rsid w:val="00027E8F"/>
    <w:rsid w:val="00032933"/>
    <w:rsid w:val="0003497B"/>
    <w:rsid w:val="00034F86"/>
    <w:rsid w:val="000374DC"/>
    <w:rsid w:val="00037E99"/>
    <w:rsid w:val="00041C56"/>
    <w:rsid w:val="00041FBE"/>
    <w:rsid w:val="0004205B"/>
    <w:rsid w:val="0004365C"/>
    <w:rsid w:val="00044799"/>
    <w:rsid w:val="00044A41"/>
    <w:rsid w:val="0004517D"/>
    <w:rsid w:val="00045212"/>
    <w:rsid w:val="0004542C"/>
    <w:rsid w:val="000461B1"/>
    <w:rsid w:val="000477A9"/>
    <w:rsid w:val="000478EB"/>
    <w:rsid w:val="00047F24"/>
    <w:rsid w:val="00052231"/>
    <w:rsid w:val="00053CD4"/>
    <w:rsid w:val="000546A3"/>
    <w:rsid w:val="000551FA"/>
    <w:rsid w:val="00055D84"/>
    <w:rsid w:val="00055D99"/>
    <w:rsid w:val="00057335"/>
    <w:rsid w:val="000577A5"/>
    <w:rsid w:val="0006083A"/>
    <w:rsid w:val="00060FA7"/>
    <w:rsid w:val="00064463"/>
    <w:rsid w:val="00064629"/>
    <w:rsid w:val="00064AF3"/>
    <w:rsid w:val="000659E0"/>
    <w:rsid w:val="00066201"/>
    <w:rsid w:val="000710D5"/>
    <w:rsid w:val="00071B9A"/>
    <w:rsid w:val="0007353D"/>
    <w:rsid w:val="00073EC1"/>
    <w:rsid w:val="00074A1F"/>
    <w:rsid w:val="00080ACC"/>
    <w:rsid w:val="000819D0"/>
    <w:rsid w:val="00083C0F"/>
    <w:rsid w:val="000841DF"/>
    <w:rsid w:val="0008470C"/>
    <w:rsid w:val="000857A5"/>
    <w:rsid w:val="00091BBE"/>
    <w:rsid w:val="0009311F"/>
    <w:rsid w:val="00093B8D"/>
    <w:rsid w:val="000942F0"/>
    <w:rsid w:val="0009481F"/>
    <w:rsid w:val="000959AC"/>
    <w:rsid w:val="000963DD"/>
    <w:rsid w:val="0009703F"/>
    <w:rsid w:val="000A2EFD"/>
    <w:rsid w:val="000A3D21"/>
    <w:rsid w:val="000A5073"/>
    <w:rsid w:val="000A7356"/>
    <w:rsid w:val="000B0A73"/>
    <w:rsid w:val="000B0F0D"/>
    <w:rsid w:val="000B1375"/>
    <w:rsid w:val="000B13C7"/>
    <w:rsid w:val="000B15DE"/>
    <w:rsid w:val="000B4BE4"/>
    <w:rsid w:val="000B5D23"/>
    <w:rsid w:val="000B6596"/>
    <w:rsid w:val="000B691D"/>
    <w:rsid w:val="000B777B"/>
    <w:rsid w:val="000C06E1"/>
    <w:rsid w:val="000C0971"/>
    <w:rsid w:val="000C3639"/>
    <w:rsid w:val="000C7F26"/>
    <w:rsid w:val="000D153C"/>
    <w:rsid w:val="000D1AA7"/>
    <w:rsid w:val="000D21CB"/>
    <w:rsid w:val="000D22A5"/>
    <w:rsid w:val="000D582A"/>
    <w:rsid w:val="000D5A9D"/>
    <w:rsid w:val="000D5D87"/>
    <w:rsid w:val="000D79AF"/>
    <w:rsid w:val="000D7F27"/>
    <w:rsid w:val="000E1648"/>
    <w:rsid w:val="000E1718"/>
    <w:rsid w:val="000E185A"/>
    <w:rsid w:val="000E230F"/>
    <w:rsid w:val="000E3484"/>
    <w:rsid w:val="000E70E8"/>
    <w:rsid w:val="000F00A9"/>
    <w:rsid w:val="000F111D"/>
    <w:rsid w:val="000F117F"/>
    <w:rsid w:val="000F243A"/>
    <w:rsid w:val="000F3719"/>
    <w:rsid w:val="000F5809"/>
    <w:rsid w:val="000F5A65"/>
    <w:rsid w:val="000F5DAF"/>
    <w:rsid w:val="000F790E"/>
    <w:rsid w:val="00100F2C"/>
    <w:rsid w:val="00101CF0"/>
    <w:rsid w:val="001022F0"/>
    <w:rsid w:val="00103D29"/>
    <w:rsid w:val="00107647"/>
    <w:rsid w:val="00107950"/>
    <w:rsid w:val="00110D9B"/>
    <w:rsid w:val="00111254"/>
    <w:rsid w:val="001128C3"/>
    <w:rsid w:val="0011334D"/>
    <w:rsid w:val="00114AC6"/>
    <w:rsid w:val="00114BC9"/>
    <w:rsid w:val="00115461"/>
    <w:rsid w:val="00116695"/>
    <w:rsid w:val="00117538"/>
    <w:rsid w:val="001204F6"/>
    <w:rsid w:val="00121676"/>
    <w:rsid w:val="00122A05"/>
    <w:rsid w:val="00123986"/>
    <w:rsid w:val="00123B1A"/>
    <w:rsid w:val="00125420"/>
    <w:rsid w:val="001277AE"/>
    <w:rsid w:val="00130521"/>
    <w:rsid w:val="001308F2"/>
    <w:rsid w:val="00131FAC"/>
    <w:rsid w:val="00132DEB"/>
    <w:rsid w:val="00133BCE"/>
    <w:rsid w:val="00135831"/>
    <w:rsid w:val="001358F8"/>
    <w:rsid w:val="00136893"/>
    <w:rsid w:val="00137041"/>
    <w:rsid w:val="001407F2"/>
    <w:rsid w:val="001409B9"/>
    <w:rsid w:val="00141B4C"/>
    <w:rsid w:val="00143C8B"/>
    <w:rsid w:val="00146785"/>
    <w:rsid w:val="0015097D"/>
    <w:rsid w:val="00151D2C"/>
    <w:rsid w:val="00152089"/>
    <w:rsid w:val="0015399A"/>
    <w:rsid w:val="00157804"/>
    <w:rsid w:val="001603D1"/>
    <w:rsid w:val="00162233"/>
    <w:rsid w:val="0016269C"/>
    <w:rsid w:val="00162B50"/>
    <w:rsid w:val="001675E3"/>
    <w:rsid w:val="00170235"/>
    <w:rsid w:val="00171C39"/>
    <w:rsid w:val="00172AD4"/>
    <w:rsid w:val="00173EF7"/>
    <w:rsid w:val="0018009A"/>
    <w:rsid w:val="001800E5"/>
    <w:rsid w:val="001814A7"/>
    <w:rsid w:val="0018375F"/>
    <w:rsid w:val="00183DD8"/>
    <w:rsid w:val="00183EC5"/>
    <w:rsid w:val="001843F0"/>
    <w:rsid w:val="00186641"/>
    <w:rsid w:val="00190846"/>
    <w:rsid w:val="00192C69"/>
    <w:rsid w:val="0019413F"/>
    <w:rsid w:val="001947E4"/>
    <w:rsid w:val="00194E95"/>
    <w:rsid w:val="00195C99"/>
    <w:rsid w:val="00196036"/>
    <w:rsid w:val="0019608D"/>
    <w:rsid w:val="001A0CD9"/>
    <w:rsid w:val="001A0F5B"/>
    <w:rsid w:val="001A1FF9"/>
    <w:rsid w:val="001A21B2"/>
    <w:rsid w:val="001A2A56"/>
    <w:rsid w:val="001A5586"/>
    <w:rsid w:val="001A6473"/>
    <w:rsid w:val="001A7329"/>
    <w:rsid w:val="001A7F94"/>
    <w:rsid w:val="001B05B1"/>
    <w:rsid w:val="001B3D63"/>
    <w:rsid w:val="001B7501"/>
    <w:rsid w:val="001C0693"/>
    <w:rsid w:val="001C2553"/>
    <w:rsid w:val="001C612A"/>
    <w:rsid w:val="001C623B"/>
    <w:rsid w:val="001C64EA"/>
    <w:rsid w:val="001C6E07"/>
    <w:rsid w:val="001C734A"/>
    <w:rsid w:val="001C7922"/>
    <w:rsid w:val="001D1DB4"/>
    <w:rsid w:val="001D360A"/>
    <w:rsid w:val="001D43B5"/>
    <w:rsid w:val="001D4424"/>
    <w:rsid w:val="001D630F"/>
    <w:rsid w:val="001D68AE"/>
    <w:rsid w:val="001D6D1C"/>
    <w:rsid w:val="001E00EA"/>
    <w:rsid w:val="001E09F0"/>
    <w:rsid w:val="001E0B04"/>
    <w:rsid w:val="001E0CDA"/>
    <w:rsid w:val="001E22AE"/>
    <w:rsid w:val="001E2822"/>
    <w:rsid w:val="001E2B51"/>
    <w:rsid w:val="001E2E6A"/>
    <w:rsid w:val="001E32D9"/>
    <w:rsid w:val="001E6661"/>
    <w:rsid w:val="001F0D5D"/>
    <w:rsid w:val="001F1DF9"/>
    <w:rsid w:val="001F2352"/>
    <w:rsid w:val="001F2D2B"/>
    <w:rsid w:val="001F4FFD"/>
    <w:rsid w:val="001F606F"/>
    <w:rsid w:val="001F632A"/>
    <w:rsid w:val="001F69EB"/>
    <w:rsid w:val="001F7B80"/>
    <w:rsid w:val="0020066B"/>
    <w:rsid w:val="00202D7C"/>
    <w:rsid w:val="002041D4"/>
    <w:rsid w:val="00205988"/>
    <w:rsid w:val="00206C79"/>
    <w:rsid w:val="00207D0E"/>
    <w:rsid w:val="00211188"/>
    <w:rsid w:val="00211436"/>
    <w:rsid w:val="00211E9B"/>
    <w:rsid w:val="0021336A"/>
    <w:rsid w:val="00213D96"/>
    <w:rsid w:val="00214F0B"/>
    <w:rsid w:val="00215777"/>
    <w:rsid w:val="00215963"/>
    <w:rsid w:val="00216C71"/>
    <w:rsid w:val="00216DD4"/>
    <w:rsid w:val="002170A7"/>
    <w:rsid w:val="00217301"/>
    <w:rsid w:val="0021790A"/>
    <w:rsid w:val="00220516"/>
    <w:rsid w:val="002213DA"/>
    <w:rsid w:val="002217EF"/>
    <w:rsid w:val="0022256C"/>
    <w:rsid w:val="002229BD"/>
    <w:rsid w:val="00224506"/>
    <w:rsid w:val="002266C4"/>
    <w:rsid w:val="00226952"/>
    <w:rsid w:val="002275D6"/>
    <w:rsid w:val="00230A94"/>
    <w:rsid w:val="00231088"/>
    <w:rsid w:val="00231626"/>
    <w:rsid w:val="00232DB9"/>
    <w:rsid w:val="002336D2"/>
    <w:rsid w:val="00234D72"/>
    <w:rsid w:val="00236248"/>
    <w:rsid w:val="00237060"/>
    <w:rsid w:val="00240015"/>
    <w:rsid w:val="00243419"/>
    <w:rsid w:val="002454FE"/>
    <w:rsid w:val="00245F10"/>
    <w:rsid w:val="00246099"/>
    <w:rsid w:val="00246E2B"/>
    <w:rsid w:val="00247C86"/>
    <w:rsid w:val="0025385A"/>
    <w:rsid w:val="002564D7"/>
    <w:rsid w:val="00256722"/>
    <w:rsid w:val="0025673C"/>
    <w:rsid w:val="00257A89"/>
    <w:rsid w:val="002600DB"/>
    <w:rsid w:val="002605DB"/>
    <w:rsid w:val="002606D5"/>
    <w:rsid w:val="00261DA3"/>
    <w:rsid w:val="002700FD"/>
    <w:rsid w:val="00270327"/>
    <w:rsid w:val="00271B08"/>
    <w:rsid w:val="00272D5D"/>
    <w:rsid w:val="002746C4"/>
    <w:rsid w:val="00274E11"/>
    <w:rsid w:val="002758DD"/>
    <w:rsid w:val="00282F59"/>
    <w:rsid w:val="0028340B"/>
    <w:rsid w:val="002840C6"/>
    <w:rsid w:val="002852AA"/>
    <w:rsid w:val="0028580D"/>
    <w:rsid w:val="002858D0"/>
    <w:rsid w:val="002861D8"/>
    <w:rsid w:val="0028731D"/>
    <w:rsid w:val="002876A8"/>
    <w:rsid w:val="00294B8B"/>
    <w:rsid w:val="00295CD1"/>
    <w:rsid w:val="00297B39"/>
    <w:rsid w:val="002A0466"/>
    <w:rsid w:val="002A1E81"/>
    <w:rsid w:val="002A1FBB"/>
    <w:rsid w:val="002A5AB8"/>
    <w:rsid w:val="002A5C69"/>
    <w:rsid w:val="002B14F6"/>
    <w:rsid w:val="002B3E3A"/>
    <w:rsid w:val="002B54A6"/>
    <w:rsid w:val="002B74BA"/>
    <w:rsid w:val="002C3142"/>
    <w:rsid w:val="002C322B"/>
    <w:rsid w:val="002C3716"/>
    <w:rsid w:val="002C3F26"/>
    <w:rsid w:val="002C47F3"/>
    <w:rsid w:val="002C5F23"/>
    <w:rsid w:val="002C7B57"/>
    <w:rsid w:val="002C7DF2"/>
    <w:rsid w:val="002D1FF0"/>
    <w:rsid w:val="002D3729"/>
    <w:rsid w:val="002D4177"/>
    <w:rsid w:val="002D429D"/>
    <w:rsid w:val="002D50FC"/>
    <w:rsid w:val="002D775F"/>
    <w:rsid w:val="002D78BA"/>
    <w:rsid w:val="002E0859"/>
    <w:rsid w:val="002E1662"/>
    <w:rsid w:val="002E3942"/>
    <w:rsid w:val="002E3F6E"/>
    <w:rsid w:val="002E46D4"/>
    <w:rsid w:val="002F09DC"/>
    <w:rsid w:val="002F1463"/>
    <w:rsid w:val="002F3929"/>
    <w:rsid w:val="002F46EC"/>
    <w:rsid w:val="002F4C27"/>
    <w:rsid w:val="002F613C"/>
    <w:rsid w:val="00301C49"/>
    <w:rsid w:val="00302E8D"/>
    <w:rsid w:val="00304565"/>
    <w:rsid w:val="00306D74"/>
    <w:rsid w:val="003074B5"/>
    <w:rsid w:val="003113A3"/>
    <w:rsid w:val="00312A2D"/>
    <w:rsid w:val="00312E51"/>
    <w:rsid w:val="00317F34"/>
    <w:rsid w:val="0032006E"/>
    <w:rsid w:val="003219B8"/>
    <w:rsid w:val="003242E5"/>
    <w:rsid w:val="00326A4A"/>
    <w:rsid w:val="00327CAB"/>
    <w:rsid w:val="0033133D"/>
    <w:rsid w:val="003313C6"/>
    <w:rsid w:val="00331AC6"/>
    <w:rsid w:val="00332164"/>
    <w:rsid w:val="0033309A"/>
    <w:rsid w:val="003335BE"/>
    <w:rsid w:val="00334181"/>
    <w:rsid w:val="003349E9"/>
    <w:rsid w:val="0033569C"/>
    <w:rsid w:val="00335C3E"/>
    <w:rsid w:val="00336137"/>
    <w:rsid w:val="00337577"/>
    <w:rsid w:val="00337F27"/>
    <w:rsid w:val="00340D50"/>
    <w:rsid w:val="00340EDC"/>
    <w:rsid w:val="003415F9"/>
    <w:rsid w:val="0034187E"/>
    <w:rsid w:val="0034319B"/>
    <w:rsid w:val="0034430F"/>
    <w:rsid w:val="00346E44"/>
    <w:rsid w:val="00347CDD"/>
    <w:rsid w:val="00352BA7"/>
    <w:rsid w:val="00352D7C"/>
    <w:rsid w:val="00352DCF"/>
    <w:rsid w:val="00354CDD"/>
    <w:rsid w:val="003568BD"/>
    <w:rsid w:val="00357874"/>
    <w:rsid w:val="00357E86"/>
    <w:rsid w:val="00362B4C"/>
    <w:rsid w:val="00362FDA"/>
    <w:rsid w:val="00364DDE"/>
    <w:rsid w:val="003665F8"/>
    <w:rsid w:val="00370910"/>
    <w:rsid w:val="00370A9B"/>
    <w:rsid w:val="00372AA2"/>
    <w:rsid w:val="00373017"/>
    <w:rsid w:val="00373CE2"/>
    <w:rsid w:val="00383A24"/>
    <w:rsid w:val="003842F4"/>
    <w:rsid w:val="00387CE8"/>
    <w:rsid w:val="003917D4"/>
    <w:rsid w:val="00392366"/>
    <w:rsid w:val="00393219"/>
    <w:rsid w:val="003932A3"/>
    <w:rsid w:val="00393580"/>
    <w:rsid w:val="0039482B"/>
    <w:rsid w:val="00395724"/>
    <w:rsid w:val="00396719"/>
    <w:rsid w:val="003A0442"/>
    <w:rsid w:val="003A1B3A"/>
    <w:rsid w:val="003A3081"/>
    <w:rsid w:val="003A40B4"/>
    <w:rsid w:val="003A4733"/>
    <w:rsid w:val="003A506F"/>
    <w:rsid w:val="003A7F11"/>
    <w:rsid w:val="003A7FE9"/>
    <w:rsid w:val="003B0BB7"/>
    <w:rsid w:val="003B0FC8"/>
    <w:rsid w:val="003B137A"/>
    <w:rsid w:val="003B249E"/>
    <w:rsid w:val="003B2CDD"/>
    <w:rsid w:val="003B337C"/>
    <w:rsid w:val="003B42C9"/>
    <w:rsid w:val="003B5784"/>
    <w:rsid w:val="003B6C12"/>
    <w:rsid w:val="003C15B4"/>
    <w:rsid w:val="003C23D0"/>
    <w:rsid w:val="003C38A1"/>
    <w:rsid w:val="003C4D20"/>
    <w:rsid w:val="003C5779"/>
    <w:rsid w:val="003C6BC5"/>
    <w:rsid w:val="003D3287"/>
    <w:rsid w:val="003D3B0F"/>
    <w:rsid w:val="003D47B2"/>
    <w:rsid w:val="003D4F3F"/>
    <w:rsid w:val="003D5AD3"/>
    <w:rsid w:val="003D6B9F"/>
    <w:rsid w:val="003D7815"/>
    <w:rsid w:val="003E279C"/>
    <w:rsid w:val="003E295C"/>
    <w:rsid w:val="003E486F"/>
    <w:rsid w:val="003E677F"/>
    <w:rsid w:val="003E6CA2"/>
    <w:rsid w:val="003E7A71"/>
    <w:rsid w:val="003F0BBC"/>
    <w:rsid w:val="003F2BC5"/>
    <w:rsid w:val="003F2C75"/>
    <w:rsid w:val="003F2F08"/>
    <w:rsid w:val="003F66D1"/>
    <w:rsid w:val="003F6945"/>
    <w:rsid w:val="00401F68"/>
    <w:rsid w:val="004032EA"/>
    <w:rsid w:val="00403979"/>
    <w:rsid w:val="00405109"/>
    <w:rsid w:val="004066DB"/>
    <w:rsid w:val="00411443"/>
    <w:rsid w:val="00412634"/>
    <w:rsid w:val="004142BD"/>
    <w:rsid w:val="00414ECF"/>
    <w:rsid w:val="00416D4F"/>
    <w:rsid w:val="004173CC"/>
    <w:rsid w:val="0042099C"/>
    <w:rsid w:val="00422F52"/>
    <w:rsid w:val="0042420D"/>
    <w:rsid w:val="00425F33"/>
    <w:rsid w:val="004278AD"/>
    <w:rsid w:val="00427DF1"/>
    <w:rsid w:val="00432816"/>
    <w:rsid w:val="004329D0"/>
    <w:rsid w:val="004370BA"/>
    <w:rsid w:val="00440260"/>
    <w:rsid w:val="0044062B"/>
    <w:rsid w:val="00442CA4"/>
    <w:rsid w:val="004437AA"/>
    <w:rsid w:val="00444357"/>
    <w:rsid w:val="004451B5"/>
    <w:rsid w:val="004454A3"/>
    <w:rsid w:val="0044633A"/>
    <w:rsid w:val="004469A6"/>
    <w:rsid w:val="00450512"/>
    <w:rsid w:val="00450939"/>
    <w:rsid w:val="00451201"/>
    <w:rsid w:val="004534A9"/>
    <w:rsid w:val="00453DF6"/>
    <w:rsid w:val="00454E53"/>
    <w:rsid w:val="00457B78"/>
    <w:rsid w:val="00461626"/>
    <w:rsid w:val="004639E4"/>
    <w:rsid w:val="00463FBA"/>
    <w:rsid w:val="0046736C"/>
    <w:rsid w:val="0047393C"/>
    <w:rsid w:val="00474457"/>
    <w:rsid w:val="00475170"/>
    <w:rsid w:val="004753BA"/>
    <w:rsid w:val="00477415"/>
    <w:rsid w:val="00481F8F"/>
    <w:rsid w:val="004824D9"/>
    <w:rsid w:val="00482D5E"/>
    <w:rsid w:val="00483489"/>
    <w:rsid w:val="00484097"/>
    <w:rsid w:val="00486709"/>
    <w:rsid w:val="00486A1E"/>
    <w:rsid w:val="00486B58"/>
    <w:rsid w:val="004918D5"/>
    <w:rsid w:val="00491CB4"/>
    <w:rsid w:val="00493BFB"/>
    <w:rsid w:val="00493D0D"/>
    <w:rsid w:val="0049473A"/>
    <w:rsid w:val="00497FA6"/>
    <w:rsid w:val="004A0619"/>
    <w:rsid w:val="004A1468"/>
    <w:rsid w:val="004A19D9"/>
    <w:rsid w:val="004A246B"/>
    <w:rsid w:val="004A272C"/>
    <w:rsid w:val="004A3217"/>
    <w:rsid w:val="004A3A54"/>
    <w:rsid w:val="004A3B4C"/>
    <w:rsid w:val="004A3D2E"/>
    <w:rsid w:val="004A3E67"/>
    <w:rsid w:val="004A3F51"/>
    <w:rsid w:val="004A47C9"/>
    <w:rsid w:val="004A587D"/>
    <w:rsid w:val="004A6CCE"/>
    <w:rsid w:val="004B2259"/>
    <w:rsid w:val="004B29D7"/>
    <w:rsid w:val="004B44E5"/>
    <w:rsid w:val="004B536B"/>
    <w:rsid w:val="004B6034"/>
    <w:rsid w:val="004B7546"/>
    <w:rsid w:val="004B7E0C"/>
    <w:rsid w:val="004C08A5"/>
    <w:rsid w:val="004C1629"/>
    <w:rsid w:val="004C1E24"/>
    <w:rsid w:val="004C592B"/>
    <w:rsid w:val="004D0284"/>
    <w:rsid w:val="004D08D0"/>
    <w:rsid w:val="004D1BDC"/>
    <w:rsid w:val="004D21A9"/>
    <w:rsid w:val="004D346D"/>
    <w:rsid w:val="004D482B"/>
    <w:rsid w:val="004D55CB"/>
    <w:rsid w:val="004E0072"/>
    <w:rsid w:val="004E2EFD"/>
    <w:rsid w:val="004E4AB6"/>
    <w:rsid w:val="004E6802"/>
    <w:rsid w:val="004E687C"/>
    <w:rsid w:val="004E6938"/>
    <w:rsid w:val="004F0A5E"/>
    <w:rsid w:val="004F0B43"/>
    <w:rsid w:val="004F2045"/>
    <w:rsid w:val="004F6D07"/>
    <w:rsid w:val="004F7146"/>
    <w:rsid w:val="004F77D2"/>
    <w:rsid w:val="00501FCE"/>
    <w:rsid w:val="0050245A"/>
    <w:rsid w:val="00502EC9"/>
    <w:rsid w:val="00512128"/>
    <w:rsid w:val="0051593D"/>
    <w:rsid w:val="00517E0A"/>
    <w:rsid w:val="005208F8"/>
    <w:rsid w:val="005209D5"/>
    <w:rsid w:val="00522596"/>
    <w:rsid w:val="00523333"/>
    <w:rsid w:val="0052427F"/>
    <w:rsid w:val="0052684F"/>
    <w:rsid w:val="005269DC"/>
    <w:rsid w:val="00531182"/>
    <w:rsid w:val="0053342C"/>
    <w:rsid w:val="00533FF7"/>
    <w:rsid w:val="005356EB"/>
    <w:rsid w:val="00537CB2"/>
    <w:rsid w:val="005410F9"/>
    <w:rsid w:val="00542DB9"/>
    <w:rsid w:val="00542DDA"/>
    <w:rsid w:val="0054416C"/>
    <w:rsid w:val="0054663F"/>
    <w:rsid w:val="0054669A"/>
    <w:rsid w:val="00546706"/>
    <w:rsid w:val="005469EE"/>
    <w:rsid w:val="00547401"/>
    <w:rsid w:val="00550357"/>
    <w:rsid w:val="0055177B"/>
    <w:rsid w:val="00553512"/>
    <w:rsid w:val="005543FB"/>
    <w:rsid w:val="00556A95"/>
    <w:rsid w:val="00557F38"/>
    <w:rsid w:val="0056131E"/>
    <w:rsid w:val="0056162B"/>
    <w:rsid w:val="00561ADE"/>
    <w:rsid w:val="00567F55"/>
    <w:rsid w:val="005709C6"/>
    <w:rsid w:val="00570A38"/>
    <w:rsid w:val="00571690"/>
    <w:rsid w:val="00573AF5"/>
    <w:rsid w:val="00574B5E"/>
    <w:rsid w:val="005768F0"/>
    <w:rsid w:val="00577A77"/>
    <w:rsid w:val="00582917"/>
    <w:rsid w:val="00584155"/>
    <w:rsid w:val="0058477A"/>
    <w:rsid w:val="005850E3"/>
    <w:rsid w:val="0058675C"/>
    <w:rsid w:val="00586B7A"/>
    <w:rsid w:val="005874BF"/>
    <w:rsid w:val="00590603"/>
    <w:rsid w:val="005909B8"/>
    <w:rsid w:val="00590CCE"/>
    <w:rsid w:val="00590E95"/>
    <w:rsid w:val="005911AE"/>
    <w:rsid w:val="00592BD7"/>
    <w:rsid w:val="00595BD4"/>
    <w:rsid w:val="00595D52"/>
    <w:rsid w:val="00596C7B"/>
    <w:rsid w:val="00597143"/>
    <w:rsid w:val="0059777C"/>
    <w:rsid w:val="005A004C"/>
    <w:rsid w:val="005A09E4"/>
    <w:rsid w:val="005A104C"/>
    <w:rsid w:val="005A3AAB"/>
    <w:rsid w:val="005A5F16"/>
    <w:rsid w:val="005A60BB"/>
    <w:rsid w:val="005B0C3C"/>
    <w:rsid w:val="005B12B4"/>
    <w:rsid w:val="005B1D4C"/>
    <w:rsid w:val="005B1EE3"/>
    <w:rsid w:val="005B33E8"/>
    <w:rsid w:val="005B5FB4"/>
    <w:rsid w:val="005C0275"/>
    <w:rsid w:val="005C1A15"/>
    <w:rsid w:val="005C244C"/>
    <w:rsid w:val="005C381F"/>
    <w:rsid w:val="005C577D"/>
    <w:rsid w:val="005C5C37"/>
    <w:rsid w:val="005D118C"/>
    <w:rsid w:val="005D5390"/>
    <w:rsid w:val="005D53F6"/>
    <w:rsid w:val="005D5DA4"/>
    <w:rsid w:val="005D6BBA"/>
    <w:rsid w:val="005E02E9"/>
    <w:rsid w:val="005E0C72"/>
    <w:rsid w:val="005E2710"/>
    <w:rsid w:val="005E3441"/>
    <w:rsid w:val="005E40E1"/>
    <w:rsid w:val="005E4AE6"/>
    <w:rsid w:val="005E5B00"/>
    <w:rsid w:val="005E670E"/>
    <w:rsid w:val="005E6DB8"/>
    <w:rsid w:val="005E709D"/>
    <w:rsid w:val="005E7B82"/>
    <w:rsid w:val="005F10F4"/>
    <w:rsid w:val="005F37FF"/>
    <w:rsid w:val="005F55C8"/>
    <w:rsid w:val="00600740"/>
    <w:rsid w:val="0060127A"/>
    <w:rsid w:val="00601453"/>
    <w:rsid w:val="0060158A"/>
    <w:rsid w:val="00601EB8"/>
    <w:rsid w:val="00603C81"/>
    <w:rsid w:val="006052EB"/>
    <w:rsid w:val="00606D8F"/>
    <w:rsid w:val="00610F97"/>
    <w:rsid w:val="006141FF"/>
    <w:rsid w:val="0061597D"/>
    <w:rsid w:val="00616A7E"/>
    <w:rsid w:val="006214A2"/>
    <w:rsid w:val="0062224B"/>
    <w:rsid w:val="00624154"/>
    <w:rsid w:val="00627F05"/>
    <w:rsid w:val="0063069F"/>
    <w:rsid w:val="00630F8C"/>
    <w:rsid w:val="00631764"/>
    <w:rsid w:val="00631F0C"/>
    <w:rsid w:val="00632045"/>
    <w:rsid w:val="006358D9"/>
    <w:rsid w:val="0063756F"/>
    <w:rsid w:val="0064090E"/>
    <w:rsid w:val="00640F05"/>
    <w:rsid w:val="00641DE4"/>
    <w:rsid w:val="0064267A"/>
    <w:rsid w:val="00644566"/>
    <w:rsid w:val="00644EA6"/>
    <w:rsid w:val="00645088"/>
    <w:rsid w:val="006470E5"/>
    <w:rsid w:val="00647ADB"/>
    <w:rsid w:val="006513F1"/>
    <w:rsid w:val="00652A3F"/>
    <w:rsid w:val="00653011"/>
    <w:rsid w:val="00654070"/>
    <w:rsid w:val="00654657"/>
    <w:rsid w:val="00654AB0"/>
    <w:rsid w:val="00654DE2"/>
    <w:rsid w:val="00656005"/>
    <w:rsid w:val="0066055B"/>
    <w:rsid w:val="00660940"/>
    <w:rsid w:val="006615BF"/>
    <w:rsid w:val="00662C19"/>
    <w:rsid w:val="00663274"/>
    <w:rsid w:val="00663C64"/>
    <w:rsid w:val="00663CF4"/>
    <w:rsid w:val="00671DA2"/>
    <w:rsid w:val="00672444"/>
    <w:rsid w:val="00673CEF"/>
    <w:rsid w:val="00675483"/>
    <w:rsid w:val="00677FD8"/>
    <w:rsid w:val="006809CA"/>
    <w:rsid w:val="0068109A"/>
    <w:rsid w:val="00682CAD"/>
    <w:rsid w:val="0068329F"/>
    <w:rsid w:val="0068334F"/>
    <w:rsid w:val="006833BF"/>
    <w:rsid w:val="006838BA"/>
    <w:rsid w:val="00683FFF"/>
    <w:rsid w:val="006852DF"/>
    <w:rsid w:val="00685907"/>
    <w:rsid w:val="00687A6C"/>
    <w:rsid w:val="00692A05"/>
    <w:rsid w:val="00694896"/>
    <w:rsid w:val="00695F60"/>
    <w:rsid w:val="00696029"/>
    <w:rsid w:val="00696717"/>
    <w:rsid w:val="006968A6"/>
    <w:rsid w:val="006A0045"/>
    <w:rsid w:val="006A1AD8"/>
    <w:rsid w:val="006A20A9"/>
    <w:rsid w:val="006A3987"/>
    <w:rsid w:val="006A7F01"/>
    <w:rsid w:val="006B2A2C"/>
    <w:rsid w:val="006B4C32"/>
    <w:rsid w:val="006B4C76"/>
    <w:rsid w:val="006B5EBF"/>
    <w:rsid w:val="006B7E35"/>
    <w:rsid w:val="006C0DAA"/>
    <w:rsid w:val="006C122A"/>
    <w:rsid w:val="006C2A14"/>
    <w:rsid w:val="006C3A60"/>
    <w:rsid w:val="006C4FC5"/>
    <w:rsid w:val="006C5567"/>
    <w:rsid w:val="006C60CF"/>
    <w:rsid w:val="006C7888"/>
    <w:rsid w:val="006C7BE9"/>
    <w:rsid w:val="006D13EB"/>
    <w:rsid w:val="006D1C3E"/>
    <w:rsid w:val="006D2207"/>
    <w:rsid w:val="006D295C"/>
    <w:rsid w:val="006D347A"/>
    <w:rsid w:val="006D38B8"/>
    <w:rsid w:val="006D6799"/>
    <w:rsid w:val="006D6B2D"/>
    <w:rsid w:val="006E0F0F"/>
    <w:rsid w:val="006E2AFB"/>
    <w:rsid w:val="006E386B"/>
    <w:rsid w:val="006E38A0"/>
    <w:rsid w:val="006E4A84"/>
    <w:rsid w:val="006E4CBA"/>
    <w:rsid w:val="006E5A38"/>
    <w:rsid w:val="006E7998"/>
    <w:rsid w:val="006F1403"/>
    <w:rsid w:val="006F19E6"/>
    <w:rsid w:val="006F3612"/>
    <w:rsid w:val="006F4B14"/>
    <w:rsid w:val="006F4F85"/>
    <w:rsid w:val="006F51C4"/>
    <w:rsid w:val="006F5E06"/>
    <w:rsid w:val="006F60A8"/>
    <w:rsid w:val="006F73D7"/>
    <w:rsid w:val="00700B69"/>
    <w:rsid w:val="00701E8A"/>
    <w:rsid w:val="0070209A"/>
    <w:rsid w:val="007031EE"/>
    <w:rsid w:val="0070379B"/>
    <w:rsid w:val="0070610E"/>
    <w:rsid w:val="007128EA"/>
    <w:rsid w:val="0071306F"/>
    <w:rsid w:val="00713150"/>
    <w:rsid w:val="00714F93"/>
    <w:rsid w:val="007159B5"/>
    <w:rsid w:val="00715A89"/>
    <w:rsid w:val="00717497"/>
    <w:rsid w:val="007176E2"/>
    <w:rsid w:val="00720480"/>
    <w:rsid w:val="0072514C"/>
    <w:rsid w:val="007258BB"/>
    <w:rsid w:val="00725D15"/>
    <w:rsid w:val="007264C6"/>
    <w:rsid w:val="00726763"/>
    <w:rsid w:val="0072781E"/>
    <w:rsid w:val="007302D4"/>
    <w:rsid w:val="007318C3"/>
    <w:rsid w:val="0073325A"/>
    <w:rsid w:val="007358D2"/>
    <w:rsid w:val="00735D90"/>
    <w:rsid w:val="00736DF2"/>
    <w:rsid w:val="007376EE"/>
    <w:rsid w:val="00737E25"/>
    <w:rsid w:val="007412E9"/>
    <w:rsid w:val="00741CC9"/>
    <w:rsid w:val="00743477"/>
    <w:rsid w:val="00743770"/>
    <w:rsid w:val="00743DCD"/>
    <w:rsid w:val="00743EC7"/>
    <w:rsid w:val="007511B9"/>
    <w:rsid w:val="00752D71"/>
    <w:rsid w:val="0075300A"/>
    <w:rsid w:val="00754BF4"/>
    <w:rsid w:val="007550E9"/>
    <w:rsid w:val="007566E9"/>
    <w:rsid w:val="00757269"/>
    <w:rsid w:val="00760724"/>
    <w:rsid w:val="00763345"/>
    <w:rsid w:val="00763E3D"/>
    <w:rsid w:val="0076435B"/>
    <w:rsid w:val="00764747"/>
    <w:rsid w:val="00764DC0"/>
    <w:rsid w:val="00767780"/>
    <w:rsid w:val="00767FF7"/>
    <w:rsid w:val="0077055E"/>
    <w:rsid w:val="007709A5"/>
    <w:rsid w:val="00773117"/>
    <w:rsid w:val="007732F2"/>
    <w:rsid w:val="00774572"/>
    <w:rsid w:val="00782242"/>
    <w:rsid w:val="0078358F"/>
    <w:rsid w:val="00784AE0"/>
    <w:rsid w:val="00784CE5"/>
    <w:rsid w:val="0078559F"/>
    <w:rsid w:val="00787CB3"/>
    <w:rsid w:val="00791126"/>
    <w:rsid w:val="00792CC9"/>
    <w:rsid w:val="00792EAC"/>
    <w:rsid w:val="007936B7"/>
    <w:rsid w:val="007A4101"/>
    <w:rsid w:val="007A5457"/>
    <w:rsid w:val="007A6882"/>
    <w:rsid w:val="007A7EDB"/>
    <w:rsid w:val="007B20BC"/>
    <w:rsid w:val="007B3379"/>
    <w:rsid w:val="007B4B1C"/>
    <w:rsid w:val="007B7646"/>
    <w:rsid w:val="007B76A9"/>
    <w:rsid w:val="007B78F5"/>
    <w:rsid w:val="007C12D5"/>
    <w:rsid w:val="007C1717"/>
    <w:rsid w:val="007C2714"/>
    <w:rsid w:val="007C4BC6"/>
    <w:rsid w:val="007C51FD"/>
    <w:rsid w:val="007C57E2"/>
    <w:rsid w:val="007C6DF5"/>
    <w:rsid w:val="007C7039"/>
    <w:rsid w:val="007C76DB"/>
    <w:rsid w:val="007D383C"/>
    <w:rsid w:val="007D414E"/>
    <w:rsid w:val="007D629E"/>
    <w:rsid w:val="007D697F"/>
    <w:rsid w:val="007D70C9"/>
    <w:rsid w:val="007E0A0F"/>
    <w:rsid w:val="007E34C2"/>
    <w:rsid w:val="007E3CB4"/>
    <w:rsid w:val="007E42AA"/>
    <w:rsid w:val="007E42DE"/>
    <w:rsid w:val="007E5C6C"/>
    <w:rsid w:val="007E608B"/>
    <w:rsid w:val="007E6317"/>
    <w:rsid w:val="007E6404"/>
    <w:rsid w:val="007F7446"/>
    <w:rsid w:val="007F75BA"/>
    <w:rsid w:val="008001F7"/>
    <w:rsid w:val="008002D6"/>
    <w:rsid w:val="0080258A"/>
    <w:rsid w:val="0080318E"/>
    <w:rsid w:val="0080607E"/>
    <w:rsid w:val="00806D3C"/>
    <w:rsid w:val="00810B50"/>
    <w:rsid w:val="00811336"/>
    <w:rsid w:val="0081139F"/>
    <w:rsid w:val="00811FDF"/>
    <w:rsid w:val="00817916"/>
    <w:rsid w:val="008201EA"/>
    <w:rsid w:val="00821645"/>
    <w:rsid w:val="00822A3A"/>
    <w:rsid w:val="00825962"/>
    <w:rsid w:val="00827B63"/>
    <w:rsid w:val="0083020C"/>
    <w:rsid w:val="00830EA9"/>
    <w:rsid w:val="00831DCC"/>
    <w:rsid w:val="00831EC6"/>
    <w:rsid w:val="0083353F"/>
    <w:rsid w:val="00834067"/>
    <w:rsid w:val="008344BF"/>
    <w:rsid w:val="00834AC8"/>
    <w:rsid w:val="008353D0"/>
    <w:rsid w:val="00835791"/>
    <w:rsid w:val="00835E58"/>
    <w:rsid w:val="0083630D"/>
    <w:rsid w:val="00837C97"/>
    <w:rsid w:val="0084292B"/>
    <w:rsid w:val="00842F45"/>
    <w:rsid w:val="00842F50"/>
    <w:rsid w:val="0084685D"/>
    <w:rsid w:val="00847E1C"/>
    <w:rsid w:val="00847E36"/>
    <w:rsid w:val="00851ACA"/>
    <w:rsid w:val="00851FCF"/>
    <w:rsid w:val="008521CE"/>
    <w:rsid w:val="00852E7A"/>
    <w:rsid w:val="00854702"/>
    <w:rsid w:val="008570B7"/>
    <w:rsid w:val="008603FD"/>
    <w:rsid w:val="00862D2A"/>
    <w:rsid w:val="00864F96"/>
    <w:rsid w:val="00867937"/>
    <w:rsid w:val="008708C6"/>
    <w:rsid w:val="00872827"/>
    <w:rsid w:val="00872A5A"/>
    <w:rsid w:val="00873348"/>
    <w:rsid w:val="00873AB3"/>
    <w:rsid w:val="00874564"/>
    <w:rsid w:val="00875C09"/>
    <w:rsid w:val="0087642C"/>
    <w:rsid w:val="00876815"/>
    <w:rsid w:val="00877378"/>
    <w:rsid w:val="008773AD"/>
    <w:rsid w:val="00877720"/>
    <w:rsid w:val="00880A30"/>
    <w:rsid w:val="008812DB"/>
    <w:rsid w:val="00882706"/>
    <w:rsid w:val="00887327"/>
    <w:rsid w:val="0089240E"/>
    <w:rsid w:val="00892EAC"/>
    <w:rsid w:val="008936B6"/>
    <w:rsid w:val="00895064"/>
    <w:rsid w:val="008957AD"/>
    <w:rsid w:val="008A00D3"/>
    <w:rsid w:val="008A1843"/>
    <w:rsid w:val="008A2FD8"/>
    <w:rsid w:val="008A39BC"/>
    <w:rsid w:val="008A509C"/>
    <w:rsid w:val="008A566F"/>
    <w:rsid w:val="008A66A1"/>
    <w:rsid w:val="008A692F"/>
    <w:rsid w:val="008A7AF9"/>
    <w:rsid w:val="008B02D7"/>
    <w:rsid w:val="008B0875"/>
    <w:rsid w:val="008B0B54"/>
    <w:rsid w:val="008B1798"/>
    <w:rsid w:val="008B273F"/>
    <w:rsid w:val="008B377B"/>
    <w:rsid w:val="008B442B"/>
    <w:rsid w:val="008B470F"/>
    <w:rsid w:val="008B6D8B"/>
    <w:rsid w:val="008B78B8"/>
    <w:rsid w:val="008C0157"/>
    <w:rsid w:val="008C0209"/>
    <w:rsid w:val="008C0325"/>
    <w:rsid w:val="008C18B0"/>
    <w:rsid w:val="008C20CD"/>
    <w:rsid w:val="008C216B"/>
    <w:rsid w:val="008C3DDE"/>
    <w:rsid w:val="008C64B2"/>
    <w:rsid w:val="008C6CEB"/>
    <w:rsid w:val="008D0B33"/>
    <w:rsid w:val="008D1B19"/>
    <w:rsid w:val="008D2189"/>
    <w:rsid w:val="008D3AF4"/>
    <w:rsid w:val="008D5C95"/>
    <w:rsid w:val="008D63E1"/>
    <w:rsid w:val="008D6A49"/>
    <w:rsid w:val="008E2DA4"/>
    <w:rsid w:val="008E3004"/>
    <w:rsid w:val="008E6AA1"/>
    <w:rsid w:val="008E6C38"/>
    <w:rsid w:val="008F0098"/>
    <w:rsid w:val="008F091E"/>
    <w:rsid w:val="008F1A2B"/>
    <w:rsid w:val="008F2368"/>
    <w:rsid w:val="008F4BC9"/>
    <w:rsid w:val="008F67F4"/>
    <w:rsid w:val="008F6ACB"/>
    <w:rsid w:val="00904BE9"/>
    <w:rsid w:val="00904F73"/>
    <w:rsid w:val="00907A01"/>
    <w:rsid w:val="00907B71"/>
    <w:rsid w:val="00907FD6"/>
    <w:rsid w:val="00915DE7"/>
    <w:rsid w:val="009174C2"/>
    <w:rsid w:val="00917769"/>
    <w:rsid w:val="00922976"/>
    <w:rsid w:val="00922FF0"/>
    <w:rsid w:val="00931582"/>
    <w:rsid w:val="00931B03"/>
    <w:rsid w:val="009336D0"/>
    <w:rsid w:val="00934BE2"/>
    <w:rsid w:val="00935548"/>
    <w:rsid w:val="00936070"/>
    <w:rsid w:val="00937F29"/>
    <w:rsid w:val="00940259"/>
    <w:rsid w:val="00940366"/>
    <w:rsid w:val="009405FC"/>
    <w:rsid w:val="00941E99"/>
    <w:rsid w:val="00943489"/>
    <w:rsid w:val="00945163"/>
    <w:rsid w:val="00946460"/>
    <w:rsid w:val="00946A5D"/>
    <w:rsid w:val="009518AF"/>
    <w:rsid w:val="009524A7"/>
    <w:rsid w:val="00952C26"/>
    <w:rsid w:val="0095389C"/>
    <w:rsid w:val="00953BA1"/>
    <w:rsid w:val="00954751"/>
    <w:rsid w:val="00955A2C"/>
    <w:rsid w:val="00956A98"/>
    <w:rsid w:val="00956E90"/>
    <w:rsid w:val="00961EA3"/>
    <w:rsid w:val="00961F86"/>
    <w:rsid w:val="0096219C"/>
    <w:rsid w:val="00962555"/>
    <w:rsid w:val="009649DE"/>
    <w:rsid w:val="009667A8"/>
    <w:rsid w:val="0096768C"/>
    <w:rsid w:val="0096799C"/>
    <w:rsid w:val="00970E00"/>
    <w:rsid w:val="00971A46"/>
    <w:rsid w:val="00973F4B"/>
    <w:rsid w:val="009742B7"/>
    <w:rsid w:val="0097439F"/>
    <w:rsid w:val="00974663"/>
    <w:rsid w:val="00976329"/>
    <w:rsid w:val="00980170"/>
    <w:rsid w:val="009810C3"/>
    <w:rsid w:val="0098144D"/>
    <w:rsid w:val="00984EE9"/>
    <w:rsid w:val="009853B3"/>
    <w:rsid w:val="009868B8"/>
    <w:rsid w:val="00990462"/>
    <w:rsid w:val="009927BD"/>
    <w:rsid w:val="00992851"/>
    <w:rsid w:val="00993175"/>
    <w:rsid w:val="009933DF"/>
    <w:rsid w:val="00994D07"/>
    <w:rsid w:val="009951B2"/>
    <w:rsid w:val="00996B6E"/>
    <w:rsid w:val="00996FAB"/>
    <w:rsid w:val="00997A74"/>
    <w:rsid w:val="009A383C"/>
    <w:rsid w:val="009A474B"/>
    <w:rsid w:val="009A62BB"/>
    <w:rsid w:val="009A7C56"/>
    <w:rsid w:val="009B04C8"/>
    <w:rsid w:val="009B125E"/>
    <w:rsid w:val="009B158B"/>
    <w:rsid w:val="009B20A9"/>
    <w:rsid w:val="009B2DB1"/>
    <w:rsid w:val="009B5497"/>
    <w:rsid w:val="009B62AC"/>
    <w:rsid w:val="009C2C57"/>
    <w:rsid w:val="009C2D23"/>
    <w:rsid w:val="009C4109"/>
    <w:rsid w:val="009C492A"/>
    <w:rsid w:val="009C50E6"/>
    <w:rsid w:val="009C55AA"/>
    <w:rsid w:val="009C6361"/>
    <w:rsid w:val="009C68FF"/>
    <w:rsid w:val="009C77C8"/>
    <w:rsid w:val="009C7A1C"/>
    <w:rsid w:val="009D09D6"/>
    <w:rsid w:val="009D16AE"/>
    <w:rsid w:val="009D2E66"/>
    <w:rsid w:val="009D376C"/>
    <w:rsid w:val="009D37D9"/>
    <w:rsid w:val="009D5080"/>
    <w:rsid w:val="009D54A0"/>
    <w:rsid w:val="009D7F56"/>
    <w:rsid w:val="009E11BE"/>
    <w:rsid w:val="009E38D9"/>
    <w:rsid w:val="009E3F88"/>
    <w:rsid w:val="009E4138"/>
    <w:rsid w:val="009F157F"/>
    <w:rsid w:val="009F1E8E"/>
    <w:rsid w:val="009F3BA9"/>
    <w:rsid w:val="009F7BA3"/>
    <w:rsid w:val="009F7D13"/>
    <w:rsid w:val="009F7F89"/>
    <w:rsid w:val="00A02865"/>
    <w:rsid w:val="00A04230"/>
    <w:rsid w:val="00A04E8C"/>
    <w:rsid w:val="00A05092"/>
    <w:rsid w:val="00A05BFF"/>
    <w:rsid w:val="00A06FA7"/>
    <w:rsid w:val="00A10C93"/>
    <w:rsid w:val="00A114DC"/>
    <w:rsid w:val="00A12ED8"/>
    <w:rsid w:val="00A137C6"/>
    <w:rsid w:val="00A13D82"/>
    <w:rsid w:val="00A177E6"/>
    <w:rsid w:val="00A20A61"/>
    <w:rsid w:val="00A21726"/>
    <w:rsid w:val="00A230F8"/>
    <w:rsid w:val="00A235A8"/>
    <w:rsid w:val="00A2420E"/>
    <w:rsid w:val="00A2467A"/>
    <w:rsid w:val="00A24A6A"/>
    <w:rsid w:val="00A25C2F"/>
    <w:rsid w:val="00A2749B"/>
    <w:rsid w:val="00A3069B"/>
    <w:rsid w:val="00A3137F"/>
    <w:rsid w:val="00A31CCF"/>
    <w:rsid w:val="00A334E7"/>
    <w:rsid w:val="00A335CD"/>
    <w:rsid w:val="00A34EF2"/>
    <w:rsid w:val="00A35945"/>
    <w:rsid w:val="00A37558"/>
    <w:rsid w:val="00A41579"/>
    <w:rsid w:val="00A43B43"/>
    <w:rsid w:val="00A467AC"/>
    <w:rsid w:val="00A475BB"/>
    <w:rsid w:val="00A47714"/>
    <w:rsid w:val="00A47AFC"/>
    <w:rsid w:val="00A506AB"/>
    <w:rsid w:val="00A50ED4"/>
    <w:rsid w:val="00A521B7"/>
    <w:rsid w:val="00A5256C"/>
    <w:rsid w:val="00A525BF"/>
    <w:rsid w:val="00A577F3"/>
    <w:rsid w:val="00A60282"/>
    <w:rsid w:val="00A61ECF"/>
    <w:rsid w:val="00A62BEB"/>
    <w:rsid w:val="00A65D68"/>
    <w:rsid w:val="00A66393"/>
    <w:rsid w:val="00A66C0C"/>
    <w:rsid w:val="00A66C8F"/>
    <w:rsid w:val="00A66F02"/>
    <w:rsid w:val="00A73D97"/>
    <w:rsid w:val="00A75689"/>
    <w:rsid w:val="00A75CE4"/>
    <w:rsid w:val="00A76A5B"/>
    <w:rsid w:val="00A76D5D"/>
    <w:rsid w:val="00A81E42"/>
    <w:rsid w:val="00A877CD"/>
    <w:rsid w:val="00A87BED"/>
    <w:rsid w:val="00A9042B"/>
    <w:rsid w:val="00A90C77"/>
    <w:rsid w:val="00A92458"/>
    <w:rsid w:val="00A95F82"/>
    <w:rsid w:val="00AA0E1E"/>
    <w:rsid w:val="00AA2B3E"/>
    <w:rsid w:val="00AA44A2"/>
    <w:rsid w:val="00AA4570"/>
    <w:rsid w:val="00AA5B18"/>
    <w:rsid w:val="00AA6FE5"/>
    <w:rsid w:val="00AA73BF"/>
    <w:rsid w:val="00AA7B20"/>
    <w:rsid w:val="00AB1D95"/>
    <w:rsid w:val="00AB1EF7"/>
    <w:rsid w:val="00AB5340"/>
    <w:rsid w:val="00AB570F"/>
    <w:rsid w:val="00AB67DB"/>
    <w:rsid w:val="00AB7540"/>
    <w:rsid w:val="00AC02C9"/>
    <w:rsid w:val="00AC08F9"/>
    <w:rsid w:val="00AC1CF9"/>
    <w:rsid w:val="00AC2AEB"/>
    <w:rsid w:val="00AC3BE9"/>
    <w:rsid w:val="00AC5E5A"/>
    <w:rsid w:val="00AC6C50"/>
    <w:rsid w:val="00AD10A2"/>
    <w:rsid w:val="00AD2A09"/>
    <w:rsid w:val="00AD3330"/>
    <w:rsid w:val="00AD34B4"/>
    <w:rsid w:val="00AD3D47"/>
    <w:rsid w:val="00AD4879"/>
    <w:rsid w:val="00AD5D43"/>
    <w:rsid w:val="00AD71B0"/>
    <w:rsid w:val="00AD7EAD"/>
    <w:rsid w:val="00AE0DDD"/>
    <w:rsid w:val="00AE1BB5"/>
    <w:rsid w:val="00AE28A8"/>
    <w:rsid w:val="00AE2982"/>
    <w:rsid w:val="00AE5D81"/>
    <w:rsid w:val="00AE7CE3"/>
    <w:rsid w:val="00AE7F8E"/>
    <w:rsid w:val="00AF44CF"/>
    <w:rsid w:val="00AF5AB2"/>
    <w:rsid w:val="00AF5FB3"/>
    <w:rsid w:val="00AF6D1E"/>
    <w:rsid w:val="00AF7D0F"/>
    <w:rsid w:val="00B01486"/>
    <w:rsid w:val="00B058F0"/>
    <w:rsid w:val="00B06F83"/>
    <w:rsid w:val="00B100CA"/>
    <w:rsid w:val="00B10C7F"/>
    <w:rsid w:val="00B1102B"/>
    <w:rsid w:val="00B1366F"/>
    <w:rsid w:val="00B15439"/>
    <w:rsid w:val="00B16FCD"/>
    <w:rsid w:val="00B177EA"/>
    <w:rsid w:val="00B21277"/>
    <w:rsid w:val="00B212F8"/>
    <w:rsid w:val="00B226D5"/>
    <w:rsid w:val="00B22DA6"/>
    <w:rsid w:val="00B23F35"/>
    <w:rsid w:val="00B24AFA"/>
    <w:rsid w:val="00B266E7"/>
    <w:rsid w:val="00B26F14"/>
    <w:rsid w:val="00B2779A"/>
    <w:rsid w:val="00B30B80"/>
    <w:rsid w:val="00B31037"/>
    <w:rsid w:val="00B31909"/>
    <w:rsid w:val="00B326D9"/>
    <w:rsid w:val="00B32C63"/>
    <w:rsid w:val="00B33A42"/>
    <w:rsid w:val="00B346CD"/>
    <w:rsid w:val="00B352DD"/>
    <w:rsid w:val="00B36CFA"/>
    <w:rsid w:val="00B40805"/>
    <w:rsid w:val="00B414E6"/>
    <w:rsid w:val="00B415CA"/>
    <w:rsid w:val="00B427B8"/>
    <w:rsid w:val="00B42DDA"/>
    <w:rsid w:val="00B43419"/>
    <w:rsid w:val="00B43ACD"/>
    <w:rsid w:val="00B45CC3"/>
    <w:rsid w:val="00B45FD0"/>
    <w:rsid w:val="00B47122"/>
    <w:rsid w:val="00B474CA"/>
    <w:rsid w:val="00B5061E"/>
    <w:rsid w:val="00B51885"/>
    <w:rsid w:val="00B52F7E"/>
    <w:rsid w:val="00B535F9"/>
    <w:rsid w:val="00B54E87"/>
    <w:rsid w:val="00B552C2"/>
    <w:rsid w:val="00B56E5D"/>
    <w:rsid w:val="00B5704F"/>
    <w:rsid w:val="00B57086"/>
    <w:rsid w:val="00B6245E"/>
    <w:rsid w:val="00B62796"/>
    <w:rsid w:val="00B635D4"/>
    <w:rsid w:val="00B63865"/>
    <w:rsid w:val="00B66AED"/>
    <w:rsid w:val="00B7074C"/>
    <w:rsid w:val="00B70D15"/>
    <w:rsid w:val="00B72938"/>
    <w:rsid w:val="00B732DE"/>
    <w:rsid w:val="00B73A7C"/>
    <w:rsid w:val="00B75B3E"/>
    <w:rsid w:val="00B7764F"/>
    <w:rsid w:val="00B77929"/>
    <w:rsid w:val="00B77CC6"/>
    <w:rsid w:val="00B82958"/>
    <w:rsid w:val="00B83950"/>
    <w:rsid w:val="00B83A05"/>
    <w:rsid w:val="00B84A3D"/>
    <w:rsid w:val="00B86C00"/>
    <w:rsid w:val="00B9080D"/>
    <w:rsid w:val="00B93B19"/>
    <w:rsid w:val="00B946BF"/>
    <w:rsid w:val="00B958EE"/>
    <w:rsid w:val="00B96356"/>
    <w:rsid w:val="00BA0E97"/>
    <w:rsid w:val="00BA5AA8"/>
    <w:rsid w:val="00BA6693"/>
    <w:rsid w:val="00BA77AB"/>
    <w:rsid w:val="00BA7A49"/>
    <w:rsid w:val="00BB0924"/>
    <w:rsid w:val="00BB0D53"/>
    <w:rsid w:val="00BB0EBE"/>
    <w:rsid w:val="00BB3331"/>
    <w:rsid w:val="00BB3421"/>
    <w:rsid w:val="00BB3A37"/>
    <w:rsid w:val="00BB7977"/>
    <w:rsid w:val="00BB7A2A"/>
    <w:rsid w:val="00BB7F5E"/>
    <w:rsid w:val="00BC1096"/>
    <w:rsid w:val="00BC1E8E"/>
    <w:rsid w:val="00BC1FA0"/>
    <w:rsid w:val="00BC3C5E"/>
    <w:rsid w:val="00BC4323"/>
    <w:rsid w:val="00BC4B9A"/>
    <w:rsid w:val="00BC4F4B"/>
    <w:rsid w:val="00BC5C02"/>
    <w:rsid w:val="00BC6326"/>
    <w:rsid w:val="00BC6481"/>
    <w:rsid w:val="00BC748A"/>
    <w:rsid w:val="00BC7B62"/>
    <w:rsid w:val="00BD1806"/>
    <w:rsid w:val="00BD21EA"/>
    <w:rsid w:val="00BD3AE5"/>
    <w:rsid w:val="00BD6714"/>
    <w:rsid w:val="00BE0E0F"/>
    <w:rsid w:val="00BE1967"/>
    <w:rsid w:val="00BE24BF"/>
    <w:rsid w:val="00BE4323"/>
    <w:rsid w:val="00BE643F"/>
    <w:rsid w:val="00BE7CAF"/>
    <w:rsid w:val="00BE7F46"/>
    <w:rsid w:val="00BF08CB"/>
    <w:rsid w:val="00BF0917"/>
    <w:rsid w:val="00BF16CF"/>
    <w:rsid w:val="00BF27AA"/>
    <w:rsid w:val="00BF3B1A"/>
    <w:rsid w:val="00BF55A0"/>
    <w:rsid w:val="00BF6539"/>
    <w:rsid w:val="00BF6D46"/>
    <w:rsid w:val="00BF6D68"/>
    <w:rsid w:val="00C00E44"/>
    <w:rsid w:val="00C020DB"/>
    <w:rsid w:val="00C042FB"/>
    <w:rsid w:val="00C04D32"/>
    <w:rsid w:val="00C05416"/>
    <w:rsid w:val="00C06D70"/>
    <w:rsid w:val="00C07045"/>
    <w:rsid w:val="00C07269"/>
    <w:rsid w:val="00C07519"/>
    <w:rsid w:val="00C07B8E"/>
    <w:rsid w:val="00C124EF"/>
    <w:rsid w:val="00C1327D"/>
    <w:rsid w:val="00C155BB"/>
    <w:rsid w:val="00C17E4F"/>
    <w:rsid w:val="00C2120B"/>
    <w:rsid w:val="00C22069"/>
    <w:rsid w:val="00C22CC5"/>
    <w:rsid w:val="00C231D8"/>
    <w:rsid w:val="00C23D5F"/>
    <w:rsid w:val="00C24D1C"/>
    <w:rsid w:val="00C264A6"/>
    <w:rsid w:val="00C26866"/>
    <w:rsid w:val="00C27977"/>
    <w:rsid w:val="00C30879"/>
    <w:rsid w:val="00C308F9"/>
    <w:rsid w:val="00C3174E"/>
    <w:rsid w:val="00C31DB3"/>
    <w:rsid w:val="00C31DB9"/>
    <w:rsid w:val="00C327C3"/>
    <w:rsid w:val="00C32DC1"/>
    <w:rsid w:val="00C3398B"/>
    <w:rsid w:val="00C34193"/>
    <w:rsid w:val="00C34454"/>
    <w:rsid w:val="00C362D4"/>
    <w:rsid w:val="00C36F5D"/>
    <w:rsid w:val="00C3707D"/>
    <w:rsid w:val="00C37619"/>
    <w:rsid w:val="00C46D19"/>
    <w:rsid w:val="00C47884"/>
    <w:rsid w:val="00C507C1"/>
    <w:rsid w:val="00C53BB4"/>
    <w:rsid w:val="00C56354"/>
    <w:rsid w:val="00C57180"/>
    <w:rsid w:val="00C574D8"/>
    <w:rsid w:val="00C57538"/>
    <w:rsid w:val="00C57CE5"/>
    <w:rsid w:val="00C62247"/>
    <w:rsid w:val="00C63DBB"/>
    <w:rsid w:val="00C64513"/>
    <w:rsid w:val="00C650CF"/>
    <w:rsid w:val="00C6545E"/>
    <w:rsid w:val="00C666C3"/>
    <w:rsid w:val="00C67267"/>
    <w:rsid w:val="00C6761B"/>
    <w:rsid w:val="00C72806"/>
    <w:rsid w:val="00C72AD3"/>
    <w:rsid w:val="00C73353"/>
    <w:rsid w:val="00C7473E"/>
    <w:rsid w:val="00C755BC"/>
    <w:rsid w:val="00C76106"/>
    <w:rsid w:val="00C76EBA"/>
    <w:rsid w:val="00C779CF"/>
    <w:rsid w:val="00C80103"/>
    <w:rsid w:val="00C814B8"/>
    <w:rsid w:val="00C8167A"/>
    <w:rsid w:val="00C81F32"/>
    <w:rsid w:val="00C8511C"/>
    <w:rsid w:val="00C85882"/>
    <w:rsid w:val="00C85CC3"/>
    <w:rsid w:val="00C871B8"/>
    <w:rsid w:val="00C877EB"/>
    <w:rsid w:val="00C9080E"/>
    <w:rsid w:val="00C91408"/>
    <w:rsid w:val="00C92469"/>
    <w:rsid w:val="00C92541"/>
    <w:rsid w:val="00C9482F"/>
    <w:rsid w:val="00C94987"/>
    <w:rsid w:val="00C94D46"/>
    <w:rsid w:val="00C95EC4"/>
    <w:rsid w:val="00C97379"/>
    <w:rsid w:val="00C97A3D"/>
    <w:rsid w:val="00C97E96"/>
    <w:rsid w:val="00CA0368"/>
    <w:rsid w:val="00CA06FF"/>
    <w:rsid w:val="00CA0FEF"/>
    <w:rsid w:val="00CA1D5A"/>
    <w:rsid w:val="00CA4FA6"/>
    <w:rsid w:val="00CA7FB6"/>
    <w:rsid w:val="00CB0635"/>
    <w:rsid w:val="00CB0645"/>
    <w:rsid w:val="00CB1AC5"/>
    <w:rsid w:val="00CB3A6E"/>
    <w:rsid w:val="00CB3BB0"/>
    <w:rsid w:val="00CB4612"/>
    <w:rsid w:val="00CB75FE"/>
    <w:rsid w:val="00CB7D0C"/>
    <w:rsid w:val="00CC12A2"/>
    <w:rsid w:val="00CC154E"/>
    <w:rsid w:val="00CC1607"/>
    <w:rsid w:val="00CC29E0"/>
    <w:rsid w:val="00CC37BD"/>
    <w:rsid w:val="00CC38EE"/>
    <w:rsid w:val="00CC41BA"/>
    <w:rsid w:val="00CC6216"/>
    <w:rsid w:val="00CC7B6F"/>
    <w:rsid w:val="00CD0837"/>
    <w:rsid w:val="00CD16E6"/>
    <w:rsid w:val="00CD52D9"/>
    <w:rsid w:val="00CD7D3A"/>
    <w:rsid w:val="00CE1117"/>
    <w:rsid w:val="00CE1829"/>
    <w:rsid w:val="00CE1C5C"/>
    <w:rsid w:val="00CE36DB"/>
    <w:rsid w:val="00CE415A"/>
    <w:rsid w:val="00CE63ED"/>
    <w:rsid w:val="00CF2004"/>
    <w:rsid w:val="00CF2E80"/>
    <w:rsid w:val="00CF47F3"/>
    <w:rsid w:val="00CF5CBC"/>
    <w:rsid w:val="00CF64E8"/>
    <w:rsid w:val="00CF7651"/>
    <w:rsid w:val="00CF7B79"/>
    <w:rsid w:val="00D00148"/>
    <w:rsid w:val="00D018AB"/>
    <w:rsid w:val="00D026ED"/>
    <w:rsid w:val="00D02F85"/>
    <w:rsid w:val="00D03982"/>
    <w:rsid w:val="00D044CE"/>
    <w:rsid w:val="00D04977"/>
    <w:rsid w:val="00D04FF4"/>
    <w:rsid w:val="00D0531E"/>
    <w:rsid w:val="00D05BCA"/>
    <w:rsid w:val="00D06FFE"/>
    <w:rsid w:val="00D079A8"/>
    <w:rsid w:val="00D10633"/>
    <w:rsid w:val="00D119C7"/>
    <w:rsid w:val="00D137EE"/>
    <w:rsid w:val="00D1447A"/>
    <w:rsid w:val="00D146D9"/>
    <w:rsid w:val="00D15D1D"/>
    <w:rsid w:val="00D15E18"/>
    <w:rsid w:val="00D16629"/>
    <w:rsid w:val="00D17A34"/>
    <w:rsid w:val="00D20A74"/>
    <w:rsid w:val="00D22A76"/>
    <w:rsid w:val="00D22D89"/>
    <w:rsid w:val="00D23B30"/>
    <w:rsid w:val="00D2572C"/>
    <w:rsid w:val="00D27D49"/>
    <w:rsid w:val="00D27F4D"/>
    <w:rsid w:val="00D30180"/>
    <w:rsid w:val="00D3073D"/>
    <w:rsid w:val="00D3238A"/>
    <w:rsid w:val="00D3517F"/>
    <w:rsid w:val="00D377EC"/>
    <w:rsid w:val="00D40EE5"/>
    <w:rsid w:val="00D40FFB"/>
    <w:rsid w:val="00D41976"/>
    <w:rsid w:val="00D42C53"/>
    <w:rsid w:val="00D42DBF"/>
    <w:rsid w:val="00D42F6C"/>
    <w:rsid w:val="00D43C8D"/>
    <w:rsid w:val="00D44CF0"/>
    <w:rsid w:val="00D466F7"/>
    <w:rsid w:val="00D47F8E"/>
    <w:rsid w:val="00D53031"/>
    <w:rsid w:val="00D54419"/>
    <w:rsid w:val="00D547FE"/>
    <w:rsid w:val="00D55662"/>
    <w:rsid w:val="00D5664E"/>
    <w:rsid w:val="00D566EC"/>
    <w:rsid w:val="00D56894"/>
    <w:rsid w:val="00D5749B"/>
    <w:rsid w:val="00D605C4"/>
    <w:rsid w:val="00D620DE"/>
    <w:rsid w:val="00D62990"/>
    <w:rsid w:val="00D64A74"/>
    <w:rsid w:val="00D6571B"/>
    <w:rsid w:val="00D6632E"/>
    <w:rsid w:val="00D666F9"/>
    <w:rsid w:val="00D67317"/>
    <w:rsid w:val="00D70ED9"/>
    <w:rsid w:val="00D71EFA"/>
    <w:rsid w:val="00D7263C"/>
    <w:rsid w:val="00D735A1"/>
    <w:rsid w:val="00D7361C"/>
    <w:rsid w:val="00D76380"/>
    <w:rsid w:val="00D76929"/>
    <w:rsid w:val="00D77547"/>
    <w:rsid w:val="00D800EF"/>
    <w:rsid w:val="00D803AE"/>
    <w:rsid w:val="00D807F2"/>
    <w:rsid w:val="00D80C47"/>
    <w:rsid w:val="00D8196A"/>
    <w:rsid w:val="00D82832"/>
    <w:rsid w:val="00D8323C"/>
    <w:rsid w:val="00D83300"/>
    <w:rsid w:val="00D848EB"/>
    <w:rsid w:val="00D85CCB"/>
    <w:rsid w:val="00D85D51"/>
    <w:rsid w:val="00D90D76"/>
    <w:rsid w:val="00D91743"/>
    <w:rsid w:val="00D91C8A"/>
    <w:rsid w:val="00D93021"/>
    <w:rsid w:val="00D93437"/>
    <w:rsid w:val="00D937BC"/>
    <w:rsid w:val="00DA09C3"/>
    <w:rsid w:val="00DA0D2F"/>
    <w:rsid w:val="00DA1812"/>
    <w:rsid w:val="00DA1BC3"/>
    <w:rsid w:val="00DA3196"/>
    <w:rsid w:val="00DA33BA"/>
    <w:rsid w:val="00DA4AB2"/>
    <w:rsid w:val="00DA7ED6"/>
    <w:rsid w:val="00DB0267"/>
    <w:rsid w:val="00DB2458"/>
    <w:rsid w:val="00DB2704"/>
    <w:rsid w:val="00DB3954"/>
    <w:rsid w:val="00DB3A6C"/>
    <w:rsid w:val="00DB3CF6"/>
    <w:rsid w:val="00DB4ACE"/>
    <w:rsid w:val="00DB5280"/>
    <w:rsid w:val="00DB614D"/>
    <w:rsid w:val="00DB6CCE"/>
    <w:rsid w:val="00DB6EC2"/>
    <w:rsid w:val="00DB7C58"/>
    <w:rsid w:val="00DC09E2"/>
    <w:rsid w:val="00DC0EE1"/>
    <w:rsid w:val="00DC3C04"/>
    <w:rsid w:val="00DC442C"/>
    <w:rsid w:val="00DC4DE1"/>
    <w:rsid w:val="00DC5576"/>
    <w:rsid w:val="00DC68E7"/>
    <w:rsid w:val="00DD212F"/>
    <w:rsid w:val="00DD266C"/>
    <w:rsid w:val="00DD3440"/>
    <w:rsid w:val="00DD344E"/>
    <w:rsid w:val="00DD4CE7"/>
    <w:rsid w:val="00DD6BCB"/>
    <w:rsid w:val="00DE07B4"/>
    <w:rsid w:val="00DE0C35"/>
    <w:rsid w:val="00DE4C69"/>
    <w:rsid w:val="00DE7784"/>
    <w:rsid w:val="00DE7BA7"/>
    <w:rsid w:val="00DF11FE"/>
    <w:rsid w:val="00DF356B"/>
    <w:rsid w:val="00DF6405"/>
    <w:rsid w:val="00DF6F3F"/>
    <w:rsid w:val="00E0009C"/>
    <w:rsid w:val="00E00E0F"/>
    <w:rsid w:val="00E00E1B"/>
    <w:rsid w:val="00E01994"/>
    <w:rsid w:val="00E01B89"/>
    <w:rsid w:val="00E02639"/>
    <w:rsid w:val="00E02C9F"/>
    <w:rsid w:val="00E03844"/>
    <w:rsid w:val="00E03A3C"/>
    <w:rsid w:val="00E05BFF"/>
    <w:rsid w:val="00E066D2"/>
    <w:rsid w:val="00E06DC1"/>
    <w:rsid w:val="00E07634"/>
    <w:rsid w:val="00E1005C"/>
    <w:rsid w:val="00E121AC"/>
    <w:rsid w:val="00E144A8"/>
    <w:rsid w:val="00E150A7"/>
    <w:rsid w:val="00E15BD8"/>
    <w:rsid w:val="00E20163"/>
    <w:rsid w:val="00E21715"/>
    <w:rsid w:val="00E21890"/>
    <w:rsid w:val="00E24FA7"/>
    <w:rsid w:val="00E27CDB"/>
    <w:rsid w:val="00E30B31"/>
    <w:rsid w:val="00E30FBE"/>
    <w:rsid w:val="00E31554"/>
    <w:rsid w:val="00E31CC5"/>
    <w:rsid w:val="00E32614"/>
    <w:rsid w:val="00E34581"/>
    <w:rsid w:val="00E35910"/>
    <w:rsid w:val="00E361C8"/>
    <w:rsid w:val="00E37255"/>
    <w:rsid w:val="00E3778D"/>
    <w:rsid w:val="00E408E8"/>
    <w:rsid w:val="00E43993"/>
    <w:rsid w:val="00E43C23"/>
    <w:rsid w:val="00E44804"/>
    <w:rsid w:val="00E464FE"/>
    <w:rsid w:val="00E5016D"/>
    <w:rsid w:val="00E51B24"/>
    <w:rsid w:val="00E5416C"/>
    <w:rsid w:val="00E60B74"/>
    <w:rsid w:val="00E60FA5"/>
    <w:rsid w:val="00E6180B"/>
    <w:rsid w:val="00E61FC3"/>
    <w:rsid w:val="00E620DF"/>
    <w:rsid w:val="00E6235E"/>
    <w:rsid w:val="00E658F8"/>
    <w:rsid w:val="00E65DC4"/>
    <w:rsid w:val="00E6769F"/>
    <w:rsid w:val="00E700C0"/>
    <w:rsid w:val="00E71694"/>
    <w:rsid w:val="00E72161"/>
    <w:rsid w:val="00E744D0"/>
    <w:rsid w:val="00E74CDB"/>
    <w:rsid w:val="00E75676"/>
    <w:rsid w:val="00E75A8E"/>
    <w:rsid w:val="00E80494"/>
    <w:rsid w:val="00E80FB1"/>
    <w:rsid w:val="00E83CBF"/>
    <w:rsid w:val="00E84782"/>
    <w:rsid w:val="00E84BFB"/>
    <w:rsid w:val="00E85F27"/>
    <w:rsid w:val="00E9063C"/>
    <w:rsid w:val="00E90997"/>
    <w:rsid w:val="00E90B78"/>
    <w:rsid w:val="00E93B7A"/>
    <w:rsid w:val="00E9509E"/>
    <w:rsid w:val="00E9553D"/>
    <w:rsid w:val="00E96A16"/>
    <w:rsid w:val="00E96F07"/>
    <w:rsid w:val="00E96FF6"/>
    <w:rsid w:val="00E97B57"/>
    <w:rsid w:val="00EA0370"/>
    <w:rsid w:val="00EA181B"/>
    <w:rsid w:val="00EA198F"/>
    <w:rsid w:val="00EA258D"/>
    <w:rsid w:val="00EA28C0"/>
    <w:rsid w:val="00EA488B"/>
    <w:rsid w:val="00EA4C9A"/>
    <w:rsid w:val="00EA5064"/>
    <w:rsid w:val="00EA6322"/>
    <w:rsid w:val="00EA75E5"/>
    <w:rsid w:val="00EB0250"/>
    <w:rsid w:val="00EB0446"/>
    <w:rsid w:val="00EB2ABF"/>
    <w:rsid w:val="00EB38C2"/>
    <w:rsid w:val="00EB49D7"/>
    <w:rsid w:val="00EB4E5D"/>
    <w:rsid w:val="00EC32B6"/>
    <w:rsid w:val="00EC3C59"/>
    <w:rsid w:val="00EC3D28"/>
    <w:rsid w:val="00EC424E"/>
    <w:rsid w:val="00EC48AE"/>
    <w:rsid w:val="00EC59D7"/>
    <w:rsid w:val="00EC5E68"/>
    <w:rsid w:val="00EC6350"/>
    <w:rsid w:val="00EC7B9D"/>
    <w:rsid w:val="00ED086F"/>
    <w:rsid w:val="00ED3110"/>
    <w:rsid w:val="00ED3F91"/>
    <w:rsid w:val="00ED5447"/>
    <w:rsid w:val="00ED7BDB"/>
    <w:rsid w:val="00EE0986"/>
    <w:rsid w:val="00EE0ABB"/>
    <w:rsid w:val="00EE1287"/>
    <w:rsid w:val="00EE1F18"/>
    <w:rsid w:val="00EE2C4B"/>
    <w:rsid w:val="00EE2F94"/>
    <w:rsid w:val="00EE3E38"/>
    <w:rsid w:val="00EE6581"/>
    <w:rsid w:val="00EE6C16"/>
    <w:rsid w:val="00EE7872"/>
    <w:rsid w:val="00EF02B5"/>
    <w:rsid w:val="00EF151B"/>
    <w:rsid w:val="00EF1B3E"/>
    <w:rsid w:val="00EF2439"/>
    <w:rsid w:val="00EF2602"/>
    <w:rsid w:val="00EF2F92"/>
    <w:rsid w:val="00EF5935"/>
    <w:rsid w:val="00EF59D3"/>
    <w:rsid w:val="00EF5F7E"/>
    <w:rsid w:val="00EF626F"/>
    <w:rsid w:val="00F00D23"/>
    <w:rsid w:val="00F019EE"/>
    <w:rsid w:val="00F060BA"/>
    <w:rsid w:val="00F1340A"/>
    <w:rsid w:val="00F13A59"/>
    <w:rsid w:val="00F13DDE"/>
    <w:rsid w:val="00F13E68"/>
    <w:rsid w:val="00F16AF5"/>
    <w:rsid w:val="00F16F81"/>
    <w:rsid w:val="00F207A8"/>
    <w:rsid w:val="00F22290"/>
    <w:rsid w:val="00F25158"/>
    <w:rsid w:val="00F26266"/>
    <w:rsid w:val="00F2670E"/>
    <w:rsid w:val="00F268D1"/>
    <w:rsid w:val="00F30F74"/>
    <w:rsid w:val="00F31210"/>
    <w:rsid w:val="00F315CC"/>
    <w:rsid w:val="00F34EB9"/>
    <w:rsid w:val="00F35105"/>
    <w:rsid w:val="00F361AD"/>
    <w:rsid w:val="00F36DDD"/>
    <w:rsid w:val="00F41E6F"/>
    <w:rsid w:val="00F42ECC"/>
    <w:rsid w:val="00F432FB"/>
    <w:rsid w:val="00F4396D"/>
    <w:rsid w:val="00F45B81"/>
    <w:rsid w:val="00F47F11"/>
    <w:rsid w:val="00F50F42"/>
    <w:rsid w:val="00F5467D"/>
    <w:rsid w:val="00F55513"/>
    <w:rsid w:val="00F55F93"/>
    <w:rsid w:val="00F56BE2"/>
    <w:rsid w:val="00F57B3A"/>
    <w:rsid w:val="00F6026D"/>
    <w:rsid w:val="00F60F56"/>
    <w:rsid w:val="00F61CEF"/>
    <w:rsid w:val="00F6260F"/>
    <w:rsid w:val="00F63BCA"/>
    <w:rsid w:val="00F65751"/>
    <w:rsid w:val="00F665F1"/>
    <w:rsid w:val="00F668EB"/>
    <w:rsid w:val="00F674A8"/>
    <w:rsid w:val="00F6763D"/>
    <w:rsid w:val="00F67892"/>
    <w:rsid w:val="00F70D6E"/>
    <w:rsid w:val="00F71F08"/>
    <w:rsid w:val="00F72A99"/>
    <w:rsid w:val="00F75533"/>
    <w:rsid w:val="00F75D02"/>
    <w:rsid w:val="00F80055"/>
    <w:rsid w:val="00F80B1D"/>
    <w:rsid w:val="00F81A9F"/>
    <w:rsid w:val="00F82B38"/>
    <w:rsid w:val="00F842AF"/>
    <w:rsid w:val="00F84DB8"/>
    <w:rsid w:val="00F916DA"/>
    <w:rsid w:val="00F9177B"/>
    <w:rsid w:val="00F92A15"/>
    <w:rsid w:val="00F9341C"/>
    <w:rsid w:val="00F9372C"/>
    <w:rsid w:val="00F9526E"/>
    <w:rsid w:val="00F955D9"/>
    <w:rsid w:val="00F96051"/>
    <w:rsid w:val="00FA09F2"/>
    <w:rsid w:val="00FA0A65"/>
    <w:rsid w:val="00FA1126"/>
    <w:rsid w:val="00FA1FB6"/>
    <w:rsid w:val="00FA2F61"/>
    <w:rsid w:val="00FA30DB"/>
    <w:rsid w:val="00FA53BB"/>
    <w:rsid w:val="00FA5917"/>
    <w:rsid w:val="00FA62E1"/>
    <w:rsid w:val="00FB0180"/>
    <w:rsid w:val="00FB0956"/>
    <w:rsid w:val="00FB3A74"/>
    <w:rsid w:val="00FB5420"/>
    <w:rsid w:val="00FB76C0"/>
    <w:rsid w:val="00FC002C"/>
    <w:rsid w:val="00FC0D70"/>
    <w:rsid w:val="00FC2BCA"/>
    <w:rsid w:val="00FC2F1D"/>
    <w:rsid w:val="00FC368C"/>
    <w:rsid w:val="00FC3E68"/>
    <w:rsid w:val="00FC44A4"/>
    <w:rsid w:val="00FC56EC"/>
    <w:rsid w:val="00FC5AD5"/>
    <w:rsid w:val="00FC5B2A"/>
    <w:rsid w:val="00FC6B27"/>
    <w:rsid w:val="00FC6EDA"/>
    <w:rsid w:val="00FD0E2A"/>
    <w:rsid w:val="00FD10F1"/>
    <w:rsid w:val="00FD147A"/>
    <w:rsid w:val="00FD1B41"/>
    <w:rsid w:val="00FD396D"/>
    <w:rsid w:val="00FD5B2C"/>
    <w:rsid w:val="00FD5C34"/>
    <w:rsid w:val="00FE05CD"/>
    <w:rsid w:val="00FE05FE"/>
    <w:rsid w:val="00FE1450"/>
    <w:rsid w:val="00FE2AFE"/>
    <w:rsid w:val="00FE33B6"/>
    <w:rsid w:val="00FE62B5"/>
    <w:rsid w:val="00FE79C7"/>
    <w:rsid w:val="00FF1936"/>
    <w:rsid w:val="00FF5E89"/>
    <w:rsid w:val="00FF75D5"/>
    <w:rsid w:val="00FF799C"/>
    <w:rsid w:val="00FF79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D1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701A"/>
    <w:pPr>
      <w:tabs>
        <w:tab w:val="center" w:pos="4153"/>
        <w:tab w:val="right" w:pos="8306"/>
      </w:tabs>
    </w:pPr>
  </w:style>
  <w:style w:type="character" w:customStyle="1" w:styleId="Char">
    <w:name w:val="Κεφαλίδα Char"/>
    <w:link w:val="a3"/>
    <w:uiPriority w:val="99"/>
    <w:rsid w:val="0001701A"/>
    <w:rPr>
      <w:sz w:val="22"/>
      <w:szCs w:val="22"/>
      <w:lang w:eastAsia="en-US"/>
    </w:rPr>
  </w:style>
  <w:style w:type="paragraph" w:styleId="a4">
    <w:name w:val="footer"/>
    <w:basedOn w:val="a"/>
    <w:link w:val="Char0"/>
    <w:uiPriority w:val="99"/>
    <w:unhideWhenUsed/>
    <w:rsid w:val="0001701A"/>
    <w:pPr>
      <w:tabs>
        <w:tab w:val="center" w:pos="4153"/>
        <w:tab w:val="right" w:pos="8306"/>
      </w:tabs>
    </w:pPr>
  </w:style>
  <w:style w:type="character" w:customStyle="1" w:styleId="Char0">
    <w:name w:val="Υποσέλιδο Char"/>
    <w:link w:val="a4"/>
    <w:uiPriority w:val="99"/>
    <w:rsid w:val="0001701A"/>
    <w:rPr>
      <w:sz w:val="22"/>
      <w:szCs w:val="22"/>
      <w:lang w:eastAsia="en-US"/>
    </w:rPr>
  </w:style>
  <w:style w:type="paragraph" w:styleId="a5">
    <w:name w:val="Balloon Text"/>
    <w:basedOn w:val="a"/>
    <w:link w:val="Char1"/>
    <w:uiPriority w:val="99"/>
    <w:semiHidden/>
    <w:unhideWhenUsed/>
    <w:rsid w:val="00E701EE"/>
    <w:pPr>
      <w:spacing w:after="0" w:line="240" w:lineRule="auto"/>
    </w:pPr>
    <w:rPr>
      <w:rFonts w:ascii="Tahoma" w:hAnsi="Tahoma" w:cs="Tahoma"/>
      <w:sz w:val="16"/>
      <w:szCs w:val="16"/>
    </w:rPr>
  </w:style>
  <w:style w:type="character" w:customStyle="1" w:styleId="Char1">
    <w:name w:val="Κείμενο πλαισίου Char"/>
    <w:link w:val="a5"/>
    <w:uiPriority w:val="99"/>
    <w:semiHidden/>
    <w:rsid w:val="00E701EE"/>
    <w:rPr>
      <w:rFonts w:ascii="Tahoma" w:hAnsi="Tahoma" w:cs="Tahoma"/>
      <w:sz w:val="16"/>
      <w:szCs w:val="16"/>
      <w:lang w:eastAsia="en-US"/>
    </w:rPr>
  </w:style>
  <w:style w:type="character" w:styleId="-">
    <w:name w:val="Hyperlink"/>
    <w:uiPriority w:val="99"/>
    <w:unhideWhenUsed/>
    <w:rsid w:val="00F71F08"/>
    <w:rPr>
      <w:color w:val="0000FF"/>
      <w:u w:val="single"/>
    </w:rPr>
  </w:style>
  <w:style w:type="paragraph" w:customStyle="1" w:styleId="Default">
    <w:name w:val="Default"/>
    <w:rsid w:val="00F71F08"/>
    <w:pPr>
      <w:autoSpaceDE w:val="0"/>
      <w:autoSpaceDN w:val="0"/>
      <w:adjustRightInd w:val="0"/>
    </w:pPr>
    <w:rPr>
      <w:rFonts w:ascii="Tahoma" w:eastAsia="Batang" w:hAnsi="Tahoma" w:cs="Tahoma"/>
      <w:color w:val="000000"/>
      <w:sz w:val="24"/>
      <w:szCs w:val="24"/>
    </w:rPr>
  </w:style>
  <w:style w:type="paragraph" w:styleId="a6">
    <w:name w:val="List Paragraph"/>
    <w:basedOn w:val="a"/>
    <w:uiPriority w:val="34"/>
    <w:qFormat/>
    <w:rsid w:val="00501FCE"/>
    <w:pPr>
      <w:ind w:left="720"/>
      <w:contextualSpacing/>
    </w:pPr>
  </w:style>
  <w:style w:type="paragraph" w:styleId="a7">
    <w:name w:val="footnote text"/>
    <w:basedOn w:val="a"/>
    <w:link w:val="Char2"/>
    <w:uiPriority w:val="99"/>
    <w:semiHidden/>
    <w:unhideWhenUsed/>
    <w:rsid w:val="00352D7C"/>
    <w:pPr>
      <w:spacing w:after="0" w:line="240" w:lineRule="auto"/>
    </w:pPr>
    <w:rPr>
      <w:sz w:val="20"/>
      <w:szCs w:val="20"/>
    </w:rPr>
  </w:style>
  <w:style w:type="character" w:customStyle="1" w:styleId="Char2">
    <w:name w:val="Κείμενο υποσημείωσης Char"/>
    <w:link w:val="a7"/>
    <w:uiPriority w:val="99"/>
    <w:semiHidden/>
    <w:rsid w:val="00352D7C"/>
    <w:rPr>
      <w:lang w:eastAsia="en-US"/>
    </w:rPr>
  </w:style>
  <w:style w:type="character" w:styleId="a8">
    <w:name w:val="footnote reference"/>
    <w:uiPriority w:val="99"/>
    <w:semiHidden/>
    <w:unhideWhenUsed/>
    <w:rsid w:val="00352D7C"/>
    <w:rPr>
      <w:vertAlign w:val="superscript"/>
    </w:rPr>
  </w:style>
  <w:style w:type="paragraph" w:styleId="a9">
    <w:name w:val="endnote text"/>
    <w:basedOn w:val="a"/>
    <w:link w:val="Char3"/>
    <w:uiPriority w:val="99"/>
    <w:semiHidden/>
    <w:unhideWhenUsed/>
    <w:rsid w:val="005F37FF"/>
    <w:pPr>
      <w:spacing w:after="0" w:line="240" w:lineRule="auto"/>
    </w:pPr>
    <w:rPr>
      <w:sz w:val="20"/>
      <w:szCs w:val="20"/>
    </w:rPr>
  </w:style>
  <w:style w:type="character" w:customStyle="1" w:styleId="Char3">
    <w:name w:val="Κείμενο σημείωσης τέλους Char"/>
    <w:link w:val="a9"/>
    <w:uiPriority w:val="99"/>
    <w:semiHidden/>
    <w:rsid w:val="005F37FF"/>
    <w:rPr>
      <w:lang w:eastAsia="en-US"/>
    </w:rPr>
  </w:style>
  <w:style w:type="character" w:styleId="aa">
    <w:name w:val="endnote reference"/>
    <w:uiPriority w:val="99"/>
    <w:semiHidden/>
    <w:unhideWhenUsed/>
    <w:rsid w:val="005F37FF"/>
    <w:rPr>
      <w:vertAlign w:val="superscript"/>
    </w:rPr>
  </w:style>
  <w:style w:type="character" w:styleId="ab">
    <w:name w:val="annotation reference"/>
    <w:basedOn w:val="a0"/>
    <w:uiPriority w:val="99"/>
    <w:semiHidden/>
    <w:unhideWhenUsed/>
    <w:rsid w:val="00847E1C"/>
    <w:rPr>
      <w:sz w:val="16"/>
      <w:szCs w:val="16"/>
    </w:rPr>
  </w:style>
  <w:style w:type="paragraph" w:styleId="ac">
    <w:name w:val="annotation text"/>
    <w:basedOn w:val="a"/>
    <w:link w:val="Char4"/>
    <w:uiPriority w:val="99"/>
    <w:semiHidden/>
    <w:unhideWhenUsed/>
    <w:rsid w:val="00847E1C"/>
    <w:pPr>
      <w:spacing w:line="240" w:lineRule="auto"/>
    </w:pPr>
    <w:rPr>
      <w:sz w:val="20"/>
      <w:szCs w:val="20"/>
    </w:rPr>
  </w:style>
  <w:style w:type="character" w:customStyle="1" w:styleId="Char4">
    <w:name w:val="Κείμενο σχολίου Char"/>
    <w:basedOn w:val="a0"/>
    <w:link w:val="ac"/>
    <w:uiPriority w:val="99"/>
    <w:semiHidden/>
    <w:rsid w:val="00847E1C"/>
    <w:rPr>
      <w:lang w:eastAsia="en-US"/>
    </w:rPr>
  </w:style>
  <w:style w:type="paragraph" w:styleId="ad">
    <w:name w:val="annotation subject"/>
    <w:basedOn w:val="ac"/>
    <w:next w:val="ac"/>
    <w:link w:val="Char5"/>
    <w:uiPriority w:val="99"/>
    <w:semiHidden/>
    <w:unhideWhenUsed/>
    <w:rsid w:val="00847E1C"/>
    <w:rPr>
      <w:b/>
      <w:bCs/>
    </w:rPr>
  </w:style>
  <w:style w:type="character" w:customStyle="1" w:styleId="Char5">
    <w:name w:val="Θέμα σχολίου Char"/>
    <w:basedOn w:val="Char4"/>
    <w:link w:val="ad"/>
    <w:uiPriority w:val="99"/>
    <w:semiHidden/>
    <w:rsid w:val="00847E1C"/>
    <w:rPr>
      <w:b/>
      <w:bCs/>
      <w:lang w:eastAsia="en-US"/>
    </w:rPr>
  </w:style>
  <w:style w:type="table" w:styleId="ae">
    <w:name w:val="Table Grid"/>
    <w:basedOn w:val="a1"/>
    <w:uiPriority w:val="59"/>
    <w:rsid w:val="00EF15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e"/>
    <w:uiPriority w:val="59"/>
    <w:rsid w:val="00A24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01A"/>
    <w:pPr>
      <w:tabs>
        <w:tab w:val="center" w:pos="4153"/>
        <w:tab w:val="right" w:pos="8306"/>
      </w:tabs>
    </w:pPr>
  </w:style>
  <w:style w:type="character" w:customStyle="1" w:styleId="HeaderChar">
    <w:name w:val="Header Char"/>
    <w:link w:val="Header"/>
    <w:uiPriority w:val="99"/>
    <w:rsid w:val="0001701A"/>
    <w:rPr>
      <w:sz w:val="22"/>
      <w:szCs w:val="22"/>
      <w:lang w:eastAsia="en-US"/>
    </w:rPr>
  </w:style>
  <w:style w:type="paragraph" w:styleId="Footer">
    <w:name w:val="footer"/>
    <w:basedOn w:val="Normal"/>
    <w:link w:val="FooterChar"/>
    <w:uiPriority w:val="99"/>
    <w:unhideWhenUsed/>
    <w:rsid w:val="0001701A"/>
    <w:pPr>
      <w:tabs>
        <w:tab w:val="center" w:pos="4153"/>
        <w:tab w:val="right" w:pos="8306"/>
      </w:tabs>
    </w:pPr>
  </w:style>
  <w:style w:type="character" w:customStyle="1" w:styleId="FooterChar">
    <w:name w:val="Footer Char"/>
    <w:link w:val="Footer"/>
    <w:uiPriority w:val="99"/>
    <w:rsid w:val="0001701A"/>
    <w:rPr>
      <w:sz w:val="22"/>
      <w:szCs w:val="22"/>
      <w:lang w:eastAsia="en-US"/>
    </w:rPr>
  </w:style>
  <w:style w:type="paragraph" w:styleId="BalloonText">
    <w:name w:val="Balloon Text"/>
    <w:basedOn w:val="Normal"/>
    <w:link w:val="BalloonTextChar"/>
    <w:uiPriority w:val="99"/>
    <w:semiHidden/>
    <w:unhideWhenUsed/>
    <w:rsid w:val="00E701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01EE"/>
    <w:rPr>
      <w:rFonts w:ascii="Tahoma" w:hAnsi="Tahoma" w:cs="Tahoma"/>
      <w:sz w:val="16"/>
      <w:szCs w:val="16"/>
      <w:lang w:eastAsia="en-US"/>
    </w:rPr>
  </w:style>
  <w:style w:type="character" w:styleId="Hyperlink">
    <w:name w:val="Hyperlink"/>
    <w:uiPriority w:val="99"/>
    <w:unhideWhenUsed/>
    <w:rsid w:val="00F71F08"/>
    <w:rPr>
      <w:color w:val="0000FF"/>
      <w:u w:val="single"/>
    </w:rPr>
  </w:style>
  <w:style w:type="paragraph" w:customStyle="1" w:styleId="Default">
    <w:name w:val="Default"/>
    <w:rsid w:val="00F71F08"/>
    <w:pPr>
      <w:autoSpaceDE w:val="0"/>
      <w:autoSpaceDN w:val="0"/>
      <w:adjustRightInd w:val="0"/>
    </w:pPr>
    <w:rPr>
      <w:rFonts w:ascii="Tahoma" w:eastAsia="Batang" w:hAnsi="Tahoma" w:cs="Tahoma"/>
      <w:color w:val="000000"/>
      <w:sz w:val="24"/>
      <w:szCs w:val="24"/>
    </w:rPr>
  </w:style>
  <w:style w:type="paragraph" w:styleId="ListParagraph">
    <w:name w:val="List Paragraph"/>
    <w:basedOn w:val="Normal"/>
    <w:uiPriority w:val="34"/>
    <w:qFormat/>
    <w:rsid w:val="00501FCE"/>
    <w:pPr>
      <w:ind w:left="720"/>
      <w:contextualSpacing/>
    </w:pPr>
  </w:style>
  <w:style w:type="paragraph" w:styleId="FootnoteText">
    <w:name w:val="footnote text"/>
    <w:basedOn w:val="Normal"/>
    <w:link w:val="FootnoteTextChar"/>
    <w:uiPriority w:val="99"/>
    <w:semiHidden/>
    <w:unhideWhenUsed/>
    <w:rsid w:val="00352D7C"/>
    <w:pPr>
      <w:spacing w:after="0" w:line="240" w:lineRule="auto"/>
    </w:pPr>
    <w:rPr>
      <w:sz w:val="20"/>
      <w:szCs w:val="20"/>
    </w:rPr>
  </w:style>
  <w:style w:type="character" w:customStyle="1" w:styleId="FootnoteTextChar">
    <w:name w:val="Footnote Text Char"/>
    <w:link w:val="FootnoteText"/>
    <w:uiPriority w:val="99"/>
    <w:semiHidden/>
    <w:rsid w:val="00352D7C"/>
    <w:rPr>
      <w:lang w:eastAsia="en-US"/>
    </w:rPr>
  </w:style>
  <w:style w:type="character" w:styleId="FootnoteReference">
    <w:name w:val="footnote reference"/>
    <w:uiPriority w:val="99"/>
    <w:semiHidden/>
    <w:unhideWhenUsed/>
    <w:rsid w:val="00352D7C"/>
    <w:rPr>
      <w:vertAlign w:val="superscript"/>
    </w:rPr>
  </w:style>
  <w:style w:type="paragraph" w:styleId="EndnoteText">
    <w:name w:val="endnote text"/>
    <w:basedOn w:val="Normal"/>
    <w:link w:val="EndnoteTextChar"/>
    <w:uiPriority w:val="99"/>
    <w:semiHidden/>
    <w:unhideWhenUsed/>
    <w:rsid w:val="005F37FF"/>
    <w:pPr>
      <w:spacing w:after="0" w:line="240" w:lineRule="auto"/>
    </w:pPr>
    <w:rPr>
      <w:sz w:val="20"/>
      <w:szCs w:val="20"/>
    </w:rPr>
  </w:style>
  <w:style w:type="character" w:customStyle="1" w:styleId="EndnoteTextChar">
    <w:name w:val="Endnote Text Char"/>
    <w:link w:val="EndnoteText"/>
    <w:uiPriority w:val="99"/>
    <w:semiHidden/>
    <w:rsid w:val="005F37FF"/>
    <w:rPr>
      <w:lang w:eastAsia="en-US"/>
    </w:rPr>
  </w:style>
  <w:style w:type="character" w:styleId="EndnoteReference">
    <w:name w:val="endnote reference"/>
    <w:uiPriority w:val="99"/>
    <w:semiHidden/>
    <w:unhideWhenUsed/>
    <w:rsid w:val="005F37FF"/>
    <w:rPr>
      <w:vertAlign w:val="superscript"/>
    </w:rPr>
  </w:style>
  <w:style w:type="character" w:styleId="CommentReference">
    <w:name w:val="annotation reference"/>
    <w:basedOn w:val="DefaultParagraphFont"/>
    <w:uiPriority w:val="99"/>
    <w:semiHidden/>
    <w:unhideWhenUsed/>
    <w:rsid w:val="00847E1C"/>
    <w:rPr>
      <w:sz w:val="16"/>
      <w:szCs w:val="16"/>
    </w:rPr>
  </w:style>
  <w:style w:type="paragraph" w:styleId="CommentText">
    <w:name w:val="annotation text"/>
    <w:basedOn w:val="Normal"/>
    <w:link w:val="CommentTextChar"/>
    <w:uiPriority w:val="99"/>
    <w:semiHidden/>
    <w:unhideWhenUsed/>
    <w:rsid w:val="00847E1C"/>
    <w:pPr>
      <w:spacing w:line="240" w:lineRule="auto"/>
    </w:pPr>
    <w:rPr>
      <w:sz w:val="20"/>
      <w:szCs w:val="20"/>
    </w:rPr>
  </w:style>
  <w:style w:type="character" w:customStyle="1" w:styleId="CommentTextChar">
    <w:name w:val="Comment Text Char"/>
    <w:basedOn w:val="DefaultParagraphFont"/>
    <w:link w:val="CommentText"/>
    <w:uiPriority w:val="99"/>
    <w:semiHidden/>
    <w:rsid w:val="00847E1C"/>
    <w:rPr>
      <w:lang w:eastAsia="en-US"/>
    </w:rPr>
  </w:style>
  <w:style w:type="paragraph" w:styleId="CommentSubject">
    <w:name w:val="annotation subject"/>
    <w:basedOn w:val="CommentText"/>
    <w:next w:val="CommentText"/>
    <w:link w:val="CommentSubjectChar"/>
    <w:uiPriority w:val="99"/>
    <w:semiHidden/>
    <w:unhideWhenUsed/>
    <w:rsid w:val="00847E1C"/>
    <w:rPr>
      <w:b/>
      <w:bCs/>
    </w:rPr>
  </w:style>
  <w:style w:type="character" w:customStyle="1" w:styleId="CommentSubjectChar">
    <w:name w:val="Comment Subject Char"/>
    <w:basedOn w:val="CommentTextChar"/>
    <w:link w:val="CommentSubject"/>
    <w:uiPriority w:val="99"/>
    <w:semiHidden/>
    <w:rsid w:val="00847E1C"/>
    <w:rPr>
      <w:b/>
      <w:bCs/>
      <w:lang w:eastAsia="en-US"/>
    </w:rPr>
  </w:style>
  <w:style w:type="table" w:styleId="TableGrid">
    <w:name w:val="Table Grid"/>
    <w:basedOn w:val="TableNormal"/>
    <w:uiPriority w:val="59"/>
    <w:rsid w:val="00EF1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246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23843816">
      <w:bodyDiv w:val="1"/>
      <w:marLeft w:val="0"/>
      <w:marRight w:val="0"/>
      <w:marTop w:val="0"/>
      <w:marBottom w:val="0"/>
      <w:divBdr>
        <w:top w:val="none" w:sz="0" w:space="0" w:color="auto"/>
        <w:left w:val="none" w:sz="0" w:space="0" w:color="auto"/>
        <w:bottom w:val="none" w:sz="0" w:space="0" w:color="auto"/>
        <w:right w:val="none" w:sz="0" w:space="0" w:color="auto"/>
      </w:divBdr>
    </w:div>
    <w:div w:id="169981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orRelations@marfingroup.g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A0A3C-1368-4E85-885F-BECC996D0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1562</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9980</CharactersWithSpaces>
  <SharedDoc>false</SharedDoc>
  <HLinks>
    <vt:vector size="6" baseType="variant">
      <vt:variant>
        <vt:i4>8257604</vt:i4>
      </vt:variant>
      <vt:variant>
        <vt:i4>0</vt:i4>
      </vt:variant>
      <vt:variant>
        <vt:i4>0</vt:i4>
      </vt:variant>
      <vt:variant>
        <vt:i4>5</vt:i4>
      </vt:variant>
      <vt:variant>
        <vt:lpwstr>mailto:InvestorRelations@marfingroup.gr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Haralabopoulos Dimitris</dc:creator>
  <cp:lastModifiedBy>sTOLIS</cp:lastModifiedBy>
  <cp:revision>2</cp:revision>
  <cp:lastPrinted>2016-03-23T11:32:00Z</cp:lastPrinted>
  <dcterms:created xsi:type="dcterms:W3CDTF">2016-09-20T14:47:00Z</dcterms:created>
  <dcterms:modified xsi:type="dcterms:W3CDTF">2016-09-20T14:47:00Z</dcterms:modified>
</cp:coreProperties>
</file>