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42" w:rsidRPr="00F50813" w:rsidRDefault="00486D0B" w:rsidP="004929D8">
      <w:pPr>
        <w:spacing w:after="160" w:line="200" w:lineRule="atLeast"/>
        <w:jc w:val="both"/>
        <w:rPr>
          <w:rFonts w:ascii="Segoe UI" w:hAnsi="Segoe UI" w:cs="Segoe UI"/>
          <w:b/>
          <w:lang w:val="en-US"/>
        </w:rPr>
      </w:pPr>
      <w:r>
        <w:rPr>
          <w:rFonts w:ascii="Segoe UI" w:hAnsi="Segoe UI" w:cs="Segoe UI"/>
          <w:b/>
          <w:noProof/>
          <w:lang w:val="el-GR"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2.25pt;margin-top:-9.15pt;width:435.9pt;height:731.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" fillcolor="#d8d8d8 [2732]" stroked="f">
            <v:textbox>
              <w:txbxContent>
                <w:p w:rsidR="005726A5" w:rsidRPr="005E31B2" w:rsidRDefault="005726A5" w:rsidP="00BF459E">
                  <w:pPr>
                    <w:spacing w:before="120" w:after="0" w:line="240" w:lineRule="auto"/>
                    <w:jc w:val="center"/>
                    <w:rPr>
                      <w:rFonts w:ascii="Segoe UI" w:hAnsi="Segoe UI" w:cs="Segoe UI"/>
                      <w:b/>
                      <w:sz w:val="32"/>
                      <w:szCs w:val="26"/>
                      <w:lang w:val="el-GR"/>
                    </w:rPr>
                  </w:pPr>
                  <w:r w:rsidRPr="005E31B2">
                    <w:rPr>
                      <w:rFonts w:ascii="Segoe UI" w:hAnsi="Segoe UI" w:cs="Segoe UI"/>
                      <w:b/>
                      <w:sz w:val="32"/>
                      <w:szCs w:val="26"/>
                      <w:lang w:val="el-GR"/>
                    </w:rPr>
                    <w:t>ΔΕΛΤΙΟ ΤΥΠΟΥ</w:t>
                  </w:r>
                </w:p>
                <w:p w:rsidR="005726A5" w:rsidRDefault="005726A5" w:rsidP="00BF459E">
                  <w:pPr>
                    <w:spacing w:before="120" w:after="0" w:line="240" w:lineRule="auto"/>
                    <w:jc w:val="center"/>
                    <w:rPr>
                      <w:rFonts w:ascii="Segoe UI" w:hAnsi="Segoe UI" w:cs="Segoe UI"/>
                      <w:b/>
                      <w:sz w:val="28"/>
                      <w:szCs w:val="30"/>
                      <w:lang w:val="el-GR"/>
                    </w:rPr>
                  </w:pPr>
                  <w:r w:rsidRPr="008F5B0E">
                    <w:rPr>
                      <w:rFonts w:ascii="Segoe UI" w:hAnsi="Segoe UI" w:cs="Segoe UI"/>
                      <w:b/>
                      <w:sz w:val="28"/>
                      <w:szCs w:val="30"/>
                      <w:lang w:val="el-GR"/>
                    </w:rPr>
                    <w:t xml:space="preserve">Αποτελέσματα Ομίλου ΕΤΕ: </w:t>
                  </w:r>
                  <w:r>
                    <w:rPr>
                      <w:rFonts w:ascii="Segoe UI" w:hAnsi="Segoe UI" w:cs="Segoe UI"/>
                      <w:b/>
                      <w:sz w:val="28"/>
                      <w:szCs w:val="30"/>
                      <w:lang w:val="el-GR"/>
                    </w:rPr>
                    <w:t>Γ</w:t>
                  </w:r>
                  <w:r w:rsidRPr="008F5B0E">
                    <w:rPr>
                      <w:rFonts w:ascii="Segoe UI" w:hAnsi="Segoe UI" w:cs="Segoe UI"/>
                      <w:b/>
                      <w:sz w:val="28"/>
                      <w:szCs w:val="30"/>
                      <w:lang w:val="el-GR"/>
                    </w:rPr>
                    <w:t>’ τρίμηνο 2019</w:t>
                  </w:r>
                </w:p>
                <w:p w:rsidR="005726A5" w:rsidRPr="007478A2" w:rsidRDefault="00F23C9C" w:rsidP="00BF459E">
                  <w:pPr>
                    <w:spacing w:before="120" w:after="0" w:line="240" w:lineRule="auto"/>
                    <w:jc w:val="center"/>
                    <w:rPr>
                      <w:rFonts w:ascii="Segoe UI" w:hAnsi="Segoe UI" w:cs="Segoe UI"/>
                      <w:b/>
                      <w:i/>
                      <w:sz w:val="24"/>
                      <w:szCs w:val="30"/>
                      <w:lang w:val="el-GR"/>
                    </w:rPr>
                  </w:pPr>
                  <w:r>
                    <w:rPr>
                      <w:rFonts w:ascii="Segoe UI" w:hAnsi="Segoe UI" w:cs="Segoe UI"/>
                      <w:b/>
                      <w:i/>
                      <w:sz w:val="24"/>
                      <w:szCs w:val="30"/>
                      <w:lang w:val="el-GR"/>
                    </w:rPr>
                    <w:t xml:space="preserve">H εφαρμογή του </w:t>
                  </w:r>
                  <w:r w:rsidR="005726A5" w:rsidRPr="00494FA6">
                    <w:rPr>
                      <w:rFonts w:ascii="Segoe UI" w:hAnsi="Segoe UI" w:cs="Segoe UI"/>
                      <w:b/>
                      <w:i/>
                      <w:sz w:val="24"/>
                      <w:szCs w:val="30"/>
                      <w:lang w:val="el-GR"/>
                    </w:rPr>
                    <w:t>φιλόδοξο</w:t>
                  </w:r>
                  <w:r>
                    <w:rPr>
                      <w:rFonts w:ascii="Segoe UI" w:hAnsi="Segoe UI" w:cs="Segoe UI"/>
                      <w:b/>
                      <w:i/>
                      <w:sz w:val="24"/>
                      <w:szCs w:val="30"/>
                      <w:lang w:val="el-GR"/>
                    </w:rPr>
                    <w:t>υ</w:t>
                  </w:r>
                  <w:r w:rsidR="005726A5" w:rsidRPr="00494FA6">
                    <w:rPr>
                      <w:rFonts w:ascii="Segoe UI" w:hAnsi="Segoe UI" w:cs="Segoe UI"/>
                      <w:b/>
                      <w:i/>
                      <w:sz w:val="24"/>
                      <w:szCs w:val="30"/>
                      <w:lang w:val="el-GR"/>
                    </w:rPr>
                    <w:t xml:space="preserve"> </w:t>
                  </w:r>
                  <w:r w:rsidRPr="00494FA6">
                    <w:rPr>
                      <w:rFonts w:ascii="Segoe UI" w:hAnsi="Segoe UI" w:cs="Segoe UI"/>
                      <w:b/>
                      <w:i/>
                      <w:sz w:val="24"/>
                      <w:szCs w:val="30"/>
                      <w:lang w:val="el-GR"/>
                    </w:rPr>
                    <w:t>Προγράμμα</w:t>
                  </w:r>
                  <w:r>
                    <w:rPr>
                      <w:rFonts w:ascii="Segoe UI" w:hAnsi="Segoe UI" w:cs="Segoe UI"/>
                      <w:b/>
                      <w:i/>
                      <w:sz w:val="24"/>
                      <w:szCs w:val="30"/>
                      <w:lang w:val="el-GR"/>
                    </w:rPr>
                    <w:t>τος</w:t>
                  </w:r>
                  <w:r w:rsidR="005726A5" w:rsidRPr="00494FA6">
                    <w:rPr>
                      <w:rFonts w:ascii="Segoe UI" w:hAnsi="Segoe UI" w:cs="Segoe UI"/>
                      <w:b/>
                      <w:i/>
                      <w:sz w:val="24"/>
                      <w:szCs w:val="30"/>
                      <w:lang w:val="el-GR"/>
                    </w:rPr>
                    <w:t xml:space="preserve"> Μετασχηματισμού </w:t>
                  </w:r>
                  <w:r>
                    <w:rPr>
                      <w:rFonts w:ascii="Segoe UI" w:hAnsi="Segoe UI" w:cs="Segoe UI"/>
                      <w:b/>
                      <w:i/>
                      <w:sz w:val="24"/>
                      <w:szCs w:val="30"/>
                      <w:lang w:val="el-GR"/>
                    </w:rPr>
                    <w:t xml:space="preserve">συνεχίζεται απρόσκοπτα, </w:t>
                  </w:r>
                  <w:r w:rsidR="005726A5">
                    <w:rPr>
                      <w:rFonts w:ascii="Segoe UI" w:hAnsi="Segoe UI" w:cs="Segoe UI"/>
                      <w:b/>
                      <w:i/>
                      <w:sz w:val="24"/>
                      <w:szCs w:val="30"/>
                      <w:lang w:val="el-GR"/>
                    </w:rPr>
                    <w:t>παράγ</w:t>
                  </w:r>
                  <w:r>
                    <w:rPr>
                      <w:rFonts w:ascii="Segoe UI" w:hAnsi="Segoe UI" w:cs="Segoe UI"/>
                      <w:b/>
                      <w:i/>
                      <w:sz w:val="24"/>
                      <w:szCs w:val="30"/>
                      <w:lang w:val="el-GR"/>
                    </w:rPr>
                    <w:t xml:space="preserve">οντας </w:t>
                  </w:r>
                  <w:r w:rsidR="005726A5" w:rsidRPr="00494FA6">
                    <w:rPr>
                      <w:rFonts w:ascii="Segoe UI" w:hAnsi="Segoe UI" w:cs="Segoe UI"/>
                      <w:b/>
                      <w:i/>
                      <w:sz w:val="24"/>
                      <w:szCs w:val="30"/>
                      <w:lang w:val="el-GR"/>
                    </w:rPr>
                    <w:t>αποτελέσματα</w:t>
                  </w:r>
                  <w:r w:rsidR="005726A5" w:rsidRPr="007478A2">
                    <w:rPr>
                      <w:rFonts w:ascii="Segoe UI" w:hAnsi="Segoe UI" w:cs="Segoe UI"/>
                      <w:b/>
                      <w:i/>
                      <w:sz w:val="24"/>
                      <w:szCs w:val="30"/>
                      <w:lang w:val="el-GR"/>
                    </w:rPr>
                    <w:t xml:space="preserve"> </w:t>
                  </w:r>
                </w:p>
                <w:p w:rsidR="005726A5" w:rsidRPr="00494FA6" w:rsidRDefault="005726A5" w:rsidP="00BF459E">
                  <w:pPr>
                    <w:spacing w:before="120" w:after="0" w:line="240" w:lineRule="auto"/>
                    <w:jc w:val="center"/>
                    <w:rPr>
                      <w:rFonts w:ascii="Segoe UI" w:hAnsi="Segoe UI" w:cs="Segoe UI"/>
                      <w:b/>
                      <w:sz w:val="2"/>
                      <w:szCs w:val="2"/>
                      <w:lang w:val="el-GR"/>
                    </w:rPr>
                  </w:pPr>
                </w:p>
                <w:p w:rsidR="005726A5" w:rsidRPr="00494FA6" w:rsidRDefault="005726A5" w:rsidP="00BF459E">
                  <w:pPr>
                    <w:spacing w:before="120" w:after="0" w:line="240" w:lineRule="auto"/>
                    <w:rPr>
                      <w:rFonts w:ascii="Segoe UI" w:hAnsi="Segoe UI" w:cs="Segoe UI"/>
                      <w:b/>
                      <w:sz w:val="12"/>
                      <w:szCs w:val="2"/>
                      <w:lang w:val="el-GR"/>
                    </w:rPr>
                  </w:pPr>
                </w:p>
                <w:p w:rsidR="005726A5" w:rsidRPr="00C74954" w:rsidRDefault="005726A5" w:rsidP="008510E3">
                  <w:pPr>
                    <w:pStyle w:val="a3"/>
                    <w:numPr>
                      <w:ilvl w:val="0"/>
                      <w:numId w:val="3"/>
                    </w:numPr>
                    <w:rPr>
                      <w:rFonts w:ascii="Segoe UI" w:hAnsi="Segoe UI" w:cs="Segoe UI"/>
                      <w:b/>
                      <w:sz w:val="18"/>
                      <w:szCs w:val="18"/>
                      <w:lang w:val="el-GR"/>
                    </w:rPr>
                  </w:pPr>
                  <w:r>
                    <w:rPr>
                      <w:rFonts w:ascii="Segoe UI" w:hAnsi="Segoe UI" w:cs="Segoe UI"/>
                      <w:b/>
                      <w:sz w:val="19"/>
                      <w:szCs w:val="19"/>
                      <w:lang w:val="el-GR"/>
                    </w:rPr>
                    <w:t xml:space="preserve">Τα </w:t>
                  </w:r>
                  <w:r w:rsidRPr="00C74954">
                    <w:rPr>
                      <w:rFonts w:ascii="Segoe UI" w:hAnsi="Segoe UI" w:cs="Segoe UI"/>
                      <w:b/>
                      <w:sz w:val="18"/>
                      <w:szCs w:val="18"/>
                      <w:lang w:val="el-GR"/>
                    </w:rPr>
                    <w:t>κέρδη μετά φόρων από συνεχιζόμενες δραστηριότητες του Ομίλου αυξήθηκαν σε €423 εκατ. το εννεάμηνο 2019 από €61 εκατ. το εννεάμηνο 2018</w:t>
                  </w:r>
                </w:p>
                <w:p w:rsidR="005726A5" w:rsidRPr="00C74954" w:rsidRDefault="005726A5" w:rsidP="008510E3">
                  <w:pPr>
                    <w:pStyle w:val="a3"/>
                    <w:numPr>
                      <w:ilvl w:val="1"/>
                      <w:numId w:val="2"/>
                    </w:numPr>
                    <w:spacing w:before="160" w:after="0" w:line="240" w:lineRule="auto"/>
                    <w:rPr>
                      <w:rFonts w:ascii="Segoe UI" w:hAnsi="Segoe UI" w:cs="Segoe UI"/>
                      <w:sz w:val="18"/>
                      <w:szCs w:val="18"/>
                      <w:lang w:val="el-GR"/>
                    </w:rPr>
                  </w:pPr>
                  <w:r w:rsidRPr="00C74954">
                    <w:rPr>
                      <w:rFonts w:ascii="Segoe UI" w:hAnsi="Segoe UI" w:cs="Segoe UI"/>
                      <w:sz w:val="18"/>
                      <w:szCs w:val="18"/>
                      <w:lang w:val="el-GR"/>
                    </w:rPr>
                    <w:t>Τα καθαρά έσοδα από τόκους ενισχύθηκαν κατά 7% σε ετήσια βάση, ανερχόμενα σε €898 εκατ. το εννεάμηνο 2019, αντανακλώντας τη σημαντική αύξηση των επιτοκιακών εσόδων από χρεόγραφα, καθώς και τη σταθεροποίηση των επιτοκιακών εσόδων από δάνεια</w:t>
                  </w:r>
                </w:p>
                <w:p w:rsidR="005726A5" w:rsidRPr="00C74954" w:rsidRDefault="005726A5" w:rsidP="008510E3">
                  <w:pPr>
                    <w:pStyle w:val="a3"/>
                    <w:numPr>
                      <w:ilvl w:val="1"/>
                      <w:numId w:val="2"/>
                    </w:numPr>
                    <w:spacing w:before="160" w:after="0" w:line="240" w:lineRule="auto"/>
                    <w:rPr>
                      <w:rFonts w:ascii="Segoe UI" w:hAnsi="Segoe UI" w:cs="Segoe UI"/>
                      <w:sz w:val="18"/>
                      <w:szCs w:val="18"/>
                      <w:lang w:val="el-GR"/>
                    </w:rPr>
                  </w:pPr>
                  <w:r w:rsidRPr="00C74954">
                    <w:rPr>
                      <w:rFonts w:ascii="Segoe UI" w:hAnsi="Segoe UI" w:cs="Segoe UI"/>
                      <w:sz w:val="18"/>
                      <w:szCs w:val="18"/>
                      <w:lang w:val="el-GR"/>
                    </w:rPr>
                    <w:t>Η σταδιακή ανάκαμψη στα καθαρά έσοδα από προμήθειες συνεχίστηκε (+5% σε ετήσια βάση), αντικατοπτρίζοντας τη σημαντική αύξηση των εσόδων από προμήθειες Λιανικής Τραπεζικής (+12% σε ετήσια βάση)</w:t>
                  </w:r>
                </w:p>
                <w:p w:rsidR="005726A5" w:rsidRPr="00C74954" w:rsidRDefault="005726A5" w:rsidP="008510E3">
                  <w:pPr>
                    <w:pStyle w:val="a3"/>
                    <w:numPr>
                      <w:ilvl w:val="1"/>
                      <w:numId w:val="2"/>
                    </w:numPr>
                    <w:spacing w:before="160" w:after="0" w:line="240" w:lineRule="auto"/>
                    <w:rPr>
                      <w:rFonts w:ascii="Segoe UI" w:hAnsi="Segoe UI" w:cs="Segoe UI"/>
                      <w:sz w:val="18"/>
                      <w:szCs w:val="18"/>
                      <w:lang w:val="el-GR"/>
                    </w:rPr>
                  </w:pPr>
                  <w:r w:rsidRPr="00C74954">
                    <w:rPr>
                      <w:rFonts w:ascii="Segoe UI" w:hAnsi="Segoe UI" w:cs="Segoe UI"/>
                      <w:sz w:val="18"/>
                      <w:szCs w:val="18"/>
                      <w:lang w:val="el-GR"/>
                    </w:rPr>
                    <w:t xml:space="preserve">Παρά την αρνητική εποχικότητα του Γ’ τριμήνου 2019 και τη διεξαγωγή εκλογών το Β’ τρίμηνο 2019, οι εκταμιεύσεις δανείων της ΕΤΕ στην Ελλάδα ανήλθαν σε €2,2 δισ. το εννεάμηνο 2019 (+36% σε ετήσια βάση), αντανακλώντας τις εκταμιεύσεις δανείων προς επιχειρήσεις </w:t>
                  </w:r>
                </w:p>
                <w:p w:rsidR="005726A5" w:rsidRPr="00C74954" w:rsidRDefault="005726A5" w:rsidP="008510E3">
                  <w:pPr>
                    <w:pStyle w:val="a3"/>
                    <w:numPr>
                      <w:ilvl w:val="1"/>
                      <w:numId w:val="2"/>
                    </w:numPr>
                    <w:spacing w:before="160" w:after="0" w:line="240" w:lineRule="auto"/>
                    <w:rPr>
                      <w:rFonts w:ascii="Segoe UI" w:hAnsi="Segoe UI" w:cs="Segoe UI"/>
                      <w:sz w:val="18"/>
                      <w:szCs w:val="18"/>
                      <w:lang w:val="el-GR"/>
                    </w:rPr>
                  </w:pPr>
                  <w:r w:rsidRPr="00C74954">
                    <w:rPr>
                      <w:rFonts w:ascii="Segoe UI" w:hAnsi="Segoe UI" w:cs="Segoe UI"/>
                      <w:sz w:val="18"/>
                      <w:szCs w:val="18"/>
                      <w:lang w:val="el-GR"/>
                    </w:rPr>
                    <w:t>Τα κέρδη από χρηματοοικονομικές πράξεις και λοιπά έσοδα διαμορφώθηκαν σε €257 εκατ. το εννεάμηνο 2019 έναντι ζημιών ύψους €24 εκατ. το εννεάμηνο 2018, ενσωματώνοντας μη επαναλαμβανόμενα κέρδη ύψους €213 εκατ. σχετιζόμενα με την αντικατάσταση της Συμφωνίας Ανταλλαγής Επιτοκίων (</w:t>
                  </w:r>
                  <w:r w:rsidRPr="00C74954">
                    <w:rPr>
                      <w:rFonts w:ascii="Segoe UI" w:hAnsi="Segoe UI" w:cs="Segoe UI"/>
                      <w:sz w:val="18"/>
                      <w:szCs w:val="18"/>
                      <w:lang w:val="en-US"/>
                    </w:rPr>
                    <w:t>IRS</w:t>
                  </w:r>
                  <w:r w:rsidRPr="00C74954">
                    <w:rPr>
                      <w:rFonts w:ascii="Segoe UI" w:hAnsi="Segoe UI" w:cs="Segoe UI"/>
                      <w:sz w:val="18"/>
                      <w:szCs w:val="18"/>
                      <w:lang w:val="el-GR"/>
                    </w:rPr>
                    <w:t>) με Ομόλογα Ελληνικού Δημοσίου (ΟΕΔ) το Α’ τρίμηνο 2019 (€65 εκατ.), την πώληση του ξενοδοχείου “</w:t>
                  </w:r>
                  <w:r w:rsidRPr="00C74954">
                    <w:rPr>
                      <w:rFonts w:ascii="Segoe UI" w:hAnsi="Segoe UI" w:cs="Segoe UI"/>
                      <w:sz w:val="18"/>
                      <w:szCs w:val="18"/>
                      <w:lang w:val="en-US"/>
                    </w:rPr>
                    <w:t>Grand</w:t>
                  </w:r>
                  <w:r w:rsidRPr="00C74954">
                    <w:rPr>
                      <w:rFonts w:ascii="Segoe UI" w:hAnsi="Segoe UI" w:cs="Segoe UI"/>
                      <w:sz w:val="18"/>
                      <w:szCs w:val="18"/>
                      <w:lang w:val="el-GR"/>
                    </w:rPr>
                    <w:t xml:space="preserve"> </w:t>
                  </w:r>
                  <w:r w:rsidRPr="00C74954">
                    <w:rPr>
                      <w:rFonts w:ascii="Segoe UI" w:hAnsi="Segoe UI" w:cs="Segoe UI"/>
                      <w:sz w:val="18"/>
                      <w:szCs w:val="18"/>
                      <w:lang w:val="en-US"/>
                    </w:rPr>
                    <w:t>Hotel</w:t>
                  </w:r>
                  <w:r w:rsidRPr="00C74954">
                    <w:rPr>
                      <w:rFonts w:ascii="Segoe UI" w:hAnsi="Segoe UI" w:cs="Segoe UI"/>
                      <w:sz w:val="18"/>
                      <w:szCs w:val="18"/>
                      <w:lang w:val="el-GR"/>
                    </w:rPr>
                    <w:t>” το Β’ τρίμηνο 2019 (€30 εκατ.), καθώς και τα κέρδη από την πώληση κρατικών ομολόγων το Γ’ τρίμηνο 2019 (€118 εκατ.)</w:t>
                  </w:r>
                </w:p>
                <w:p w:rsidR="005726A5" w:rsidRPr="00C74954" w:rsidRDefault="005726A5" w:rsidP="008510E3">
                  <w:pPr>
                    <w:pStyle w:val="a3"/>
                    <w:numPr>
                      <w:ilvl w:val="1"/>
                      <w:numId w:val="2"/>
                    </w:numPr>
                    <w:spacing w:before="160" w:after="0" w:line="240" w:lineRule="auto"/>
                    <w:rPr>
                      <w:rFonts w:ascii="Segoe UI" w:hAnsi="Segoe UI" w:cs="Segoe UI"/>
                      <w:sz w:val="18"/>
                      <w:szCs w:val="18"/>
                      <w:lang w:val="el-GR"/>
                    </w:rPr>
                  </w:pPr>
                  <w:r w:rsidRPr="00C74954">
                    <w:rPr>
                      <w:rFonts w:ascii="Segoe UI" w:hAnsi="Segoe UI" w:cs="Segoe UI"/>
                      <w:sz w:val="18"/>
                      <w:szCs w:val="18"/>
                      <w:lang w:val="el-GR"/>
                    </w:rPr>
                    <w:t xml:space="preserve">Οι λειτουργικές δαπάνες υποχώρησαν κατά 7% σε ετήσια βάση σε €621 εκατ. το εννεάμηνο 2019, αντανακλώντας την περιστολή των δαπανών προσωπικού (-8% σε ετήσια βάση), η οποία ενσωματώνει μέρος της θετικής επίπτωσης των Προγραμμάτων Εθελουσίας Εξόδου Προσωπικού, με τη τρέχουσα συμμετοχή να ανέρχεται σε περίπου 700 εργαζόμενους από την αρχή του έτους </w:t>
                  </w:r>
                </w:p>
                <w:p w:rsidR="005726A5" w:rsidRPr="00C74954" w:rsidRDefault="005726A5" w:rsidP="008510E3">
                  <w:pPr>
                    <w:pStyle w:val="a3"/>
                    <w:numPr>
                      <w:ilvl w:val="1"/>
                      <w:numId w:val="2"/>
                    </w:numPr>
                    <w:spacing w:before="160" w:after="0" w:line="240" w:lineRule="auto"/>
                    <w:rPr>
                      <w:rFonts w:ascii="Segoe UI" w:hAnsi="Segoe UI" w:cs="Segoe UI"/>
                      <w:sz w:val="18"/>
                      <w:szCs w:val="18"/>
                      <w:lang w:val="el-GR"/>
                    </w:rPr>
                  </w:pPr>
                  <w:r w:rsidRPr="00C74954">
                    <w:rPr>
                      <w:rFonts w:ascii="Segoe UI" w:hAnsi="Segoe UI" w:cs="Segoe UI"/>
                      <w:sz w:val="18"/>
                      <w:szCs w:val="18"/>
                      <w:lang w:val="el-GR"/>
                    </w:rPr>
                    <w:t>Αντανακλώντας τη συνεχή προσπάθεια της Τράπεζας για περιστολή του λειτουργικού της κόστους και εξαιρουμένης της επίπτωσης στις αποσβέσεις από τη μετάβαση στο διεθνές λογιστικό πρότυπο 16 (ΔΠΧΑ 16), ως αποτέλεσμα της αποεπένδυσης από την ΠΑΝΓΑΙΑ, τα γενικά διοικητικά και λοιπά λειτουργικά έξοδα μειώθηκαν κατά 13% σε ετήσια βάση το εννεάμηνο του 2019. Ο δείκτης Κόστους προς Οργανικά Έσοδα, εξαιρουμένων των κερδών από χρηματοοικονομικές πράξεις, αποκλιμακώθηκε σε 57% το εννεάμηνο 2019 από 65% το εννεάμηνο 2018</w:t>
                  </w:r>
                </w:p>
                <w:p w:rsidR="005726A5" w:rsidRPr="00C74954" w:rsidRDefault="005726A5" w:rsidP="00B236CE">
                  <w:pPr>
                    <w:pStyle w:val="a3"/>
                    <w:numPr>
                      <w:ilvl w:val="1"/>
                      <w:numId w:val="2"/>
                    </w:numPr>
                    <w:spacing w:before="160" w:after="0" w:line="240" w:lineRule="auto"/>
                    <w:rPr>
                      <w:rFonts w:ascii="Segoe UI" w:hAnsi="Segoe UI" w:cs="Segoe UI"/>
                      <w:sz w:val="18"/>
                      <w:szCs w:val="18"/>
                      <w:lang w:val="el-GR"/>
                    </w:rPr>
                  </w:pPr>
                  <w:r w:rsidRPr="00C74954">
                    <w:rPr>
                      <w:rFonts w:ascii="Segoe UI" w:hAnsi="Segoe UI" w:cs="Segoe UI"/>
                      <w:sz w:val="18"/>
                      <w:szCs w:val="18"/>
                      <w:lang w:val="el-GR"/>
                    </w:rPr>
                    <w:t xml:space="preserve">Οι προβλέψεις για επισφαλείς απαιτήσεις παραμένουν σε σχετικά χαμηλά επίπεδα, ανερχόμενες σε €303 εκατ. το εννεάμηνο 2019, με το κόστος πιστωτικού κινδύνου να διαμορφώνεται σε 136μ.β., απορροφώντας επιπλέον προβλέψεις για επισφαλείς απαιτήσεις σχετιζόμενες με την πώληση χαρτοφυλακίων δανείων στο εξωτερικό  </w:t>
                  </w:r>
                </w:p>
                <w:p w:rsidR="005726A5" w:rsidRPr="00C74954" w:rsidRDefault="005726A5" w:rsidP="008510E3">
                  <w:pPr>
                    <w:pStyle w:val="a3"/>
                    <w:numPr>
                      <w:ilvl w:val="1"/>
                      <w:numId w:val="2"/>
                    </w:numPr>
                    <w:spacing w:before="160" w:after="0" w:line="240" w:lineRule="auto"/>
                    <w:rPr>
                      <w:rFonts w:ascii="Segoe UI" w:hAnsi="Segoe UI" w:cs="Segoe UI"/>
                      <w:sz w:val="18"/>
                      <w:szCs w:val="18"/>
                      <w:lang w:val="el-GR"/>
                    </w:rPr>
                  </w:pPr>
                  <w:r w:rsidRPr="00C74954">
                    <w:rPr>
                      <w:rFonts w:ascii="Segoe UI" w:hAnsi="Segoe UI" w:cs="Segoe UI"/>
                      <w:sz w:val="18"/>
                      <w:szCs w:val="18"/>
                      <w:lang w:val="el-GR"/>
                    </w:rPr>
                    <w:t>Τα λειτουργικά κέρδη διαμορφώθηκαν σε 416 εκατ. (4,5 φορές αύξηση σε ετήσια βάση), αντανακλώντας την αύξηση των οργανικών και μη οργανικών εσόδων, την περιστολή των λειτουργικών δαπανών, καθώς και τη διατήρηση του κόστους πιστωτικού κινδύνου σε σχετικά χαμηλά επίπεδα, παρά τη σημαντική αποκλιμάκωση των Μη Εξυπηρετούμενων Ανοιγμάτων (ΜΕΑ)</w:t>
                  </w:r>
                </w:p>
                <w:p w:rsidR="00001964" w:rsidRDefault="00001964" w:rsidP="00001964">
                  <w:pPr>
                    <w:pStyle w:val="a3"/>
                    <w:spacing w:after="0" w:line="240" w:lineRule="auto"/>
                    <w:ind w:left="360"/>
                    <w:jc w:val="right"/>
                    <w:rPr>
                      <w:rFonts w:ascii="Segoe UI" w:hAnsi="Segoe UI" w:cs="Segoe UI"/>
                      <w:sz w:val="16"/>
                      <w:szCs w:val="12"/>
                      <w:lang w:val="el-GR"/>
                    </w:rPr>
                  </w:pPr>
                </w:p>
                <w:p w:rsidR="00001964" w:rsidRPr="00C74954" w:rsidRDefault="00001964" w:rsidP="00001964">
                  <w:pPr>
                    <w:numPr>
                      <w:ilvl w:val="0"/>
                      <w:numId w:val="4"/>
                    </w:numPr>
                    <w:spacing w:before="120" w:after="0" w:line="240" w:lineRule="auto"/>
                    <w:rPr>
                      <w:rFonts w:ascii="Segoe UI" w:hAnsi="Segoe UI" w:cs="Segoe UI"/>
                      <w:b/>
                      <w:sz w:val="18"/>
                      <w:szCs w:val="18"/>
                      <w:lang w:val="el-GR"/>
                    </w:rPr>
                  </w:pPr>
                  <w:r>
                    <w:rPr>
                      <w:rFonts w:ascii="Segoe UI" w:hAnsi="Segoe UI"/>
                      <w:b/>
                      <w:sz w:val="19"/>
                      <w:szCs w:val="19"/>
                      <w:lang w:val="el-GR"/>
                    </w:rPr>
                    <w:t xml:space="preserve">Η </w:t>
                  </w:r>
                  <w:r w:rsidRPr="00C74954">
                    <w:rPr>
                      <w:rFonts w:ascii="Segoe UI" w:hAnsi="Segoe UI"/>
                      <w:b/>
                      <w:sz w:val="18"/>
                      <w:szCs w:val="18"/>
                      <w:lang w:val="el-GR"/>
                    </w:rPr>
                    <w:t xml:space="preserve">μείωση ΜΕΑ κατά €4,0 δισ. από την αρχή του έτους είναι κοντά στον ετήσιο στόχο </w:t>
                  </w:r>
                </w:p>
                <w:p w:rsidR="00001964" w:rsidRPr="00C74954" w:rsidRDefault="00001964" w:rsidP="00001964">
                  <w:pPr>
                    <w:pStyle w:val="a3"/>
                    <w:numPr>
                      <w:ilvl w:val="1"/>
                      <w:numId w:val="2"/>
                    </w:numPr>
                    <w:spacing w:before="160" w:after="0" w:line="240" w:lineRule="auto"/>
                    <w:rPr>
                      <w:rFonts w:ascii="Segoe UI" w:hAnsi="Segoe UI" w:cs="Segoe UI"/>
                      <w:sz w:val="18"/>
                      <w:szCs w:val="18"/>
                      <w:lang w:val="el-GR"/>
                    </w:rPr>
                  </w:pPr>
                  <w:r w:rsidRPr="00C74954">
                    <w:rPr>
                      <w:rFonts w:ascii="Segoe UI" w:hAnsi="Segoe UI" w:cs="Segoe UI"/>
                      <w:sz w:val="18"/>
                      <w:szCs w:val="18"/>
                      <w:lang w:val="el-GR"/>
                    </w:rPr>
                    <w:t>Η μείωση ΜΕΑ ενισχύθηκε κατά το Γ’ τρίμηνο 2019 (-€1,5 δισ. σε τριμηνιαία βάση), αντανακλώντας τις πωλήσεις εξασφαλισμένου χαρτοφυλακίου δανείων προς μεγάλες, μεσαίες και μικρές επιχειρήσεις (Project Icon) και χαρτοφυλακίου ναυτιλιακών δανείων (Project Leo) στην Ελλάδα συνολικού ύψους €1,2 δισ.</w:t>
                  </w:r>
                </w:p>
                <w:p w:rsidR="005726A5" w:rsidRPr="00C74954" w:rsidRDefault="005726A5" w:rsidP="00553B16">
                  <w:pPr>
                    <w:spacing w:before="120" w:after="0" w:line="240" w:lineRule="auto"/>
                    <w:ind w:left="360"/>
                    <w:rPr>
                      <w:rFonts w:ascii="Segoe UI" w:hAnsi="Segoe UI" w:cs="Segoe UI"/>
                      <w:b/>
                      <w:sz w:val="18"/>
                      <w:szCs w:val="18"/>
                      <w:highlight w:val="yellow"/>
                      <w:lang w:val="el-GR"/>
                    </w:rPr>
                  </w:pPr>
                </w:p>
              </w:txbxContent>
            </v:textbox>
          </v:shape>
        </w:pict>
      </w: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A202A0" w:rsidRPr="00F50813" w:rsidRDefault="00B17525" w:rsidP="004929D8">
      <w:pPr>
        <w:spacing w:after="160"/>
        <w:jc w:val="both"/>
        <w:rPr>
          <w:rFonts w:ascii="Segoe UI" w:hAnsi="Segoe UI" w:cs="Segoe UI"/>
          <w:i/>
          <w:lang w:eastAsia="en-GB"/>
        </w:rPr>
      </w:pPr>
      <w:r w:rsidRPr="00F50813">
        <w:rPr>
          <w:rFonts w:ascii="Segoe UI" w:hAnsi="Segoe UI" w:cs="Segoe UI"/>
          <w:i/>
          <w:lang w:eastAsia="en-GB"/>
        </w:rPr>
        <w:t xml:space="preserve">With the Bank’s strong position and the dynamics of its forward course </w:t>
      </w:r>
      <w:r w:rsidR="00411B8F" w:rsidRPr="00F50813">
        <w:rPr>
          <w:rFonts w:ascii="Segoe UI" w:hAnsi="Segoe UI" w:cs="Segoe UI"/>
          <w:i/>
          <w:lang w:eastAsia="en-GB"/>
        </w:rPr>
        <w:t xml:space="preserve">now </w:t>
      </w:r>
      <w:r w:rsidRPr="00F50813">
        <w:rPr>
          <w:rFonts w:ascii="Segoe UI" w:hAnsi="Segoe UI" w:cs="Segoe UI"/>
          <w:i/>
          <w:lang w:eastAsia="en-GB"/>
        </w:rPr>
        <w:t>verified</w:t>
      </w:r>
      <w:r w:rsidR="005E24C3" w:rsidRPr="00F50813">
        <w:rPr>
          <w:rFonts w:ascii="Segoe UI" w:hAnsi="Segoe UI" w:cs="Segoe UI"/>
          <w:i/>
          <w:lang w:eastAsia="en-GB"/>
        </w:rPr>
        <w:t xml:space="preserve"> by </w:t>
      </w:r>
    </w:p>
    <w:p w:rsidR="005E24C3" w:rsidRPr="00F50813" w:rsidRDefault="005E24C3" w:rsidP="004929D8">
      <w:pPr>
        <w:spacing w:after="160" w:line="240" w:lineRule="auto"/>
        <w:jc w:val="both"/>
        <w:rPr>
          <w:rFonts w:ascii="Segoe UI" w:hAnsi="Segoe UI" w:cs="Segoe UI"/>
          <w:i/>
          <w:iCs/>
          <w:lang w:val="en-US"/>
        </w:rPr>
      </w:pPr>
    </w:p>
    <w:p w:rsidR="00B70DD7" w:rsidRPr="00F50813" w:rsidRDefault="00B70DD7" w:rsidP="004929D8">
      <w:pPr>
        <w:spacing w:after="160" w:line="240" w:lineRule="auto"/>
        <w:jc w:val="both"/>
        <w:rPr>
          <w:rFonts w:ascii="Segoe UI" w:hAnsi="Segoe UI" w:cs="Segoe UI"/>
          <w:lang w:val="en-US"/>
        </w:rPr>
      </w:pPr>
      <w:r w:rsidRPr="00F50813">
        <w:rPr>
          <w:rFonts w:ascii="Segoe UI" w:hAnsi="Segoe UI" w:cs="Segoe UI"/>
          <w:lang w:val="en-US"/>
        </w:rPr>
        <w:br w:type="page"/>
      </w:r>
    </w:p>
    <w:p w:rsidR="00901454" w:rsidRPr="00F50813" w:rsidRDefault="00486D0B" w:rsidP="004929D8">
      <w:pPr>
        <w:spacing w:after="160"/>
        <w:jc w:val="both"/>
        <w:rPr>
          <w:rFonts w:ascii="Segoe UI" w:hAnsi="Segoe UI" w:cs="Segoe UI"/>
          <w:i/>
          <w:iCs/>
          <w:lang w:val="en-US"/>
        </w:rPr>
      </w:pPr>
      <w:r w:rsidRPr="00486D0B">
        <w:rPr>
          <w:rFonts w:ascii="Segoe UI" w:hAnsi="Segoe UI" w:cs="Segoe UI"/>
          <w:b/>
          <w:noProof/>
          <w:lang w:val="el-GR" w:eastAsia="el-GR"/>
        </w:rPr>
        <w:lastRenderedPageBreak/>
        <w:pict>
          <v:shape id="_x0000_s1027" type="#_x0000_t202" style="position:absolute;left:0;text-align:left;margin-left:-2.6pt;margin-top:-9.4pt;width:436.65pt;height:726.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" fillcolor="#d9d9d9" stroked="f">
            <v:textbox>
              <w:txbxContent>
                <w:p w:rsidR="005726A5" w:rsidRPr="00C74954" w:rsidRDefault="005726A5" w:rsidP="00173FBB">
                  <w:pPr>
                    <w:pStyle w:val="a3"/>
                    <w:numPr>
                      <w:ilvl w:val="1"/>
                      <w:numId w:val="2"/>
                    </w:numPr>
                    <w:spacing w:before="160" w:after="0" w:line="240" w:lineRule="auto"/>
                    <w:rPr>
                      <w:sz w:val="18"/>
                      <w:szCs w:val="18"/>
                      <w:lang w:val="el-GR"/>
                    </w:rPr>
                  </w:pPr>
                  <w:r w:rsidRPr="00C74954">
                    <w:rPr>
                      <w:rFonts w:ascii="Segoe UI" w:hAnsi="Segoe UI" w:cs="Segoe UI"/>
                      <w:sz w:val="18"/>
                      <w:szCs w:val="18"/>
                      <w:lang w:val="el-GR"/>
                    </w:rPr>
                    <w:t>Η οργανική μείωση ΜΕΑ προ διαγραφών παραμένει σε αρνητικά επίπεδα, ανερχόμενη σε -€0,9 δισ. από την αρχή του έτους, εκ των οποίων -€0,3 δισ. το Γ’ τρίμηνο, αντικατοπτρίζοντας</w:t>
                  </w:r>
                  <w:r w:rsidRPr="00C74954">
                    <w:rPr>
                      <w:rFonts w:ascii="Segoe UI" w:hAnsi="Segoe UI"/>
                      <w:sz w:val="18"/>
                      <w:szCs w:val="18"/>
                      <w:lang w:val="el-GR"/>
                    </w:rPr>
                    <w:t xml:space="preserve"> ρευστοποιήσεις εξασφαλίσεων, καθώς και αναδιαρθρώσεις δανείων που ενέχουν διαγραφή οφειλών</w:t>
                  </w:r>
                </w:p>
                <w:p w:rsidR="005726A5" w:rsidRPr="00C74954" w:rsidRDefault="005726A5" w:rsidP="00173FBB">
                  <w:pPr>
                    <w:pStyle w:val="a3"/>
                    <w:numPr>
                      <w:ilvl w:val="1"/>
                      <w:numId w:val="2"/>
                    </w:numPr>
                    <w:spacing w:before="160" w:after="0" w:line="240" w:lineRule="auto"/>
                    <w:rPr>
                      <w:rFonts w:ascii="Segoe UI" w:hAnsi="Segoe UI" w:cs="Segoe UI"/>
                      <w:sz w:val="18"/>
                      <w:szCs w:val="18"/>
                      <w:lang w:val="el-GR"/>
                    </w:rPr>
                  </w:pPr>
                  <w:r w:rsidRPr="00C74954">
                    <w:rPr>
                      <w:rFonts w:ascii="Segoe UI" w:hAnsi="Segoe UI" w:cs="Segoe UI"/>
                      <w:sz w:val="18"/>
                      <w:szCs w:val="18"/>
                      <w:lang w:val="el-GR"/>
                    </w:rPr>
                    <w:t xml:space="preserve">Tο υψηλό ποσοστό κάλυψης ΜΕΑ από σωρευμένες προβλέψεις και ένας συνδυασμός ευνοϊκών γεγονότων, συμπεριλαμβανομένων των εξελίξεων στην αγορά ομολόγων και ακινήτων, επιτρέπουν την επιτάχυνση της μείωσης ΜΕΑ </w:t>
                  </w:r>
                </w:p>
                <w:p w:rsidR="005726A5" w:rsidRDefault="005726A5" w:rsidP="000D7062">
                  <w:pPr>
                    <w:spacing w:line="240" w:lineRule="auto"/>
                    <w:ind w:left="360"/>
                    <w:rPr>
                      <w:rFonts w:ascii="Segoe UI" w:eastAsia="Calibri" w:hAnsi="Segoe UI" w:cs="Segoe UI"/>
                      <w:b/>
                      <w:sz w:val="6"/>
                      <w:szCs w:val="6"/>
                      <w:lang w:val="el-GR"/>
                    </w:rPr>
                  </w:pPr>
                </w:p>
                <w:p w:rsidR="005726A5" w:rsidRPr="00C74954" w:rsidRDefault="005726A5" w:rsidP="008510E3">
                  <w:pPr>
                    <w:numPr>
                      <w:ilvl w:val="0"/>
                      <w:numId w:val="3"/>
                    </w:numPr>
                    <w:spacing w:line="240" w:lineRule="auto"/>
                    <w:rPr>
                      <w:rFonts w:ascii="Segoe UI" w:eastAsia="Calibri" w:hAnsi="Segoe UI" w:cs="Segoe UI"/>
                      <w:b/>
                      <w:sz w:val="18"/>
                      <w:szCs w:val="18"/>
                      <w:lang w:val="el-GR"/>
                    </w:rPr>
                  </w:pPr>
                  <w:r w:rsidRPr="00C74954">
                    <w:rPr>
                      <w:rFonts w:ascii="Segoe UI" w:eastAsia="Calibri" w:hAnsi="Segoe UI"/>
                      <w:b/>
                      <w:sz w:val="18"/>
                      <w:szCs w:val="18"/>
                      <w:lang w:val="el-GR"/>
                    </w:rPr>
                    <w:t xml:space="preserve">Ισχυρό προφίλ ρευστότητας  </w:t>
                  </w:r>
                </w:p>
                <w:p w:rsidR="005726A5" w:rsidRPr="00C74954" w:rsidRDefault="005726A5" w:rsidP="008510E3">
                  <w:pPr>
                    <w:numPr>
                      <w:ilvl w:val="1"/>
                      <w:numId w:val="3"/>
                    </w:numPr>
                    <w:spacing w:before="120" w:after="0" w:line="240" w:lineRule="auto"/>
                    <w:rPr>
                      <w:rFonts w:ascii="Segoe UI" w:hAnsi="Segoe UI" w:cs="Segoe UI"/>
                      <w:sz w:val="18"/>
                      <w:szCs w:val="18"/>
                      <w:lang w:val="el-GR"/>
                    </w:rPr>
                  </w:pPr>
                  <w:r w:rsidRPr="00C74954">
                    <w:rPr>
                      <w:rFonts w:ascii="Segoe UI" w:hAnsi="Segoe UI" w:cs="Segoe UI"/>
                      <w:sz w:val="18"/>
                      <w:szCs w:val="18"/>
                      <w:lang w:val="el-GR"/>
                    </w:rPr>
                    <w:t xml:space="preserve">Καταθέσεις ύψους €41,4 δισ. στην Ελλάδα το εννεάμηνο 2019 (+3% σε ετήσια βάση), παρά τις εκροές κρατικών καταθέσεων ύψους €1,8 δισ. από την αρχή του έτους </w:t>
                  </w:r>
                </w:p>
                <w:p w:rsidR="005726A5" w:rsidRPr="00C74954" w:rsidRDefault="005726A5" w:rsidP="008510E3">
                  <w:pPr>
                    <w:numPr>
                      <w:ilvl w:val="1"/>
                      <w:numId w:val="3"/>
                    </w:numPr>
                    <w:spacing w:before="120" w:after="0" w:line="240" w:lineRule="auto"/>
                    <w:rPr>
                      <w:rFonts w:ascii="Segoe UI" w:hAnsi="Segoe UI" w:cs="Segoe UI"/>
                      <w:sz w:val="18"/>
                      <w:szCs w:val="18"/>
                      <w:lang w:val="el-GR"/>
                    </w:rPr>
                  </w:pPr>
                  <w:r w:rsidRPr="00C74954">
                    <w:rPr>
                      <w:rFonts w:ascii="Segoe UI" w:hAnsi="Segoe UI" w:cs="Segoe UI"/>
                      <w:sz w:val="18"/>
                      <w:szCs w:val="18"/>
                      <w:lang w:val="el-GR"/>
                    </w:rPr>
                    <w:t xml:space="preserve">Οι δείκτες Κάλυψης Ρευστότητας (Liquidity Coverage Ratio - LCR) και Καθαρής Σταθερής Χρηματοδότησης (Net Stable Funding Ratio – NSFR) διατηρούνται σε υψηλά επίπεδα της τάξεως του 198% και 116% αντίστοιχα, υπερβαίνοντας το ελάχιστο εποπτικό όριο </w:t>
                  </w:r>
                </w:p>
                <w:p w:rsidR="005726A5" w:rsidRPr="00C74954" w:rsidRDefault="005726A5" w:rsidP="008510E3">
                  <w:pPr>
                    <w:numPr>
                      <w:ilvl w:val="1"/>
                      <w:numId w:val="3"/>
                    </w:numPr>
                    <w:spacing w:before="120" w:after="0" w:line="240" w:lineRule="auto"/>
                    <w:rPr>
                      <w:rFonts w:ascii="Segoe UI" w:hAnsi="Segoe UI" w:cs="Segoe UI"/>
                      <w:sz w:val="18"/>
                      <w:szCs w:val="18"/>
                      <w:lang w:val="el-GR"/>
                    </w:rPr>
                  </w:pPr>
                  <w:r w:rsidRPr="00C74954">
                    <w:rPr>
                      <w:rFonts w:ascii="Segoe UI" w:hAnsi="Segoe UI" w:cs="Segoe UI"/>
                      <w:sz w:val="18"/>
                      <w:szCs w:val="18"/>
                      <w:lang w:val="el-GR"/>
                    </w:rPr>
                    <w:t>Η χρηματοδότηση από το Ευρωσύστημα παραμένει σε μόλις €2,25 δισ. Η χρηματοδότηση στη διατραπεζική αγορά μειώθηκε κατά €3,4 δισ. από την αρχή του έτους σε μόλις €0,2 δισ., αντανακλώντας τη βελτιστοποίηση του κόστους χρηματοδότησης</w:t>
                  </w:r>
                </w:p>
                <w:p w:rsidR="005726A5" w:rsidRPr="00C74954" w:rsidRDefault="005726A5" w:rsidP="00553B16">
                  <w:pPr>
                    <w:pStyle w:val="a3"/>
                    <w:ind w:left="357"/>
                    <w:rPr>
                      <w:rFonts w:ascii="Segoe UI" w:eastAsia="Calibri" w:hAnsi="Segoe UI"/>
                      <w:b/>
                      <w:sz w:val="6"/>
                      <w:szCs w:val="6"/>
                      <w:lang w:val="el-GR"/>
                    </w:rPr>
                  </w:pPr>
                </w:p>
                <w:p w:rsidR="005726A5" w:rsidRPr="00C74954" w:rsidRDefault="005726A5" w:rsidP="008510E3">
                  <w:pPr>
                    <w:pStyle w:val="a3"/>
                    <w:numPr>
                      <w:ilvl w:val="0"/>
                      <w:numId w:val="3"/>
                    </w:numPr>
                    <w:ind w:left="357"/>
                    <w:rPr>
                      <w:rFonts w:ascii="Segoe UI" w:eastAsia="Calibri" w:hAnsi="Segoe UI"/>
                      <w:b/>
                      <w:sz w:val="18"/>
                      <w:szCs w:val="18"/>
                      <w:lang w:val="el-GR"/>
                    </w:rPr>
                  </w:pPr>
                  <w:r w:rsidRPr="00C74954">
                    <w:rPr>
                      <w:rFonts w:ascii="Segoe UI" w:eastAsia="Calibri" w:hAnsi="Segoe UI"/>
                      <w:b/>
                      <w:sz w:val="18"/>
                      <w:szCs w:val="18"/>
                      <w:lang w:val="el-GR"/>
                    </w:rPr>
                    <w:t>Δείκτης CET1 στο 16,8%</w:t>
                  </w:r>
                  <w:r w:rsidRPr="00C74954">
                    <w:rPr>
                      <w:rFonts w:ascii="Segoe UI" w:eastAsia="Calibri" w:hAnsi="Segoe UI"/>
                      <w:b/>
                      <w:sz w:val="18"/>
                      <w:szCs w:val="18"/>
                      <w:vertAlign w:val="superscript"/>
                      <w:lang w:val="el-GR"/>
                    </w:rPr>
                    <w:t>1</w:t>
                  </w:r>
                  <w:r w:rsidRPr="00C74954">
                    <w:rPr>
                      <w:rFonts w:ascii="Segoe UI" w:eastAsia="Calibri" w:hAnsi="Segoe UI"/>
                      <w:b/>
                      <w:sz w:val="18"/>
                      <w:szCs w:val="18"/>
                      <w:lang w:val="el-GR"/>
                    </w:rPr>
                    <w:t xml:space="preserve">, ενισχυμένος κατά 80μ.β. σε τριμηνιαία βάση </w:t>
                  </w:r>
                </w:p>
                <w:p w:rsidR="005726A5" w:rsidRPr="00C74954" w:rsidRDefault="005726A5" w:rsidP="008510E3">
                  <w:pPr>
                    <w:pStyle w:val="a3"/>
                    <w:numPr>
                      <w:ilvl w:val="1"/>
                      <w:numId w:val="1"/>
                    </w:numPr>
                    <w:spacing w:before="120" w:after="0" w:line="240" w:lineRule="auto"/>
                    <w:rPr>
                      <w:rFonts w:ascii="Segoe UI" w:hAnsi="Segoe UI" w:cs="Segoe UI"/>
                      <w:sz w:val="18"/>
                      <w:szCs w:val="18"/>
                      <w:lang w:val="el-GR"/>
                    </w:rPr>
                  </w:pPr>
                  <w:r w:rsidRPr="00C74954">
                    <w:rPr>
                      <w:rFonts w:ascii="Segoe UI" w:hAnsi="Segoe UI" w:cs="Segoe UI"/>
                      <w:sz w:val="18"/>
                      <w:szCs w:val="18"/>
                      <w:lang w:val="el-GR"/>
                    </w:rPr>
                    <w:t xml:space="preserve">Λαμβάνοντας υπόψη τα κέρδη μετά από φόρους του εννεαμήνου 2019, καθώς και το όφελος των συμφωνηθέντων αποεπενδύσεων, ο δείκτης CET1 διαμορφώνεται σε 16,8%, αυξημένος κατά 80μ.β. σε τριμηνιαία βάση, με τον Συνολικό Δείκτη Κεφαλαιακής Επάρκειας να ανέρχεται σε 17,7% </w:t>
                  </w:r>
                </w:p>
                <w:p w:rsidR="005726A5" w:rsidRPr="00C74954" w:rsidRDefault="005726A5" w:rsidP="008510E3">
                  <w:pPr>
                    <w:pStyle w:val="a3"/>
                    <w:numPr>
                      <w:ilvl w:val="1"/>
                      <w:numId w:val="1"/>
                    </w:numPr>
                    <w:spacing w:before="120" w:after="0" w:line="240" w:lineRule="auto"/>
                    <w:rPr>
                      <w:rFonts w:ascii="Segoe UI" w:hAnsi="Segoe UI" w:cs="Segoe UI"/>
                      <w:sz w:val="18"/>
                      <w:szCs w:val="18"/>
                      <w:lang w:val="el-GR"/>
                    </w:rPr>
                  </w:pPr>
                  <w:r w:rsidRPr="00C74954">
                    <w:rPr>
                      <w:rFonts w:ascii="Segoe UI" w:hAnsi="Segoe UI" w:cs="Segoe UI"/>
                      <w:sz w:val="18"/>
                      <w:szCs w:val="18"/>
                      <w:lang w:val="el-GR"/>
                    </w:rPr>
                    <w:t xml:space="preserve">Οι εν λόγω δείκτες υπερβαίνουν τις κεφαλαιακές απαιτήσεις βάσει του Εποπτικού Ελέγχου και Διαδικασίας Αξιολόγησης (Supervisory Review and Evaluation Process – </w:t>
                  </w:r>
                  <w:r w:rsidRPr="00C74954">
                    <w:rPr>
                      <w:rFonts w:ascii="Segoe UI" w:hAnsi="Segoe UI" w:cs="Segoe UI"/>
                      <w:sz w:val="18"/>
                      <w:szCs w:val="18"/>
                      <w:lang w:val="en-US"/>
                    </w:rPr>
                    <w:t>SREP</w:t>
                  </w:r>
                  <w:r w:rsidRPr="00C74954">
                    <w:rPr>
                      <w:rFonts w:ascii="Segoe UI" w:hAnsi="Segoe UI" w:cs="Segoe UI"/>
                      <w:sz w:val="18"/>
                      <w:szCs w:val="18"/>
                      <w:lang w:val="el-GR"/>
                    </w:rPr>
                    <w:t>) για το 2019 και το 2020, επωφελούμενοι από τα ισχυρά κέρδη μετά φόρων του εννεαμήνου 2019 και τα κέρδη από την αποτίμηση ομολόγων (</w:t>
                  </w:r>
                  <w:r w:rsidRPr="00C74954">
                    <w:rPr>
                      <w:rFonts w:ascii="Segoe UI" w:hAnsi="Segoe UI" w:cs="Segoe UI"/>
                      <w:sz w:val="18"/>
                      <w:szCs w:val="18"/>
                      <w:lang w:val="en-US"/>
                    </w:rPr>
                    <w:t>FVTOCI</w:t>
                  </w:r>
                  <w:r w:rsidRPr="00C74954">
                    <w:rPr>
                      <w:rFonts w:ascii="Segoe UI" w:hAnsi="Segoe UI" w:cs="Segoe UI"/>
                      <w:sz w:val="18"/>
                      <w:szCs w:val="18"/>
                      <w:lang w:val="el-GR"/>
                    </w:rPr>
                    <w:t xml:space="preserve">) </w:t>
                  </w:r>
                </w:p>
                <w:p w:rsidR="005726A5" w:rsidRPr="00C74954" w:rsidRDefault="005726A5" w:rsidP="008510E3">
                  <w:pPr>
                    <w:pStyle w:val="a3"/>
                    <w:numPr>
                      <w:ilvl w:val="1"/>
                      <w:numId w:val="1"/>
                    </w:numPr>
                    <w:spacing w:before="120" w:after="0" w:line="240" w:lineRule="auto"/>
                    <w:rPr>
                      <w:rFonts w:ascii="Segoe UI" w:hAnsi="Segoe UI" w:cs="Segoe UI"/>
                      <w:sz w:val="18"/>
                      <w:szCs w:val="18"/>
                      <w:lang w:val="el-GR"/>
                    </w:rPr>
                  </w:pPr>
                  <w:r w:rsidRPr="00C74954">
                    <w:rPr>
                      <w:rFonts w:ascii="Segoe UI" w:hAnsi="Segoe UI" w:cs="Segoe UI"/>
                      <w:sz w:val="18"/>
                      <w:szCs w:val="18"/>
                      <w:lang w:val="el-GR"/>
                    </w:rPr>
                    <w:t xml:space="preserve">Η πώληση της Εθνικής Ασφαλιστικής αναμένεται να ενισχύσει τους κεφαλαιακούς δείκτες σημαντικά </w:t>
                  </w:r>
                </w:p>
                <w:p w:rsidR="005726A5" w:rsidRPr="00C74954" w:rsidRDefault="005726A5" w:rsidP="008627DF">
                  <w:pPr>
                    <w:pStyle w:val="a3"/>
                    <w:spacing w:before="120" w:after="0" w:line="240" w:lineRule="auto"/>
                    <w:ind w:left="786"/>
                    <w:rPr>
                      <w:rFonts w:ascii="Segoe UI" w:hAnsi="Segoe UI" w:cs="Segoe UI"/>
                      <w:sz w:val="14"/>
                      <w:szCs w:val="10"/>
                      <w:lang w:val="el-GR"/>
                    </w:rPr>
                  </w:pPr>
                </w:p>
                <w:p w:rsidR="005726A5" w:rsidRPr="00C74954" w:rsidRDefault="005726A5" w:rsidP="008627DF">
                  <w:pPr>
                    <w:pStyle w:val="a3"/>
                    <w:numPr>
                      <w:ilvl w:val="0"/>
                      <w:numId w:val="3"/>
                    </w:numPr>
                    <w:ind w:left="351" w:hanging="357"/>
                    <w:rPr>
                      <w:rFonts w:ascii="Segoe UI" w:eastAsia="Calibri" w:hAnsi="Segoe UI"/>
                      <w:b/>
                      <w:sz w:val="18"/>
                      <w:szCs w:val="18"/>
                      <w:lang w:val="el-GR"/>
                    </w:rPr>
                  </w:pPr>
                  <w:r w:rsidRPr="00C74954">
                    <w:rPr>
                      <w:rFonts w:ascii="Segoe UI" w:eastAsia="Calibri" w:hAnsi="Segoe UI"/>
                      <w:b/>
                      <w:sz w:val="18"/>
                      <w:szCs w:val="18"/>
                      <w:lang w:val="el-GR"/>
                    </w:rPr>
                    <w:t>Μετασχηματισμός ΕΤΕ</w:t>
                  </w:r>
                  <w:r w:rsidR="00187C4D">
                    <w:rPr>
                      <w:rFonts w:ascii="Segoe UI" w:eastAsia="Calibri" w:hAnsi="Segoe UI"/>
                      <w:b/>
                      <w:sz w:val="18"/>
                      <w:szCs w:val="18"/>
                      <w:lang w:val="el-GR"/>
                    </w:rPr>
                    <w:t xml:space="preserve">: </w:t>
                  </w:r>
                  <w:r w:rsidRPr="00C74954">
                    <w:rPr>
                      <w:rFonts w:ascii="Segoe UI" w:eastAsia="Calibri" w:hAnsi="Segoe UI"/>
                      <w:b/>
                      <w:sz w:val="18"/>
                      <w:szCs w:val="18"/>
                      <w:lang w:val="el-GR"/>
                    </w:rPr>
                    <w:t xml:space="preserve">κεφαλαιοποιώντας τα συγκριτικά μας πλεονεκτήματα και αντιμετωπίζοντας τις προκλήσεις </w:t>
                  </w:r>
                </w:p>
                <w:p w:rsidR="00EA6C71" w:rsidRPr="00EA6C71" w:rsidRDefault="00EA6C71" w:rsidP="00EA6C71">
                  <w:pPr>
                    <w:pStyle w:val="a3"/>
                    <w:numPr>
                      <w:ilvl w:val="1"/>
                      <w:numId w:val="1"/>
                    </w:numPr>
                    <w:spacing w:before="120" w:after="0" w:line="240" w:lineRule="auto"/>
                    <w:rPr>
                      <w:rFonts w:ascii="Segoe UI" w:hAnsi="Segoe UI" w:cs="Segoe UI"/>
                      <w:sz w:val="18"/>
                      <w:szCs w:val="18"/>
                      <w:lang w:val="el-GR"/>
                    </w:rPr>
                  </w:pPr>
                  <w:r w:rsidRPr="00EA6C71">
                    <w:rPr>
                      <w:rFonts w:ascii="Segoe UI" w:hAnsi="Segoe UI" w:cs="Segoe UI"/>
                      <w:sz w:val="18"/>
                      <w:szCs w:val="18"/>
                      <w:lang w:val="el-GR"/>
                    </w:rPr>
                    <w:t xml:space="preserve">Ταχύτερη από τη σχεδιαζόμενη μείωση ΜΕΑ, αντανακλώντας τις πωλήσεις χαρτοφυλακίων και την αύξηση της δυναμικότητας της Τράπεζας για αναδιαρθρώσεις μέσω του νέου προϊόντος «Split and Settle» </w:t>
                  </w:r>
                </w:p>
                <w:p w:rsidR="00EA6C71" w:rsidRPr="00EA6C71" w:rsidRDefault="00EA6C71" w:rsidP="00EA6C71">
                  <w:pPr>
                    <w:pStyle w:val="a3"/>
                    <w:numPr>
                      <w:ilvl w:val="1"/>
                      <w:numId w:val="1"/>
                    </w:numPr>
                    <w:spacing w:before="120" w:after="0" w:line="240" w:lineRule="auto"/>
                    <w:rPr>
                      <w:rFonts w:ascii="Segoe UI" w:hAnsi="Segoe UI" w:cs="Segoe UI"/>
                      <w:sz w:val="18"/>
                      <w:szCs w:val="18"/>
                      <w:lang w:val="el-GR"/>
                    </w:rPr>
                  </w:pPr>
                  <w:r w:rsidRPr="00EA6C71">
                    <w:rPr>
                      <w:rFonts w:ascii="Segoe UI" w:hAnsi="Segoe UI" w:cs="Segoe UI"/>
                      <w:sz w:val="18"/>
                      <w:szCs w:val="18"/>
                      <w:lang w:val="el-GR"/>
                    </w:rPr>
                    <w:t>Περιστολή των δαπανών προσωπικού μέσω του Προγράμματος Εθελουσίας Εξόδου, ραγδαία αποκλιμάκωση των γενικών και διοικητικών εξόδων, βελτιστοποίηση του δικτύου των καταστημάτων και της ακίνητης περιουσίας της ΕΤΕ</w:t>
                  </w:r>
                </w:p>
                <w:p w:rsidR="00EA6C71" w:rsidRPr="00EA6C71" w:rsidRDefault="00EA6C71" w:rsidP="00EA6C71">
                  <w:pPr>
                    <w:pStyle w:val="a3"/>
                    <w:numPr>
                      <w:ilvl w:val="1"/>
                      <w:numId w:val="1"/>
                    </w:numPr>
                    <w:spacing w:before="120" w:after="0" w:line="240" w:lineRule="auto"/>
                    <w:rPr>
                      <w:rFonts w:ascii="Segoe UI" w:hAnsi="Segoe UI" w:cs="Segoe UI"/>
                      <w:sz w:val="18"/>
                      <w:szCs w:val="18"/>
                      <w:lang w:val="el-GR"/>
                    </w:rPr>
                  </w:pPr>
                  <w:r w:rsidRPr="00EA6C71">
                    <w:rPr>
                      <w:rFonts w:ascii="Segoe UI" w:hAnsi="Segoe UI" w:cs="Segoe UI"/>
                      <w:sz w:val="18"/>
                      <w:szCs w:val="18"/>
                      <w:lang w:val="el-GR"/>
                    </w:rPr>
                    <w:t>Αύξηση των πωλήσεων μέ</w:t>
                  </w:r>
                  <w:bookmarkStart w:id="0" w:name="_GoBack"/>
                  <w:bookmarkEnd w:id="0"/>
                  <w:r w:rsidRPr="00EA6C71">
                    <w:rPr>
                      <w:rFonts w:ascii="Segoe UI" w:hAnsi="Segoe UI" w:cs="Segoe UI"/>
                      <w:sz w:val="18"/>
                      <w:szCs w:val="18"/>
                      <w:lang w:val="el-GR"/>
                    </w:rPr>
                    <w:t xml:space="preserve">σω της διευρυμένης κάλυψης από υπεύθυνους σχέσεων πελατείας (RM) Λιανικής και Εταιρικής Τραπεζικής, ενίσχυσης σταυροειδών πωλήσεων και βελτίωσης της ψηφιακής εμπειρίας </w:t>
                  </w:r>
                </w:p>
                <w:p w:rsidR="005726A5" w:rsidRPr="00C74954" w:rsidRDefault="00EA6C71" w:rsidP="00EA6C71">
                  <w:pPr>
                    <w:pStyle w:val="a3"/>
                    <w:numPr>
                      <w:ilvl w:val="1"/>
                      <w:numId w:val="1"/>
                    </w:numPr>
                    <w:spacing w:before="120" w:after="0" w:line="240" w:lineRule="auto"/>
                    <w:rPr>
                      <w:rFonts w:ascii="Segoe UI" w:hAnsi="Segoe UI" w:cs="Segoe UI"/>
                      <w:sz w:val="18"/>
                      <w:szCs w:val="18"/>
                      <w:lang w:val="el-GR"/>
                    </w:rPr>
                  </w:pPr>
                  <w:r w:rsidRPr="00EA6C71">
                    <w:rPr>
                      <w:rFonts w:ascii="Segoe UI" w:hAnsi="Segoe UI" w:cs="Segoe UI"/>
                      <w:sz w:val="18"/>
                      <w:szCs w:val="18"/>
                      <w:lang w:val="el-GR"/>
                    </w:rPr>
                    <w:t>Απλοποίηση των διαδικασιών πιστοδοτήσεων, αναβάθμιση υποδομών, σχεδιασμός νέου πλαισίου διαχείρισης Ανθρωπίνου Δυναμικού, ενίσχυση εσωτερικών δικλείδων ασφαλείας (internal controls)</w:t>
                  </w:r>
                </w:p>
                <w:p w:rsidR="005726A5" w:rsidRDefault="005726A5" w:rsidP="00BF459E">
                  <w:pPr>
                    <w:pStyle w:val="a3"/>
                    <w:spacing w:after="0" w:line="240" w:lineRule="auto"/>
                    <w:ind w:left="360"/>
                    <w:jc w:val="right"/>
                    <w:rPr>
                      <w:rFonts w:ascii="Segoe UI" w:hAnsi="Segoe UI" w:cs="Segoe UI"/>
                      <w:sz w:val="18"/>
                      <w:szCs w:val="12"/>
                      <w:lang w:val="el-GR"/>
                    </w:rPr>
                  </w:pPr>
                </w:p>
                <w:p w:rsidR="005726A5" w:rsidRPr="00D13B51" w:rsidRDefault="005726A5" w:rsidP="00BF459E">
                  <w:pPr>
                    <w:pStyle w:val="a3"/>
                    <w:spacing w:after="0" w:line="240" w:lineRule="auto"/>
                    <w:ind w:left="360"/>
                    <w:jc w:val="right"/>
                    <w:rPr>
                      <w:rFonts w:ascii="Segoe UI" w:hAnsi="Segoe UI" w:cs="Segoe UI"/>
                      <w:sz w:val="16"/>
                      <w:szCs w:val="12"/>
                      <w:lang w:val="el-GR"/>
                    </w:rPr>
                  </w:pPr>
                </w:p>
                <w:p w:rsidR="005726A5" w:rsidRDefault="005726A5" w:rsidP="0034144F">
                  <w:pPr>
                    <w:pStyle w:val="a3"/>
                    <w:spacing w:after="0" w:line="240" w:lineRule="auto"/>
                    <w:ind w:left="357"/>
                    <w:jc w:val="right"/>
                    <w:rPr>
                      <w:rFonts w:ascii="Segoe UI" w:hAnsi="Segoe UI" w:cs="Segoe UI"/>
                      <w:sz w:val="14"/>
                      <w:szCs w:val="12"/>
                      <w:lang w:val="el-GR"/>
                    </w:rPr>
                  </w:pPr>
                  <w:r w:rsidRPr="00D13B51">
                    <w:rPr>
                      <w:rFonts w:ascii="Segoe UI" w:hAnsi="Segoe UI" w:cs="Segoe UI"/>
                      <w:sz w:val="14"/>
                      <w:szCs w:val="12"/>
                      <w:lang w:val="el-GR"/>
                    </w:rPr>
                    <w:t xml:space="preserve">Αθήνα, </w:t>
                  </w:r>
                  <w:r>
                    <w:rPr>
                      <w:rFonts w:ascii="Segoe UI" w:hAnsi="Segoe UI" w:cs="Segoe UI"/>
                      <w:sz w:val="14"/>
                      <w:szCs w:val="12"/>
                      <w:lang w:val="el-GR"/>
                    </w:rPr>
                    <w:t>21</w:t>
                  </w:r>
                  <w:r w:rsidRPr="00D13B51">
                    <w:rPr>
                      <w:rFonts w:ascii="Segoe UI" w:hAnsi="Segoe UI" w:cs="Segoe UI"/>
                      <w:sz w:val="14"/>
                      <w:szCs w:val="12"/>
                      <w:lang w:val="el-GR"/>
                    </w:rPr>
                    <w:t xml:space="preserve"> </w:t>
                  </w:r>
                  <w:r>
                    <w:rPr>
                      <w:rFonts w:ascii="Segoe UI" w:hAnsi="Segoe UI" w:cs="Segoe UI"/>
                      <w:sz w:val="14"/>
                      <w:szCs w:val="12"/>
                      <w:lang w:val="el-GR"/>
                    </w:rPr>
                    <w:t>Νοεμβρίου</w:t>
                  </w:r>
                  <w:r w:rsidRPr="00D13B51">
                    <w:rPr>
                      <w:rFonts w:ascii="Segoe UI" w:hAnsi="Segoe UI" w:cs="Segoe UI"/>
                      <w:sz w:val="14"/>
                      <w:szCs w:val="12"/>
                      <w:lang w:val="el-GR"/>
                    </w:rPr>
                    <w:t xml:space="preserve"> 2019</w:t>
                  </w:r>
                </w:p>
                <w:p w:rsidR="005726A5" w:rsidRDefault="005726A5" w:rsidP="0034144F">
                  <w:pPr>
                    <w:pStyle w:val="a3"/>
                    <w:spacing w:after="0" w:line="240" w:lineRule="auto"/>
                    <w:ind w:left="357"/>
                    <w:jc w:val="right"/>
                    <w:rPr>
                      <w:rFonts w:ascii="Segoe UI" w:hAnsi="Segoe UI" w:cs="Segoe UI"/>
                      <w:sz w:val="14"/>
                      <w:szCs w:val="12"/>
                      <w:lang w:val="el-GR"/>
                    </w:rPr>
                  </w:pPr>
                </w:p>
                <w:p w:rsidR="005726A5" w:rsidRDefault="005726A5" w:rsidP="0034144F">
                  <w:pPr>
                    <w:pStyle w:val="a3"/>
                    <w:spacing w:after="0" w:line="240" w:lineRule="auto"/>
                    <w:ind w:left="357"/>
                    <w:jc w:val="right"/>
                    <w:rPr>
                      <w:rFonts w:ascii="Segoe UI" w:hAnsi="Segoe UI" w:cs="Segoe UI"/>
                      <w:sz w:val="14"/>
                      <w:szCs w:val="12"/>
                      <w:lang w:val="el-GR"/>
                    </w:rPr>
                  </w:pPr>
                </w:p>
                <w:p w:rsidR="005726A5" w:rsidRDefault="005726A5" w:rsidP="0034144F">
                  <w:pPr>
                    <w:pStyle w:val="a3"/>
                    <w:spacing w:after="0" w:line="240" w:lineRule="auto"/>
                    <w:ind w:left="357"/>
                    <w:jc w:val="right"/>
                    <w:rPr>
                      <w:rFonts w:ascii="Segoe UI" w:hAnsi="Segoe UI" w:cs="Segoe UI"/>
                      <w:sz w:val="14"/>
                      <w:szCs w:val="12"/>
                      <w:lang w:val="el-GR"/>
                    </w:rPr>
                  </w:pPr>
                </w:p>
                <w:p w:rsidR="005726A5" w:rsidRPr="000B180A" w:rsidRDefault="005726A5" w:rsidP="0034144F">
                  <w:pPr>
                    <w:pStyle w:val="a3"/>
                    <w:spacing w:after="0" w:line="240" w:lineRule="auto"/>
                    <w:ind w:left="357"/>
                    <w:jc w:val="right"/>
                    <w:rPr>
                      <w:rFonts w:ascii="Segoe UI" w:hAnsi="Segoe UI" w:cs="Segoe UI"/>
                      <w:sz w:val="10"/>
                      <w:szCs w:val="12"/>
                      <w:lang w:val="el-GR"/>
                    </w:rPr>
                  </w:pPr>
                </w:p>
                <w:p w:rsidR="005726A5" w:rsidRPr="000B180A" w:rsidRDefault="005726A5" w:rsidP="005371B5">
                  <w:pPr>
                    <w:pStyle w:val="a3"/>
                    <w:spacing w:after="0" w:line="240" w:lineRule="auto"/>
                    <w:ind w:left="357"/>
                    <w:jc w:val="both"/>
                    <w:rPr>
                      <w:rFonts w:ascii="Segoe UI" w:hAnsi="Segoe UI" w:cs="Segoe UI"/>
                      <w:sz w:val="10"/>
                      <w:szCs w:val="12"/>
                      <w:lang w:val="el-GR"/>
                    </w:rPr>
                  </w:pPr>
                  <w:r w:rsidRPr="000B180A">
                    <w:rPr>
                      <w:rFonts w:ascii="Segoe UI" w:hAnsi="Segoe UI" w:cs="Segoe UI"/>
                      <w:sz w:val="10"/>
                      <w:szCs w:val="12"/>
                      <w:vertAlign w:val="superscript"/>
                      <w:lang w:val="el-GR"/>
                    </w:rPr>
                    <w:t>1</w:t>
                  </w:r>
                  <w:r w:rsidRPr="000B180A">
                    <w:rPr>
                      <w:rFonts w:ascii="Segoe UI" w:hAnsi="Segoe UI" w:cs="Segoe UI"/>
                      <w:sz w:val="10"/>
                      <w:szCs w:val="12"/>
                      <w:lang w:val="el-GR"/>
                    </w:rPr>
                    <w:t xml:space="preserve"> Ο δείκτης CET1 είναι προσαρμοσμένος και περιλαμβάνει το κέρδος μετά φόρων του εννεαμήνου 2019 και το όφελος από τις συμφωνηθείσες αποεπενδύσεις σε Ρουμανία, Αίγυπτο και Κύπρο</w:t>
                  </w:r>
                </w:p>
              </w:txbxContent>
            </v:textbox>
          </v:shape>
        </w:pict>
      </w:r>
    </w:p>
    <w:p w:rsidR="00BF459E" w:rsidRPr="00BF459E" w:rsidRDefault="00BF459E">
      <w:pPr>
        <w:spacing w:after="0" w:line="240" w:lineRule="auto"/>
        <w:rPr>
          <w:rFonts w:asciiTheme="minorHAnsi" w:hAnsiTheme="minorHAnsi" w:cs="Segoe UI"/>
          <w:i/>
          <w:iCs/>
          <w:sz w:val="24"/>
          <w:lang w:val="en-US"/>
        </w:rPr>
      </w:pPr>
      <w:r w:rsidRPr="00BF459E">
        <w:rPr>
          <w:rFonts w:asciiTheme="minorHAnsi" w:hAnsiTheme="minorHAnsi" w:cs="Segoe UI"/>
          <w:i/>
          <w:iCs/>
          <w:sz w:val="24"/>
          <w:lang w:val="en-US"/>
        </w:rPr>
        <w:br w:type="page"/>
      </w:r>
    </w:p>
    <w:p w:rsidR="005C6849" w:rsidRPr="00B43C70" w:rsidRDefault="005C6849" w:rsidP="005C6849">
      <w:pPr>
        <w:spacing w:after="240"/>
        <w:rPr>
          <w:i/>
          <w:iCs/>
          <w:color w:val="000000"/>
          <w:szCs w:val="21"/>
          <w:lang w:val="en-US"/>
        </w:rPr>
      </w:pPr>
    </w:p>
    <w:p w:rsidR="005C6849" w:rsidRPr="005C6849" w:rsidRDefault="005C6849" w:rsidP="005C6849">
      <w:pPr>
        <w:spacing w:after="240"/>
        <w:rPr>
          <w:i/>
          <w:iCs/>
          <w:color w:val="000000"/>
          <w:szCs w:val="21"/>
          <w:lang w:val="el-GR"/>
        </w:rPr>
      </w:pPr>
      <w:r w:rsidRPr="005C6849">
        <w:rPr>
          <w:i/>
          <w:iCs/>
          <w:color w:val="000000"/>
          <w:szCs w:val="21"/>
          <w:lang w:val="el-GR"/>
        </w:rPr>
        <w:t xml:space="preserve">Συνεχίζοντας τις </w:t>
      </w:r>
      <w:r w:rsidR="000D3499">
        <w:rPr>
          <w:i/>
          <w:iCs/>
          <w:color w:val="000000"/>
          <w:szCs w:val="21"/>
          <w:lang w:val="el-GR"/>
        </w:rPr>
        <w:t>καλές</w:t>
      </w:r>
      <w:r w:rsidRPr="005C6849">
        <w:rPr>
          <w:i/>
          <w:iCs/>
          <w:color w:val="000000"/>
          <w:szCs w:val="21"/>
          <w:lang w:val="el-GR"/>
        </w:rPr>
        <w:t xml:space="preserve"> επιδόσεις των προηγούμενων τριμήνων, τα αποτελέσματα του </w:t>
      </w:r>
      <w:r w:rsidR="00D85B97">
        <w:rPr>
          <w:i/>
          <w:iCs/>
          <w:color w:val="000000"/>
          <w:szCs w:val="21"/>
          <w:lang w:val="el-GR"/>
        </w:rPr>
        <w:t>Γ</w:t>
      </w:r>
      <w:r w:rsidRPr="005C6849">
        <w:rPr>
          <w:i/>
          <w:iCs/>
          <w:color w:val="000000"/>
          <w:szCs w:val="21"/>
          <w:lang w:val="el-GR"/>
        </w:rPr>
        <w:t xml:space="preserve">΄ τριμήνου 2019 της ΕΤΕ αποτελούν ένα ακόμα βήμα </w:t>
      </w:r>
      <w:r w:rsidR="00784638">
        <w:rPr>
          <w:i/>
          <w:iCs/>
          <w:color w:val="000000"/>
          <w:szCs w:val="21"/>
          <w:lang w:val="el-GR"/>
        </w:rPr>
        <w:t xml:space="preserve">προς </w:t>
      </w:r>
      <w:r w:rsidRPr="005C6849">
        <w:rPr>
          <w:i/>
          <w:iCs/>
          <w:color w:val="000000"/>
          <w:szCs w:val="21"/>
          <w:lang w:val="el-GR"/>
        </w:rPr>
        <w:t xml:space="preserve">την κατεύθυνση </w:t>
      </w:r>
      <w:r w:rsidR="00391E76">
        <w:rPr>
          <w:i/>
          <w:iCs/>
          <w:color w:val="000000"/>
          <w:szCs w:val="21"/>
          <w:lang w:val="el-GR"/>
        </w:rPr>
        <w:t>της</w:t>
      </w:r>
      <w:r w:rsidRPr="005C6849">
        <w:rPr>
          <w:i/>
          <w:iCs/>
          <w:color w:val="000000"/>
          <w:szCs w:val="21"/>
          <w:lang w:val="el-GR"/>
        </w:rPr>
        <w:t xml:space="preserve"> εξυγίανση</w:t>
      </w:r>
      <w:r w:rsidR="00391E76">
        <w:rPr>
          <w:i/>
          <w:iCs/>
          <w:color w:val="000000"/>
          <w:szCs w:val="21"/>
          <w:lang w:val="el-GR"/>
        </w:rPr>
        <w:t>ς</w:t>
      </w:r>
      <w:r w:rsidRPr="005C6849">
        <w:rPr>
          <w:i/>
          <w:iCs/>
          <w:color w:val="000000"/>
          <w:szCs w:val="21"/>
          <w:lang w:val="el-GR"/>
        </w:rPr>
        <w:t xml:space="preserve"> του ισολογισμού και </w:t>
      </w:r>
      <w:r w:rsidR="00391E76">
        <w:rPr>
          <w:i/>
          <w:iCs/>
          <w:color w:val="000000"/>
          <w:szCs w:val="21"/>
          <w:lang w:val="el-GR"/>
        </w:rPr>
        <w:t>της ενίσχυσης της κερδοφορίας</w:t>
      </w:r>
      <w:r w:rsidRPr="005C6849">
        <w:rPr>
          <w:i/>
          <w:iCs/>
          <w:color w:val="000000"/>
          <w:szCs w:val="21"/>
          <w:lang w:val="el-GR"/>
        </w:rPr>
        <w:t xml:space="preserve">, </w:t>
      </w:r>
      <w:r w:rsidR="00391E76">
        <w:rPr>
          <w:i/>
          <w:iCs/>
          <w:color w:val="000000"/>
          <w:szCs w:val="21"/>
          <w:lang w:val="el-GR"/>
        </w:rPr>
        <w:t xml:space="preserve">κεφαλαιοποιώντας </w:t>
      </w:r>
      <w:r w:rsidRPr="005C6849">
        <w:rPr>
          <w:i/>
          <w:iCs/>
          <w:color w:val="000000"/>
          <w:szCs w:val="21"/>
          <w:lang w:val="el-GR"/>
        </w:rPr>
        <w:t xml:space="preserve">τα συγκριτικά </w:t>
      </w:r>
      <w:r w:rsidR="009206E2">
        <w:rPr>
          <w:i/>
          <w:iCs/>
          <w:color w:val="000000"/>
          <w:szCs w:val="21"/>
          <w:lang w:val="el-GR"/>
        </w:rPr>
        <w:t xml:space="preserve">μας </w:t>
      </w:r>
      <w:r w:rsidRPr="005C6849">
        <w:rPr>
          <w:i/>
          <w:iCs/>
          <w:color w:val="000000"/>
          <w:szCs w:val="21"/>
          <w:lang w:val="el-GR"/>
        </w:rPr>
        <w:t>πλεονεκτήματα</w:t>
      </w:r>
      <w:r w:rsidR="00731EB1">
        <w:rPr>
          <w:i/>
          <w:iCs/>
          <w:color w:val="000000"/>
          <w:szCs w:val="21"/>
          <w:lang w:val="el-GR"/>
        </w:rPr>
        <w:t xml:space="preserve"> </w:t>
      </w:r>
      <w:r w:rsidR="00DD7633">
        <w:rPr>
          <w:i/>
          <w:iCs/>
          <w:color w:val="000000"/>
          <w:szCs w:val="21"/>
          <w:lang w:val="el-GR"/>
        </w:rPr>
        <w:t xml:space="preserve">μέσω της εφαρμογής του φιλόδοξου και </w:t>
      </w:r>
      <w:r w:rsidR="00515014">
        <w:rPr>
          <w:i/>
          <w:iCs/>
          <w:color w:val="000000"/>
          <w:szCs w:val="21"/>
          <w:lang w:val="el-GR"/>
        </w:rPr>
        <w:t>εμπεριστατωμένου</w:t>
      </w:r>
      <w:r w:rsidR="00DD7633" w:rsidRPr="00DD7633">
        <w:rPr>
          <w:i/>
          <w:iCs/>
          <w:color w:val="000000"/>
          <w:szCs w:val="21"/>
          <w:lang w:val="el-GR"/>
        </w:rPr>
        <w:t xml:space="preserve"> Προγράμματος Μετασχηματισμού</w:t>
      </w:r>
      <w:r w:rsidRPr="005C6849">
        <w:rPr>
          <w:i/>
          <w:iCs/>
          <w:color w:val="000000"/>
          <w:szCs w:val="21"/>
          <w:lang w:val="el-GR"/>
        </w:rPr>
        <w:t xml:space="preserve">. Στο </w:t>
      </w:r>
      <w:r w:rsidR="00784638">
        <w:rPr>
          <w:i/>
          <w:iCs/>
          <w:color w:val="000000"/>
          <w:szCs w:val="21"/>
          <w:lang w:val="el-GR"/>
        </w:rPr>
        <w:t xml:space="preserve">εννεάμηνο </w:t>
      </w:r>
      <w:r w:rsidR="00731EB1">
        <w:rPr>
          <w:i/>
          <w:iCs/>
          <w:color w:val="000000"/>
          <w:szCs w:val="21"/>
          <w:lang w:val="el-GR"/>
        </w:rPr>
        <w:t xml:space="preserve">του </w:t>
      </w:r>
      <w:r w:rsidRPr="005C6849">
        <w:rPr>
          <w:i/>
          <w:iCs/>
          <w:color w:val="000000"/>
          <w:szCs w:val="21"/>
          <w:lang w:val="el-GR"/>
        </w:rPr>
        <w:t xml:space="preserve">2019, η οργανική κερδοφορία ανήλθε σε €158 εκατ., </w:t>
      </w:r>
      <w:r w:rsidR="00C40656">
        <w:rPr>
          <w:i/>
          <w:iCs/>
          <w:color w:val="000000"/>
          <w:szCs w:val="21"/>
          <w:lang w:val="el-GR"/>
        </w:rPr>
        <w:t xml:space="preserve">ενισχυμένη κατά </w:t>
      </w:r>
      <w:r w:rsidRPr="005C6849">
        <w:rPr>
          <w:i/>
          <w:iCs/>
          <w:color w:val="000000"/>
          <w:szCs w:val="21"/>
          <w:lang w:val="el-GR"/>
        </w:rPr>
        <w:t xml:space="preserve">41% σε ετήσια βάση, </w:t>
      </w:r>
      <w:r w:rsidR="00784638">
        <w:rPr>
          <w:i/>
          <w:iCs/>
          <w:color w:val="000000"/>
          <w:szCs w:val="21"/>
          <w:lang w:val="el-GR"/>
        </w:rPr>
        <w:t xml:space="preserve">αντανακλώντας την αύξηση </w:t>
      </w:r>
      <w:r w:rsidRPr="005C6849">
        <w:rPr>
          <w:i/>
          <w:iCs/>
          <w:color w:val="000000"/>
          <w:szCs w:val="21"/>
          <w:lang w:val="el-GR"/>
        </w:rPr>
        <w:t xml:space="preserve">των οργανικών </w:t>
      </w:r>
      <w:r w:rsidR="00784638">
        <w:rPr>
          <w:i/>
          <w:iCs/>
          <w:color w:val="000000"/>
          <w:szCs w:val="21"/>
          <w:lang w:val="el-GR"/>
        </w:rPr>
        <w:t>εσόδων</w:t>
      </w:r>
      <w:r w:rsidRPr="005C6849">
        <w:rPr>
          <w:i/>
          <w:iCs/>
          <w:color w:val="000000"/>
          <w:szCs w:val="21"/>
          <w:lang w:val="el-GR"/>
        </w:rPr>
        <w:t xml:space="preserve"> (+7% σε ετήσια βάση)</w:t>
      </w:r>
      <w:r w:rsidR="00784638">
        <w:rPr>
          <w:i/>
          <w:iCs/>
          <w:color w:val="000000"/>
          <w:szCs w:val="21"/>
          <w:lang w:val="el-GR"/>
        </w:rPr>
        <w:t xml:space="preserve">, καθώς και την περιστολή των λειτουργικών εξόδων </w:t>
      </w:r>
      <w:r w:rsidRPr="005C6849">
        <w:rPr>
          <w:i/>
          <w:iCs/>
          <w:color w:val="000000"/>
          <w:szCs w:val="21"/>
          <w:lang w:val="el-GR"/>
        </w:rPr>
        <w:t xml:space="preserve">(-7% σε ετήσια βάση). Παρά τη </w:t>
      </w:r>
      <w:r w:rsidR="00784638">
        <w:rPr>
          <w:i/>
          <w:iCs/>
          <w:color w:val="000000"/>
          <w:szCs w:val="21"/>
          <w:lang w:val="el-GR"/>
        </w:rPr>
        <w:t xml:space="preserve">σημαντική αποκλιμάκωση </w:t>
      </w:r>
      <w:r w:rsidRPr="005C6849">
        <w:rPr>
          <w:i/>
          <w:iCs/>
          <w:color w:val="000000"/>
          <w:szCs w:val="21"/>
          <w:lang w:val="el-GR"/>
        </w:rPr>
        <w:t>του χαρτοφυλακίου Μη Εξυπηρετούμενων Ανοιγμάτων</w:t>
      </w:r>
      <w:r w:rsidR="00B31169">
        <w:rPr>
          <w:i/>
          <w:iCs/>
          <w:color w:val="000000"/>
          <w:szCs w:val="21"/>
          <w:lang w:val="el-GR"/>
        </w:rPr>
        <w:t xml:space="preserve"> (ΜΕΑ)</w:t>
      </w:r>
      <w:r w:rsidRPr="005C6849">
        <w:rPr>
          <w:i/>
          <w:iCs/>
          <w:color w:val="000000"/>
          <w:szCs w:val="21"/>
          <w:lang w:val="el-GR"/>
        </w:rPr>
        <w:t>, το κόστος πιστωτικού κινδύνου διατηρήθηκε σε σχετικά χαμηλά επίπεδα (136 μ.β. επί των δανείων</w:t>
      </w:r>
      <w:r w:rsidR="00784638">
        <w:rPr>
          <w:i/>
          <w:iCs/>
          <w:color w:val="000000"/>
          <w:szCs w:val="21"/>
          <w:lang w:val="el-GR"/>
        </w:rPr>
        <w:t xml:space="preserve"> μετά </w:t>
      </w:r>
      <w:r w:rsidR="00731EB1">
        <w:rPr>
          <w:i/>
          <w:iCs/>
          <w:color w:val="000000"/>
          <w:szCs w:val="21"/>
          <w:lang w:val="el-GR"/>
        </w:rPr>
        <w:t xml:space="preserve">από </w:t>
      </w:r>
      <w:r w:rsidR="00784638">
        <w:rPr>
          <w:i/>
          <w:iCs/>
          <w:color w:val="000000"/>
          <w:szCs w:val="21"/>
          <w:lang w:val="el-GR"/>
        </w:rPr>
        <w:t>προβλέψε</w:t>
      </w:r>
      <w:r w:rsidR="00731EB1">
        <w:rPr>
          <w:i/>
          <w:iCs/>
          <w:color w:val="000000"/>
          <w:szCs w:val="21"/>
          <w:lang w:val="el-GR"/>
        </w:rPr>
        <w:t>ις</w:t>
      </w:r>
      <w:r w:rsidRPr="005C6849">
        <w:rPr>
          <w:i/>
          <w:iCs/>
          <w:color w:val="000000"/>
          <w:szCs w:val="21"/>
          <w:lang w:val="el-GR"/>
        </w:rPr>
        <w:t xml:space="preserve">). Συνυπολογίζοντας τα ισχυρά κέρδη από χρηματοοικονομικές </w:t>
      </w:r>
      <w:r w:rsidR="00731EB1">
        <w:rPr>
          <w:i/>
          <w:iCs/>
          <w:color w:val="000000"/>
          <w:szCs w:val="21"/>
          <w:lang w:val="el-GR"/>
        </w:rPr>
        <w:t xml:space="preserve">πράξεις </w:t>
      </w:r>
      <w:r w:rsidR="00BC7D57">
        <w:rPr>
          <w:i/>
          <w:iCs/>
          <w:color w:val="000000"/>
          <w:szCs w:val="21"/>
          <w:lang w:val="el-GR"/>
        </w:rPr>
        <w:t xml:space="preserve">και λοιπά έσοδα </w:t>
      </w:r>
      <w:r w:rsidR="00784638">
        <w:rPr>
          <w:i/>
          <w:iCs/>
          <w:color w:val="000000"/>
          <w:szCs w:val="21"/>
          <w:lang w:val="el-GR"/>
        </w:rPr>
        <w:t xml:space="preserve">σχετιζόμενα με </w:t>
      </w:r>
      <w:r w:rsidR="00BC7D57">
        <w:rPr>
          <w:i/>
          <w:iCs/>
          <w:color w:val="000000"/>
          <w:szCs w:val="21"/>
          <w:lang w:val="el-GR"/>
        </w:rPr>
        <w:t xml:space="preserve">την πώληση </w:t>
      </w:r>
      <w:r w:rsidRPr="005C6849">
        <w:rPr>
          <w:i/>
          <w:iCs/>
          <w:color w:val="000000"/>
          <w:szCs w:val="21"/>
          <w:lang w:val="el-GR"/>
        </w:rPr>
        <w:t xml:space="preserve">ομολόγων και περιουσιακών στοιχείων, τα κέρδη μετά από φόρους από συνεχιζόμενες δραστηριότητες ανήλθαν σε €423 εκατ. το </w:t>
      </w:r>
      <w:r w:rsidR="00322250">
        <w:rPr>
          <w:i/>
          <w:iCs/>
          <w:color w:val="000000"/>
          <w:szCs w:val="21"/>
          <w:lang w:val="el-GR"/>
        </w:rPr>
        <w:t>εννεάμηνο 2019</w:t>
      </w:r>
      <w:r w:rsidR="00731EB1">
        <w:rPr>
          <w:i/>
          <w:iCs/>
          <w:color w:val="000000"/>
          <w:szCs w:val="21"/>
          <w:lang w:val="el-GR"/>
        </w:rPr>
        <w:t>,</w:t>
      </w:r>
      <w:r w:rsidRPr="005C6849">
        <w:rPr>
          <w:i/>
          <w:iCs/>
          <w:color w:val="000000"/>
          <w:szCs w:val="21"/>
          <w:lang w:val="el-GR"/>
        </w:rPr>
        <w:t xml:space="preserve"> σε σχέση με €61 εκατ. το προηγούμενο έτος. </w:t>
      </w:r>
    </w:p>
    <w:p w:rsidR="005C6849" w:rsidRPr="005C6849" w:rsidRDefault="005C6849" w:rsidP="005C6849">
      <w:pPr>
        <w:spacing w:after="240"/>
        <w:rPr>
          <w:i/>
          <w:iCs/>
          <w:color w:val="000000"/>
          <w:szCs w:val="21"/>
          <w:lang w:val="el-GR"/>
        </w:rPr>
      </w:pPr>
      <w:r w:rsidRPr="005C6849">
        <w:rPr>
          <w:i/>
          <w:iCs/>
          <w:color w:val="000000"/>
          <w:szCs w:val="21"/>
          <w:lang w:val="el-GR"/>
        </w:rPr>
        <w:t xml:space="preserve">Όσον αφορά τον ισολογισμό, έχουμε επιταχύνει τη διαδικασία εξυγίανσης του χαρτοφυλακίου ΜΕΑ μέσω της τρίτης σημαντικής πώλησης για το τρέχον έτος, </w:t>
      </w:r>
      <w:r w:rsidR="00C64B6B">
        <w:rPr>
          <w:i/>
          <w:iCs/>
          <w:color w:val="000000"/>
          <w:szCs w:val="21"/>
          <w:lang w:val="el-GR"/>
        </w:rPr>
        <w:t xml:space="preserve">με τη μείωση </w:t>
      </w:r>
      <w:r w:rsidR="00C64B6B" w:rsidRPr="00C64B6B">
        <w:rPr>
          <w:i/>
          <w:iCs/>
          <w:color w:val="000000"/>
          <w:szCs w:val="21"/>
          <w:lang w:val="el-GR"/>
        </w:rPr>
        <w:t xml:space="preserve">ΜΕΑ από την αρχή του έτους </w:t>
      </w:r>
      <w:r w:rsidR="00C64B6B">
        <w:rPr>
          <w:i/>
          <w:iCs/>
          <w:color w:val="000000"/>
          <w:szCs w:val="21"/>
          <w:lang w:val="el-GR"/>
        </w:rPr>
        <w:t xml:space="preserve">να ανέρχεται σε </w:t>
      </w:r>
      <w:r w:rsidR="00C64B6B" w:rsidRPr="00C64B6B">
        <w:rPr>
          <w:i/>
          <w:iCs/>
          <w:color w:val="000000"/>
          <w:szCs w:val="21"/>
          <w:lang w:val="el-GR"/>
        </w:rPr>
        <w:t>€4,0 δισ.</w:t>
      </w:r>
      <w:r w:rsidR="00C64B6B">
        <w:rPr>
          <w:i/>
          <w:iCs/>
          <w:color w:val="000000"/>
          <w:szCs w:val="21"/>
          <w:lang w:val="el-GR"/>
        </w:rPr>
        <w:t xml:space="preserve"> (&gt;25%)</w:t>
      </w:r>
      <w:r w:rsidR="00C64B6B" w:rsidRPr="00C64B6B">
        <w:rPr>
          <w:i/>
          <w:iCs/>
          <w:color w:val="000000"/>
          <w:szCs w:val="21"/>
          <w:lang w:val="el-GR"/>
        </w:rPr>
        <w:t>,</w:t>
      </w:r>
      <w:r w:rsidR="00731EB1">
        <w:rPr>
          <w:i/>
          <w:iCs/>
          <w:color w:val="000000"/>
          <w:szCs w:val="21"/>
          <w:lang w:val="el-GR"/>
        </w:rPr>
        <w:t xml:space="preserve"> πλησιάζοντας</w:t>
      </w:r>
      <w:r w:rsidR="00C64B6B" w:rsidRPr="00C64B6B">
        <w:rPr>
          <w:i/>
          <w:iCs/>
          <w:color w:val="000000"/>
          <w:szCs w:val="21"/>
          <w:lang w:val="el-GR"/>
        </w:rPr>
        <w:t xml:space="preserve"> την επίτευξη του ετήσιου στόχου μείωσης ΜΕΑ. </w:t>
      </w:r>
      <w:r w:rsidR="00B316D5">
        <w:rPr>
          <w:i/>
          <w:iCs/>
          <w:color w:val="000000"/>
          <w:szCs w:val="21"/>
          <w:lang w:val="el-GR"/>
        </w:rPr>
        <w:t xml:space="preserve">Αναφορικά με </w:t>
      </w:r>
      <w:r w:rsidR="00C64B6B">
        <w:rPr>
          <w:i/>
          <w:iCs/>
          <w:color w:val="000000"/>
          <w:szCs w:val="21"/>
          <w:lang w:val="el-GR"/>
        </w:rPr>
        <w:t xml:space="preserve">την οργανική μείωση ΜΕΑ, αυτή διαμορφώθηκε σε </w:t>
      </w:r>
      <w:r w:rsidRPr="005C6849">
        <w:rPr>
          <w:i/>
          <w:iCs/>
          <w:color w:val="000000"/>
          <w:szCs w:val="21"/>
          <w:lang w:val="el-GR"/>
        </w:rPr>
        <w:t>σχεδόν €1 δισ.</w:t>
      </w:r>
      <w:r w:rsidR="00C64B6B">
        <w:rPr>
          <w:i/>
          <w:iCs/>
          <w:color w:val="000000"/>
          <w:szCs w:val="21"/>
          <w:lang w:val="el-GR"/>
        </w:rPr>
        <w:t xml:space="preserve"> από την αρχή του έτους</w:t>
      </w:r>
      <w:r w:rsidR="005D7B80">
        <w:rPr>
          <w:i/>
          <w:iCs/>
          <w:color w:val="000000"/>
          <w:szCs w:val="21"/>
          <w:lang w:val="el-GR"/>
        </w:rPr>
        <w:t xml:space="preserve">, αντανακλώντας βιώσιμες </w:t>
      </w:r>
      <w:r w:rsidRPr="005C6849">
        <w:rPr>
          <w:i/>
          <w:iCs/>
          <w:color w:val="000000"/>
          <w:szCs w:val="21"/>
          <w:lang w:val="el-GR"/>
        </w:rPr>
        <w:t>αναδι</w:t>
      </w:r>
      <w:r w:rsidR="005D7B80">
        <w:rPr>
          <w:i/>
          <w:iCs/>
          <w:color w:val="000000"/>
          <w:szCs w:val="21"/>
          <w:lang w:val="el-GR"/>
        </w:rPr>
        <w:t>αρθρώσεις δανείων που εν</w:t>
      </w:r>
      <w:r w:rsidR="00731EB1">
        <w:rPr>
          <w:i/>
          <w:iCs/>
          <w:color w:val="000000"/>
          <w:szCs w:val="21"/>
          <w:lang w:val="el-GR"/>
        </w:rPr>
        <w:t xml:space="preserve">είχαν </w:t>
      </w:r>
      <w:r w:rsidRPr="005C6849">
        <w:rPr>
          <w:i/>
          <w:iCs/>
          <w:color w:val="000000"/>
          <w:szCs w:val="21"/>
          <w:lang w:val="el-GR"/>
        </w:rPr>
        <w:t xml:space="preserve">σημαντικές διαγραφές </w:t>
      </w:r>
      <w:r w:rsidR="005D7B80">
        <w:rPr>
          <w:i/>
          <w:iCs/>
          <w:color w:val="000000"/>
          <w:szCs w:val="21"/>
          <w:lang w:val="el-GR"/>
        </w:rPr>
        <w:t>οφειλών</w:t>
      </w:r>
      <w:r w:rsidRPr="005C6849">
        <w:rPr>
          <w:i/>
          <w:iCs/>
          <w:color w:val="000000"/>
          <w:szCs w:val="21"/>
          <w:lang w:val="el-GR"/>
        </w:rPr>
        <w:t xml:space="preserve">, καθώς και ρευστοποιήσεις </w:t>
      </w:r>
      <w:r w:rsidR="00CD3344" w:rsidRPr="00CD3344">
        <w:rPr>
          <w:i/>
          <w:iCs/>
          <w:color w:val="000000"/>
          <w:szCs w:val="21"/>
          <w:lang w:val="el-GR"/>
        </w:rPr>
        <w:t xml:space="preserve">εξασφαλίσεων </w:t>
      </w:r>
      <w:r w:rsidR="00A66886">
        <w:rPr>
          <w:i/>
          <w:iCs/>
          <w:color w:val="000000"/>
          <w:szCs w:val="21"/>
          <w:lang w:val="el-GR"/>
        </w:rPr>
        <w:t xml:space="preserve">σε </w:t>
      </w:r>
      <w:r w:rsidRPr="005C6849">
        <w:rPr>
          <w:i/>
          <w:iCs/>
          <w:color w:val="000000"/>
          <w:szCs w:val="21"/>
          <w:lang w:val="el-GR"/>
        </w:rPr>
        <w:t>μη συνεργάσιμ</w:t>
      </w:r>
      <w:r w:rsidR="00A66886">
        <w:rPr>
          <w:i/>
          <w:iCs/>
          <w:color w:val="000000"/>
          <w:szCs w:val="21"/>
          <w:lang w:val="el-GR"/>
        </w:rPr>
        <w:t>ους</w:t>
      </w:r>
      <w:r w:rsidRPr="005C6849">
        <w:rPr>
          <w:i/>
          <w:iCs/>
          <w:color w:val="000000"/>
          <w:szCs w:val="21"/>
          <w:lang w:val="el-GR"/>
        </w:rPr>
        <w:t xml:space="preserve"> δανειολ</w:t>
      </w:r>
      <w:r w:rsidR="00A66886">
        <w:rPr>
          <w:i/>
          <w:iCs/>
          <w:color w:val="000000"/>
          <w:szCs w:val="21"/>
          <w:lang w:val="el-GR"/>
        </w:rPr>
        <w:t>ήπτες</w:t>
      </w:r>
      <w:r w:rsidRPr="005C6849">
        <w:rPr>
          <w:i/>
          <w:iCs/>
          <w:color w:val="000000"/>
          <w:szCs w:val="21"/>
          <w:lang w:val="el-GR"/>
        </w:rPr>
        <w:t xml:space="preserve">. Η κεφαλαιακή μας </w:t>
      </w:r>
      <w:r w:rsidR="00A06563">
        <w:rPr>
          <w:i/>
          <w:iCs/>
          <w:color w:val="000000"/>
          <w:szCs w:val="21"/>
          <w:lang w:val="el-GR"/>
        </w:rPr>
        <w:t>επάρκεια</w:t>
      </w:r>
      <w:r w:rsidRPr="005C6849">
        <w:rPr>
          <w:i/>
          <w:iCs/>
          <w:color w:val="000000"/>
          <w:szCs w:val="21"/>
          <w:lang w:val="el-GR"/>
        </w:rPr>
        <w:t xml:space="preserve"> </w:t>
      </w:r>
      <w:r w:rsidR="009508C0">
        <w:rPr>
          <w:i/>
          <w:iCs/>
          <w:color w:val="000000"/>
          <w:szCs w:val="21"/>
          <w:lang w:val="el-GR"/>
        </w:rPr>
        <w:t xml:space="preserve">ενισχύθηκε </w:t>
      </w:r>
      <w:r w:rsidRPr="005C6849">
        <w:rPr>
          <w:i/>
          <w:iCs/>
          <w:color w:val="000000"/>
          <w:szCs w:val="21"/>
          <w:lang w:val="el-GR"/>
        </w:rPr>
        <w:t>κατά 80 μ.β. σε τριμηνιαία βάση, με τον δείκτη CET1 να ανέρχεται σ</w:t>
      </w:r>
      <w:r w:rsidR="00A06563">
        <w:rPr>
          <w:i/>
          <w:iCs/>
          <w:color w:val="000000"/>
          <w:szCs w:val="21"/>
          <w:lang w:val="el-GR"/>
        </w:rPr>
        <w:t>ε</w:t>
      </w:r>
      <w:r w:rsidRPr="005C6849">
        <w:rPr>
          <w:i/>
          <w:iCs/>
          <w:color w:val="000000"/>
          <w:szCs w:val="21"/>
          <w:lang w:val="el-GR"/>
        </w:rPr>
        <w:t xml:space="preserve"> 16,8%, </w:t>
      </w:r>
      <w:r w:rsidR="00D44849">
        <w:rPr>
          <w:i/>
          <w:iCs/>
          <w:color w:val="000000"/>
          <w:szCs w:val="21"/>
          <w:lang w:val="el-GR"/>
        </w:rPr>
        <w:t xml:space="preserve">επίπεδο σημαντικά υψηλότερο των </w:t>
      </w:r>
      <w:r w:rsidR="00A06563" w:rsidRPr="00A06563">
        <w:rPr>
          <w:i/>
          <w:iCs/>
          <w:color w:val="000000"/>
          <w:szCs w:val="21"/>
          <w:lang w:val="el-GR"/>
        </w:rPr>
        <w:t>κεφαλαιακ</w:t>
      </w:r>
      <w:r w:rsidR="00D44849">
        <w:rPr>
          <w:i/>
          <w:iCs/>
          <w:color w:val="000000"/>
          <w:szCs w:val="21"/>
          <w:lang w:val="el-GR"/>
        </w:rPr>
        <w:t>ών</w:t>
      </w:r>
      <w:r w:rsidR="00A06563" w:rsidRPr="00A06563">
        <w:rPr>
          <w:i/>
          <w:iCs/>
          <w:color w:val="000000"/>
          <w:szCs w:val="21"/>
          <w:lang w:val="el-GR"/>
        </w:rPr>
        <w:t xml:space="preserve"> απαιτήσε</w:t>
      </w:r>
      <w:r w:rsidR="00D44849">
        <w:rPr>
          <w:i/>
          <w:iCs/>
          <w:color w:val="000000"/>
          <w:szCs w:val="21"/>
          <w:lang w:val="el-GR"/>
        </w:rPr>
        <w:t>ων</w:t>
      </w:r>
      <w:r w:rsidR="00A06563" w:rsidRPr="00A06563">
        <w:rPr>
          <w:i/>
          <w:iCs/>
          <w:color w:val="000000"/>
          <w:szCs w:val="21"/>
          <w:lang w:val="el-GR"/>
        </w:rPr>
        <w:t xml:space="preserve"> του Εποπτικού Ελέγχου και Διαδικασίας Αξιολόγησης</w:t>
      </w:r>
      <w:r w:rsidR="00A66886">
        <w:rPr>
          <w:i/>
          <w:iCs/>
          <w:color w:val="000000"/>
          <w:szCs w:val="21"/>
          <w:lang w:val="el-GR"/>
        </w:rPr>
        <w:t xml:space="preserve"> (</w:t>
      </w:r>
      <w:r w:rsidR="00A66886">
        <w:rPr>
          <w:i/>
          <w:iCs/>
          <w:color w:val="000000"/>
          <w:szCs w:val="21"/>
          <w:lang w:val="en-US"/>
        </w:rPr>
        <w:t>SREP</w:t>
      </w:r>
      <w:r w:rsidR="00A66886" w:rsidRPr="00B43C70">
        <w:rPr>
          <w:i/>
          <w:iCs/>
          <w:color w:val="000000"/>
          <w:szCs w:val="21"/>
          <w:lang w:val="el-GR"/>
        </w:rPr>
        <w:t>)</w:t>
      </w:r>
      <w:r w:rsidR="00A06563" w:rsidRPr="00A06563">
        <w:rPr>
          <w:i/>
          <w:iCs/>
          <w:color w:val="000000"/>
          <w:szCs w:val="21"/>
          <w:lang w:val="el-GR"/>
        </w:rPr>
        <w:t xml:space="preserve"> </w:t>
      </w:r>
      <w:r w:rsidR="00A06563">
        <w:rPr>
          <w:i/>
          <w:iCs/>
          <w:color w:val="000000"/>
          <w:szCs w:val="21"/>
          <w:lang w:val="el-GR"/>
        </w:rPr>
        <w:t xml:space="preserve">για το 2019 και το 2020. </w:t>
      </w:r>
      <w:r w:rsidR="008E1481">
        <w:rPr>
          <w:i/>
          <w:iCs/>
          <w:color w:val="000000"/>
          <w:szCs w:val="21"/>
          <w:lang w:val="el-GR"/>
        </w:rPr>
        <w:t>Οι επικείμενες απ</w:t>
      </w:r>
      <w:r w:rsidRPr="005C6849">
        <w:rPr>
          <w:i/>
          <w:iCs/>
          <w:color w:val="000000"/>
          <w:szCs w:val="21"/>
          <w:lang w:val="el-GR"/>
        </w:rPr>
        <w:t xml:space="preserve">οεπενδύσεις και </w:t>
      </w:r>
      <w:r w:rsidR="00312416">
        <w:rPr>
          <w:i/>
          <w:iCs/>
          <w:color w:val="000000"/>
          <w:szCs w:val="21"/>
          <w:lang w:val="el-GR"/>
        </w:rPr>
        <w:t xml:space="preserve">τα μη </w:t>
      </w:r>
      <w:r w:rsidR="00312416" w:rsidRPr="00312416">
        <w:rPr>
          <w:i/>
          <w:iCs/>
          <w:color w:val="000000"/>
          <w:szCs w:val="21"/>
          <w:lang w:val="el-GR"/>
        </w:rPr>
        <w:t>πραγματοποιη</w:t>
      </w:r>
      <w:r w:rsidR="00853C3F">
        <w:rPr>
          <w:i/>
          <w:iCs/>
          <w:color w:val="000000"/>
          <w:szCs w:val="21"/>
          <w:lang w:val="el-GR"/>
        </w:rPr>
        <w:t>θέντα</w:t>
      </w:r>
      <w:r w:rsidR="00312416" w:rsidRPr="00312416">
        <w:rPr>
          <w:i/>
          <w:iCs/>
          <w:color w:val="000000"/>
          <w:szCs w:val="21"/>
          <w:lang w:val="el-GR"/>
        </w:rPr>
        <w:t xml:space="preserve"> </w:t>
      </w:r>
      <w:r w:rsidR="00116B51" w:rsidRPr="00312416">
        <w:rPr>
          <w:i/>
          <w:iCs/>
          <w:color w:val="000000"/>
          <w:szCs w:val="21"/>
          <w:lang w:val="el-GR"/>
        </w:rPr>
        <w:t>κ</w:t>
      </w:r>
      <w:r w:rsidR="00116B51">
        <w:rPr>
          <w:i/>
          <w:iCs/>
          <w:color w:val="000000"/>
          <w:szCs w:val="21"/>
          <w:lang w:val="el-GR"/>
        </w:rPr>
        <w:t xml:space="preserve">έρδη </w:t>
      </w:r>
      <w:r w:rsidR="00312416">
        <w:rPr>
          <w:i/>
          <w:iCs/>
          <w:color w:val="000000"/>
          <w:szCs w:val="21"/>
          <w:lang w:val="el-GR"/>
        </w:rPr>
        <w:t>στο</w:t>
      </w:r>
      <w:r w:rsidR="00116B51">
        <w:rPr>
          <w:i/>
          <w:iCs/>
          <w:color w:val="000000"/>
          <w:szCs w:val="21"/>
          <w:lang w:val="el-GR"/>
        </w:rPr>
        <w:t xml:space="preserve"> χαρτοφυλ</w:t>
      </w:r>
      <w:r w:rsidR="00312416">
        <w:rPr>
          <w:i/>
          <w:iCs/>
          <w:color w:val="000000"/>
          <w:szCs w:val="21"/>
          <w:lang w:val="el-GR"/>
        </w:rPr>
        <w:t xml:space="preserve">άκιο </w:t>
      </w:r>
      <w:r w:rsidR="00116B51">
        <w:rPr>
          <w:i/>
          <w:iCs/>
          <w:color w:val="000000"/>
          <w:szCs w:val="21"/>
          <w:lang w:val="el-GR"/>
        </w:rPr>
        <w:t xml:space="preserve">ομολόγων </w:t>
      </w:r>
      <w:r w:rsidRPr="005C6849">
        <w:rPr>
          <w:i/>
          <w:iCs/>
          <w:color w:val="000000"/>
          <w:szCs w:val="21"/>
          <w:lang w:val="el-GR"/>
        </w:rPr>
        <w:t>παρέχο</w:t>
      </w:r>
      <w:r w:rsidR="000C56BF">
        <w:rPr>
          <w:i/>
          <w:iCs/>
          <w:color w:val="000000"/>
          <w:szCs w:val="21"/>
          <w:lang w:val="el-GR"/>
        </w:rPr>
        <w:t>υν</w:t>
      </w:r>
      <w:r w:rsidRPr="005C6849">
        <w:rPr>
          <w:i/>
          <w:iCs/>
          <w:color w:val="000000"/>
          <w:szCs w:val="21"/>
          <w:lang w:val="el-GR"/>
        </w:rPr>
        <w:t xml:space="preserve"> στην Τράπεζα μεγαλύτερη ευελιξία </w:t>
      </w:r>
      <w:r w:rsidR="00B62EC5">
        <w:rPr>
          <w:i/>
          <w:iCs/>
          <w:color w:val="000000"/>
          <w:szCs w:val="21"/>
          <w:lang w:val="el-GR"/>
        </w:rPr>
        <w:t>στ</w:t>
      </w:r>
      <w:r w:rsidR="00BA5D0F">
        <w:rPr>
          <w:i/>
          <w:iCs/>
          <w:color w:val="000000"/>
          <w:szCs w:val="21"/>
          <w:lang w:val="el-GR"/>
        </w:rPr>
        <w:t>η</w:t>
      </w:r>
      <w:r w:rsidRPr="005C6849">
        <w:rPr>
          <w:i/>
          <w:iCs/>
          <w:color w:val="000000"/>
          <w:szCs w:val="21"/>
          <w:lang w:val="el-GR"/>
        </w:rPr>
        <w:t xml:space="preserve"> στρατηγική </w:t>
      </w:r>
      <w:r w:rsidR="00BA5D0F">
        <w:rPr>
          <w:i/>
          <w:iCs/>
          <w:color w:val="000000"/>
          <w:szCs w:val="21"/>
          <w:lang w:val="el-GR"/>
        </w:rPr>
        <w:t>μείωσης</w:t>
      </w:r>
      <w:r w:rsidR="00B62EC5">
        <w:rPr>
          <w:i/>
          <w:iCs/>
          <w:color w:val="000000"/>
          <w:szCs w:val="21"/>
          <w:lang w:val="el-GR"/>
        </w:rPr>
        <w:t xml:space="preserve"> </w:t>
      </w:r>
      <w:r w:rsidRPr="005C6849">
        <w:rPr>
          <w:i/>
          <w:iCs/>
          <w:color w:val="000000"/>
          <w:szCs w:val="21"/>
          <w:lang w:val="el-GR"/>
        </w:rPr>
        <w:t xml:space="preserve">ΜΕΑ. </w:t>
      </w:r>
      <w:r w:rsidR="009508C0">
        <w:rPr>
          <w:i/>
          <w:iCs/>
          <w:color w:val="000000"/>
          <w:szCs w:val="21"/>
          <w:lang w:val="el-GR"/>
        </w:rPr>
        <w:t xml:space="preserve">  </w:t>
      </w:r>
    </w:p>
    <w:p w:rsidR="008765A1" w:rsidRPr="00914058" w:rsidRDefault="005C6849" w:rsidP="005C6849">
      <w:pPr>
        <w:spacing w:after="240"/>
        <w:rPr>
          <w:i/>
          <w:iCs/>
          <w:color w:val="000000"/>
          <w:szCs w:val="21"/>
          <w:lang w:val="el-GR"/>
        </w:rPr>
      </w:pPr>
      <w:r w:rsidRPr="005C6849">
        <w:rPr>
          <w:i/>
          <w:iCs/>
          <w:color w:val="000000"/>
          <w:szCs w:val="21"/>
          <w:lang w:val="el-GR"/>
        </w:rPr>
        <w:t>Οι εξελίξεις αυτές</w:t>
      </w:r>
      <w:r w:rsidR="0016290F">
        <w:rPr>
          <w:i/>
          <w:iCs/>
          <w:color w:val="000000"/>
          <w:szCs w:val="21"/>
          <w:lang w:val="el-GR"/>
        </w:rPr>
        <w:t xml:space="preserve">, σε συνδυασμό με τη </w:t>
      </w:r>
      <w:r w:rsidR="00F26966">
        <w:rPr>
          <w:i/>
          <w:iCs/>
          <w:color w:val="000000"/>
          <w:szCs w:val="21"/>
          <w:lang w:val="el-GR"/>
        </w:rPr>
        <w:t xml:space="preserve">σημαντική </w:t>
      </w:r>
      <w:r w:rsidRPr="005C6849">
        <w:rPr>
          <w:i/>
          <w:iCs/>
          <w:color w:val="000000"/>
          <w:szCs w:val="21"/>
          <w:lang w:val="el-GR"/>
        </w:rPr>
        <w:t>βελτίωσ</w:t>
      </w:r>
      <w:r w:rsidR="0016290F">
        <w:rPr>
          <w:i/>
          <w:iCs/>
          <w:color w:val="000000"/>
          <w:szCs w:val="21"/>
          <w:lang w:val="el-GR"/>
        </w:rPr>
        <w:t xml:space="preserve">η των μακροοικονομικών συνθηκών, καθώς και </w:t>
      </w:r>
      <w:r w:rsidR="00F26966">
        <w:rPr>
          <w:i/>
          <w:iCs/>
          <w:color w:val="000000"/>
          <w:szCs w:val="21"/>
          <w:lang w:val="el-GR"/>
        </w:rPr>
        <w:t xml:space="preserve">η χρήση </w:t>
      </w:r>
      <w:r w:rsidR="00001300">
        <w:rPr>
          <w:i/>
          <w:iCs/>
          <w:color w:val="000000"/>
          <w:szCs w:val="21"/>
          <w:lang w:val="el-GR"/>
        </w:rPr>
        <w:t>σημαντικ</w:t>
      </w:r>
      <w:r w:rsidR="00F26966">
        <w:rPr>
          <w:i/>
          <w:iCs/>
          <w:color w:val="000000"/>
          <w:szCs w:val="21"/>
          <w:lang w:val="el-GR"/>
        </w:rPr>
        <w:t xml:space="preserve">ών </w:t>
      </w:r>
      <w:r w:rsidR="00001300">
        <w:rPr>
          <w:i/>
          <w:iCs/>
          <w:color w:val="000000"/>
          <w:szCs w:val="21"/>
          <w:lang w:val="el-GR"/>
        </w:rPr>
        <w:t>εργαλεί</w:t>
      </w:r>
      <w:r w:rsidR="00F26966">
        <w:rPr>
          <w:i/>
          <w:iCs/>
          <w:color w:val="000000"/>
          <w:szCs w:val="21"/>
          <w:lang w:val="el-GR"/>
        </w:rPr>
        <w:t xml:space="preserve">ων που </w:t>
      </w:r>
      <w:r w:rsidR="00001300">
        <w:rPr>
          <w:i/>
          <w:iCs/>
          <w:color w:val="000000"/>
          <w:szCs w:val="21"/>
          <w:lang w:val="el-GR"/>
        </w:rPr>
        <w:t>είναι πλέον διαθέσιμα</w:t>
      </w:r>
      <w:r w:rsidRPr="005C6849">
        <w:rPr>
          <w:i/>
          <w:iCs/>
          <w:color w:val="000000"/>
          <w:szCs w:val="21"/>
          <w:lang w:val="el-GR"/>
        </w:rPr>
        <w:t xml:space="preserve"> (π.χ. Σχέδιο Ηρακλής), καθιστούν την προοπτική πρόωρης επίτευξης των στόχων του Επιχειρηματικού μας Σχεδίου εφικτή. </w:t>
      </w:r>
      <w:r w:rsidR="00001300">
        <w:rPr>
          <w:i/>
          <w:iCs/>
          <w:color w:val="000000"/>
          <w:szCs w:val="21"/>
          <w:lang w:val="el-GR"/>
        </w:rPr>
        <w:t xml:space="preserve">Το γεγονός αυτό </w:t>
      </w:r>
      <w:r w:rsidRPr="005C6849">
        <w:rPr>
          <w:i/>
          <w:iCs/>
          <w:color w:val="000000"/>
          <w:szCs w:val="21"/>
          <w:lang w:val="el-GR"/>
        </w:rPr>
        <w:t xml:space="preserve">θα </w:t>
      </w:r>
      <w:r w:rsidR="00001300">
        <w:rPr>
          <w:i/>
          <w:iCs/>
          <w:color w:val="000000"/>
          <w:szCs w:val="21"/>
          <w:lang w:val="el-GR"/>
        </w:rPr>
        <w:t xml:space="preserve">επιταχύνει </w:t>
      </w:r>
      <w:r w:rsidRPr="005C6849">
        <w:rPr>
          <w:i/>
          <w:iCs/>
          <w:color w:val="000000"/>
          <w:szCs w:val="21"/>
          <w:lang w:val="el-GR"/>
        </w:rPr>
        <w:t xml:space="preserve">την επιστροφή </w:t>
      </w:r>
      <w:r w:rsidR="00001300">
        <w:rPr>
          <w:i/>
          <w:iCs/>
          <w:color w:val="000000"/>
          <w:szCs w:val="21"/>
          <w:lang w:val="el-GR"/>
        </w:rPr>
        <w:t xml:space="preserve">μας </w:t>
      </w:r>
      <w:r w:rsidRPr="005C6849">
        <w:rPr>
          <w:i/>
          <w:iCs/>
          <w:color w:val="000000"/>
          <w:szCs w:val="21"/>
          <w:lang w:val="el-GR"/>
        </w:rPr>
        <w:t xml:space="preserve">στην </w:t>
      </w:r>
      <w:r w:rsidR="00001300">
        <w:rPr>
          <w:i/>
          <w:iCs/>
          <w:color w:val="000000"/>
          <w:szCs w:val="21"/>
          <w:lang w:val="el-GR"/>
        </w:rPr>
        <w:t>κανονικότητα</w:t>
      </w:r>
      <w:r w:rsidRPr="005C6849">
        <w:rPr>
          <w:i/>
          <w:iCs/>
          <w:color w:val="000000"/>
          <w:szCs w:val="21"/>
          <w:lang w:val="el-GR"/>
        </w:rPr>
        <w:t xml:space="preserve">, </w:t>
      </w:r>
      <w:r w:rsidR="00001300">
        <w:rPr>
          <w:i/>
          <w:iCs/>
          <w:color w:val="000000"/>
          <w:szCs w:val="21"/>
          <w:lang w:val="el-GR"/>
        </w:rPr>
        <w:t xml:space="preserve">δίνοντάς μας έτσι </w:t>
      </w:r>
      <w:r w:rsidRPr="005C6849">
        <w:rPr>
          <w:i/>
          <w:iCs/>
          <w:color w:val="000000"/>
          <w:szCs w:val="21"/>
          <w:lang w:val="el-GR"/>
        </w:rPr>
        <w:t xml:space="preserve">τη δυνατότητα να επικεντρωθούμε </w:t>
      </w:r>
      <w:r w:rsidR="00001300">
        <w:rPr>
          <w:i/>
          <w:iCs/>
          <w:color w:val="000000"/>
          <w:szCs w:val="21"/>
          <w:lang w:val="el-GR"/>
        </w:rPr>
        <w:t>εξ</w:t>
      </w:r>
      <w:r w:rsidR="00C1153F" w:rsidRPr="00C1153F">
        <w:rPr>
          <w:i/>
          <w:iCs/>
          <w:color w:val="000000"/>
          <w:szCs w:val="21"/>
          <w:lang w:val="el-GR"/>
        </w:rPr>
        <w:t xml:space="preserve"> </w:t>
      </w:r>
      <w:r w:rsidR="00001300">
        <w:rPr>
          <w:i/>
          <w:iCs/>
          <w:color w:val="000000"/>
          <w:szCs w:val="21"/>
          <w:lang w:val="el-GR"/>
        </w:rPr>
        <w:t xml:space="preserve">ολοκλήρου </w:t>
      </w:r>
      <w:r w:rsidRPr="005C6849">
        <w:rPr>
          <w:i/>
          <w:iCs/>
          <w:color w:val="000000"/>
          <w:szCs w:val="21"/>
          <w:lang w:val="el-GR"/>
        </w:rPr>
        <w:t xml:space="preserve">στον βασικό </w:t>
      </w:r>
      <w:r w:rsidR="00001300" w:rsidRPr="005C6849">
        <w:rPr>
          <w:i/>
          <w:iCs/>
          <w:color w:val="000000"/>
          <w:szCs w:val="21"/>
          <w:lang w:val="el-GR"/>
        </w:rPr>
        <w:t xml:space="preserve">μας </w:t>
      </w:r>
      <w:r w:rsidRPr="005C6849">
        <w:rPr>
          <w:i/>
          <w:iCs/>
          <w:color w:val="000000"/>
          <w:szCs w:val="21"/>
          <w:lang w:val="el-GR"/>
        </w:rPr>
        <w:t>ρόλο</w:t>
      </w:r>
      <w:r w:rsidR="00001300">
        <w:rPr>
          <w:i/>
          <w:iCs/>
          <w:color w:val="000000"/>
          <w:szCs w:val="21"/>
          <w:lang w:val="el-GR"/>
        </w:rPr>
        <w:t xml:space="preserve">, αυτόν της στήριξης της ελληνικής </w:t>
      </w:r>
      <w:r>
        <w:rPr>
          <w:i/>
          <w:iCs/>
          <w:color w:val="000000"/>
          <w:szCs w:val="21"/>
          <w:lang w:val="el-GR"/>
        </w:rPr>
        <w:t>οικονομίας.</w:t>
      </w:r>
    </w:p>
    <w:p w:rsidR="00914058" w:rsidRDefault="00914058" w:rsidP="008765A1">
      <w:pPr>
        <w:spacing w:after="0"/>
        <w:rPr>
          <w:i/>
          <w:iCs/>
          <w:color w:val="000000"/>
          <w:sz w:val="24"/>
          <w:szCs w:val="24"/>
          <w:lang w:val="el-GR"/>
        </w:rPr>
      </w:pPr>
    </w:p>
    <w:p w:rsidR="003823EB" w:rsidRDefault="003823EB" w:rsidP="008765A1">
      <w:pPr>
        <w:spacing w:after="0"/>
        <w:rPr>
          <w:i/>
          <w:iCs/>
          <w:color w:val="000000"/>
          <w:sz w:val="24"/>
          <w:szCs w:val="24"/>
          <w:lang w:val="el-GR"/>
        </w:rPr>
      </w:pPr>
    </w:p>
    <w:p w:rsidR="003823EB" w:rsidRPr="003823EB" w:rsidRDefault="003823EB" w:rsidP="008765A1">
      <w:pPr>
        <w:spacing w:after="0"/>
        <w:rPr>
          <w:i/>
          <w:iCs/>
          <w:color w:val="000000"/>
          <w:sz w:val="24"/>
          <w:szCs w:val="24"/>
          <w:lang w:val="el-GR"/>
        </w:rPr>
      </w:pPr>
    </w:p>
    <w:p w:rsidR="006D76EB" w:rsidRPr="00914058" w:rsidRDefault="006D76EB" w:rsidP="006D76EB">
      <w:pPr>
        <w:spacing w:after="160" w:line="240" w:lineRule="auto"/>
        <w:jc w:val="right"/>
        <w:rPr>
          <w:rFonts w:asciiTheme="minorHAnsi" w:hAnsiTheme="minorHAnsi" w:cs="Segoe UI"/>
          <w:i/>
          <w:iCs/>
          <w:szCs w:val="21"/>
          <w:lang w:val="el-GR"/>
        </w:rPr>
      </w:pPr>
      <w:r w:rsidRPr="00914058">
        <w:rPr>
          <w:rFonts w:asciiTheme="minorHAnsi" w:hAnsiTheme="minorHAnsi" w:cs="Segoe UI"/>
          <w:i/>
          <w:szCs w:val="21"/>
          <w:lang w:val="el-GR" w:eastAsia="en-GB"/>
        </w:rPr>
        <w:t xml:space="preserve">Αθήνα, </w:t>
      </w:r>
      <w:r w:rsidR="003451E8">
        <w:rPr>
          <w:rFonts w:cs="Segoe UI"/>
          <w:i/>
          <w:szCs w:val="21"/>
          <w:lang w:val="el-GR" w:eastAsia="en-GB"/>
        </w:rPr>
        <w:t xml:space="preserve">21 Νοεμβρίου </w:t>
      </w:r>
      <w:r w:rsidRPr="00914058">
        <w:rPr>
          <w:rFonts w:asciiTheme="minorHAnsi" w:hAnsiTheme="minorHAnsi" w:cs="Segoe UI"/>
          <w:i/>
          <w:szCs w:val="21"/>
          <w:lang w:val="el-GR" w:eastAsia="en-GB"/>
        </w:rPr>
        <w:t>201</w:t>
      </w:r>
      <w:r w:rsidR="00B80BB3" w:rsidRPr="00914058">
        <w:rPr>
          <w:rFonts w:asciiTheme="minorHAnsi" w:hAnsiTheme="minorHAnsi" w:cs="Segoe UI"/>
          <w:i/>
          <w:szCs w:val="21"/>
          <w:lang w:val="el-GR" w:eastAsia="en-GB"/>
        </w:rPr>
        <w:t>9</w:t>
      </w:r>
    </w:p>
    <w:p w:rsidR="006D76EB" w:rsidRPr="00914058" w:rsidRDefault="00A33035" w:rsidP="006D76EB">
      <w:pPr>
        <w:spacing w:after="160" w:line="240" w:lineRule="auto"/>
        <w:jc w:val="right"/>
        <w:rPr>
          <w:rFonts w:asciiTheme="minorHAnsi" w:hAnsiTheme="minorHAnsi" w:cs="Segoe UI"/>
          <w:i/>
          <w:iCs/>
          <w:szCs w:val="21"/>
          <w:lang w:val="el-GR"/>
        </w:rPr>
      </w:pPr>
      <w:r w:rsidRPr="00914058">
        <w:rPr>
          <w:rFonts w:asciiTheme="minorHAnsi" w:hAnsiTheme="minorHAnsi" w:cs="Segoe UI"/>
          <w:i/>
          <w:szCs w:val="21"/>
          <w:lang w:val="el-GR" w:eastAsia="en-GB"/>
        </w:rPr>
        <w:t>Παύλος Μυλωνάς</w:t>
      </w:r>
    </w:p>
    <w:p w:rsidR="00901454" w:rsidRPr="00D53B37" w:rsidRDefault="006D76EB" w:rsidP="005F42F0">
      <w:pPr>
        <w:spacing w:line="240" w:lineRule="auto"/>
        <w:jc w:val="right"/>
        <w:rPr>
          <w:rFonts w:ascii="Segoe UI" w:hAnsi="Segoe UI" w:cs="Segoe UI"/>
          <w:b/>
          <w:sz w:val="4"/>
          <w:lang w:val="el-GR" w:eastAsia="el-GR" w:bidi="el-GR"/>
        </w:rPr>
      </w:pPr>
      <w:r w:rsidRPr="00914058">
        <w:rPr>
          <w:rFonts w:asciiTheme="minorHAnsi" w:hAnsiTheme="minorHAnsi" w:cs="Segoe UI"/>
          <w:i/>
          <w:szCs w:val="21"/>
          <w:lang w:val="el-GR" w:eastAsia="en-GB"/>
        </w:rPr>
        <w:t>Διευθύνων Σύμβουλος ΕΤΕ</w:t>
      </w:r>
      <w:r w:rsidR="00901454" w:rsidRPr="00D53B37">
        <w:rPr>
          <w:rFonts w:ascii="Segoe UI" w:hAnsi="Segoe UI" w:cs="Segoe UI"/>
          <w:b/>
          <w:sz w:val="4"/>
          <w:lang w:val="el-GR" w:eastAsia="el-GR" w:bidi="el-GR"/>
        </w:rPr>
        <w:br w:type="page"/>
      </w:r>
    </w:p>
    <w:p w:rsidR="00604AD2" w:rsidRDefault="00486D0B" w:rsidP="00604AD2">
      <w:pPr>
        <w:spacing w:after="160"/>
        <w:jc w:val="both"/>
        <w:rPr>
          <w:rFonts w:ascii="Segoe UI" w:eastAsia="Calibri" w:hAnsi="Segoe UI" w:cs="Segoe UI"/>
          <w:sz w:val="11"/>
          <w:szCs w:val="11"/>
          <w:vertAlign w:val="superscript"/>
          <w:lang w:val="el-GR"/>
        </w:rPr>
      </w:pPr>
      <w:r w:rsidRPr="00486D0B">
        <w:rPr>
          <w:rFonts w:eastAsia="Calibri"/>
          <w:noProof/>
          <w:lang w:val="el-GR" w:eastAsia="el-GR"/>
        </w:rPr>
        <w:pict>
          <v:roundrect id="_x0000_s1058" style="position:absolute;left:0;text-align:left;margin-left:306.35pt;margin-top:16.1pt;width:43.2pt;height:245.2pt;z-index:2519649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" filled="f" strokecolor="#ff7415"/>
        </w:pict>
      </w:r>
      <w:r w:rsidRPr="00486D0B">
        <w:rPr>
          <w:rFonts w:eastAsia="Calibri"/>
          <w:noProof/>
          <w:lang w:val="el-GR" w:eastAsia="el-GR"/>
        </w:rPr>
        <w:pict>
          <v:roundrect id="Rounded Rectangle 18" o:spid="_x0000_s1057" style="position:absolute;left:0;text-align:left;margin-left:178.4pt;margin-top:16.1pt;width:43.2pt;height:245.25pt;z-index:2516101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" filled="f" strokecolor="#ff7415"/>
        </w:pict>
      </w:r>
      <w:r w:rsidRPr="00486D0B">
        <w:rPr>
          <w:noProof/>
          <w:lang w:val="el-GR" w:eastAsia="el-GR"/>
        </w:rPr>
        <w:pict>
          <v:rect id="Text Placeholder 1" o:spid="_x0000_s1028" style="position:absolute;left:0;text-align:left;margin-left:-3.25pt;margin-top:-3.7pt;width:171.8pt;height:20.25pt;z-index:251622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" filled="f" stroked="f">
            <v:shadow on="t" type="perspective" color="black" opacity="26214f" origin=",.5" offset="0,1pt" matrix="64881f,,,64881f"/>
            <v:path arrowok="t"/>
            <o:lock v:ext="edit" grouping="t"/>
            <v:textbox inset="1.2699mm,1.2699mm,1.2699mm,1.2699mm">
              <w:txbxContent>
                <w:p w:rsidR="005726A5" w:rsidRPr="00D46FEC" w:rsidRDefault="005726A5" w:rsidP="00604AD2">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Όμιλος</w:t>
                  </w:r>
                  <w:r w:rsidRPr="00D46FEC">
                    <w:rPr>
                      <w:rFonts w:ascii="Segoe UI" w:eastAsia="Segoe UI" w:hAnsi="Segoe UI" w:cs="Segoe UI"/>
                      <w:b/>
                      <w:color w:val="008080"/>
                      <w:kern w:val="24"/>
                      <w:sz w:val="18"/>
                    </w:rPr>
                    <w:t xml:space="preserve"> </w:t>
                  </w:r>
                </w:p>
                <w:p w:rsidR="005726A5" w:rsidRPr="00D46FEC" w:rsidRDefault="005726A5" w:rsidP="00604AD2">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D46FEC" w:rsidRDefault="005726A5" w:rsidP="00604AD2">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D46FEC" w:rsidRDefault="005726A5" w:rsidP="00604AD2">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FE1137" w:rsidRDefault="005726A5" w:rsidP="00604AD2">
                  <w:pPr>
                    <w:pStyle w:val="Web"/>
                    <w:kinsoku w:val="0"/>
                    <w:overflowPunct w:val="0"/>
                    <w:spacing w:before="40" w:beforeAutospacing="0" w:after="0" w:afterAutospacing="0"/>
                    <w:ind w:left="547" w:hanging="547"/>
                    <w:textAlignment w:val="baseline"/>
                    <w:rPr>
                      <w:b/>
                      <w:color w:val="008080"/>
                      <w:sz w:val="16"/>
                    </w:rPr>
                  </w:pPr>
                </w:p>
              </w:txbxContent>
            </v:textbox>
          </v:rect>
        </w:pict>
      </w:r>
    </w:p>
    <w:tbl>
      <w:tblPr>
        <w:tblW w:w="8676" w:type="dxa"/>
        <w:tblLayout w:type="fixed"/>
        <w:tblCellMar>
          <w:left w:w="0" w:type="dxa"/>
          <w:right w:w="0" w:type="dxa"/>
        </w:tblCellMar>
        <w:tblLook w:val="0420"/>
      </w:tblPr>
      <w:tblGrid>
        <w:gridCol w:w="3572"/>
        <w:gridCol w:w="850"/>
        <w:gridCol w:w="850"/>
        <w:gridCol w:w="850"/>
        <w:gridCol w:w="850"/>
        <w:gridCol w:w="852"/>
        <w:gridCol w:w="852"/>
      </w:tblGrid>
      <w:tr w:rsidR="00601A1B" w:rsidRPr="00C62FEB" w:rsidTr="00601A1B">
        <w:trPr>
          <w:trHeight w:val="289"/>
        </w:trPr>
        <w:tc>
          <w:tcPr>
            <w:tcW w:w="3572"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601A1B" w:rsidRPr="00C62FEB" w:rsidRDefault="00601A1B" w:rsidP="00601A1B">
            <w:pPr>
              <w:spacing w:before="38" w:after="0" w:line="240" w:lineRule="auto"/>
              <w:textAlignment w:val="baseline"/>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n-US" w:eastAsia="el-GR"/>
              </w:rPr>
              <w:t>€ εκατ</w:t>
            </w:r>
            <w:r w:rsidRPr="00C62FEB">
              <w:rPr>
                <w:rFonts w:ascii="Segoe UI" w:eastAsia="Segoe UI" w:hAnsi="Segoe UI" w:cs="Segoe UI"/>
                <w:b/>
                <w:bCs/>
                <w:color w:val="000000"/>
                <w:kern w:val="24"/>
                <w:sz w:val="14"/>
                <w:szCs w:val="14"/>
                <w:lang w:val="el-GR" w:eastAsia="el-GR"/>
              </w:rPr>
              <w:t>.</w:t>
            </w:r>
          </w:p>
        </w:tc>
        <w:tc>
          <w:tcPr>
            <w:tcW w:w="850" w:type="dxa"/>
            <w:tcBorders>
              <w:top w:val="single" w:sz="8" w:space="0" w:color="000000"/>
              <w:left w:val="nil"/>
              <w:bottom w:val="single" w:sz="8" w:space="0" w:color="000000"/>
              <w:right w:val="nil"/>
            </w:tcBorders>
            <w:vAlign w:val="center"/>
          </w:tcPr>
          <w:p w:rsidR="00601A1B" w:rsidRPr="00CC2C68" w:rsidRDefault="00843553" w:rsidP="00601A1B">
            <w:pPr>
              <w:spacing w:after="0" w:line="240" w:lineRule="auto"/>
              <w:jc w:val="right"/>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Εννεάμηνο</w:t>
            </w:r>
            <w:r w:rsidR="00601A1B" w:rsidRPr="00C62FEB">
              <w:rPr>
                <w:rFonts w:ascii="Segoe UI" w:eastAsia="Times New Roman" w:hAnsi="Segoe UI" w:cs="Segoe UI"/>
                <w:b/>
                <w:bCs/>
                <w:color w:val="000000" w:themeColor="text1"/>
                <w:kern w:val="24"/>
                <w:sz w:val="14"/>
                <w:szCs w:val="14"/>
                <w:lang w:val="el-GR" w:eastAsia="el-GR"/>
              </w:rPr>
              <w:t xml:space="preserve"> </w:t>
            </w:r>
            <w:r w:rsidR="00601A1B" w:rsidRPr="00C62FEB">
              <w:rPr>
                <w:rFonts w:ascii="Segoe UI" w:eastAsia="Times New Roman" w:hAnsi="Segoe UI" w:cs="Segoe UI"/>
                <w:b/>
                <w:bCs/>
                <w:color w:val="000000" w:themeColor="text1"/>
                <w:kern w:val="24"/>
                <w:sz w:val="14"/>
                <w:szCs w:val="14"/>
                <w:lang w:val="en-US" w:eastAsia="el-GR"/>
              </w:rPr>
              <w:t xml:space="preserve"> 201</w:t>
            </w:r>
            <w:r w:rsidR="00601A1B">
              <w:rPr>
                <w:rFonts w:ascii="Segoe UI" w:eastAsia="Times New Roman" w:hAnsi="Segoe UI" w:cs="Segoe UI"/>
                <w:b/>
                <w:bCs/>
                <w:color w:val="000000" w:themeColor="text1"/>
                <w:kern w:val="24"/>
                <w:sz w:val="14"/>
                <w:szCs w:val="14"/>
                <w:lang w:val="el-GR" w:eastAsia="el-GR"/>
              </w:rPr>
              <w:t>9</w:t>
            </w:r>
          </w:p>
        </w:tc>
        <w:tc>
          <w:tcPr>
            <w:tcW w:w="850" w:type="dxa"/>
            <w:tcBorders>
              <w:top w:val="single" w:sz="8" w:space="0" w:color="000000"/>
              <w:left w:val="nil"/>
              <w:bottom w:val="single" w:sz="8" w:space="0" w:color="000000"/>
              <w:right w:val="nil"/>
            </w:tcBorders>
            <w:vAlign w:val="center"/>
          </w:tcPr>
          <w:p w:rsidR="00601A1B" w:rsidRPr="00C62FEB" w:rsidRDefault="00843553" w:rsidP="00601A1B">
            <w:pPr>
              <w:spacing w:after="0" w:line="240" w:lineRule="auto"/>
              <w:jc w:val="right"/>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Εννεάμηνο</w:t>
            </w:r>
            <w:r w:rsidRPr="00C62FEB">
              <w:rPr>
                <w:rFonts w:ascii="Segoe UI" w:eastAsia="Times New Roman" w:hAnsi="Segoe UI" w:cs="Segoe UI"/>
                <w:b/>
                <w:bCs/>
                <w:color w:val="000000" w:themeColor="text1"/>
                <w:kern w:val="24"/>
                <w:sz w:val="14"/>
                <w:szCs w:val="14"/>
                <w:lang w:val="el-GR" w:eastAsia="el-GR"/>
              </w:rPr>
              <w:t xml:space="preserve"> </w:t>
            </w:r>
            <w:r w:rsidRPr="00C62FEB">
              <w:rPr>
                <w:rFonts w:ascii="Segoe UI" w:eastAsia="Times New Roman" w:hAnsi="Segoe UI" w:cs="Segoe UI"/>
                <w:b/>
                <w:bCs/>
                <w:color w:val="000000" w:themeColor="text1"/>
                <w:kern w:val="24"/>
                <w:sz w:val="14"/>
                <w:szCs w:val="14"/>
                <w:lang w:val="en-US" w:eastAsia="el-GR"/>
              </w:rPr>
              <w:t xml:space="preserve"> </w:t>
            </w:r>
            <w:r w:rsidR="00601A1B" w:rsidRPr="00C62FEB">
              <w:rPr>
                <w:rFonts w:ascii="Segoe UI" w:eastAsia="Times New Roman" w:hAnsi="Segoe UI" w:cs="Segoe UI"/>
                <w:b/>
                <w:bCs/>
                <w:color w:val="000000" w:themeColor="text1"/>
                <w:kern w:val="24"/>
                <w:sz w:val="14"/>
                <w:szCs w:val="14"/>
                <w:lang w:val="en-US" w:eastAsia="el-GR"/>
              </w:rPr>
              <w:t>2018</w:t>
            </w:r>
          </w:p>
        </w:tc>
        <w:tc>
          <w:tcPr>
            <w:tcW w:w="850"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601A1B" w:rsidRPr="00C62FEB" w:rsidRDefault="00601A1B" w:rsidP="00601A1B">
            <w:pPr>
              <w:spacing w:before="38" w:after="0" w:line="240" w:lineRule="auto"/>
              <w:jc w:val="right"/>
              <w:textAlignment w:val="baseline"/>
              <w:rPr>
                <w:rFonts w:ascii="Segoe UI" w:eastAsia="Times New Roman" w:hAnsi="Segoe UI" w:cs="Segoe UI"/>
                <w:i/>
                <w:sz w:val="14"/>
                <w:szCs w:val="14"/>
                <w:lang w:val="en-US" w:eastAsia="el-GR"/>
              </w:rPr>
            </w:pPr>
            <w:r w:rsidRPr="00C62FEB">
              <w:rPr>
                <w:rFonts w:ascii="Segoe UI" w:eastAsia="Segoe UI" w:hAnsi="Segoe UI" w:cs="Segoe UI"/>
                <w:b/>
                <w:bCs/>
                <w:i/>
                <w:color w:val="000000"/>
                <w:kern w:val="24"/>
                <w:sz w:val="14"/>
                <w:szCs w:val="14"/>
                <w:lang w:val="el-GR" w:eastAsia="el-GR"/>
              </w:rPr>
              <w:t>Δ</w:t>
            </w:r>
            <w:r w:rsidR="000923FC">
              <w:rPr>
                <w:rFonts w:ascii="Segoe UI" w:eastAsia="Segoe UI" w:hAnsi="Segoe UI" w:cs="Segoe UI"/>
                <w:b/>
                <w:bCs/>
                <w:i/>
                <w:color w:val="000000"/>
                <w:kern w:val="24"/>
                <w:sz w:val="14"/>
                <w:szCs w:val="14"/>
                <w:lang w:val="el-GR" w:eastAsia="el-GR"/>
              </w:rPr>
              <w:t xml:space="preserve"> (%)</w:t>
            </w:r>
          </w:p>
        </w:tc>
        <w:tc>
          <w:tcPr>
            <w:tcW w:w="850" w:type="dxa"/>
            <w:tcBorders>
              <w:top w:val="single" w:sz="8" w:space="0" w:color="000000"/>
              <w:left w:val="nil"/>
              <w:bottom w:val="single" w:sz="8" w:space="0" w:color="000000"/>
              <w:right w:val="nil"/>
            </w:tcBorders>
            <w:vAlign w:val="center"/>
          </w:tcPr>
          <w:p w:rsidR="00601A1B" w:rsidRPr="00601A1B" w:rsidRDefault="00843553" w:rsidP="00601A1B">
            <w:pPr>
              <w:spacing w:after="0" w:line="240" w:lineRule="auto"/>
              <w:jc w:val="right"/>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Γ</w:t>
            </w:r>
            <w:r w:rsidR="00601A1B" w:rsidRPr="00C62FEB">
              <w:rPr>
                <w:rFonts w:ascii="Segoe UI" w:eastAsia="Times New Roman" w:hAnsi="Segoe UI" w:cs="Segoe UI"/>
                <w:b/>
                <w:bCs/>
                <w:color w:val="000000" w:themeColor="text1"/>
                <w:kern w:val="24"/>
                <w:sz w:val="14"/>
                <w:szCs w:val="14"/>
                <w:lang w:val="en-US" w:eastAsia="el-GR"/>
              </w:rPr>
              <w:t xml:space="preserve">‘ </w:t>
            </w:r>
            <w:r w:rsidR="00601A1B">
              <w:rPr>
                <w:rFonts w:ascii="Segoe UI" w:eastAsia="Times New Roman" w:hAnsi="Segoe UI" w:cs="Segoe UI"/>
                <w:b/>
                <w:bCs/>
                <w:color w:val="000000" w:themeColor="text1"/>
                <w:kern w:val="24"/>
                <w:sz w:val="14"/>
                <w:szCs w:val="14"/>
                <w:lang w:val="el-GR" w:eastAsia="el-GR"/>
              </w:rPr>
              <w:t>τρίμηνο</w:t>
            </w:r>
            <w:r w:rsidR="00601A1B" w:rsidRPr="00C62FEB">
              <w:rPr>
                <w:rFonts w:ascii="Segoe UI" w:eastAsia="Times New Roman" w:hAnsi="Segoe UI" w:cs="Segoe UI"/>
                <w:b/>
                <w:bCs/>
                <w:color w:val="000000" w:themeColor="text1"/>
                <w:kern w:val="24"/>
                <w:sz w:val="14"/>
                <w:szCs w:val="14"/>
                <w:lang w:val="el-GR" w:eastAsia="el-GR"/>
              </w:rPr>
              <w:t xml:space="preserve"> </w:t>
            </w:r>
            <w:r w:rsidR="00601A1B" w:rsidRPr="00C62FEB">
              <w:rPr>
                <w:rFonts w:ascii="Segoe UI" w:eastAsia="Times New Roman" w:hAnsi="Segoe UI" w:cs="Segoe UI"/>
                <w:b/>
                <w:bCs/>
                <w:color w:val="000000" w:themeColor="text1"/>
                <w:kern w:val="24"/>
                <w:sz w:val="14"/>
                <w:szCs w:val="14"/>
                <w:lang w:val="en-US" w:eastAsia="el-GR"/>
              </w:rPr>
              <w:t xml:space="preserve"> 201</w:t>
            </w:r>
            <w:r w:rsidR="00601A1B">
              <w:rPr>
                <w:rFonts w:ascii="Segoe UI" w:eastAsia="Times New Roman" w:hAnsi="Segoe UI" w:cs="Segoe UI"/>
                <w:b/>
                <w:bCs/>
                <w:color w:val="000000" w:themeColor="text1"/>
                <w:kern w:val="24"/>
                <w:sz w:val="14"/>
                <w:szCs w:val="14"/>
                <w:lang w:val="el-GR" w:eastAsia="el-GR"/>
              </w:rPr>
              <w:t>9</w:t>
            </w:r>
          </w:p>
        </w:tc>
        <w:tc>
          <w:tcPr>
            <w:tcW w:w="852" w:type="dxa"/>
            <w:tcBorders>
              <w:top w:val="single" w:sz="8" w:space="0" w:color="000000"/>
              <w:left w:val="nil"/>
              <w:bottom w:val="single" w:sz="8" w:space="0" w:color="000000"/>
              <w:right w:val="nil"/>
            </w:tcBorders>
            <w:vAlign w:val="center"/>
          </w:tcPr>
          <w:p w:rsidR="00601A1B" w:rsidRPr="00C62FEB" w:rsidRDefault="00843553" w:rsidP="00601A1B">
            <w:pPr>
              <w:spacing w:after="0" w:line="240" w:lineRule="auto"/>
              <w:jc w:val="right"/>
              <w:rPr>
                <w:rFonts w:ascii="Segoe UI" w:eastAsia="Times New Roman" w:hAnsi="Segoe UI" w:cs="Segoe UI"/>
                <w:b/>
                <w:bCs/>
                <w:color w:val="000000" w:themeColor="text1"/>
                <w:kern w:val="24"/>
                <w:sz w:val="14"/>
                <w:szCs w:val="14"/>
                <w:lang w:val="en-US" w:eastAsia="el-GR"/>
              </w:rPr>
            </w:pPr>
            <w:r>
              <w:rPr>
                <w:rFonts w:ascii="Segoe UI" w:eastAsia="Times New Roman" w:hAnsi="Segoe UI" w:cs="Segoe UI"/>
                <w:b/>
                <w:bCs/>
                <w:color w:val="000000" w:themeColor="text1"/>
                <w:kern w:val="24"/>
                <w:sz w:val="14"/>
                <w:szCs w:val="14"/>
                <w:lang w:val="el-GR" w:eastAsia="el-GR"/>
              </w:rPr>
              <w:t>Β</w:t>
            </w:r>
            <w:r w:rsidR="00601A1B" w:rsidRPr="00C62FEB">
              <w:rPr>
                <w:rFonts w:ascii="Segoe UI" w:eastAsia="Times New Roman" w:hAnsi="Segoe UI" w:cs="Segoe UI"/>
                <w:b/>
                <w:bCs/>
                <w:color w:val="000000" w:themeColor="text1"/>
                <w:kern w:val="24"/>
                <w:sz w:val="14"/>
                <w:szCs w:val="14"/>
                <w:lang w:val="en-US" w:eastAsia="el-GR"/>
              </w:rPr>
              <w:t xml:space="preserve">‘ </w:t>
            </w:r>
            <w:r w:rsidR="00601A1B">
              <w:rPr>
                <w:rFonts w:ascii="Segoe UI" w:eastAsia="Times New Roman" w:hAnsi="Segoe UI" w:cs="Segoe UI"/>
                <w:b/>
                <w:bCs/>
                <w:color w:val="000000" w:themeColor="text1"/>
                <w:kern w:val="24"/>
                <w:sz w:val="14"/>
                <w:szCs w:val="14"/>
                <w:lang w:val="el-GR" w:eastAsia="el-GR"/>
              </w:rPr>
              <w:t>τρίμηνο</w:t>
            </w:r>
            <w:r w:rsidR="00601A1B" w:rsidRPr="00C62FEB">
              <w:rPr>
                <w:rFonts w:ascii="Segoe UI" w:eastAsia="Times New Roman" w:hAnsi="Segoe UI" w:cs="Segoe UI"/>
                <w:b/>
                <w:bCs/>
                <w:color w:val="000000" w:themeColor="text1"/>
                <w:kern w:val="24"/>
                <w:sz w:val="14"/>
                <w:szCs w:val="14"/>
                <w:lang w:val="el-GR" w:eastAsia="el-GR"/>
              </w:rPr>
              <w:t xml:space="preserve"> </w:t>
            </w:r>
            <w:r w:rsidR="00601A1B" w:rsidRPr="00C62FEB">
              <w:rPr>
                <w:rFonts w:ascii="Segoe UI" w:eastAsia="Times New Roman" w:hAnsi="Segoe UI" w:cs="Segoe UI"/>
                <w:b/>
                <w:bCs/>
                <w:color w:val="000000" w:themeColor="text1"/>
                <w:kern w:val="24"/>
                <w:sz w:val="14"/>
                <w:szCs w:val="14"/>
                <w:lang w:val="en-US" w:eastAsia="el-GR"/>
              </w:rPr>
              <w:t xml:space="preserve"> 201</w:t>
            </w:r>
            <w:r w:rsidR="00601A1B">
              <w:rPr>
                <w:rFonts w:ascii="Segoe UI" w:eastAsia="Times New Roman" w:hAnsi="Segoe UI" w:cs="Segoe UI"/>
                <w:b/>
                <w:bCs/>
                <w:color w:val="000000" w:themeColor="text1"/>
                <w:kern w:val="24"/>
                <w:sz w:val="14"/>
                <w:szCs w:val="14"/>
                <w:lang w:val="el-GR" w:eastAsia="el-GR"/>
              </w:rPr>
              <w:t>9</w:t>
            </w:r>
          </w:p>
        </w:tc>
        <w:tc>
          <w:tcPr>
            <w:tcW w:w="852"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601A1B" w:rsidRPr="00C62FEB" w:rsidRDefault="00601A1B" w:rsidP="00601A1B">
            <w:pPr>
              <w:spacing w:before="38" w:after="0" w:line="240" w:lineRule="auto"/>
              <w:jc w:val="right"/>
              <w:textAlignment w:val="baseline"/>
              <w:rPr>
                <w:rFonts w:ascii="Segoe UI" w:eastAsia="Times New Roman" w:hAnsi="Segoe UI" w:cs="Segoe UI"/>
                <w:i/>
                <w:sz w:val="14"/>
                <w:szCs w:val="14"/>
                <w:lang w:val="el-GR" w:eastAsia="el-GR"/>
              </w:rPr>
            </w:pPr>
            <w:r w:rsidRPr="00C62FEB">
              <w:rPr>
                <w:rFonts w:ascii="Segoe UI" w:eastAsia="Segoe UI" w:hAnsi="Segoe UI" w:cs="Segoe UI"/>
                <w:b/>
                <w:bCs/>
                <w:i/>
                <w:color w:val="000000"/>
                <w:kern w:val="24"/>
                <w:sz w:val="14"/>
                <w:szCs w:val="14"/>
                <w:lang w:val="el-GR" w:eastAsia="el-GR"/>
              </w:rPr>
              <w:t>Δ</w:t>
            </w:r>
            <w:r w:rsidR="000923FC">
              <w:rPr>
                <w:rFonts w:ascii="Segoe UI" w:eastAsia="Segoe UI" w:hAnsi="Segoe UI" w:cs="Segoe UI"/>
                <w:b/>
                <w:bCs/>
                <w:i/>
                <w:color w:val="000000"/>
                <w:kern w:val="24"/>
                <w:sz w:val="14"/>
                <w:szCs w:val="14"/>
                <w:lang w:val="el-GR" w:eastAsia="el-GR"/>
              </w:rPr>
              <w:t xml:space="preserve"> (%)</w:t>
            </w:r>
          </w:p>
        </w:tc>
      </w:tr>
      <w:tr w:rsidR="00E2369F" w:rsidRPr="00C62FEB" w:rsidTr="00AF1BA2">
        <w:trPr>
          <w:trHeight w:val="113"/>
        </w:trPr>
        <w:tc>
          <w:tcPr>
            <w:tcW w:w="3572"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Καθαρά έσοδα από τόκους</w:t>
            </w:r>
          </w:p>
        </w:tc>
        <w:tc>
          <w:tcPr>
            <w:tcW w:w="850" w:type="dxa"/>
            <w:tcBorders>
              <w:top w:val="single" w:sz="8" w:space="0" w:color="000000"/>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898</w:t>
            </w:r>
          </w:p>
        </w:tc>
        <w:tc>
          <w:tcPr>
            <w:tcW w:w="850" w:type="dxa"/>
            <w:tcBorders>
              <w:top w:val="single" w:sz="8" w:space="0" w:color="000000"/>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840</w:t>
            </w:r>
          </w:p>
        </w:tc>
        <w:tc>
          <w:tcPr>
            <w:tcW w:w="85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i/>
                <w:color w:val="000000" w:themeColor="text1"/>
                <w:kern w:val="24"/>
                <w:sz w:val="14"/>
                <w:szCs w:val="16"/>
                <w:lang w:val="en-US"/>
              </w:rPr>
              <w:t>+7</w:t>
            </w:r>
            <w:r w:rsidRPr="00E2369F">
              <w:rPr>
                <w:rFonts w:ascii="Segoe UI" w:eastAsia="Segoe UI" w:hAnsi="Segoe UI" w:cs="Segoe UI"/>
                <w:i/>
                <w:color w:val="000000" w:themeColor="text1"/>
                <w:kern w:val="24"/>
                <w:sz w:val="14"/>
                <w:szCs w:val="16"/>
              </w:rPr>
              <w:t>%</w:t>
            </w:r>
          </w:p>
        </w:tc>
        <w:tc>
          <w:tcPr>
            <w:tcW w:w="850" w:type="dxa"/>
            <w:tcBorders>
              <w:top w:val="single" w:sz="8" w:space="0" w:color="000000"/>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300</w:t>
            </w:r>
          </w:p>
        </w:tc>
        <w:tc>
          <w:tcPr>
            <w:tcW w:w="852" w:type="dxa"/>
            <w:tcBorders>
              <w:top w:val="single" w:sz="8" w:space="0" w:color="000000"/>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30</w:t>
            </w:r>
            <w:r w:rsidRPr="00E2369F">
              <w:rPr>
                <w:rFonts w:ascii="Segoe UI" w:eastAsia="Segoe UI" w:hAnsi="Segoe UI" w:cs="Segoe UI"/>
                <w:color w:val="000000" w:themeColor="text1"/>
                <w:kern w:val="24"/>
                <w:sz w:val="14"/>
                <w:szCs w:val="16"/>
              </w:rPr>
              <w:t>9</w:t>
            </w:r>
          </w:p>
        </w:tc>
        <w:tc>
          <w:tcPr>
            <w:tcW w:w="852" w:type="dxa"/>
            <w:tcBorders>
              <w:top w:val="single" w:sz="8" w:space="0" w:color="000000"/>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i/>
                <w:color w:val="000000" w:themeColor="text1"/>
                <w:kern w:val="24"/>
                <w:sz w:val="14"/>
                <w:szCs w:val="16"/>
                <w:lang w:val="en-US"/>
              </w:rPr>
              <w:t>-3</w:t>
            </w:r>
            <w:r w:rsidRPr="00E2369F">
              <w:rPr>
                <w:rFonts w:ascii="Segoe UI" w:eastAsia="Segoe UI" w:hAnsi="Segoe UI" w:cs="Segoe UI"/>
                <w:i/>
                <w:color w:val="000000" w:themeColor="text1"/>
                <w:kern w:val="24"/>
                <w:sz w:val="14"/>
                <w:szCs w:val="16"/>
              </w:rPr>
              <w:t>%</w:t>
            </w:r>
          </w:p>
        </w:tc>
      </w:tr>
      <w:tr w:rsidR="00E2369F"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themeColor="text1"/>
                <w:kern w:val="24"/>
                <w:sz w:val="14"/>
                <w:szCs w:val="14"/>
                <w:lang w:val="el-GR" w:eastAsia="el-GR"/>
              </w:rPr>
              <w:t>Καθαρά έσοδα από προμήθειες</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184</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175</w:t>
            </w:r>
          </w:p>
        </w:tc>
        <w:tc>
          <w:tcPr>
            <w:tcW w:w="850" w:type="dxa"/>
            <w:tcBorders>
              <w:top w:val="nil"/>
              <w:left w:val="nil"/>
              <w:bottom w:val="nil"/>
              <w:right w:val="nil"/>
            </w:tcBorders>
            <w:shd w:val="clear" w:color="auto" w:fill="auto"/>
            <w:tcMar>
              <w:top w:w="15" w:type="dxa"/>
              <w:left w:w="15" w:type="dxa"/>
              <w:bottom w:w="0" w:type="dxa"/>
              <w:right w:w="78"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i/>
                <w:color w:val="000000" w:themeColor="text1"/>
                <w:kern w:val="24"/>
                <w:sz w:val="14"/>
                <w:szCs w:val="16"/>
                <w:lang w:val="en-US"/>
              </w:rPr>
              <w:t>+</w:t>
            </w:r>
            <w:r w:rsidRPr="00E2369F">
              <w:rPr>
                <w:rFonts w:ascii="Segoe UI" w:eastAsia="Segoe UI" w:hAnsi="Segoe UI" w:cs="Segoe UI"/>
                <w:i/>
                <w:color w:val="000000" w:themeColor="text1"/>
                <w:kern w:val="24"/>
                <w:sz w:val="14"/>
                <w:szCs w:val="16"/>
              </w:rPr>
              <w:t>5%</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64</w:t>
            </w:r>
          </w:p>
        </w:tc>
        <w:tc>
          <w:tcPr>
            <w:tcW w:w="852"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61</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i/>
                <w:color w:val="000000" w:themeColor="text1"/>
                <w:kern w:val="24"/>
                <w:sz w:val="14"/>
                <w:szCs w:val="16"/>
                <w:lang w:val="en-US"/>
              </w:rPr>
              <w:t>+5%</w:t>
            </w:r>
          </w:p>
        </w:tc>
      </w:tr>
      <w:tr w:rsidR="00E2369F" w:rsidRPr="00C62FEB" w:rsidTr="00601A1B">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themeColor="text1"/>
                <w:kern w:val="24"/>
                <w:sz w:val="14"/>
                <w:szCs w:val="14"/>
                <w:lang w:val="el-GR" w:eastAsia="el-GR"/>
              </w:rPr>
              <w:t>Οργανικά έσοδα</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1 082</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1 015</w:t>
            </w:r>
          </w:p>
        </w:tc>
        <w:tc>
          <w:tcPr>
            <w:tcW w:w="850" w:type="dxa"/>
            <w:tcBorders>
              <w:top w:val="nil"/>
              <w:left w:val="nil"/>
              <w:bottom w:val="nil"/>
              <w:right w:val="nil"/>
            </w:tcBorders>
            <w:shd w:val="clear" w:color="auto" w:fill="F2F2F2"/>
            <w:tcMar>
              <w:top w:w="15" w:type="dxa"/>
              <w:left w:w="15" w:type="dxa"/>
              <w:bottom w:w="0" w:type="dxa"/>
              <w:right w:w="78"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b/>
                <w:bCs/>
                <w:i/>
                <w:color w:val="000000" w:themeColor="text1"/>
                <w:kern w:val="24"/>
                <w:sz w:val="14"/>
                <w:szCs w:val="16"/>
                <w:lang w:val="en-US"/>
              </w:rPr>
              <w:t>+7%</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364</w:t>
            </w:r>
          </w:p>
        </w:tc>
        <w:tc>
          <w:tcPr>
            <w:tcW w:w="852"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3</w:t>
            </w:r>
            <w:r w:rsidRPr="00E2369F">
              <w:rPr>
                <w:rFonts w:ascii="Segoe UI" w:eastAsia="Segoe UI" w:hAnsi="Segoe UI" w:cs="Segoe UI"/>
                <w:b/>
                <w:bCs/>
                <w:color w:val="000000" w:themeColor="text1"/>
                <w:kern w:val="24"/>
                <w:sz w:val="14"/>
                <w:szCs w:val="16"/>
              </w:rPr>
              <w:t>70</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b/>
                <w:bCs/>
                <w:i/>
                <w:color w:val="000000" w:themeColor="text1"/>
                <w:kern w:val="24"/>
                <w:sz w:val="14"/>
                <w:szCs w:val="16"/>
                <w:lang w:val="en-US"/>
              </w:rPr>
              <w:t>-2%</w:t>
            </w:r>
          </w:p>
        </w:tc>
      </w:tr>
      <w:tr w:rsidR="00E2369F"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Έσοδα από χρημ</w:t>
            </w:r>
            <w:r>
              <w:rPr>
                <w:rFonts w:ascii="Segoe UI" w:eastAsia="Segoe UI" w:hAnsi="Segoe UI" w:cs="Segoe UI"/>
                <w:color w:val="000000"/>
                <w:kern w:val="24"/>
                <w:sz w:val="14"/>
                <w:szCs w:val="14"/>
                <w:lang w:val="el-GR" w:eastAsia="el-GR"/>
              </w:rPr>
              <w:t>ατ/μι</w:t>
            </w:r>
            <w:r w:rsidRPr="00C62FEB">
              <w:rPr>
                <w:rFonts w:ascii="Segoe UI" w:eastAsia="Segoe UI" w:hAnsi="Segoe UI" w:cs="Segoe UI"/>
                <w:color w:val="000000"/>
                <w:kern w:val="24"/>
                <w:sz w:val="14"/>
                <w:szCs w:val="14"/>
                <w:lang w:val="el-GR" w:eastAsia="el-GR"/>
              </w:rPr>
              <w:t>κές πράξεις και λοιπά έσοδα</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257</w:t>
            </w:r>
            <w:r w:rsidRPr="00E2369F">
              <w:rPr>
                <w:rFonts w:ascii="Segoe UI" w:eastAsia="Segoe UI" w:hAnsi="Segoe UI" w:cs="Segoe UI"/>
                <w:color w:val="000000" w:themeColor="text1"/>
                <w:kern w:val="24"/>
                <w:position w:val="5"/>
                <w:sz w:val="14"/>
                <w:szCs w:val="16"/>
                <w:vertAlign w:val="superscript"/>
                <w:lang w:val="en-US"/>
              </w:rPr>
              <w:t>1</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(24)</w:t>
            </w:r>
          </w:p>
        </w:tc>
        <w:tc>
          <w:tcPr>
            <w:tcW w:w="850" w:type="dxa"/>
            <w:tcBorders>
              <w:top w:val="nil"/>
              <w:left w:val="nil"/>
              <w:bottom w:val="nil"/>
              <w:right w:val="nil"/>
            </w:tcBorders>
            <w:shd w:val="clear" w:color="auto" w:fill="auto"/>
            <w:tcMar>
              <w:top w:w="15" w:type="dxa"/>
              <w:left w:w="15" w:type="dxa"/>
              <w:bottom w:w="0" w:type="dxa"/>
              <w:right w:w="78"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Pr>
                <w:rFonts w:ascii="Segoe UI" w:eastAsia="Segoe UI" w:hAnsi="Segoe UI" w:cs="Segoe UI"/>
                <w:i/>
                <w:color w:val="000000" w:themeColor="text1"/>
                <w:kern w:val="24"/>
                <w:sz w:val="14"/>
                <w:szCs w:val="16"/>
              </w:rPr>
              <w:t>--</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106</w:t>
            </w:r>
          </w:p>
        </w:tc>
        <w:tc>
          <w:tcPr>
            <w:tcW w:w="852"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5</w:t>
            </w:r>
            <w:r w:rsidRPr="00E2369F">
              <w:rPr>
                <w:rFonts w:ascii="Segoe UI" w:eastAsia="Segoe UI" w:hAnsi="Segoe UI" w:cs="Segoe UI"/>
                <w:color w:val="000000" w:themeColor="text1"/>
                <w:kern w:val="24"/>
                <w:sz w:val="14"/>
                <w:szCs w:val="16"/>
              </w:rPr>
              <w:t>1</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i/>
                <w:color w:val="000000" w:themeColor="text1"/>
                <w:kern w:val="24"/>
                <w:sz w:val="14"/>
                <w:szCs w:val="16"/>
                <w:lang w:val="en-US"/>
              </w:rPr>
              <w:t>&gt;100%</w:t>
            </w:r>
          </w:p>
        </w:tc>
      </w:tr>
      <w:tr w:rsidR="00E2369F" w:rsidRPr="00C62FEB" w:rsidTr="00601A1B">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 xml:space="preserve">Καθαρά λειτουργικά έσοδα </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1 339</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991</w:t>
            </w:r>
          </w:p>
        </w:tc>
        <w:tc>
          <w:tcPr>
            <w:tcW w:w="850" w:type="dxa"/>
            <w:tcBorders>
              <w:top w:val="nil"/>
              <w:left w:val="nil"/>
              <w:bottom w:val="nil"/>
              <w:right w:val="nil"/>
            </w:tcBorders>
            <w:shd w:val="clear" w:color="auto" w:fill="F2F2F2"/>
            <w:tcMar>
              <w:top w:w="15" w:type="dxa"/>
              <w:left w:w="15" w:type="dxa"/>
              <w:bottom w:w="0" w:type="dxa"/>
              <w:right w:w="78"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b/>
                <w:bCs/>
                <w:i/>
                <w:kern w:val="24"/>
                <w:sz w:val="14"/>
                <w:szCs w:val="16"/>
              </w:rPr>
              <w:t>+</w:t>
            </w:r>
            <w:r w:rsidRPr="00E2369F">
              <w:rPr>
                <w:rFonts w:ascii="Segoe UI" w:eastAsia="Segoe UI" w:hAnsi="Segoe UI" w:cs="Segoe UI"/>
                <w:b/>
                <w:bCs/>
                <w:i/>
                <w:kern w:val="24"/>
                <w:sz w:val="14"/>
                <w:szCs w:val="16"/>
                <w:lang w:val="en-US"/>
              </w:rPr>
              <w:t>35</w:t>
            </w:r>
            <w:r w:rsidRPr="00E2369F">
              <w:rPr>
                <w:rFonts w:ascii="Segoe UI" w:eastAsia="Segoe UI" w:hAnsi="Segoe UI" w:cs="Segoe UI"/>
                <w:b/>
                <w:bCs/>
                <w:i/>
                <w:color w:val="000000" w:themeColor="text1"/>
                <w:kern w:val="24"/>
                <w:sz w:val="14"/>
                <w:szCs w:val="16"/>
                <w:lang w:val="en-US"/>
              </w:rPr>
              <w:t>%</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470</w:t>
            </w:r>
          </w:p>
        </w:tc>
        <w:tc>
          <w:tcPr>
            <w:tcW w:w="852"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4</w:t>
            </w:r>
            <w:r w:rsidRPr="00E2369F">
              <w:rPr>
                <w:rFonts w:ascii="Segoe UI" w:eastAsia="Segoe UI" w:hAnsi="Segoe UI" w:cs="Segoe UI"/>
                <w:b/>
                <w:bCs/>
                <w:color w:val="000000" w:themeColor="text1"/>
                <w:kern w:val="24"/>
                <w:sz w:val="14"/>
                <w:szCs w:val="16"/>
              </w:rPr>
              <w:t>21</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b/>
                <w:bCs/>
                <w:i/>
                <w:kern w:val="24"/>
                <w:sz w:val="14"/>
                <w:szCs w:val="16"/>
                <w:lang w:val="en-US"/>
              </w:rPr>
              <w:t>+12</w:t>
            </w:r>
            <w:r w:rsidRPr="00E2369F">
              <w:rPr>
                <w:rFonts w:ascii="Segoe UI" w:eastAsia="Segoe UI" w:hAnsi="Segoe UI" w:cs="Segoe UI"/>
                <w:b/>
                <w:bCs/>
                <w:i/>
                <w:color w:val="000000" w:themeColor="text1"/>
                <w:kern w:val="24"/>
                <w:sz w:val="14"/>
                <w:szCs w:val="16"/>
              </w:rPr>
              <w:t>%</w:t>
            </w:r>
          </w:p>
        </w:tc>
      </w:tr>
      <w:tr w:rsidR="00E2369F"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Λειτουργικές δαπάνες</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(621)</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(664)</w:t>
            </w:r>
          </w:p>
        </w:tc>
        <w:tc>
          <w:tcPr>
            <w:tcW w:w="850" w:type="dxa"/>
            <w:tcBorders>
              <w:top w:val="nil"/>
              <w:left w:val="nil"/>
              <w:bottom w:val="nil"/>
              <w:right w:val="nil"/>
            </w:tcBorders>
            <w:shd w:val="clear" w:color="auto" w:fill="auto"/>
            <w:tcMar>
              <w:top w:w="15" w:type="dxa"/>
              <w:left w:w="15" w:type="dxa"/>
              <w:bottom w:w="0" w:type="dxa"/>
              <w:right w:w="78"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i/>
                <w:color w:val="000000" w:themeColor="text1"/>
                <w:kern w:val="24"/>
                <w:sz w:val="14"/>
                <w:szCs w:val="16"/>
              </w:rPr>
              <w:t>-</w:t>
            </w:r>
            <w:r w:rsidRPr="00E2369F">
              <w:rPr>
                <w:rFonts w:ascii="Segoe UI" w:eastAsia="Segoe UI" w:hAnsi="Segoe UI" w:cs="Segoe UI"/>
                <w:i/>
                <w:color w:val="000000" w:themeColor="text1"/>
                <w:kern w:val="24"/>
                <w:sz w:val="14"/>
                <w:szCs w:val="16"/>
                <w:lang w:val="en-US"/>
              </w:rPr>
              <w:t>7%</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rPr>
              <w:t>(</w:t>
            </w:r>
            <w:r w:rsidRPr="00E2369F">
              <w:rPr>
                <w:rFonts w:ascii="Segoe UI" w:eastAsia="Segoe UI" w:hAnsi="Segoe UI" w:cs="Segoe UI"/>
                <w:color w:val="000000" w:themeColor="text1"/>
                <w:kern w:val="24"/>
                <w:sz w:val="14"/>
                <w:szCs w:val="16"/>
                <w:lang w:val="en-US"/>
              </w:rPr>
              <w:t>213</w:t>
            </w:r>
            <w:r w:rsidRPr="00E2369F">
              <w:rPr>
                <w:rFonts w:ascii="Segoe UI" w:eastAsia="Segoe UI" w:hAnsi="Segoe UI" w:cs="Segoe UI"/>
                <w:color w:val="000000" w:themeColor="text1"/>
                <w:kern w:val="24"/>
                <w:sz w:val="14"/>
                <w:szCs w:val="16"/>
              </w:rPr>
              <w:t>)</w:t>
            </w:r>
          </w:p>
        </w:tc>
        <w:tc>
          <w:tcPr>
            <w:tcW w:w="852"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rPr>
              <w:t>(</w:t>
            </w:r>
            <w:r w:rsidRPr="00E2369F">
              <w:rPr>
                <w:rFonts w:ascii="Segoe UI" w:eastAsia="Segoe UI" w:hAnsi="Segoe UI" w:cs="Segoe UI"/>
                <w:color w:val="000000" w:themeColor="text1"/>
                <w:kern w:val="24"/>
                <w:sz w:val="14"/>
                <w:szCs w:val="16"/>
                <w:lang w:val="en-US"/>
              </w:rPr>
              <w:t>20</w:t>
            </w:r>
            <w:r w:rsidRPr="00E2369F">
              <w:rPr>
                <w:rFonts w:ascii="Segoe UI" w:eastAsia="Segoe UI" w:hAnsi="Segoe UI" w:cs="Segoe UI"/>
                <w:color w:val="000000" w:themeColor="text1"/>
                <w:kern w:val="24"/>
                <w:sz w:val="14"/>
                <w:szCs w:val="16"/>
              </w:rPr>
              <w:t>4)</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037642" w:rsidRDefault="00E2369F" w:rsidP="005D39C6">
            <w:pPr>
              <w:pStyle w:val="Web"/>
              <w:spacing w:before="0" w:beforeAutospacing="0" w:after="0" w:afterAutospacing="0"/>
              <w:jc w:val="right"/>
              <w:textAlignment w:val="center"/>
              <w:rPr>
                <w:rFonts w:ascii="Segoe UI" w:hAnsi="Segoe UI" w:cs="Segoe UI"/>
                <w:i/>
                <w:sz w:val="14"/>
                <w:szCs w:val="16"/>
                <w:lang w:val="en-US"/>
              </w:rPr>
            </w:pPr>
            <w:r w:rsidRPr="00E2369F">
              <w:rPr>
                <w:rFonts w:ascii="Segoe UI" w:eastAsia="Segoe UI" w:hAnsi="Segoe UI" w:cs="Segoe UI"/>
                <w:i/>
                <w:color w:val="000000" w:themeColor="text1"/>
                <w:kern w:val="24"/>
                <w:sz w:val="14"/>
                <w:szCs w:val="16"/>
                <w:lang w:val="en-US"/>
              </w:rPr>
              <w:t>+4</w:t>
            </w:r>
            <w:r w:rsidRPr="00E2369F">
              <w:rPr>
                <w:rFonts w:ascii="Segoe UI" w:eastAsia="Segoe UI" w:hAnsi="Segoe UI" w:cs="Segoe UI"/>
                <w:i/>
                <w:color w:val="000000" w:themeColor="text1"/>
                <w:kern w:val="24"/>
                <w:sz w:val="14"/>
                <w:szCs w:val="16"/>
              </w:rPr>
              <w:t>%</w:t>
            </w:r>
            <w:r w:rsidR="00037642" w:rsidRPr="00037642">
              <w:rPr>
                <w:rFonts w:ascii="Segoe UI" w:eastAsia="Segoe UI" w:hAnsi="Segoe UI" w:cs="Segoe UI"/>
                <w:i/>
                <w:color w:val="000000" w:themeColor="text1"/>
                <w:kern w:val="24"/>
                <w:sz w:val="14"/>
                <w:szCs w:val="16"/>
                <w:vertAlign w:val="superscript"/>
                <w:lang w:val="en-US"/>
              </w:rPr>
              <w:t>2</w:t>
            </w:r>
          </w:p>
        </w:tc>
      </w:tr>
      <w:tr w:rsidR="00E2369F" w:rsidRPr="00C62FEB" w:rsidTr="00601A1B">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 xml:space="preserve">Οργανικά κέρδη / (ζημίες) προ προβλέψεων </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461</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351</w:t>
            </w:r>
          </w:p>
        </w:tc>
        <w:tc>
          <w:tcPr>
            <w:tcW w:w="850" w:type="dxa"/>
            <w:tcBorders>
              <w:top w:val="nil"/>
              <w:left w:val="nil"/>
              <w:bottom w:val="nil"/>
              <w:right w:val="nil"/>
            </w:tcBorders>
            <w:shd w:val="clear" w:color="auto" w:fill="F2F2F2"/>
            <w:tcMar>
              <w:top w:w="15" w:type="dxa"/>
              <w:left w:w="15" w:type="dxa"/>
              <w:bottom w:w="0" w:type="dxa"/>
              <w:right w:w="78"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b/>
                <w:bCs/>
                <w:i/>
                <w:color w:val="000000" w:themeColor="text1"/>
                <w:kern w:val="24"/>
                <w:sz w:val="14"/>
                <w:szCs w:val="16"/>
              </w:rPr>
              <w:t>+</w:t>
            </w:r>
            <w:r w:rsidRPr="00E2369F">
              <w:rPr>
                <w:rFonts w:ascii="Segoe UI" w:eastAsia="Segoe UI" w:hAnsi="Segoe UI" w:cs="Segoe UI"/>
                <w:b/>
                <w:bCs/>
                <w:i/>
                <w:color w:val="000000" w:themeColor="text1"/>
                <w:kern w:val="24"/>
                <w:sz w:val="14"/>
                <w:szCs w:val="16"/>
                <w:lang w:val="en-US"/>
              </w:rPr>
              <w:t>32%</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151</w:t>
            </w:r>
          </w:p>
        </w:tc>
        <w:tc>
          <w:tcPr>
            <w:tcW w:w="852"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16</w:t>
            </w:r>
            <w:r w:rsidRPr="00E2369F">
              <w:rPr>
                <w:rFonts w:ascii="Segoe UI" w:eastAsia="Segoe UI" w:hAnsi="Segoe UI" w:cs="Segoe UI"/>
                <w:b/>
                <w:bCs/>
                <w:color w:val="000000" w:themeColor="text1"/>
                <w:kern w:val="24"/>
                <w:sz w:val="14"/>
                <w:szCs w:val="16"/>
              </w:rPr>
              <w:t>5</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b/>
                <w:bCs/>
                <w:i/>
                <w:color w:val="000000" w:themeColor="text1"/>
                <w:kern w:val="24"/>
                <w:sz w:val="14"/>
                <w:szCs w:val="16"/>
                <w:lang w:val="en-US"/>
              </w:rPr>
              <w:t>-9%</w:t>
            </w:r>
          </w:p>
        </w:tc>
      </w:tr>
      <w:tr w:rsidR="00E2369F" w:rsidRPr="00C62FEB" w:rsidTr="00601A1B">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Κέρδη / (ζημίες) προ προβλέψεων</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719</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326</w:t>
            </w:r>
          </w:p>
        </w:tc>
        <w:tc>
          <w:tcPr>
            <w:tcW w:w="850" w:type="dxa"/>
            <w:tcBorders>
              <w:top w:val="nil"/>
              <w:left w:val="nil"/>
              <w:bottom w:val="nil"/>
              <w:right w:val="nil"/>
            </w:tcBorders>
            <w:shd w:val="clear" w:color="auto" w:fill="F2F2F2"/>
            <w:tcMar>
              <w:top w:w="15" w:type="dxa"/>
              <w:left w:w="15" w:type="dxa"/>
              <w:bottom w:w="0" w:type="dxa"/>
              <w:right w:w="78"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b/>
                <w:bCs/>
                <w:i/>
                <w:color w:val="000000" w:themeColor="text1"/>
                <w:kern w:val="24"/>
                <w:sz w:val="14"/>
                <w:szCs w:val="16"/>
                <w:lang w:val="en-US"/>
              </w:rPr>
              <w:t>&gt;100%</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257</w:t>
            </w:r>
          </w:p>
        </w:tc>
        <w:tc>
          <w:tcPr>
            <w:tcW w:w="852"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21</w:t>
            </w:r>
            <w:r w:rsidRPr="00E2369F">
              <w:rPr>
                <w:rFonts w:ascii="Segoe UI" w:eastAsia="Segoe UI" w:hAnsi="Segoe UI" w:cs="Segoe UI"/>
                <w:b/>
                <w:bCs/>
                <w:color w:val="000000" w:themeColor="text1"/>
                <w:kern w:val="24"/>
                <w:sz w:val="14"/>
                <w:szCs w:val="16"/>
              </w:rPr>
              <w:t>7</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b/>
                <w:bCs/>
                <w:i/>
                <w:color w:val="000000" w:themeColor="text1"/>
                <w:kern w:val="24"/>
                <w:sz w:val="14"/>
                <w:szCs w:val="16"/>
                <w:lang w:val="en-US"/>
              </w:rPr>
              <w:t>+19%</w:t>
            </w:r>
          </w:p>
        </w:tc>
      </w:tr>
      <w:tr w:rsidR="00E2369F"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Προβλέψεις για επισφαλή δάνεια</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(303)</w:t>
            </w:r>
          </w:p>
        </w:tc>
        <w:tc>
          <w:tcPr>
            <w:tcW w:w="850" w:type="dxa"/>
            <w:tcBorders>
              <w:top w:val="nil"/>
              <w:left w:val="nil"/>
              <w:bottom w:val="nil"/>
              <w:right w:val="nil"/>
            </w:tcBorders>
            <w:shd w:val="clear" w:color="auto" w:fill="auto"/>
            <w:vAlign w:val="center"/>
          </w:tcPr>
          <w:p w:rsidR="00E2369F" w:rsidRPr="00E2369F" w:rsidRDefault="00E2369F" w:rsidP="00037642">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lang w:val="en-US"/>
              </w:rPr>
              <w:t>(238)</w:t>
            </w:r>
            <w:r w:rsidR="00037642" w:rsidRPr="00037642">
              <w:rPr>
                <w:rFonts w:ascii="Segoe UI" w:eastAsia="Segoe UI" w:hAnsi="Segoe UI" w:cs="Segoe UI"/>
                <w:color w:val="000000" w:themeColor="text1"/>
                <w:kern w:val="24"/>
                <w:sz w:val="14"/>
                <w:szCs w:val="16"/>
                <w:vertAlign w:val="superscript"/>
                <w:lang w:val="en-US"/>
              </w:rPr>
              <w:t>3</w:t>
            </w:r>
          </w:p>
        </w:tc>
        <w:tc>
          <w:tcPr>
            <w:tcW w:w="850" w:type="dxa"/>
            <w:tcBorders>
              <w:top w:val="nil"/>
              <w:left w:val="nil"/>
              <w:bottom w:val="nil"/>
              <w:right w:val="nil"/>
            </w:tcBorders>
            <w:shd w:val="clear" w:color="auto" w:fill="auto"/>
            <w:tcMar>
              <w:top w:w="15" w:type="dxa"/>
              <w:left w:w="15" w:type="dxa"/>
              <w:bottom w:w="0" w:type="dxa"/>
              <w:right w:w="78"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i/>
                <w:kern w:val="24"/>
                <w:sz w:val="14"/>
                <w:szCs w:val="16"/>
                <w:lang w:val="en-US"/>
              </w:rPr>
              <w:t>+27%</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rPr>
              <w:t>(</w:t>
            </w:r>
            <w:r w:rsidRPr="00E2369F">
              <w:rPr>
                <w:rFonts w:ascii="Segoe UI" w:eastAsia="Segoe UI" w:hAnsi="Segoe UI" w:cs="Segoe UI"/>
                <w:color w:val="000000" w:themeColor="text1"/>
                <w:kern w:val="24"/>
                <w:sz w:val="14"/>
                <w:szCs w:val="16"/>
                <w:lang w:val="en-US"/>
              </w:rPr>
              <w:t>99</w:t>
            </w:r>
            <w:r w:rsidRPr="00E2369F">
              <w:rPr>
                <w:rFonts w:ascii="Segoe UI" w:eastAsia="Segoe UI" w:hAnsi="Segoe UI" w:cs="Segoe UI"/>
                <w:color w:val="000000" w:themeColor="text1"/>
                <w:kern w:val="24"/>
                <w:sz w:val="14"/>
                <w:szCs w:val="16"/>
              </w:rPr>
              <w:t>)</w:t>
            </w:r>
          </w:p>
        </w:tc>
        <w:tc>
          <w:tcPr>
            <w:tcW w:w="852"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color w:val="000000" w:themeColor="text1"/>
                <w:kern w:val="24"/>
                <w:sz w:val="14"/>
                <w:szCs w:val="16"/>
              </w:rPr>
              <w:t>(</w:t>
            </w:r>
            <w:r w:rsidRPr="00E2369F">
              <w:rPr>
                <w:rFonts w:ascii="Segoe UI" w:eastAsia="Segoe UI" w:hAnsi="Segoe UI" w:cs="Segoe UI"/>
                <w:color w:val="000000" w:themeColor="text1"/>
                <w:kern w:val="24"/>
                <w:sz w:val="14"/>
                <w:szCs w:val="16"/>
                <w:lang w:val="en-US"/>
              </w:rPr>
              <w:t>101</w:t>
            </w:r>
            <w:r w:rsidRPr="00E2369F">
              <w:rPr>
                <w:rFonts w:ascii="Segoe UI" w:eastAsia="Segoe UI" w:hAnsi="Segoe UI" w:cs="Segoe UI"/>
                <w:color w:val="000000" w:themeColor="text1"/>
                <w:kern w:val="24"/>
                <w:sz w:val="14"/>
                <w:szCs w:val="16"/>
              </w:rPr>
              <w:t>)</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i/>
                <w:color w:val="000000" w:themeColor="text1"/>
                <w:kern w:val="24"/>
                <w:sz w:val="14"/>
                <w:szCs w:val="16"/>
                <w:lang w:val="en-US"/>
              </w:rPr>
              <w:t>-2</w:t>
            </w:r>
            <w:r w:rsidRPr="00E2369F">
              <w:rPr>
                <w:rFonts w:ascii="Segoe UI" w:eastAsia="Segoe UI" w:hAnsi="Segoe UI" w:cs="Segoe UI"/>
                <w:i/>
                <w:color w:val="000000" w:themeColor="text1"/>
                <w:kern w:val="24"/>
                <w:sz w:val="14"/>
                <w:szCs w:val="16"/>
              </w:rPr>
              <w:t>%</w:t>
            </w:r>
          </w:p>
        </w:tc>
      </w:tr>
      <w:tr w:rsidR="00E2369F" w:rsidRPr="00C62FEB" w:rsidTr="00AF1BA2">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Λειτουργικά κέρδη / (ζημίες)</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416</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88</w:t>
            </w:r>
          </w:p>
        </w:tc>
        <w:tc>
          <w:tcPr>
            <w:tcW w:w="850" w:type="dxa"/>
            <w:tcBorders>
              <w:top w:val="nil"/>
              <w:left w:val="nil"/>
              <w:bottom w:val="nil"/>
              <w:right w:val="nil"/>
            </w:tcBorders>
            <w:shd w:val="clear" w:color="auto" w:fill="auto"/>
            <w:tcMar>
              <w:top w:w="15" w:type="dxa"/>
              <w:left w:w="15" w:type="dxa"/>
              <w:bottom w:w="0" w:type="dxa"/>
              <w:right w:w="78"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b/>
                <w:bCs/>
                <w:i/>
                <w:color w:val="000000" w:themeColor="text1"/>
                <w:kern w:val="24"/>
                <w:sz w:val="14"/>
                <w:szCs w:val="16"/>
              </w:rPr>
              <w:t>&gt;100%</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158</w:t>
            </w:r>
          </w:p>
        </w:tc>
        <w:tc>
          <w:tcPr>
            <w:tcW w:w="852"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Segoe UI" w:hAnsi="Segoe UI" w:cs="Segoe UI"/>
                <w:sz w:val="14"/>
                <w:szCs w:val="16"/>
              </w:rPr>
            </w:pPr>
            <w:r w:rsidRPr="00E2369F">
              <w:rPr>
                <w:rFonts w:ascii="Segoe UI" w:eastAsia="Segoe UI" w:hAnsi="Segoe UI" w:cs="Segoe UI"/>
                <w:b/>
                <w:bCs/>
                <w:color w:val="000000" w:themeColor="text1"/>
                <w:kern w:val="24"/>
                <w:sz w:val="14"/>
                <w:szCs w:val="16"/>
                <w:lang w:val="en-US"/>
              </w:rPr>
              <w:t>116</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Segoe UI" w:hAnsi="Segoe UI" w:cs="Segoe UI"/>
                <w:i/>
                <w:sz w:val="14"/>
                <w:szCs w:val="16"/>
              </w:rPr>
            </w:pPr>
            <w:r w:rsidRPr="00E2369F">
              <w:rPr>
                <w:rFonts w:ascii="Segoe UI" w:eastAsia="Segoe UI" w:hAnsi="Segoe UI" w:cs="Segoe UI"/>
                <w:b/>
                <w:bCs/>
                <w:i/>
                <w:color w:val="000000" w:themeColor="text1"/>
                <w:kern w:val="24"/>
                <w:sz w:val="14"/>
                <w:szCs w:val="16"/>
                <w:lang w:val="en-US"/>
              </w:rPr>
              <w:t>+37%</w:t>
            </w:r>
          </w:p>
        </w:tc>
      </w:tr>
      <w:tr w:rsidR="00E2369F" w:rsidRPr="00C62FEB" w:rsidTr="00546F09">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Λοιπές προβλέψεις</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19</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(9)</w:t>
            </w:r>
          </w:p>
        </w:tc>
        <w:tc>
          <w:tcPr>
            <w:tcW w:w="850"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00589F" w:rsidRDefault="0000589F" w:rsidP="005D39C6">
            <w:pPr>
              <w:pStyle w:val="Web"/>
              <w:spacing w:before="0" w:beforeAutospacing="0" w:after="0" w:afterAutospacing="0"/>
              <w:jc w:val="right"/>
              <w:textAlignment w:val="center"/>
              <w:rPr>
                <w:rFonts w:ascii="Arial" w:hAnsi="Arial" w:cs="Arial"/>
                <w:i/>
                <w:sz w:val="14"/>
                <w:szCs w:val="36"/>
              </w:rPr>
            </w:pPr>
            <w:r>
              <w:rPr>
                <w:rFonts w:ascii="Segoe UI" w:eastAsia="Segoe UI" w:hAnsi="Segoe UI" w:cs="Segoe UI"/>
                <w:i/>
                <w:color w:val="000000" w:themeColor="text1"/>
                <w:kern w:val="24"/>
                <w:sz w:val="14"/>
                <w:szCs w:val="16"/>
              </w:rPr>
              <w:t>--</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16</w:t>
            </w:r>
          </w:p>
        </w:tc>
        <w:tc>
          <w:tcPr>
            <w:tcW w:w="852"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rPr>
              <w:t>11</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E2369F">
              <w:rPr>
                <w:rFonts w:ascii="Segoe UI" w:eastAsia="Segoe UI" w:hAnsi="Segoe UI" w:cs="Segoe UI"/>
                <w:i/>
                <w:color w:val="000000" w:themeColor="text1"/>
                <w:kern w:val="24"/>
                <w:sz w:val="14"/>
                <w:szCs w:val="16"/>
                <w:lang w:val="en-US"/>
              </w:rPr>
              <w:t>+44%</w:t>
            </w:r>
          </w:p>
        </w:tc>
      </w:tr>
      <w:tr w:rsidR="00E2369F"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2369F" w:rsidRPr="00C1153F" w:rsidRDefault="00E2369F" w:rsidP="006C7E1B">
            <w:pPr>
              <w:spacing w:after="0" w:line="240" w:lineRule="auto"/>
              <w:textAlignment w:val="center"/>
              <w:rPr>
                <w:rFonts w:ascii="Segoe UI" w:eastAsia="Times New Roman" w:hAnsi="Segoe UI" w:cs="Segoe UI"/>
                <w:b/>
                <w:sz w:val="14"/>
                <w:szCs w:val="14"/>
                <w:lang w:val="el-GR" w:eastAsia="el-GR"/>
              </w:rPr>
            </w:pPr>
            <w:r w:rsidRPr="00C1153F">
              <w:rPr>
                <w:rFonts w:ascii="Segoe UI" w:eastAsia="Segoe UI" w:hAnsi="Segoe UI" w:cs="Segoe UI"/>
                <w:b/>
                <w:color w:val="000000"/>
                <w:kern w:val="24"/>
                <w:sz w:val="14"/>
                <w:szCs w:val="14"/>
                <w:lang w:val="el-GR" w:eastAsia="el-GR"/>
              </w:rPr>
              <w:t>Κέρδη / (ζημίες) προ φόρων</w:t>
            </w:r>
          </w:p>
        </w:tc>
        <w:tc>
          <w:tcPr>
            <w:tcW w:w="850" w:type="dxa"/>
            <w:tcBorders>
              <w:top w:val="nil"/>
              <w:left w:val="nil"/>
              <w:bottom w:val="nil"/>
              <w:right w:val="nil"/>
            </w:tcBorders>
            <w:shd w:val="clear" w:color="auto" w:fill="auto"/>
            <w:vAlign w:val="center"/>
          </w:tcPr>
          <w:p w:rsidR="00E2369F" w:rsidRPr="00C1153F" w:rsidRDefault="00E2369F" w:rsidP="005D39C6">
            <w:pPr>
              <w:pStyle w:val="Web"/>
              <w:spacing w:before="0" w:beforeAutospacing="0" w:after="0" w:afterAutospacing="0"/>
              <w:jc w:val="right"/>
              <w:textAlignment w:val="center"/>
              <w:rPr>
                <w:rFonts w:ascii="Arial" w:hAnsi="Arial" w:cs="Arial"/>
                <w:b/>
                <w:sz w:val="14"/>
                <w:szCs w:val="36"/>
              </w:rPr>
            </w:pPr>
            <w:r w:rsidRPr="00C1153F">
              <w:rPr>
                <w:rFonts w:ascii="Segoe UI" w:eastAsia="Segoe UI" w:hAnsi="Segoe UI" w:cs="Segoe UI"/>
                <w:b/>
                <w:bCs/>
                <w:color w:val="000000" w:themeColor="text1"/>
                <w:kern w:val="24"/>
                <w:sz w:val="14"/>
                <w:szCs w:val="16"/>
                <w:lang w:val="en-US"/>
              </w:rPr>
              <w:t>434</w:t>
            </w:r>
          </w:p>
        </w:tc>
        <w:tc>
          <w:tcPr>
            <w:tcW w:w="850" w:type="dxa"/>
            <w:tcBorders>
              <w:top w:val="nil"/>
              <w:left w:val="nil"/>
              <w:bottom w:val="nil"/>
              <w:right w:val="nil"/>
            </w:tcBorders>
            <w:shd w:val="clear" w:color="auto" w:fill="auto"/>
            <w:vAlign w:val="center"/>
          </w:tcPr>
          <w:p w:rsidR="00E2369F" w:rsidRPr="00C1153F" w:rsidRDefault="00E2369F" w:rsidP="005D39C6">
            <w:pPr>
              <w:pStyle w:val="Web"/>
              <w:spacing w:before="0" w:beforeAutospacing="0" w:after="0" w:afterAutospacing="0"/>
              <w:jc w:val="right"/>
              <w:textAlignment w:val="center"/>
              <w:rPr>
                <w:rFonts w:ascii="Arial" w:hAnsi="Arial" w:cs="Arial"/>
                <w:b/>
                <w:sz w:val="14"/>
                <w:szCs w:val="36"/>
              </w:rPr>
            </w:pPr>
            <w:r w:rsidRPr="00C1153F">
              <w:rPr>
                <w:rFonts w:ascii="Segoe UI" w:eastAsia="Segoe UI" w:hAnsi="Segoe UI" w:cs="Segoe UI"/>
                <w:b/>
                <w:bCs/>
                <w:color w:val="000000" w:themeColor="text1"/>
                <w:kern w:val="24"/>
                <w:sz w:val="14"/>
                <w:szCs w:val="16"/>
                <w:lang w:val="en-US"/>
              </w:rPr>
              <w:t>79</w:t>
            </w:r>
          </w:p>
        </w:tc>
        <w:tc>
          <w:tcPr>
            <w:tcW w:w="850"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C1153F" w:rsidRDefault="00E2369F" w:rsidP="005D39C6">
            <w:pPr>
              <w:pStyle w:val="Web"/>
              <w:spacing w:before="0" w:beforeAutospacing="0" w:after="0" w:afterAutospacing="0"/>
              <w:jc w:val="right"/>
              <w:textAlignment w:val="center"/>
              <w:rPr>
                <w:rFonts w:ascii="Arial" w:hAnsi="Arial" w:cs="Arial"/>
                <w:b/>
                <w:i/>
                <w:sz w:val="14"/>
                <w:szCs w:val="36"/>
              </w:rPr>
            </w:pPr>
            <w:r w:rsidRPr="00C1153F">
              <w:rPr>
                <w:rFonts w:ascii="Segoe UI" w:eastAsia="Segoe UI" w:hAnsi="Segoe UI" w:cs="Segoe UI"/>
                <w:b/>
                <w:bCs/>
                <w:i/>
                <w:color w:val="000000" w:themeColor="text1"/>
                <w:kern w:val="24"/>
                <w:sz w:val="14"/>
                <w:szCs w:val="16"/>
              </w:rPr>
              <w:t>&gt;100%</w:t>
            </w:r>
          </w:p>
        </w:tc>
        <w:tc>
          <w:tcPr>
            <w:tcW w:w="850" w:type="dxa"/>
            <w:tcBorders>
              <w:top w:val="nil"/>
              <w:left w:val="nil"/>
              <w:bottom w:val="nil"/>
              <w:right w:val="nil"/>
            </w:tcBorders>
            <w:shd w:val="clear" w:color="auto" w:fill="auto"/>
            <w:vAlign w:val="center"/>
          </w:tcPr>
          <w:p w:rsidR="00E2369F" w:rsidRPr="00C1153F" w:rsidRDefault="00E2369F" w:rsidP="005D39C6">
            <w:pPr>
              <w:pStyle w:val="Web"/>
              <w:spacing w:before="0" w:beforeAutospacing="0" w:after="0" w:afterAutospacing="0"/>
              <w:jc w:val="right"/>
              <w:textAlignment w:val="center"/>
              <w:rPr>
                <w:rFonts w:ascii="Arial" w:hAnsi="Arial" w:cs="Arial"/>
                <w:b/>
                <w:sz w:val="14"/>
                <w:szCs w:val="36"/>
              </w:rPr>
            </w:pPr>
            <w:r w:rsidRPr="00C1153F">
              <w:rPr>
                <w:rFonts w:ascii="Segoe UI" w:eastAsia="Segoe UI" w:hAnsi="Segoe UI" w:cs="Segoe UI"/>
                <w:b/>
                <w:bCs/>
                <w:color w:val="000000" w:themeColor="text1"/>
                <w:kern w:val="24"/>
                <w:sz w:val="14"/>
                <w:szCs w:val="16"/>
                <w:lang w:val="en-US"/>
              </w:rPr>
              <w:t>173</w:t>
            </w:r>
          </w:p>
        </w:tc>
        <w:tc>
          <w:tcPr>
            <w:tcW w:w="852" w:type="dxa"/>
            <w:tcBorders>
              <w:top w:val="nil"/>
              <w:left w:val="nil"/>
              <w:bottom w:val="nil"/>
              <w:right w:val="nil"/>
            </w:tcBorders>
            <w:shd w:val="clear" w:color="auto" w:fill="auto"/>
            <w:vAlign w:val="center"/>
          </w:tcPr>
          <w:p w:rsidR="00E2369F" w:rsidRPr="00C1153F" w:rsidRDefault="00E2369F" w:rsidP="005D39C6">
            <w:pPr>
              <w:pStyle w:val="Web"/>
              <w:spacing w:before="0" w:beforeAutospacing="0" w:after="0" w:afterAutospacing="0"/>
              <w:jc w:val="right"/>
              <w:textAlignment w:val="center"/>
              <w:rPr>
                <w:rFonts w:ascii="Arial" w:hAnsi="Arial" w:cs="Arial"/>
                <w:b/>
                <w:sz w:val="14"/>
                <w:szCs w:val="36"/>
              </w:rPr>
            </w:pPr>
            <w:r w:rsidRPr="00C1153F">
              <w:rPr>
                <w:rFonts w:ascii="Segoe UI" w:eastAsia="Segoe UI" w:hAnsi="Segoe UI" w:cs="Segoe UI"/>
                <w:b/>
                <w:bCs/>
                <w:color w:val="000000" w:themeColor="text1"/>
                <w:kern w:val="24"/>
                <w:sz w:val="14"/>
                <w:szCs w:val="16"/>
                <w:lang w:val="en-US"/>
              </w:rPr>
              <w:t>126</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C1153F" w:rsidRDefault="00E2369F" w:rsidP="005D39C6">
            <w:pPr>
              <w:pStyle w:val="Web"/>
              <w:spacing w:before="0" w:beforeAutospacing="0" w:after="0" w:afterAutospacing="0"/>
              <w:jc w:val="right"/>
              <w:textAlignment w:val="center"/>
              <w:rPr>
                <w:rFonts w:ascii="Arial" w:hAnsi="Arial" w:cs="Arial"/>
                <w:b/>
                <w:i/>
                <w:sz w:val="14"/>
                <w:szCs w:val="36"/>
              </w:rPr>
            </w:pPr>
            <w:r w:rsidRPr="00C1153F">
              <w:rPr>
                <w:rFonts w:ascii="Segoe UI" w:eastAsia="Segoe UI" w:hAnsi="Segoe UI" w:cs="Segoe UI"/>
                <w:b/>
                <w:bCs/>
                <w:i/>
                <w:kern w:val="24"/>
                <w:sz w:val="14"/>
                <w:szCs w:val="16"/>
                <w:lang w:val="en-US"/>
              </w:rPr>
              <w:t>+37%</w:t>
            </w:r>
          </w:p>
        </w:tc>
      </w:tr>
      <w:tr w:rsidR="00E2369F"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Φόροι </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(11)</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(18)</w:t>
            </w:r>
          </w:p>
        </w:tc>
        <w:tc>
          <w:tcPr>
            <w:tcW w:w="850"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E2369F">
              <w:rPr>
                <w:rFonts w:ascii="Segoe UI" w:eastAsia="Segoe UI" w:hAnsi="Segoe UI" w:cs="Segoe UI"/>
                <w:i/>
                <w:color w:val="000000" w:themeColor="text1"/>
                <w:kern w:val="24"/>
                <w:sz w:val="14"/>
                <w:szCs w:val="16"/>
                <w:lang w:val="en-US"/>
              </w:rPr>
              <w:t>-38%</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(3)</w:t>
            </w:r>
          </w:p>
        </w:tc>
        <w:tc>
          <w:tcPr>
            <w:tcW w:w="852"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(5)</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E2369F">
              <w:rPr>
                <w:rFonts w:ascii="Segoe UI" w:eastAsia="Segoe UI" w:hAnsi="Segoe UI" w:cs="Segoe UI"/>
                <w:i/>
                <w:color w:val="000000" w:themeColor="text1"/>
                <w:kern w:val="24"/>
                <w:sz w:val="14"/>
                <w:szCs w:val="16"/>
                <w:lang w:val="en-US"/>
              </w:rPr>
              <w:t>-43%</w:t>
            </w:r>
          </w:p>
        </w:tc>
      </w:tr>
      <w:tr w:rsidR="00E2369F" w:rsidRPr="004611DA" w:rsidTr="00601A1B">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BA31ED" w:rsidRDefault="00E2369F" w:rsidP="006C7E1B">
            <w:pPr>
              <w:spacing w:after="0" w:line="240" w:lineRule="auto"/>
              <w:textAlignment w:val="center"/>
              <w:rPr>
                <w:rFonts w:ascii="Segoe UI" w:eastAsia="Segoe UI" w:hAnsi="Segoe UI" w:cs="Segoe UI"/>
                <w:b/>
                <w:bCs/>
                <w:color w:val="000000"/>
                <w:kern w:val="24"/>
                <w:sz w:val="14"/>
                <w:szCs w:val="14"/>
                <w:lang w:val="el-GR" w:eastAsia="el-GR"/>
              </w:rPr>
            </w:pPr>
            <w:r w:rsidRPr="00C62FEB">
              <w:rPr>
                <w:rFonts w:ascii="Segoe UI" w:eastAsia="Segoe UI" w:hAnsi="Segoe UI" w:cs="Segoe UI"/>
                <w:b/>
                <w:bCs/>
                <w:color w:val="000000"/>
                <w:kern w:val="24"/>
                <w:sz w:val="14"/>
                <w:szCs w:val="14"/>
                <w:lang w:val="el-GR" w:eastAsia="el-GR"/>
              </w:rPr>
              <w:t>Κέρδη / (ζημίες)</w:t>
            </w:r>
            <w:r w:rsidR="00BA31ED" w:rsidRPr="00BA31ED">
              <w:rPr>
                <w:rFonts w:ascii="Segoe UI" w:eastAsia="Segoe UI" w:hAnsi="Segoe UI" w:cs="Segoe UI"/>
                <w:b/>
                <w:bCs/>
                <w:color w:val="000000"/>
                <w:kern w:val="24"/>
                <w:sz w:val="14"/>
                <w:szCs w:val="14"/>
                <w:lang w:val="el-GR" w:eastAsia="el-GR"/>
              </w:rPr>
              <w:t xml:space="preserve"> </w:t>
            </w:r>
            <w:r w:rsidR="00BA31ED">
              <w:rPr>
                <w:rFonts w:ascii="Segoe UI" w:eastAsia="Segoe UI" w:hAnsi="Segoe UI" w:cs="Segoe UI"/>
                <w:b/>
                <w:bCs/>
                <w:color w:val="000000"/>
                <w:kern w:val="24"/>
                <w:sz w:val="14"/>
                <w:szCs w:val="14"/>
                <w:lang w:val="el-GR" w:eastAsia="el-GR"/>
              </w:rPr>
              <w:t>μετά φόρων</w:t>
            </w:r>
          </w:p>
          <w:p w:rsidR="00E2369F" w:rsidRPr="00C62FEB" w:rsidRDefault="00E2369F" w:rsidP="004611DA">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(συνεχιζόμενες δραστ</w:t>
            </w:r>
            <w:r w:rsidR="004611DA">
              <w:rPr>
                <w:rFonts w:ascii="Segoe UI" w:eastAsia="Segoe UI" w:hAnsi="Segoe UI" w:cs="Segoe UI"/>
                <w:b/>
                <w:bCs/>
                <w:color w:val="000000"/>
                <w:kern w:val="24"/>
                <w:sz w:val="14"/>
                <w:szCs w:val="14"/>
                <w:lang w:val="el-GR" w:eastAsia="el-GR"/>
              </w:rPr>
              <w:t>ηριότ</w:t>
            </w:r>
            <w:r w:rsidRPr="00C62FEB">
              <w:rPr>
                <w:rFonts w:ascii="Segoe UI" w:eastAsia="Segoe UI" w:hAnsi="Segoe UI" w:cs="Segoe UI"/>
                <w:b/>
                <w:bCs/>
                <w:color w:val="000000"/>
                <w:kern w:val="24"/>
                <w:sz w:val="14"/>
                <w:szCs w:val="14"/>
                <w:lang w:val="el-GR" w:eastAsia="el-GR"/>
              </w:rPr>
              <w:t>ητες)</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4611DA">
              <w:rPr>
                <w:rFonts w:ascii="Segoe UI" w:eastAsia="Segoe UI" w:hAnsi="Segoe UI" w:cs="Segoe UI"/>
                <w:b/>
                <w:bCs/>
                <w:color w:val="000000" w:themeColor="text1"/>
                <w:kern w:val="24"/>
                <w:sz w:val="14"/>
                <w:szCs w:val="16"/>
              </w:rPr>
              <w:t>423</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4611DA">
              <w:rPr>
                <w:rFonts w:ascii="Segoe UI" w:eastAsia="Segoe UI" w:hAnsi="Segoe UI" w:cs="Segoe UI"/>
                <w:b/>
                <w:bCs/>
                <w:color w:val="000000" w:themeColor="text1"/>
                <w:kern w:val="24"/>
                <w:sz w:val="14"/>
                <w:szCs w:val="16"/>
              </w:rPr>
              <w:t>61</w:t>
            </w:r>
          </w:p>
        </w:tc>
        <w:tc>
          <w:tcPr>
            <w:tcW w:w="850" w:type="dxa"/>
            <w:tcBorders>
              <w:top w:val="nil"/>
              <w:left w:val="nil"/>
              <w:bottom w:val="nil"/>
              <w:right w:val="nil"/>
            </w:tcBorders>
            <w:shd w:val="clear" w:color="auto" w:fill="F2F2F2"/>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E2369F">
              <w:rPr>
                <w:rFonts w:ascii="Segoe UI" w:eastAsia="Segoe UI" w:hAnsi="Segoe UI" w:cs="Segoe UI"/>
                <w:b/>
                <w:bCs/>
                <w:i/>
                <w:color w:val="000000" w:themeColor="text1"/>
                <w:kern w:val="24"/>
                <w:sz w:val="14"/>
                <w:szCs w:val="16"/>
              </w:rPr>
              <w:t>&gt;100%</w:t>
            </w:r>
          </w:p>
        </w:tc>
        <w:tc>
          <w:tcPr>
            <w:tcW w:w="850"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4611DA">
              <w:rPr>
                <w:rFonts w:ascii="Segoe UI" w:eastAsia="Segoe UI" w:hAnsi="Segoe UI" w:cs="Segoe UI"/>
                <w:b/>
                <w:bCs/>
                <w:color w:val="000000" w:themeColor="text1"/>
                <w:kern w:val="24"/>
                <w:sz w:val="14"/>
                <w:szCs w:val="16"/>
              </w:rPr>
              <w:t>171</w:t>
            </w:r>
          </w:p>
        </w:tc>
        <w:tc>
          <w:tcPr>
            <w:tcW w:w="852" w:type="dxa"/>
            <w:tcBorders>
              <w:top w:val="nil"/>
              <w:left w:val="nil"/>
              <w:bottom w:val="nil"/>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4611DA">
              <w:rPr>
                <w:rFonts w:ascii="Segoe UI" w:eastAsia="Segoe UI" w:hAnsi="Segoe UI" w:cs="Segoe UI"/>
                <w:b/>
                <w:bCs/>
                <w:color w:val="000000" w:themeColor="text1"/>
                <w:kern w:val="24"/>
                <w:sz w:val="14"/>
                <w:szCs w:val="16"/>
              </w:rPr>
              <w:t>122</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4611DA">
              <w:rPr>
                <w:rFonts w:ascii="Segoe UI" w:eastAsia="Segoe UI" w:hAnsi="Segoe UI" w:cs="Segoe UI"/>
                <w:b/>
                <w:bCs/>
                <w:i/>
                <w:color w:val="000000" w:themeColor="text1"/>
                <w:kern w:val="24"/>
                <w:sz w:val="14"/>
                <w:szCs w:val="16"/>
              </w:rPr>
              <w:t>+40%</w:t>
            </w:r>
          </w:p>
        </w:tc>
      </w:tr>
      <w:tr w:rsidR="00E2369F" w:rsidRPr="004611DA"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BA31ED" w:rsidRDefault="00E2369F" w:rsidP="00BA31ED">
            <w:pPr>
              <w:spacing w:after="0" w:line="240" w:lineRule="auto"/>
              <w:textAlignment w:val="center"/>
              <w:rPr>
                <w:rFonts w:ascii="Segoe UI" w:eastAsia="Segoe UI" w:hAnsi="Segoe UI" w:cs="Segoe UI"/>
                <w:bCs/>
                <w:color w:val="000000"/>
                <w:kern w:val="24"/>
                <w:sz w:val="14"/>
                <w:szCs w:val="14"/>
                <w:lang w:val="el-GR" w:eastAsia="el-GR"/>
              </w:rPr>
            </w:pPr>
            <w:r w:rsidRPr="00C62FEB">
              <w:rPr>
                <w:rFonts w:ascii="Segoe UI" w:eastAsia="Segoe UI" w:hAnsi="Segoe UI" w:cs="Segoe UI"/>
                <w:bCs/>
                <w:color w:val="000000"/>
                <w:kern w:val="24"/>
                <w:sz w:val="14"/>
                <w:szCs w:val="14"/>
                <w:lang w:val="el-GR" w:eastAsia="el-GR"/>
              </w:rPr>
              <w:t>Κέρδη / (ζημίες)</w:t>
            </w:r>
            <w:r w:rsidR="00BA31ED">
              <w:rPr>
                <w:rFonts w:ascii="Segoe UI" w:eastAsia="Segoe UI" w:hAnsi="Segoe UI" w:cs="Segoe UI"/>
                <w:bCs/>
                <w:color w:val="000000"/>
                <w:kern w:val="24"/>
                <w:sz w:val="14"/>
                <w:szCs w:val="14"/>
                <w:lang w:val="el-GR" w:eastAsia="el-GR"/>
              </w:rPr>
              <w:t xml:space="preserve"> μετά φόρων</w:t>
            </w:r>
          </w:p>
          <w:p w:rsidR="00E2369F" w:rsidRPr="00C62FEB" w:rsidRDefault="00E2369F" w:rsidP="00BA31ED">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Cs/>
                <w:color w:val="000000"/>
                <w:kern w:val="24"/>
                <w:sz w:val="14"/>
                <w:szCs w:val="14"/>
                <w:lang w:val="el-GR" w:eastAsia="el-GR"/>
              </w:rPr>
              <w:t>(διακοπείσες δραστηριότητες)</w:t>
            </w:r>
            <w:r>
              <w:rPr>
                <w:rFonts w:ascii="Segoe UI" w:eastAsia="Segoe UI" w:hAnsi="Segoe UI" w:cs="Segoe UI"/>
                <w:bCs/>
                <w:color w:val="000000"/>
                <w:kern w:val="24"/>
                <w:sz w:val="14"/>
                <w:szCs w:val="14"/>
                <w:vertAlign w:val="superscript"/>
                <w:lang w:val="el-GR" w:eastAsia="el-GR"/>
              </w:rPr>
              <w:t>1</w:t>
            </w:r>
          </w:p>
        </w:tc>
        <w:tc>
          <w:tcPr>
            <w:tcW w:w="850" w:type="dxa"/>
            <w:tcBorders>
              <w:top w:val="nil"/>
              <w:left w:val="nil"/>
              <w:bottom w:val="nil"/>
              <w:right w:val="nil"/>
            </w:tcBorders>
            <w:shd w:val="clear" w:color="auto" w:fill="auto"/>
            <w:vAlign w:val="center"/>
          </w:tcPr>
          <w:p w:rsidR="00E2369F" w:rsidRPr="00E2369F" w:rsidRDefault="00E2369F" w:rsidP="00037642">
            <w:pPr>
              <w:pStyle w:val="Web"/>
              <w:spacing w:before="0" w:beforeAutospacing="0" w:after="0" w:afterAutospacing="0"/>
              <w:jc w:val="right"/>
              <w:textAlignment w:val="center"/>
              <w:rPr>
                <w:rFonts w:ascii="Arial" w:hAnsi="Arial" w:cs="Arial"/>
                <w:sz w:val="14"/>
                <w:szCs w:val="36"/>
              </w:rPr>
            </w:pPr>
            <w:r w:rsidRPr="004611DA">
              <w:rPr>
                <w:rFonts w:ascii="Segoe UI" w:eastAsia="Segoe UI" w:hAnsi="Segoe UI" w:cs="Segoe UI"/>
                <w:color w:val="000000" w:themeColor="text1"/>
                <w:kern w:val="24"/>
                <w:sz w:val="14"/>
                <w:szCs w:val="16"/>
              </w:rPr>
              <w:t>119</w:t>
            </w:r>
            <w:r w:rsidR="00037642" w:rsidRPr="004611DA">
              <w:rPr>
                <w:rFonts w:ascii="Segoe UI" w:eastAsia="Segoe UI" w:hAnsi="Segoe UI" w:cs="Segoe UI"/>
                <w:color w:val="000000" w:themeColor="text1"/>
                <w:kern w:val="24"/>
                <w:sz w:val="14"/>
                <w:szCs w:val="16"/>
                <w:vertAlign w:val="superscript"/>
              </w:rPr>
              <w:t>4</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4611DA">
              <w:rPr>
                <w:rFonts w:ascii="Segoe UI" w:eastAsia="Segoe UI" w:hAnsi="Segoe UI" w:cs="Segoe UI"/>
                <w:color w:val="000000" w:themeColor="text1"/>
                <w:kern w:val="24"/>
                <w:sz w:val="14"/>
                <w:szCs w:val="16"/>
              </w:rPr>
              <w:t>43</w:t>
            </w:r>
          </w:p>
        </w:tc>
        <w:tc>
          <w:tcPr>
            <w:tcW w:w="850"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4611DA">
              <w:rPr>
                <w:rFonts w:ascii="Segoe UI" w:eastAsia="Segoe UI" w:hAnsi="Segoe UI" w:cs="Segoe UI"/>
                <w:i/>
                <w:color w:val="000000" w:themeColor="text1"/>
                <w:kern w:val="24"/>
                <w:sz w:val="14"/>
                <w:szCs w:val="16"/>
              </w:rPr>
              <w:t>&gt;100%</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4611DA">
              <w:rPr>
                <w:rFonts w:ascii="Segoe UI" w:eastAsia="Segoe UI" w:hAnsi="Segoe UI" w:cs="Segoe UI"/>
                <w:color w:val="000000" w:themeColor="text1"/>
                <w:kern w:val="24"/>
                <w:sz w:val="14"/>
                <w:szCs w:val="16"/>
              </w:rPr>
              <w:t>16</w:t>
            </w:r>
          </w:p>
        </w:tc>
        <w:tc>
          <w:tcPr>
            <w:tcW w:w="852"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rPr>
              <w:t>82</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4611DA">
              <w:rPr>
                <w:rFonts w:ascii="Segoe UI" w:eastAsia="Segoe UI" w:hAnsi="Segoe UI" w:cs="Segoe UI"/>
                <w:i/>
                <w:color w:val="000000" w:themeColor="text1"/>
                <w:kern w:val="24"/>
                <w:sz w:val="14"/>
                <w:szCs w:val="16"/>
              </w:rPr>
              <w:t>-80%</w:t>
            </w:r>
          </w:p>
        </w:tc>
      </w:tr>
      <w:tr w:rsidR="00E2369F" w:rsidRPr="00C62FEB" w:rsidTr="00AF1BA2">
        <w:trPr>
          <w:trHeight w:val="113"/>
        </w:trPr>
        <w:tc>
          <w:tcPr>
            <w:tcW w:w="3572" w:type="dxa"/>
            <w:tcBorders>
              <w:top w:val="nil"/>
              <w:left w:val="nil"/>
              <w:right w:val="nil"/>
            </w:tcBorders>
            <w:shd w:val="clear" w:color="auto" w:fill="auto"/>
            <w:tcMar>
              <w:top w:w="15" w:type="dxa"/>
              <w:left w:w="42" w:type="dxa"/>
              <w:bottom w:w="0" w:type="dxa"/>
              <w:right w:w="15" w:type="dxa"/>
            </w:tcMar>
            <w:vAlign w:val="center"/>
          </w:tcPr>
          <w:p w:rsidR="00E2369F" w:rsidRPr="00C62FEB" w:rsidRDefault="00E2369F" w:rsidP="00BA31ED">
            <w:pPr>
              <w:spacing w:after="0" w:line="240" w:lineRule="auto"/>
              <w:textAlignment w:val="center"/>
              <w:rPr>
                <w:rFonts w:ascii="Segoe UI" w:eastAsia="Segoe UI" w:hAnsi="Segoe UI" w:cs="Segoe UI"/>
                <w:color w:val="000000"/>
                <w:kern w:val="24"/>
                <w:sz w:val="14"/>
                <w:szCs w:val="14"/>
                <w:lang w:val="el-GR" w:eastAsia="el-GR"/>
              </w:rPr>
            </w:pPr>
            <w:r>
              <w:rPr>
                <w:rFonts w:ascii="Segoe UI" w:eastAsia="Segoe UI" w:hAnsi="Segoe UI" w:cs="Segoe UI"/>
                <w:color w:val="000000"/>
                <w:kern w:val="24"/>
                <w:sz w:val="14"/>
                <w:szCs w:val="14"/>
                <w:lang w:val="el-GR" w:eastAsia="el-GR"/>
              </w:rPr>
              <w:t>ΛΕΠΕΤΕ</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4611DA">
              <w:rPr>
                <w:rFonts w:ascii="Segoe UI" w:eastAsia="Segoe UI" w:hAnsi="Segoe UI" w:cs="Segoe UI"/>
                <w:color w:val="000000" w:themeColor="text1"/>
                <w:kern w:val="24"/>
                <w:sz w:val="14"/>
                <w:szCs w:val="16"/>
              </w:rPr>
              <w:t>(36)</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4611DA">
              <w:rPr>
                <w:rFonts w:ascii="Segoe UI" w:eastAsia="Segoe UI" w:hAnsi="Segoe UI" w:cs="Segoe UI"/>
                <w:color w:val="000000" w:themeColor="text1"/>
                <w:kern w:val="24"/>
                <w:sz w:val="14"/>
                <w:szCs w:val="16"/>
              </w:rPr>
              <w:t>-</w:t>
            </w:r>
          </w:p>
        </w:tc>
        <w:tc>
          <w:tcPr>
            <w:tcW w:w="850" w:type="dxa"/>
            <w:tcBorders>
              <w:top w:val="nil"/>
              <w:left w:val="nil"/>
              <w:bottom w:val="nil"/>
              <w:right w:val="nil"/>
            </w:tcBorders>
            <w:shd w:val="clear" w:color="auto" w:fill="auto"/>
            <w:tcMar>
              <w:top w:w="15" w:type="dxa"/>
              <w:left w:w="15" w:type="dxa"/>
              <w:bottom w:w="0" w:type="dxa"/>
              <w:right w:w="84" w:type="dxa"/>
            </w:tcMar>
            <w:vAlign w:val="center"/>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Pr>
                <w:rFonts w:ascii="Segoe UI" w:eastAsia="Segoe UI" w:hAnsi="Segoe UI" w:cs="Segoe UI"/>
                <w:i/>
                <w:color w:val="000000" w:themeColor="text1"/>
                <w:kern w:val="24"/>
                <w:sz w:val="14"/>
                <w:szCs w:val="16"/>
              </w:rPr>
              <w:t>--</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(36)</w:t>
            </w:r>
          </w:p>
        </w:tc>
        <w:tc>
          <w:tcPr>
            <w:tcW w:w="852"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w:t>
            </w:r>
          </w:p>
        </w:tc>
        <w:tc>
          <w:tcPr>
            <w:tcW w:w="852" w:type="dxa"/>
            <w:tcBorders>
              <w:top w:val="nil"/>
              <w:left w:val="nil"/>
              <w:bottom w:val="nil"/>
              <w:right w:val="nil"/>
            </w:tcBorders>
            <w:shd w:val="clear" w:color="auto" w:fill="auto"/>
            <w:tcMar>
              <w:top w:w="15" w:type="dxa"/>
              <w:left w:w="15" w:type="dxa"/>
              <w:bottom w:w="0" w:type="dxa"/>
              <w:right w:w="84" w:type="dxa"/>
            </w:tcMar>
            <w:vAlign w:val="center"/>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Pr>
                <w:rFonts w:ascii="Segoe UI" w:eastAsia="Segoe UI" w:hAnsi="Segoe UI" w:cs="Segoe UI"/>
                <w:i/>
                <w:color w:val="000000" w:themeColor="text1"/>
                <w:kern w:val="24"/>
                <w:sz w:val="14"/>
                <w:szCs w:val="16"/>
              </w:rPr>
              <w:t>--</w:t>
            </w:r>
          </w:p>
        </w:tc>
      </w:tr>
      <w:tr w:rsidR="00E2369F" w:rsidRPr="006C7E1B" w:rsidTr="00AF1BA2">
        <w:trPr>
          <w:trHeight w:val="113"/>
        </w:trPr>
        <w:tc>
          <w:tcPr>
            <w:tcW w:w="3572" w:type="dxa"/>
            <w:tcBorders>
              <w:top w:val="nil"/>
              <w:left w:val="nil"/>
              <w:right w:val="nil"/>
            </w:tcBorders>
            <w:shd w:val="clear" w:color="auto" w:fill="auto"/>
            <w:tcMar>
              <w:top w:w="15" w:type="dxa"/>
              <w:left w:w="42" w:type="dxa"/>
              <w:bottom w:w="0" w:type="dxa"/>
              <w:right w:w="15" w:type="dxa"/>
            </w:tcMar>
            <w:vAlign w:val="center"/>
          </w:tcPr>
          <w:p w:rsidR="00E2369F" w:rsidRPr="00C62FEB" w:rsidRDefault="00E2369F" w:rsidP="000923FC">
            <w:pPr>
              <w:spacing w:after="0" w:line="240" w:lineRule="auto"/>
              <w:textAlignment w:val="center"/>
              <w:rPr>
                <w:rFonts w:ascii="Segoe UI" w:eastAsia="Segoe UI" w:hAnsi="Segoe UI" w:cs="Segoe UI"/>
                <w:color w:val="000000"/>
                <w:kern w:val="24"/>
                <w:sz w:val="14"/>
                <w:szCs w:val="14"/>
                <w:lang w:val="el-GR" w:eastAsia="el-GR"/>
              </w:rPr>
            </w:pPr>
            <w:r w:rsidRPr="00CB3C31">
              <w:rPr>
                <w:rFonts w:ascii="Segoe UI" w:eastAsia="Segoe UI" w:hAnsi="Segoe UI" w:cs="Segoe UI"/>
                <w:color w:val="000000"/>
                <w:kern w:val="24"/>
                <w:sz w:val="14"/>
                <w:szCs w:val="14"/>
                <w:lang w:val="el-GR" w:eastAsia="el-GR"/>
              </w:rPr>
              <w:t xml:space="preserve">Κόστος </w:t>
            </w:r>
            <w:r>
              <w:rPr>
                <w:rFonts w:ascii="Segoe UI" w:eastAsia="Segoe UI" w:hAnsi="Segoe UI" w:cs="Segoe UI"/>
                <w:color w:val="000000"/>
                <w:kern w:val="24"/>
                <w:sz w:val="14"/>
                <w:szCs w:val="14"/>
                <w:lang w:val="el-GR" w:eastAsia="el-GR"/>
              </w:rPr>
              <w:t xml:space="preserve">Προγράμματος </w:t>
            </w:r>
            <w:r w:rsidRPr="00CB3C31">
              <w:rPr>
                <w:rFonts w:ascii="Segoe UI" w:eastAsia="Segoe UI" w:hAnsi="Segoe UI" w:cs="Segoe UI"/>
                <w:color w:val="000000"/>
                <w:kern w:val="24"/>
                <w:sz w:val="14"/>
                <w:szCs w:val="14"/>
                <w:lang w:val="el-GR" w:eastAsia="el-GR"/>
              </w:rPr>
              <w:t xml:space="preserve">Εθελουσίας και λοιπά </w:t>
            </w:r>
            <w:r w:rsidR="000923FC">
              <w:rPr>
                <w:rFonts w:ascii="Segoe UI" w:eastAsia="Segoe UI" w:hAnsi="Segoe UI" w:cs="Segoe UI"/>
                <w:color w:val="000000"/>
                <w:kern w:val="24"/>
                <w:sz w:val="14"/>
                <w:szCs w:val="14"/>
                <w:lang w:val="el-GR" w:eastAsia="el-GR"/>
              </w:rPr>
              <w:t>κόστη</w:t>
            </w:r>
            <w:r>
              <w:rPr>
                <w:rFonts w:ascii="Segoe UI" w:eastAsia="Segoe UI" w:hAnsi="Segoe UI" w:cs="Segoe UI"/>
                <w:color w:val="000000"/>
                <w:kern w:val="24"/>
                <w:sz w:val="14"/>
                <w:szCs w:val="14"/>
                <w:lang w:val="el-GR" w:eastAsia="el-GR"/>
              </w:rPr>
              <w:t xml:space="preserve"> αναδιάρθρωσης</w:t>
            </w:r>
          </w:p>
        </w:tc>
        <w:tc>
          <w:tcPr>
            <w:tcW w:w="850" w:type="dxa"/>
            <w:tcBorders>
              <w:top w:val="nil"/>
              <w:left w:val="nil"/>
              <w:bottom w:val="nil"/>
              <w:right w:val="nil"/>
            </w:tcBorders>
            <w:shd w:val="clear" w:color="auto" w:fill="auto"/>
            <w:vAlign w:val="center"/>
          </w:tcPr>
          <w:p w:rsidR="00E2369F" w:rsidRPr="00E2369F" w:rsidRDefault="00E2369F" w:rsidP="00037642">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(110)</w:t>
            </w:r>
            <w:r w:rsidR="00037642" w:rsidRPr="00037642">
              <w:rPr>
                <w:rFonts w:ascii="Segoe UI" w:eastAsia="Segoe UI" w:hAnsi="Segoe UI" w:cs="Segoe UI"/>
                <w:color w:val="000000" w:themeColor="text1"/>
                <w:kern w:val="24"/>
                <w:sz w:val="14"/>
                <w:szCs w:val="16"/>
                <w:vertAlign w:val="superscript"/>
                <w:lang w:val="en-US"/>
              </w:rPr>
              <w:t>5</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(40)</w:t>
            </w:r>
          </w:p>
        </w:tc>
        <w:tc>
          <w:tcPr>
            <w:tcW w:w="850" w:type="dxa"/>
            <w:tcBorders>
              <w:top w:val="nil"/>
              <w:left w:val="nil"/>
              <w:bottom w:val="nil"/>
              <w:right w:val="nil"/>
            </w:tcBorders>
            <w:shd w:val="clear" w:color="auto" w:fill="auto"/>
            <w:tcMar>
              <w:top w:w="15" w:type="dxa"/>
              <w:left w:w="15" w:type="dxa"/>
              <w:bottom w:w="0" w:type="dxa"/>
              <w:right w:w="84" w:type="dxa"/>
            </w:tcMar>
            <w:vAlign w:val="center"/>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E2369F">
              <w:rPr>
                <w:rFonts w:ascii="Segoe UI" w:eastAsia="Segoe UI" w:hAnsi="Segoe UI" w:cs="Segoe UI"/>
                <w:i/>
                <w:color w:val="000000" w:themeColor="text1"/>
                <w:kern w:val="24"/>
                <w:sz w:val="14"/>
                <w:szCs w:val="16"/>
                <w:lang w:val="en-US"/>
              </w:rPr>
              <w:t>&gt;100%</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(5)</w:t>
            </w:r>
          </w:p>
        </w:tc>
        <w:tc>
          <w:tcPr>
            <w:tcW w:w="852"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(4)</w:t>
            </w:r>
          </w:p>
        </w:tc>
        <w:tc>
          <w:tcPr>
            <w:tcW w:w="852" w:type="dxa"/>
            <w:tcBorders>
              <w:top w:val="nil"/>
              <w:left w:val="nil"/>
              <w:bottom w:val="nil"/>
              <w:right w:val="nil"/>
            </w:tcBorders>
            <w:shd w:val="clear" w:color="auto" w:fill="auto"/>
            <w:tcMar>
              <w:top w:w="15" w:type="dxa"/>
              <w:left w:w="15" w:type="dxa"/>
              <w:bottom w:w="0" w:type="dxa"/>
              <w:right w:w="84" w:type="dxa"/>
            </w:tcMar>
            <w:vAlign w:val="center"/>
          </w:tcPr>
          <w:p w:rsidR="00E2369F" w:rsidRPr="00E2369F" w:rsidRDefault="00E2666C" w:rsidP="00E2666C">
            <w:pPr>
              <w:pStyle w:val="Web"/>
              <w:spacing w:before="0" w:beforeAutospacing="0" w:after="0" w:afterAutospacing="0"/>
              <w:jc w:val="right"/>
              <w:textAlignment w:val="center"/>
              <w:rPr>
                <w:rFonts w:ascii="Arial" w:hAnsi="Arial" w:cs="Arial"/>
                <w:i/>
                <w:sz w:val="14"/>
                <w:szCs w:val="36"/>
              </w:rPr>
            </w:pPr>
            <w:r>
              <w:rPr>
                <w:rFonts w:ascii="Segoe UI" w:eastAsia="Segoe UI" w:hAnsi="Segoe UI" w:cs="Segoe UI"/>
                <w:i/>
                <w:color w:val="000000" w:themeColor="text1"/>
                <w:kern w:val="24"/>
                <w:sz w:val="14"/>
                <w:szCs w:val="16"/>
                <w:lang w:val="en-US"/>
              </w:rPr>
              <w:t>+32</w:t>
            </w:r>
            <w:r w:rsidR="00E2369F" w:rsidRPr="00E2369F">
              <w:rPr>
                <w:rFonts w:ascii="Segoe UI" w:eastAsia="Segoe UI" w:hAnsi="Segoe UI" w:cs="Segoe UI"/>
                <w:i/>
                <w:color w:val="000000" w:themeColor="text1"/>
                <w:kern w:val="24"/>
                <w:sz w:val="14"/>
                <w:szCs w:val="16"/>
              </w:rPr>
              <w:t>%</w:t>
            </w:r>
          </w:p>
        </w:tc>
      </w:tr>
      <w:tr w:rsidR="00E2369F" w:rsidRPr="00C62FEB" w:rsidTr="00AF1BA2">
        <w:trPr>
          <w:trHeight w:val="113"/>
        </w:trPr>
        <w:tc>
          <w:tcPr>
            <w:tcW w:w="3572" w:type="dxa"/>
            <w:tcBorders>
              <w:top w:val="nil"/>
              <w:left w:val="nil"/>
              <w:right w:val="nil"/>
            </w:tcBorders>
            <w:shd w:val="clear" w:color="auto" w:fill="auto"/>
            <w:tcMar>
              <w:top w:w="15" w:type="dxa"/>
              <w:left w:w="42" w:type="dxa"/>
              <w:bottom w:w="0" w:type="dxa"/>
              <w:right w:w="15" w:type="dxa"/>
            </w:tcMar>
            <w:vAlign w:val="center"/>
            <w:hideMark/>
          </w:tcPr>
          <w:p w:rsidR="00E2369F" w:rsidRPr="00C62FEB" w:rsidRDefault="00E2369F" w:rsidP="006C7E1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Δικαιώματα μειοψηφίας</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w:t>
            </w:r>
            <w:r w:rsidRPr="00E2369F">
              <w:rPr>
                <w:rFonts w:ascii="Segoe UI" w:eastAsia="Segoe UI" w:hAnsi="Segoe UI" w:cs="Segoe UI"/>
                <w:color w:val="000000" w:themeColor="text1"/>
                <w:kern w:val="24"/>
                <w:sz w:val="14"/>
                <w:szCs w:val="16"/>
              </w:rPr>
              <w:t>1</w:t>
            </w:r>
            <w:r w:rsidRPr="00E2369F">
              <w:rPr>
                <w:rFonts w:ascii="Segoe UI" w:eastAsia="Segoe UI" w:hAnsi="Segoe UI" w:cs="Segoe UI"/>
                <w:color w:val="000000" w:themeColor="text1"/>
                <w:kern w:val="24"/>
                <w:sz w:val="14"/>
                <w:szCs w:val="16"/>
                <w:lang w:val="en-US"/>
              </w:rPr>
              <w:t>8)</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lang w:val="en-US"/>
              </w:rPr>
              <w:t>(27)</w:t>
            </w:r>
          </w:p>
        </w:tc>
        <w:tc>
          <w:tcPr>
            <w:tcW w:w="850"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E2369F">
              <w:rPr>
                <w:rFonts w:ascii="Segoe UI" w:eastAsia="Segoe UI" w:hAnsi="Segoe UI" w:cs="Segoe UI"/>
                <w:i/>
                <w:color w:val="000000" w:themeColor="text1"/>
                <w:kern w:val="24"/>
                <w:sz w:val="14"/>
                <w:szCs w:val="16"/>
              </w:rPr>
              <w:t>-</w:t>
            </w:r>
            <w:r w:rsidRPr="00E2369F">
              <w:rPr>
                <w:rFonts w:ascii="Segoe UI" w:eastAsia="Segoe UI" w:hAnsi="Segoe UI" w:cs="Segoe UI"/>
                <w:i/>
                <w:color w:val="000000" w:themeColor="text1"/>
                <w:kern w:val="24"/>
                <w:sz w:val="14"/>
                <w:szCs w:val="16"/>
                <w:lang w:val="en-US"/>
              </w:rPr>
              <w:t>34%</w:t>
            </w:r>
          </w:p>
        </w:tc>
        <w:tc>
          <w:tcPr>
            <w:tcW w:w="850"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rPr>
              <w:t>(</w:t>
            </w:r>
            <w:r w:rsidRPr="00E2369F">
              <w:rPr>
                <w:rFonts w:ascii="Segoe UI" w:eastAsia="Segoe UI" w:hAnsi="Segoe UI" w:cs="Segoe UI"/>
                <w:color w:val="000000" w:themeColor="text1"/>
                <w:kern w:val="24"/>
                <w:sz w:val="14"/>
                <w:szCs w:val="16"/>
                <w:lang w:val="en-US"/>
              </w:rPr>
              <w:t>1</w:t>
            </w:r>
            <w:r w:rsidRPr="00E2369F">
              <w:rPr>
                <w:rFonts w:ascii="Segoe UI" w:eastAsia="Segoe UI" w:hAnsi="Segoe UI" w:cs="Segoe UI"/>
                <w:color w:val="000000" w:themeColor="text1"/>
                <w:kern w:val="24"/>
                <w:sz w:val="14"/>
                <w:szCs w:val="16"/>
              </w:rPr>
              <w:t>)</w:t>
            </w:r>
          </w:p>
        </w:tc>
        <w:tc>
          <w:tcPr>
            <w:tcW w:w="852" w:type="dxa"/>
            <w:tcBorders>
              <w:top w:val="nil"/>
              <w:left w:val="nil"/>
              <w:bottom w:val="nil"/>
              <w:right w:val="nil"/>
            </w:tcBorders>
            <w:shd w:val="clear" w:color="auto" w:fill="auto"/>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color w:val="000000" w:themeColor="text1"/>
                <w:kern w:val="24"/>
                <w:sz w:val="14"/>
                <w:szCs w:val="16"/>
              </w:rPr>
              <w:t>(8)</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E2369F">
              <w:rPr>
                <w:rFonts w:ascii="Segoe UI" w:eastAsia="Segoe UI" w:hAnsi="Segoe UI" w:cs="Segoe UI"/>
                <w:i/>
                <w:color w:val="000000" w:themeColor="text1"/>
                <w:kern w:val="24"/>
                <w:sz w:val="14"/>
                <w:szCs w:val="16"/>
                <w:lang w:val="en-US"/>
              </w:rPr>
              <w:t>-94%</w:t>
            </w:r>
          </w:p>
        </w:tc>
      </w:tr>
      <w:tr w:rsidR="00E2369F" w:rsidRPr="00C62FEB" w:rsidTr="00AF1BA2">
        <w:trPr>
          <w:trHeight w:val="113"/>
        </w:trPr>
        <w:tc>
          <w:tcPr>
            <w:tcW w:w="3572" w:type="dxa"/>
            <w:tcBorders>
              <w:top w:val="nil"/>
              <w:left w:val="nil"/>
              <w:bottom w:val="single" w:sz="12" w:space="0" w:color="auto"/>
              <w:right w:val="nil"/>
            </w:tcBorders>
            <w:shd w:val="clear" w:color="auto" w:fill="auto"/>
            <w:tcMar>
              <w:top w:w="15" w:type="dxa"/>
              <w:left w:w="42" w:type="dxa"/>
              <w:bottom w:w="0" w:type="dxa"/>
              <w:right w:w="15" w:type="dxa"/>
            </w:tcMar>
            <w:vAlign w:val="center"/>
          </w:tcPr>
          <w:p w:rsidR="00E2369F" w:rsidRPr="000923FC" w:rsidRDefault="00E2369F" w:rsidP="006C7E1B">
            <w:pPr>
              <w:spacing w:after="0" w:line="240" w:lineRule="auto"/>
              <w:jc w:val="both"/>
              <w:textAlignment w:val="center"/>
              <w:rPr>
                <w:rFonts w:ascii="Segoe UI" w:eastAsia="Segoe UI" w:hAnsi="Segoe UI" w:cs="Segoe UI"/>
                <w:color w:val="000000"/>
                <w:kern w:val="24"/>
                <w:sz w:val="14"/>
                <w:szCs w:val="14"/>
                <w:lang w:val="el-GR" w:eastAsia="el-GR"/>
              </w:rPr>
            </w:pPr>
            <w:r w:rsidRPr="000923FC">
              <w:rPr>
                <w:rFonts w:ascii="Segoe UI" w:eastAsia="Segoe UI" w:hAnsi="Segoe UI" w:cs="Segoe UI"/>
                <w:b/>
                <w:color w:val="000000"/>
                <w:kern w:val="24"/>
                <w:sz w:val="14"/>
                <w:szCs w:val="14"/>
                <w:lang w:val="el-GR" w:eastAsia="el-GR"/>
              </w:rPr>
              <w:t xml:space="preserve">Κέρδη / (ζημίες) </w:t>
            </w:r>
            <w:r w:rsidR="000923FC">
              <w:rPr>
                <w:rFonts w:ascii="Segoe UI" w:eastAsia="Segoe UI" w:hAnsi="Segoe UI" w:cs="Segoe UI"/>
                <w:b/>
                <w:color w:val="000000"/>
                <w:kern w:val="24"/>
                <w:sz w:val="14"/>
                <w:szCs w:val="14"/>
                <w:lang w:val="el-GR" w:eastAsia="el-GR"/>
              </w:rPr>
              <w:t xml:space="preserve">μετά φόρων </w:t>
            </w:r>
            <w:r w:rsidRPr="000923FC">
              <w:rPr>
                <w:rFonts w:ascii="Segoe UI" w:eastAsia="Segoe UI" w:hAnsi="Segoe UI" w:cs="Segoe UI"/>
                <w:b/>
                <w:color w:val="000000"/>
                <w:kern w:val="24"/>
                <w:sz w:val="14"/>
                <w:szCs w:val="14"/>
                <w:lang w:val="el-GR" w:eastAsia="el-GR"/>
              </w:rPr>
              <w:t>περιόδου</w:t>
            </w:r>
          </w:p>
        </w:tc>
        <w:tc>
          <w:tcPr>
            <w:tcW w:w="850" w:type="dxa"/>
            <w:tcBorders>
              <w:top w:val="nil"/>
              <w:left w:val="nil"/>
              <w:bottom w:val="single" w:sz="12" w:space="0" w:color="000000"/>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b/>
                <w:bCs/>
                <w:color w:val="000000" w:themeColor="text1"/>
                <w:kern w:val="24"/>
                <w:sz w:val="14"/>
                <w:szCs w:val="16"/>
                <w:lang w:val="en-US"/>
              </w:rPr>
              <w:t>379</w:t>
            </w:r>
          </w:p>
        </w:tc>
        <w:tc>
          <w:tcPr>
            <w:tcW w:w="850" w:type="dxa"/>
            <w:tcBorders>
              <w:top w:val="nil"/>
              <w:left w:val="nil"/>
              <w:bottom w:val="single" w:sz="12" w:space="0" w:color="000000"/>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b/>
                <w:bCs/>
                <w:color w:val="000000" w:themeColor="text1"/>
                <w:kern w:val="24"/>
                <w:sz w:val="14"/>
                <w:szCs w:val="16"/>
                <w:lang w:val="en-US"/>
              </w:rPr>
              <w:t xml:space="preserve">36   </w:t>
            </w:r>
          </w:p>
        </w:tc>
        <w:tc>
          <w:tcPr>
            <w:tcW w:w="850" w:type="dxa"/>
            <w:tcBorders>
              <w:top w:val="nil"/>
              <w:left w:val="nil"/>
              <w:bottom w:val="single" w:sz="12" w:space="0" w:color="000000"/>
              <w:right w:val="nil"/>
            </w:tcBorders>
            <w:shd w:val="clear" w:color="auto" w:fill="F2F2F2"/>
            <w:tcMar>
              <w:top w:w="15" w:type="dxa"/>
              <w:left w:w="15" w:type="dxa"/>
              <w:bottom w:w="0" w:type="dxa"/>
              <w:right w:w="84" w:type="dxa"/>
            </w:tcMar>
            <w:vAlign w:val="center"/>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E2369F">
              <w:rPr>
                <w:rFonts w:ascii="Segoe UI" w:eastAsia="Segoe UI" w:hAnsi="Segoe UI" w:cs="Segoe UI"/>
                <w:b/>
                <w:bCs/>
                <w:i/>
                <w:color w:val="000000" w:themeColor="text1"/>
                <w:kern w:val="24"/>
                <w:sz w:val="14"/>
                <w:szCs w:val="16"/>
                <w:lang w:val="en-US"/>
              </w:rPr>
              <w:t>&gt;100%</w:t>
            </w:r>
          </w:p>
        </w:tc>
        <w:tc>
          <w:tcPr>
            <w:tcW w:w="850" w:type="dxa"/>
            <w:tcBorders>
              <w:top w:val="nil"/>
              <w:left w:val="nil"/>
              <w:bottom w:val="single" w:sz="12" w:space="0" w:color="000000"/>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b/>
                <w:bCs/>
                <w:color w:val="000000" w:themeColor="text1"/>
                <w:kern w:val="24"/>
                <w:sz w:val="14"/>
                <w:szCs w:val="16"/>
              </w:rPr>
              <w:t>1</w:t>
            </w:r>
            <w:r w:rsidRPr="00E2369F">
              <w:rPr>
                <w:rFonts w:ascii="Segoe UI" w:eastAsia="Segoe UI" w:hAnsi="Segoe UI" w:cs="Segoe UI"/>
                <w:b/>
                <w:bCs/>
                <w:color w:val="000000" w:themeColor="text1"/>
                <w:kern w:val="24"/>
                <w:sz w:val="14"/>
                <w:szCs w:val="16"/>
                <w:lang w:val="en-US"/>
              </w:rPr>
              <w:t>46</w:t>
            </w:r>
          </w:p>
        </w:tc>
        <w:tc>
          <w:tcPr>
            <w:tcW w:w="852" w:type="dxa"/>
            <w:tcBorders>
              <w:top w:val="nil"/>
              <w:left w:val="nil"/>
              <w:bottom w:val="single" w:sz="12" w:space="0" w:color="000000"/>
              <w:right w:val="nil"/>
            </w:tcBorders>
            <w:shd w:val="clear" w:color="auto" w:fill="F2F2F2"/>
            <w:vAlign w:val="center"/>
          </w:tcPr>
          <w:p w:rsidR="00E2369F" w:rsidRPr="00E2369F" w:rsidRDefault="00E2369F" w:rsidP="005D39C6">
            <w:pPr>
              <w:pStyle w:val="Web"/>
              <w:spacing w:before="0" w:beforeAutospacing="0" w:after="0" w:afterAutospacing="0"/>
              <w:jc w:val="right"/>
              <w:textAlignment w:val="center"/>
              <w:rPr>
                <w:rFonts w:ascii="Arial" w:hAnsi="Arial" w:cs="Arial"/>
                <w:sz w:val="14"/>
                <w:szCs w:val="36"/>
              </w:rPr>
            </w:pPr>
            <w:r w:rsidRPr="00E2369F">
              <w:rPr>
                <w:rFonts w:ascii="Segoe UI" w:eastAsia="Segoe UI" w:hAnsi="Segoe UI" w:cs="Segoe UI"/>
                <w:b/>
                <w:bCs/>
                <w:color w:val="000000" w:themeColor="text1"/>
                <w:kern w:val="24"/>
                <w:sz w:val="14"/>
                <w:szCs w:val="16"/>
              </w:rPr>
              <w:t>1</w:t>
            </w:r>
            <w:r w:rsidRPr="00E2369F">
              <w:rPr>
                <w:rFonts w:ascii="Segoe UI" w:eastAsia="Segoe UI" w:hAnsi="Segoe UI" w:cs="Segoe UI"/>
                <w:b/>
                <w:bCs/>
                <w:color w:val="000000" w:themeColor="text1"/>
                <w:kern w:val="24"/>
                <w:sz w:val="14"/>
                <w:szCs w:val="16"/>
                <w:lang w:val="en-US"/>
              </w:rPr>
              <w:t>92</w:t>
            </w:r>
          </w:p>
        </w:tc>
        <w:tc>
          <w:tcPr>
            <w:tcW w:w="852" w:type="dxa"/>
            <w:tcBorders>
              <w:top w:val="nil"/>
              <w:left w:val="nil"/>
              <w:bottom w:val="single" w:sz="12" w:space="0" w:color="000000"/>
              <w:right w:val="nil"/>
            </w:tcBorders>
            <w:shd w:val="clear" w:color="auto" w:fill="F2F2F2"/>
            <w:tcMar>
              <w:top w:w="15" w:type="dxa"/>
              <w:left w:w="15" w:type="dxa"/>
              <w:bottom w:w="0" w:type="dxa"/>
              <w:right w:w="84" w:type="dxa"/>
            </w:tcMar>
            <w:vAlign w:val="center"/>
          </w:tcPr>
          <w:p w:rsidR="00E2369F" w:rsidRPr="00E2369F" w:rsidRDefault="00E2369F" w:rsidP="005D39C6">
            <w:pPr>
              <w:pStyle w:val="Web"/>
              <w:spacing w:before="0" w:beforeAutospacing="0" w:after="0" w:afterAutospacing="0"/>
              <w:jc w:val="right"/>
              <w:textAlignment w:val="center"/>
              <w:rPr>
                <w:rFonts w:ascii="Arial" w:hAnsi="Arial" w:cs="Arial"/>
                <w:i/>
                <w:sz w:val="14"/>
                <w:szCs w:val="36"/>
              </w:rPr>
            </w:pPr>
            <w:r w:rsidRPr="00E2369F">
              <w:rPr>
                <w:rFonts w:ascii="Segoe UI" w:eastAsia="Segoe UI" w:hAnsi="Segoe UI" w:cs="Segoe UI"/>
                <w:b/>
                <w:bCs/>
                <w:i/>
                <w:color w:val="000000" w:themeColor="text1"/>
                <w:kern w:val="24"/>
                <w:sz w:val="14"/>
                <w:szCs w:val="16"/>
                <w:lang w:val="en-US"/>
              </w:rPr>
              <w:t>-24%</w:t>
            </w:r>
          </w:p>
        </w:tc>
      </w:tr>
    </w:tbl>
    <w:p w:rsidR="00B36352" w:rsidRPr="00CC1F0C" w:rsidRDefault="00396E58" w:rsidP="004C0E3B">
      <w:pPr>
        <w:spacing w:after="0" w:line="240" w:lineRule="auto"/>
        <w:jc w:val="both"/>
        <w:textAlignment w:val="baseline"/>
        <w:rPr>
          <w:rFonts w:ascii="Segoe UI" w:eastAsia="Times New Roman" w:hAnsi="Segoe UI" w:cs="Segoe UI"/>
          <w:kern w:val="24"/>
          <w:sz w:val="9"/>
          <w:szCs w:val="9"/>
          <w:lang w:val="el-GR" w:eastAsia="el-GR"/>
        </w:rPr>
      </w:pPr>
      <w:r w:rsidRPr="00CC1F0C">
        <w:rPr>
          <w:rFonts w:ascii="Segoe UI" w:eastAsia="Times New Roman" w:hAnsi="Segoe UI" w:cs="Segoe UI"/>
          <w:kern w:val="24"/>
          <w:sz w:val="9"/>
          <w:szCs w:val="9"/>
          <w:vertAlign w:val="superscript"/>
          <w:lang w:val="el-GR" w:eastAsia="el-GR"/>
        </w:rPr>
        <w:t>1</w:t>
      </w:r>
      <w:r w:rsidR="00B36352" w:rsidRPr="00CC1F0C">
        <w:rPr>
          <w:rFonts w:ascii="Segoe UI" w:eastAsia="Times New Roman" w:hAnsi="Segoe UI" w:cs="Segoe UI"/>
          <w:kern w:val="24"/>
          <w:sz w:val="9"/>
          <w:szCs w:val="9"/>
          <w:lang w:val="el-GR" w:eastAsia="el-GR"/>
        </w:rPr>
        <w:t xml:space="preserve"> Περιλαμβάνουν μη επαναλαμβα</w:t>
      </w:r>
      <w:r w:rsidR="00AA69FA" w:rsidRPr="00CC1F0C">
        <w:rPr>
          <w:rFonts w:ascii="Segoe UI" w:eastAsia="Times New Roman" w:hAnsi="Segoe UI" w:cs="Segoe UI"/>
          <w:kern w:val="24"/>
          <w:sz w:val="9"/>
          <w:szCs w:val="9"/>
          <w:lang w:val="el-GR" w:eastAsia="el-GR"/>
        </w:rPr>
        <w:t>νόμενα κέρδη σχετιζόμενα με τη</w:t>
      </w:r>
      <w:r w:rsidR="00610DCB">
        <w:rPr>
          <w:rFonts w:ascii="Segoe UI" w:eastAsia="Times New Roman" w:hAnsi="Segoe UI" w:cs="Segoe UI"/>
          <w:kern w:val="24"/>
          <w:sz w:val="9"/>
          <w:szCs w:val="9"/>
          <w:lang w:val="el-GR" w:eastAsia="el-GR"/>
        </w:rPr>
        <w:t>ν</w:t>
      </w:r>
      <w:r w:rsidR="00B36352" w:rsidRPr="00CC1F0C">
        <w:rPr>
          <w:rFonts w:ascii="Segoe UI" w:eastAsia="Times New Roman" w:hAnsi="Segoe UI" w:cs="Segoe UI"/>
          <w:kern w:val="24"/>
          <w:sz w:val="9"/>
          <w:szCs w:val="9"/>
          <w:lang w:val="el-GR" w:eastAsia="el-GR"/>
        </w:rPr>
        <w:t xml:space="preserve"> </w:t>
      </w:r>
      <w:r w:rsidR="00FD4F77">
        <w:rPr>
          <w:rFonts w:ascii="Segoe UI" w:eastAsia="Times New Roman" w:hAnsi="Segoe UI" w:cs="Segoe UI"/>
          <w:kern w:val="24"/>
          <w:sz w:val="9"/>
          <w:szCs w:val="9"/>
          <w:lang w:val="el-GR" w:eastAsia="el-GR"/>
        </w:rPr>
        <w:t xml:space="preserve">αντικατάσταση της </w:t>
      </w:r>
      <w:r w:rsidR="00B36352" w:rsidRPr="00CC1F0C">
        <w:rPr>
          <w:rFonts w:ascii="Segoe UI" w:eastAsia="Times New Roman" w:hAnsi="Segoe UI" w:cs="Segoe UI"/>
          <w:kern w:val="24"/>
          <w:sz w:val="9"/>
          <w:szCs w:val="9"/>
          <w:lang w:val="el-GR" w:eastAsia="el-GR"/>
        </w:rPr>
        <w:t xml:space="preserve">Συμφωνίας Ανταλλαγής Επιτοκίων με ΟΕΔ το Α’ τρίμηνο </w:t>
      </w:r>
      <w:r w:rsidR="00E2369F" w:rsidRPr="00CC1F0C">
        <w:rPr>
          <w:rFonts w:ascii="Segoe UI" w:eastAsia="Times New Roman" w:hAnsi="Segoe UI" w:cs="Segoe UI"/>
          <w:kern w:val="24"/>
          <w:sz w:val="9"/>
          <w:szCs w:val="9"/>
          <w:lang w:val="el-GR" w:eastAsia="el-GR"/>
        </w:rPr>
        <w:t xml:space="preserve">2019 </w:t>
      </w:r>
      <w:r w:rsidR="00B36352" w:rsidRPr="00CC1F0C">
        <w:rPr>
          <w:rFonts w:ascii="Segoe UI" w:eastAsia="Times New Roman" w:hAnsi="Segoe UI" w:cs="Segoe UI"/>
          <w:kern w:val="24"/>
          <w:sz w:val="9"/>
          <w:szCs w:val="9"/>
          <w:lang w:val="el-GR" w:eastAsia="el-GR"/>
        </w:rPr>
        <w:t>(€</w:t>
      </w:r>
      <w:r w:rsidR="00E2369F" w:rsidRPr="00CC1F0C">
        <w:rPr>
          <w:rFonts w:ascii="Segoe UI" w:eastAsia="Times New Roman" w:hAnsi="Segoe UI" w:cs="Segoe UI"/>
          <w:kern w:val="24"/>
          <w:sz w:val="9"/>
          <w:szCs w:val="9"/>
          <w:lang w:val="el-GR" w:eastAsia="el-GR"/>
        </w:rPr>
        <w:t>65</w:t>
      </w:r>
      <w:r w:rsidR="00B36352" w:rsidRPr="00CC1F0C">
        <w:rPr>
          <w:rFonts w:ascii="Segoe UI" w:eastAsia="Times New Roman" w:hAnsi="Segoe UI" w:cs="Segoe UI"/>
          <w:kern w:val="24"/>
          <w:sz w:val="9"/>
          <w:szCs w:val="9"/>
          <w:lang w:val="el-GR" w:eastAsia="el-GR"/>
        </w:rPr>
        <w:t xml:space="preserve"> εκατ.), την πώληση του ξενοδοχείου “Grand Hotel” το Β’ τρίμηνο </w:t>
      </w:r>
      <w:r w:rsidR="00E2369F" w:rsidRPr="00CC1F0C">
        <w:rPr>
          <w:rFonts w:ascii="Segoe UI" w:eastAsia="Times New Roman" w:hAnsi="Segoe UI" w:cs="Segoe UI"/>
          <w:kern w:val="24"/>
          <w:sz w:val="9"/>
          <w:szCs w:val="9"/>
          <w:lang w:val="el-GR" w:eastAsia="el-GR"/>
        </w:rPr>
        <w:t xml:space="preserve">2019 </w:t>
      </w:r>
      <w:r w:rsidR="00B36352" w:rsidRPr="00CC1F0C">
        <w:rPr>
          <w:rFonts w:ascii="Segoe UI" w:eastAsia="Times New Roman" w:hAnsi="Segoe UI" w:cs="Segoe UI"/>
          <w:kern w:val="24"/>
          <w:sz w:val="9"/>
          <w:szCs w:val="9"/>
          <w:lang w:val="el-GR" w:eastAsia="el-GR"/>
        </w:rPr>
        <w:t>(€30 εκατ.), καθώς και την πώληση</w:t>
      </w:r>
      <w:r w:rsidR="00204A9F" w:rsidRPr="00CC1F0C">
        <w:rPr>
          <w:rFonts w:ascii="Segoe UI" w:eastAsia="Times New Roman" w:hAnsi="Segoe UI" w:cs="Segoe UI"/>
          <w:kern w:val="24"/>
          <w:sz w:val="9"/>
          <w:szCs w:val="9"/>
          <w:lang w:val="el-GR" w:eastAsia="el-GR"/>
        </w:rPr>
        <w:t xml:space="preserve"> κρατικών</w:t>
      </w:r>
      <w:r w:rsidR="00B36352" w:rsidRPr="00CC1F0C">
        <w:rPr>
          <w:rFonts w:ascii="Segoe UI" w:eastAsia="Times New Roman" w:hAnsi="Segoe UI" w:cs="Segoe UI"/>
          <w:kern w:val="24"/>
          <w:sz w:val="9"/>
          <w:szCs w:val="9"/>
          <w:lang w:val="el-GR" w:eastAsia="el-GR"/>
        </w:rPr>
        <w:t xml:space="preserve"> ομολόγων το Γ’ τρίμηνο </w:t>
      </w:r>
      <w:r w:rsidR="00E2369F" w:rsidRPr="00CC1F0C">
        <w:rPr>
          <w:rFonts w:ascii="Segoe UI" w:eastAsia="Times New Roman" w:hAnsi="Segoe UI" w:cs="Segoe UI"/>
          <w:kern w:val="24"/>
          <w:sz w:val="9"/>
          <w:szCs w:val="9"/>
          <w:lang w:val="el-GR" w:eastAsia="el-GR"/>
        </w:rPr>
        <w:t xml:space="preserve">2019 </w:t>
      </w:r>
      <w:r w:rsidR="00B36352" w:rsidRPr="00CC1F0C">
        <w:rPr>
          <w:rFonts w:ascii="Segoe UI" w:eastAsia="Times New Roman" w:hAnsi="Segoe UI" w:cs="Segoe UI"/>
          <w:kern w:val="24"/>
          <w:sz w:val="9"/>
          <w:szCs w:val="9"/>
          <w:lang w:val="el-GR" w:eastAsia="el-GR"/>
        </w:rPr>
        <w:t>(€118 εκατ.)</w:t>
      </w:r>
    </w:p>
    <w:p w:rsidR="00237E56" w:rsidRPr="000B6E0D" w:rsidRDefault="00237E56" w:rsidP="004C0E3B">
      <w:pPr>
        <w:spacing w:after="0" w:line="240" w:lineRule="auto"/>
        <w:jc w:val="both"/>
        <w:textAlignment w:val="baseline"/>
        <w:rPr>
          <w:rFonts w:ascii="Segoe UI" w:eastAsia="Times New Roman" w:hAnsi="Segoe UI" w:cs="Segoe UI"/>
          <w:color w:val="000000" w:themeColor="text1"/>
          <w:kern w:val="24"/>
          <w:sz w:val="9"/>
          <w:szCs w:val="9"/>
          <w:lang w:val="el-GR" w:eastAsia="el-GR"/>
        </w:rPr>
      </w:pPr>
      <w:r w:rsidRPr="00237E56">
        <w:rPr>
          <w:rFonts w:ascii="Segoe UI" w:eastAsia="Times New Roman" w:hAnsi="Segoe UI" w:cs="Segoe UI"/>
          <w:color w:val="000000" w:themeColor="text1"/>
          <w:kern w:val="24"/>
          <w:sz w:val="9"/>
          <w:szCs w:val="9"/>
          <w:vertAlign w:val="superscript"/>
          <w:lang w:val="el-GR" w:eastAsia="el-GR"/>
        </w:rPr>
        <w:t>2</w:t>
      </w:r>
      <w:r w:rsidRPr="00237E56">
        <w:rPr>
          <w:rFonts w:ascii="Segoe UI" w:eastAsia="Times New Roman" w:hAnsi="Segoe UI" w:cs="Segoe UI"/>
          <w:color w:val="000000" w:themeColor="text1"/>
          <w:kern w:val="24"/>
          <w:sz w:val="9"/>
          <w:szCs w:val="9"/>
          <w:lang w:val="el-GR" w:eastAsia="el-GR"/>
        </w:rPr>
        <w:t xml:space="preserve"> </w:t>
      </w:r>
      <w:r>
        <w:rPr>
          <w:rFonts w:ascii="Segoe UI" w:eastAsia="Times New Roman" w:hAnsi="Segoe UI" w:cs="Segoe UI"/>
          <w:color w:val="000000" w:themeColor="text1"/>
          <w:kern w:val="24"/>
          <w:sz w:val="9"/>
          <w:szCs w:val="9"/>
          <w:lang w:val="el-GR" w:eastAsia="el-GR"/>
        </w:rPr>
        <w:t xml:space="preserve">Τα λειτουργικά έξοδα το Γ’ τρίμηνο </w:t>
      </w:r>
      <w:r w:rsidR="006B417E" w:rsidRPr="006B417E">
        <w:rPr>
          <w:rFonts w:ascii="Segoe UI" w:eastAsia="Times New Roman" w:hAnsi="Segoe UI" w:cs="Segoe UI"/>
          <w:color w:val="000000" w:themeColor="text1"/>
          <w:kern w:val="24"/>
          <w:sz w:val="9"/>
          <w:szCs w:val="9"/>
          <w:lang w:val="el-GR" w:eastAsia="el-GR"/>
        </w:rPr>
        <w:t xml:space="preserve">2019 </w:t>
      </w:r>
      <w:r>
        <w:rPr>
          <w:rFonts w:ascii="Segoe UI" w:eastAsia="Times New Roman" w:hAnsi="Segoe UI" w:cs="Segoe UI"/>
          <w:color w:val="000000" w:themeColor="text1"/>
          <w:kern w:val="24"/>
          <w:sz w:val="9"/>
          <w:szCs w:val="9"/>
          <w:lang w:val="el-GR" w:eastAsia="el-GR"/>
        </w:rPr>
        <w:t>(+4% σε τριμηνιαία βάση)</w:t>
      </w:r>
      <w:r w:rsidR="000B6E0D" w:rsidRPr="000B6E0D">
        <w:rPr>
          <w:rFonts w:ascii="Segoe UI" w:eastAsia="Times New Roman" w:hAnsi="Segoe UI" w:cs="Segoe UI"/>
          <w:color w:val="000000" w:themeColor="text1"/>
          <w:kern w:val="24"/>
          <w:sz w:val="9"/>
          <w:szCs w:val="9"/>
          <w:lang w:val="el-GR" w:eastAsia="el-GR"/>
        </w:rPr>
        <w:t xml:space="preserve"> </w:t>
      </w:r>
      <w:r w:rsidR="000B6E0D">
        <w:rPr>
          <w:rFonts w:ascii="Segoe UI" w:eastAsia="Times New Roman" w:hAnsi="Segoe UI" w:cs="Segoe UI"/>
          <w:color w:val="000000" w:themeColor="text1"/>
          <w:kern w:val="24"/>
          <w:sz w:val="9"/>
          <w:szCs w:val="9"/>
          <w:lang w:val="el-GR" w:eastAsia="el-GR"/>
        </w:rPr>
        <w:t>ενσωματώνουν την πλήρη επίπτωση</w:t>
      </w:r>
      <w:r w:rsidR="00E20C81">
        <w:rPr>
          <w:rFonts w:ascii="Segoe UI" w:eastAsia="Times New Roman" w:hAnsi="Segoe UI" w:cs="Segoe UI"/>
          <w:color w:val="000000" w:themeColor="text1"/>
          <w:kern w:val="24"/>
          <w:sz w:val="9"/>
          <w:szCs w:val="9"/>
          <w:lang w:val="el-GR" w:eastAsia="el-GR"/>
        </w:rPr>
        <w:t xml:space="preserve"> στις αποσβέσεις </w:t>
      </w:r>
      <w:r w:rsidR="000B6E0D">
        <w:rPr>
          <w:rFonts w:ascii="Segoe UI" w:eastAsia="Times New Roman" w:hAnsi="Segoe UI" w:cs="Segoe UI"/>
          <w:color w:val="000000" w:themeColor="text1"/>
          <w:kern w:val="24"/>
          <w:sz w:val="9"/>
          <w:szCs w:val="9"/>
          <w:lang w:val="el-GR" w:eastAsia="el-GR"/>
        </w:rPr>
        <w:t xml:space="preserve">από τη μετάβαση στο </w:t>
      </w:r>
      <w:r w:rsidR="00CC1A37">
        <w:rPr>
          <w:rFonts w:ascii="Segoe UI" w:eastAsia="Times New Roman" w:hAnsi="Segoe UI" w:cs="Segoe UI"/>
          <w:color w:val="000000" w:themeColor="text1"/>
          <w:kern w:val="24"/>
          <w:sz w:val="9"/>
          <w:szCs w:val="9"/>
          <w:lang w:val="el-GR" w:eastAsia="el-GR"/>
        </w:rPr>
        <w:t>ΔΠΧΑ 16</w:t>
      </w:r>
      <w:r w:rsidR="006F12E1">
        <w:rPr>
          <w:rFonts w:ascii="Segoe UI" w:eastAsia="Times New Roman" w:hAnsi="Segoe UI" w:cs="Segoe UI"/>
          <w:color w:val="000000" w:themeColor="text1"/>
          <w:kern w:val="24"/>
          <w:sz w:val="9"/>
          <w:szCs w:val="9"/>
          <w:lang w:val="el-GR" w:eastAsia="el-GR"/>
        </w:rPr>
        <w:t xml:space="preserve">, </w:t>
      </w:r>
      <w:r w:rsidR="00CC1A37">
        <w:rPr>
          <w:rFonts w:ascii="Segoe UI" w:eastAsia="Times New Roman" w:hAnsi="Segoe UI" w:cs="Segoe UI"/>
          <w:color w:val="000000" w:themeColor="text1"/>
          <w:kern w:val="24"/>
          <w:sz w:val="9"/>
          <w:szCs w:val="9"/>
          <w:lang w:val="el-GR" w:eastAsia="el-GR"/>
        </w:rPr>
        <w:t>ως αποτέλεσμα της π</w:t>
      </w:r>
      <w:r w:rsidR="00E20C81" w:rsidRPr="003D7EE7">
        <w:rPr>
          <w:rFonts w:ascii="Segoe UI" w:eastAsia="Times New Roman" w:hAnsi="Segoe UI" w:cs="Segoe UI"/>
          <w:color w:val="000000" w:themeColor="text1"/>
          <w:kern w:val="24"/>
          <w:sz w:val="9"/>
          <w:szCs w:val="9"/>
          <w:lang w:val="el-GR" w:eastAsia="el-GR"/>
        </w:rPr>
        <w:t>ώληση</w:t>
      </w:r>
      <w:r w:rsidR="006F12E1">
        <w:rPr>
          <w:rFonts w:ascii="Segoe UI" w:eastAsia="Times New Roman" w:hAnsi="Segoe UI" w:cs="Segoe UI"/>
          <w:color w:val="000000" w:themeColor="text1"/>
          <w:kern w:val="24"/>
          <w:sz w:val="9"/>
          <w:szCs w:val="9"/>
          <w:lang w:val="el-GR" w:eastAsia="el-GR"/>
        </w:rPr>
        <w:t>ς</w:t>
      </w:r>
      <w:r w:rsidR="00E20C81" w:rsidRPr="003D7EE7">
        <w:rPr>
          <w:rFonts w:ascii="Segoe UI" w:eastAsia="Times New Roman" w:hAnsi="Segoe UI" w:cs="Segoe UI"/>
          <w:color w:val="000000" w:themeColor="text1"/>
          <w:kern w:val="24"/>
          <w:sz w:val="9"/>
          <w:szCs w:val="9"/>
          <w:lang w:val="el-GR" w:eastAsia="el-GR"/>
        </w:rPr>
        <w:t xml:space="preserve"> της συμμετοχής μας στην ΠΑΝΓΑΙΑ</w:t>
      </w:r>
      <w:r w:rsidR="00E20C81">
        <w:rPr>
          <w:rFonts w:ascii="Segoe UI" w:eastAsia="Times New Roman" w:hAnsi="Segoe UI" w:cs="Segoe UI"/>
          <w:color w:val="000000" w:themeColor="text1"/>
          <w:kern w:val="24"/>
          <w:sz w:val="9"/>
          <w:szCs w:val="9"/>
          <w:lang w:val="el-GR" w:eastAsia="el-GR"/>
        </w:rPr>
        <w:t xml:space="preserve"> </w:t>
      </w:r>
    </w:p>
    <w:p w:rsidR="00B36352" w:rsidRDefault="00237E56" w:rsidP="004C0E3B">
      <w:pPr>
        <w:spacing w:after="0" w:line="240" w:lineRule="auto"/>
        <w:jc w:val="both"/>
        <w:textAlignment w:val="baseline"/>
        <w:rPr>
          <w:rFonts w:ascii="Segoe UI" w:eastAsia="Times New Roman" w:hAnsi="Segoe UI" w:cs="Segoe UI"/>
          <w:color w:val="000000" w:themeColor="text1"/>
          <w:kern w:val="24"/>
          <w:sz w:val="9"/>
          <w:szCs w:val="9"/>
          <w:lang w:val="el-GR" w:eastAsia="el-GR"/>
        </w:rPr>
      </w:pPr>
      <w:r>
        <w:rPr>
          <w:rFonts w:ascii="Segoe UI" w:eastAsia="Times New Roman" w:hAnsi="Segoe UI" w:cs="Segoe UI"/>
          <w:color w:val="000000" w:themeColor="text1"/>
          <w:kern w:val="24"/>
          <w:sz w:val="9"/>
          <w:szCs w:val="9"/>
          <w:vertAlign w:val="superscript"/>
          <w:lang w:val="el-GR" w:eastAsia="el-GR"/>
        </w:rPr>
        <w:t>3</w:t>
      </w:r>
      <w:r w:rsidR="00B36352">
        <w:rPr>
          <w:rFonts w:ascii="Segoe UI" w:eastAsia="Times New Roman" w:hAnsi="Segoe UI" w:cs="Segoe UI"/>
          <w:color w:val="000000" w:themeColor="text1"/>
          <w:kern w:val="24"/>
          <w:sz w:val="9"/>
          <w:szCs w:val="9"/>
          <w:lang w:val="el-GR" w:eastAsia="el-GR"/>
        </w:rPr>
        <w:t xml:space="preserve"> Περιλαμβάνουν ανακτήσεις δανείων ύψους €42 εκατ. σχετιζόμενες με την πώληση ΜΕΑ</w:t>
      </w:r>
      <w:r w:rsidR="00C63562">
        <w:rPr>
          <w:rFonts w:ascii="Segoe UI" w:eastAsia="Times New Roman" w:hAnsi="Segoe UI" w:cs="Segoe UI"/>
          <w:color w:val="000000" w:themeColor="text1"/>
          <w:kern w:val="24"/>
          <w:sz w:val="9"/>
          <w:szCs w:val="9"/>
          <w:lang w:val="el-GR" w:eastAsia="el-GR"/>
        </w:rPr>
        <w:t xml:space="preserve"> το Β’ τρίμηνο 2018</w:t>
      </w:r>
    </w:p>
    <w:p w:rsidR="00396E58" w:rsidRDefault="00237E56" w:rsidP="004C0E3B">
      <w:pPr>
        <w:spacing w:after="0" w:line="240" w:lineRule="auto"/>
        <w:jc w:val="both"/>
        <w:textAlignment w:val="baseline"/>
        <w:rPr>
          <w:rFonts w:ascii="Segoe UI" w:eastAsia="Times New Roman" w:hAnsi="Segoe UI" w:cs="Segoe UI"/>
          <w:kern w:val="24"/>
          <w:sz w:val="9"/>
          <w:szCs w:val="9"/>
          <w:lang w:val="el-GR" w:eastAsia="el-GR"/>
        </w:rPr>
      </w:pPr>
      <w:r>
        <w:rPr>
          <w:rFonts w:ascii="Segoe UI" w:eastAsia="Times New Roman" w:hAnsi="Segoe UI" w:cs="Segoe UI"/>
          <w:color w:val="000000" w:themeColor="text1"/>
          <w:kern w:val="24"/>
          <w:sz w:val="9"/>
          <w:szCs w:val="9"/>
          <w:vertAlign w:val="superscript"/>
          <w:lang w:val="el-GR" w:eastAsia="el-GR"/>
        </w:rPr>
        <w:t>4</w:t>
      </w:r>
      <w:r w:rsidR="00DB0F12">
        <w:rPr>
          <w:rFonts w:ascii="Segoe UI" w:eastAsia="Times New Roman" w:hAnsi="Segoe UI" w:cs="Segoe UI"/>
          <w:color w:val="000000" w:themeColor="text1"/>
          <w:kern w:val="24"/>
          <w:sz w:val="9"/>
          <w:szCs w:val="9"/>
          <w:lang w:val="el-GR" w:eastAsia="el-GR"/>
        </w:rPr>
        <w:t xml:space="preserve"> Περιλαμβάνουν </w:t>
      </w:r>
      <w:r w:rsidR="00FF523C">
        <w:rPr>
          <w:rFonts w:ascii="Segoe UI" w:eastAsia="Times New Roman" w:hAnsi="Segoe UI" w:cs="Segoe UI"/>
          <w:color w:val="000000" w:themeColor="text1"/>
          <w:kern w:val="24"/>
          <w:sz w:val="9"/>
          <w:szCs w:val="9"/>
          <w:lang w:val="el-GR" w:eastAsia="el-GR"/>
        </w:rPr>
        <w:t>το κέρδος περιόδου της Εθνικής Ασφαλιστικής (€</w:t>
      </w:r>
      <w:r w:rsidR="00DB0F12">
        <w:rPr>
          <w:rFonts w:ascii="Segoe UI" w:eastAsia="Times New Roman" w:hAnsi="Segoe UI" w:cs="Segoe UI"/>
          <w:color w:val="000000" w:themeColor="text1"/>
          <w:kern w:val="24"/>
          <w:sz w:val="9"/>
          <w:szCs w:val="9"/>
          <w:lang w:val="el-GR" w:eastAsia="el-GR"/>
        </w:rPr>
        <w:t>46</w:t>
      </w:r>
      <w:r w:rsidR="00FF523C">
        <w:rPr>
          <w:rFonts w:ascii="Segoe UI" w:eastAsia="Times New Roman" w:hAnsi="Segoe UI" w:cs="Segoe UI"/>
          <w:color w:val="000000" w:themeColor="text1"/>
          <w:kern w:val="24"/>
          <w:sz w:val="9"/>
          <w:szCs w:val="9"/>
          <w:lang w:val="el-GR" w:eastAsia="el-GR"/>
        </w:rPr>
        <w:t xml:space="preserve"> εκατ.), </w:t>
      </w:r>
      <w:r w:rsidR="00FF523C" w:rsidRPr="004C0E3B">
        <w:rPr>
          <w:rFonts w:ascii="Segoe UI" w:eastAsia="Times New Roman" w:hAnsi="Segoe UI" w:cs="Segoe UI"/>
          <w:kern w:val="24"/>
          <w:sz w:val="9"/>
          <w:szCs w:val="9"/>
          <w:lang w:val="el-GR" w:eastAsia="el-GR"/>
        </w:rPr>
        <w:t>τον αντιλογισμό μέρους της απομείωσης της αξίας για τη θυγατρική της ΕΤΕ στη Ρουμανία (€</w:t>
      </w:r>
      <w:r w:rsidR="00FF523C">
        <w:rPr>
          <w:rFonts w:ascii="Segoe UI" w:eastAsia="Times New Roman" w:hAnsi="Segoe UI" w:cs="Segoe UI"/>
          <w:kern w:val="24"/>
          <w:sz w:val="9"/>
          <w:szCs w:val="9"/>
          <w:lang w:val="el-GR" w:eastAsia="el-GR"/>
        </w:rPr>
        <w:t xml:space="preserve">25 </w:t>
      </w:r>
      <w:r w:rsidR="00FF523C" w:rsidRPr="004C0E3B">
        <w:rPr>
          <w:rFonts w:ascii="Segoe UI" w:eastAsia="Times New Roman" w:hAnsi="Segoe UI" w:cs="Segoe UI"/>
          <w:kern w:val="24"/>
          <w:sz w:val="9"/>
          <w:szCs w:val="9"/>
          <w:lang w:val="el-GR" w:eastAsia="el-GR"/>
        </w:rPr>
        <w:t>εκατ.)</w:t>
      </w:r>
      <w:r w:rsidR="00FF523C">
        <w:rPr>
          <w:rFonts w:ascii="Segoe UI" w:eastAsia="Times New Roman" w:hAnsi="Segoe UI" w:cs="Segoe UI"/>
          <w:kern w:val="24"/>
          <w:sz w:val="9"/>
          <w:szCs w:val="9"/>
          <w:lang w:val="el-GR" w:eastAsia="el-GR"/>
        </w:rPr>
        <w:t>,  το κεφαλαιακό κέρδος από την πώληση τη</w:t>
      </w:r>
      <w:r w:rsidR="00026C41">
        <w:rPr>
          <w:rFonts w:ascii="Segoe UI" w:eastAsia="Times New Roman" w:hAnsi="Segoe UI" w:cs="Segoe UI"/>
          <w:kern w:val="24"/>
          <w:sz w:val="9"/>
          <w:szCs w:val="9"/>
          <w:lang w:val="el-GR" w:eastAsia="el-GR"/>
        </w:rPr>
        <w:t>ς συμμετοχής της ΕΤΕ στην ΠΑΝΓΑΙ</w:t>
      </w:r>
      <w:r w:rsidR="00FF523C">
        <w:rPr>
          <w:rFonts w:ascii="Segoe UI" w:eastAsia="Times New Roman" w:hAnsi="Segoe UI" w:cs="Segoe UI"/>
          <w:kern w:val="24"/>
          <w:sz w:val="9"/>
          <w:szCs w:val="9"/>
          <w:lang w:val="el-GR" w:eastAsia="el-GR"/>
        </w:rPr>
        <w:t>Α (€60 εκατ.)</w:t>
      </w:r>
      <w:r w:rsidR="0029549F">
        <w:rPr>
          <w:rFonts w:ascii="Segoe UI" w:eastAsia="Times New Roman" w:hAnsi="Segoe UI" w:cs="Segoe UI"/>
          <w:kern w:val="24"/>
          <w:sz w:val="9"/>
          <w:szCs w:val="9"/>
          <w:lang w:val="el-GR" w:eastAsia="el-GR"/>
        </w:rPr>
        <w:t xml:space="preserve"> και την α</w:t>
      </w:r>
      <w:r w:rsidR="0029549F">
        <w:rPr>
          <w:rFonts w:ascii="Segoe UI" w:eastAsia="Times New Roman" w:hAnsi="Segoe UI" w:cs="Segoe UI"/>
          <w:color w:val="000000" w:themeColor="text1"/>
          <w:kern w:val="24"/>
          <w:sz w:val="9"/>
          <w:szCs w:val="9"/>
          <w:lang w:val="el-GR" w:eastAsia="el-GR"/>
        </w:rPr>
        <w:t xml:space="preserve">πομείωση της αξίας του καταστήματος της </w:t>
      </w:r>
      <w:r w:rsidR="00396E58" w:rsidRPr="004C0E3B">
        <w:rPr>
          <w:rFonts w:ascii="Segoe UI" w:eastAsia="Times New Roman" w:hAnsi="Segoe UI" w:cs="Segoe UI"/>
          <w:color w:val="000000" w:themeColor="text1"/>
          <w:kern w:val="24"/>
          <w:sz w:val="9"/>
          <w:szCs w:val="9"/>
          <w:lang w:val="el-GR" w:eastAsia="el-GR"/>
        </w:rPr>
        <w:t>ΕΤΕ σ</w:t>
      </w:r>
      <w:r w:rsidR="0029549F">
        <w:rPr>
          <w:rFonts w:ascii="Segoe UI" w:eastAsia="Times New Roman" w:hAnsi="Segoe UI" w:cs="Segoe UI"/>
          <w:color w:val="000000" w:themeColor="text1"/>
          <w:kern w:val="24"/>
          <w:sz w:val="9"/>
          <w:szCs w:val="9"/>
          <w:lang w:val="el-GR" w:eastAsia="el-GR"/>
        </w:rPr>
        <w:t>την</w:t>
      </w:r>
      <w:r w:rsidR="00396E58" w:rsidRPr="004C0E3B">
        <w:rPr>
          <w:rFonts w:ascii="Segoe UI" w:eastAsia="Times New Roman" w:hAnsi="Segoe UI" w:cs="Segoe UI"/>
          <w:color w:val="000000" w:themeColor="text1"/>
          <w:kern w:val="24"/>
          <w:sz w:val="9"/>
          <w:szCs w:val="9"/>
          <w:lang w:val="el-GR" w:eastAsia="el-GR"/>
        </w:rPr>
        <w:t xml:space="preserve"> Αίγυπτο (€</w:t>
      </w:r>
      <w:r w:rsidR="00FF523C">
        <w:rPr>
          <w:rFonts w:ascii="Segoe UI" w:eastAsia="Times New Roman" w:hAnsi="Segoe UI" w:cs="Segoe UI"/>
          <w:color w:val="000000" w:themeColor="text1"/>
          <w:kern w:val="24"/>
          <w:sz w:val="9"/>
          <w:szCs w:val="9"/>
          <w:lang w:val="el-GR" w:eastAsia="el-GR"/>
        </w:rPr>
        <w:t>1</w:t>
      </w:r>
      <w:r w:rsidR="00DB0F12">
        <w:rPr>
          <w:rFonts w:ascii="Segoe UI" w:eastAsia="Times New Roman" w:hAnsi="Segoe UI" w:cs="Segoe UI"/>
          <w:color w:val="000000" w:themeColor="text1"/>
          <w:kern w:val="24"/>
          <w:sz w:val="9"/>
          <w:szCs w:val="9"/>
          <w:lang w:val="el-GR" w:eastAsia="el-GR"/>
        </w:rPr>
        <w:t>3</w:t>
      </w:r>
      <w:r w:rsidR="00396E58" w:rsidRPr="004C0E3B">
        <w:rPr>
          <w:rFonts w:ascii="Segoe UI" w:eastAsia="Times New Roman" w:hAnsi="Segoe UI" w:cs="Segoe UI"/>
          <w:color w:val="000000" w:themeColor="text1"/>
          <w:kern w:val="24"/>
          <w:sz w:val="9"/>
          <w:szCs w:val="9"/>
          <w:lang w:val="el-GR" w:eastAsia="el-GR"/>
        </w:rPr>
        <w:t xml:space="preserve"> </w:t>
      </w:r>
      <w:r w:rsidR="00396E58" w:rsidRPr="004C0E3B">
        <w:rPr>
          <w:rFonts w:ascii="Segoe UI" w:eastAsia="Times New Roman" w:hAnsi="Segoe UI" w:cs="Segoe UI"/>
          <w:kern w:val="24"/>
          <w:sz w:val="9"/>
          <w:szCs w:val="9"/>
          <w:lang w:val="el-GR" w:eastAsia="el-GR"/>
        </w:rPr>
        <w:t>εκατ.)</w:t>
      </w:r>
    </w:p>
    <w:p w:rsidR="00396E58" w:rsidRPr="00DB0F12" w:rsidRDefault="00237E56" w:rsidP="00DB0F12">
      <w:pPr>
        <w:spacing w:after="0" w:line="240" w:lineRule="auto"/>
        <w:jc w:val="both"/>
        <w:textAlignment w:val="baseline"/>
        <w:rPr>
          <w:noProof/>
          <w:lang w:val="el-GR" w:eastAsia="el-GR"/>
        </w:rPr>
      </w:pPr>
      <w:r>
        <w:rPr>
          <w:rFonts w:ascii="Segoe UI" w:eastAsia="Times New Roman" w:hAnsi="Segoe UI" w:cs="Segoe UI"/>
          <w:color w:val="000000" w:themeColor="text1"/>
          <w:kern w:val="24"/>
          <w:sz w:val="9"/>
          <w:szCs w:val="9"/>
          <w:vertAlign w:val="superscript"/>
          <w:lang w:val="el-GR" w:eastAsia="el-GR"/>
        </w:rPr>
        <w:t>5</w:t>
      </w:r>
      <w:r w:rsidR="00DB0F12" w:rsidRPr="00DB0F12">
        <w:rPr>
          <w:rFonts w:ascii="Segoe UI" w:eastAsia="Times New Roman" w:hAnsi="Segoe UI" w:cs="Segoe UI"/>
          <w:color w:val="000000" w:themeColor="text1"/>
          <w:kern w:val="24"/>
          <w:sz w:val="9"/>
          <w:szCs w:val="9"/>
          <w:lang w:val="el-GR" w:eastAsia="el-GR"/>
        </w:rPr>
        <w:t xml:space="preserve"> Κ</w:t>
      </w:r>
      <w:r w:rsidR="00DB0F12">
        <w:rPr>
          <w:rFonts w:ascii="Segoe UI" w:eastAsia="Times New Roman" w:hAnsi="Segoe UI" w:cs="Segoe UI"/>
          <w:color w:val="000000" w:themeColor="text1"/>
          <w:kern w:val="24"/>
          <w:sz w:val="9"/>
          <w:szCs w:val="9"/>
          <w:lang w:val="el-GR" w:eastAsia="el-GR"/>
        </w:rPr>
        <w:t>όστος</w:t>
      </w:r>
      <w:r w:rsidR="00DB0F12" w:rsidRPr="00DB0F12">
        <w:rPr>
          <w:rFonts w:ascii="Segoe UI" w:eastAsia="Times New Roman" w:hAnsi="Segoe UI" w:cs="Segoe UI"/>
          <w:color w:val="000000" w:themeColor="text1"/>
          <w:kern w:val="24"/>
          <w:sz w:val="9"/>
          <w:szCs w:val="9"/>
          <w:lang w:val="el-GR" w:eastAsia="el-GR"/>
        </w:rPr>
        <w:t xml:space="preserve"> </w:t>
      </w:r>
      <w:r w:rsidR="00DB0F12">
        <w:rPr>
          <w:rFonts w:ascii="Segoe UI" w:eastAsia="Times New Roman" w:hAnsi="Segoe UI" w:cs="Segoe UI"/>
          <w:color w:val="000000" w:themeColor="text1"/>
          <w:kern w:val="24"/>
          <w:sz w:val="9"/>
          <w:szCs w:val="9"/>
          <w:lang w:val="el-GR" w:eastAsia="el-GR"/>
        </w:rPr>
        <w:t>Εθελουσίας</w:t>
      </w:r>
      <w:r w:rsidR="00DB0F12" w:rsidRPr="00DB0F12">
        <w:rPr>
          <w:rFonts w:ascii="Segoe UI" w:eastAsia="Times New Roman" w:hAnsi="Segoe UI" w:cs="Segoe UI"/>
          <w:color w:val="000000" w:themeColor="text1"/>
          <w:kern w:val="24"/>
          <w:sz w:val="9"/>
          <w:szCs w:val="9"/>
          <w:lang w:val="el-GR" w:eastAsia="el-GR"/>
        </w:rPr>
        <w:t xml:space="preserve"> Προσωπικού ύψους €</w:t>
      </w:r>
      <w:r w:rsidR="00DB0F12">
        <w:rPr>
          <w:rFonts w:ascii="Segoe UI" w:eastAsia="Times New Roman" w:hAnsi="Segoe UI" w:cs="Segoe UI"/>
          <w:color w:val="000000" w:themeColor="text1"/>
          <w:kern w:val="24"/>
          <w:sz w:val="9"/>
          <w:szCs w:val="9"/>
          <w:lang w:val="el-GR" w:eastAsia="el-GR"/>
        </w:rPr>
        <w:t>94</w:t>
      </w:r>
      <w:r w:rsidR="00DB0F12" w:rsidRPr="00DB0F12">
        <w:rPr>
          <w:rFonts w:ascii="Segoe UI" w:eastAsia="Times New Roman" w:hAnsi="Segoe UI" w:cs="Segoe UI"/>
          <w:color w:val="000000" w:themeColor="text1"/>
          <w:kern w:val="24"/>
          <w:sz w:val="9"/>
          <w:szCs w:val="9"/>
          <w:lang w:val="el-GR" w:eastAsia="el-GR"/>
        </w:rPr>
        <w:t xml:space="preserve"> εκατ. και λοιπά κόστη αναδιάρθρωσης €</w:t>
      </w:r>
      <w:r w:rsidR="00DB0F12">
        <w:rPr>
          <w:rFonts w:ascii="Segoe UI" w:eastAsia="Times New Roman" w:hAnsi="Segoe UI" w:cs="Segoe UI"/>
          <w:color w:val="000000" w:themeColor="text1"/>
          <w:kern w:val="24"/>
          <w:sz w:val="9"/>
          <w:szCs w:val="9"/>
          <w:lang w:val="el-GR" w:eastAsia="el-GR"/>
        </w:rPr>
        <w:t>7</w:t>
      </w:r>
      <w:r w:rsidR="00DB0F12" w:rsidRPr="00DB0F12">
        <w:rPr>
          <w:rFonts w:ascii="Segoe UI" w:eastAsia="Times New Roman" w:hAnsi="Segoe UI" w:cs="Segoe UI"/>
          <w:color w:val="000000" w:themeColor="text1"/>
          <w:kern w:val="24"/>
          <w:sz w:val="9"/>
          <w:szCs w:val="9"/>
          <w:lang w:val="el-GR" w:eastAsia="el-GR"/>
        </w:rPr>
        <w:t xml:space="preserve"> εκατ</w:t>
      </w:r>
      <w:r w:rsidR="00C63562">
        <w:rPr>
          <w:rFonts w:ascii="Segoe UI" w:eastAsia="Times New Roman" w:hAnsi="Segoe UI" w:cs="Segoe UI"/>
          <w:color w:val="000000" w:themeColor="text1"/>
          <w:kern w:val="24"/>
          <w:sz w:val="9"/>
          <w:szCs w:val="9"/>
          <w:lang w:val="el-GR" w:eastAsia="el-GR"/>
        </w:rPr>
        <w:t>.</w:t>
      </w:r>
      <w:r w:rsidR="00DB0F12">
        <w:rPr>
          <w:rFonts w:ascii="Segoe UI" w:eastAsia="Times New Roman" w:hAnsi="Segoe UI" w:cs="Segoe UI"/>
          <w:color w:val="000000" w:themeColor="text1"/>
          <w:kern w:val="24"/>
          <w:sz w:val="9"/>
          <w:szCs w:val="9"/>
          <w:lang w:val="el-GR" w:eastAsia="el-GR"/>
        </w:rPr>
        <w:t xml:space="preserve"> το Α’ τρίμηνο</w:t>
      </w:r>
      <w:r w:rsidR="00C63562">
        <w:rPr>
          <w:rFonts w:ascii="Segoe UI" w:eastAsia="Times New Roman" w:hAnsi="Segoe UI" w:cs="Segoe UI"/>
          <w:color w:val="000000" w:themeColor="text1"/>
          <w:kern w:val="24"/>
          <w:sz w:val="9"/>
          <w:szCs w:val="9"/>
          <w:lang w:val="el-GR" w:eastAsia="el-GR"/>
        </w:rPr>
        <w:t xml:space="preserve"> 2019</w:t>
      </w:r>
      <w:r w:rsidR="00DB0F12">
        <w:rPr>
          <w:rFonts w:ascii="Segoe UI" w:eastAsia="Times New Roman" w:hAnsi="Segoe UI" w:cs="Segoe UI"/>
          <w:color w:val="000000" w:themeColor="text1"/>
          <w:kern w:val="24"/>
          <w:sz w:val="9"/>
          <w:szCs w:val="9"/>
          <w:lang w:val="el-GR" w:eastAsia="el-GR"/>
        </w:rPr>
        <w:t xml:space="preserve">, €4 εκατ. το Β’ τρίμηνο </w:t>
      </w:r>
      <w:r w:rsidR="00C63562">
        <w:rPr>
          <w:rFonts w:ascii="Segoe UI" w:eastAsia="Times New Roman" w:hAnsi="Segoe UI" w:cs="Segoe UI"/>
          <w:color w:val="000000" w:themeColor="text1"/>
          <w:kern w:val="24"/>
          <w:sz w:val="9"/>
          <w:szCs w:val="9"/>
          <w:lang w:val="el-GR" w:eastAsia="el-GR"/>
        </w:rPr>
        <w:t xml:space="preserve">2019 </w:t>
      </w:r>
      <w:r w:rsidR="00DB0F12">
        <w:rPr>
          <w:rFonts w:ascii="Segoe UI" w:eastAsia="Times New Roman" w:hAnsi="Segoe UI" w:cs="Segoe UI"/>
          <w:color w:val="000000" w:themeColor="text1"/>
          <w:kern w:val="24"/>
          <w:sz w:val="9"/>
          <w:szCs w:val="9"/>
          <w:lang w:val="el-GR" w:eastAsia="el-GR"/>
        </w:rPr>
        <w:t xml:space="preserve">και €5 εκατ. το Γ’ τρίμηνο </w:t>
      </w:r>
      <w:r w:rsidR="00C63562">
        <w:rPr>
          <w:rFonts w:ascii="Segoe UI" w:eastAsia="Times New Roman" w:hAnsi="Segoe UI" w:cs="Segoe UI"/>
          <w:color w:val="000000" w:themeColor="text1"/>
          <w:kern w:val="24"/>
          <w:sz w:val="9"/>
          <w:szCs w:val="9"/>
          <w:lang w:val="el-GR" w:eastAsia="el-GR"/>
        </w:rPr>
        <w:t>2019</w:t>
      </w:r>
    </w:p>
    <w:p w:rsidR="00604AD2" w:rsidRPr="00DB0F12" w:rsidRDefault="00486D0B" w:rsidP="00396E58">
      <w:pPr>
        <w:spacing w:after="0" w:line="240" w:lineRule="auto"/>
        <w:textAlignment w:val="baseline"/>
        <w:rPr>
          <w:rFonts w:ascii="Segoe UI" w:eastAsia="Calibri" w:hAnsi="Segoe UI" w:cs="Segoe UI"/>
          <w:sz w:val="11"/>
          <w:szCs w:val="11"/>
          <w:lang w:val="el-GR"/>
        </w:rPr>
      </w:pPr>
      <w:r w:rsidRPr="00486D0B">
        <w:rPr>
          <w:noProof/>
          <w:lang w:val="el-GR" w:eastAsia="el-GR"/>
        </w:rPr>
        <w:pict>
          <v:rect id="_x0000_s1029" style="position:absolute;margin-left:-3.25pt;margin-top:2.95pt;width:225.45pt;height:20.25pt;z-index:251612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" filled="f" stroked="f">
            <v:shadow on="t" type="perspective" color="black" opacity="26214f" origin=",.5" offset="0,1pt" matrix="64881f,,,64881f"/>
            <v:path arrowok="t"/>
            <o:lock v:ext="edit" grouping="t"/>
            <v:textbox inset="1.2699mm,1.2699mm,1.2699mm,1.2699mm">
              <w:txbxContent>
                <w:p w:rsidR="005726A5" w:rsidRPr="00D46FEC" w:rsidRDefault="005726A5" w:rsidP="00E60C74">
                  <w:pPr>
                    <w:pStyle w:val="Web"/>
                    <w:kinsoku w:val="0"/>
                    <w:overflowPunct w:val="0"/>
                    <w:spacing w:before="40" w:beforeAutospacing="0" w:after="0" w:afterAutospacing="0"/>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Κατάσταση Χρηματοοικονομικής Θέσης</w:t>
                  </w:r>
                  <w:r w:rsidRPr="00CF28E4">
                    <w:rPr>
                      <w:rFonts w:ascii="Segoe UI" w:eastAsia="Segoe UI" w:hAnsi="Segoe UI" w:cs="Segoe UI"/>
                      <w:b/>
                      <w:color w:val="008080"/>
                      <w:kern w:val="24"/>
                      <w:sz w:val="18"/>
                      <w:vertAlign w:val="superscript"/>
                    </w:rPr>
                    <w:t>1</w:t>
                  </w:r>
                  <w:r>
                    <w:rPr>
                      <w:rFonts w:ascii="Segoe UI" w:eastAsia="Segoe UI" w:hAnsi="Segoe UI" w:cs="Segoe UI"/>
                      <w:b/>
                      <w:color w:val="008080"/>
                      <w:kern w:val="24"/>
                      <w:sz w:val="18"/>
                    </w:rPr>
                    <w:t xml:space="preserve"> </w:t>
                  </w:r>
                  <w:r w:rsidRPr="00CF28E4">
                    <w:rPr>
                      <w:rFonts w:ascii="Segoe UI" w:eastAsia="Segoe UI" w:hAnsi="Segoe UI" w:cs="Segoe UI"/>
                      <w:b/>
                      <w:color w:val="008080"/>
                      <w:kern w:val="24"/>
                      <w:sz w:val="18"/>
                    </w:rPr>
                    <w:t>|</w:t>
                  </w:r>
                  <w:r>
                    <w:rPr>
                      <w:rFonts w:ascii="Segoe UI" w:eastAsia="Segoe UI" w:hAnsi="Segoe UI" w:cs="Segoe UI"/>
                      <w:b/>
                      <w:color w:val="008080"/>
                      <w:kern w:val="24"/>
                      <w:sz w:val="18"/>
                    </w:rPr>
                    <w:t xml:space="preserve"> Όμιλος</w:t>
                  </w:r>
                  <w:r w:rsidRPr="00D46FEC">
                    <w:rPr>
                      <w:rFonts w:ascii="Segoe UI" w:eastAsia="Segoe UI" w:hAnsi="Segoe UI" w:cs="Segoe UI"/>
                      <w:b/>
                      <w:color w:val="008080"/>
                      <w:kern w:val="24"/>
                      <w:sz w:val="18"/>
                    </w:rPr>
                    <w:t xml:space="preserve"> </w:t>
                  </w:r>
                  <w:r w:rsidRPr="00976B1E">
                    <w:rPr>
                      <w:rFonts w:ascii="Segoe UI" w:eastAsia="Segoe UI" w:hAnsi="Segoe UI" w:cs="Segoe UI"/>
                      <w:b/>
                      <w:color w:val="008080"/>
                      <w:kern w:val="24"/>
                      <w:sz w:val="18"/>
                      <w:lang w:val="en-US"/>
                    </w:rPr>
                    <w:t>Group</w:t>
                  </w:r>
                </w:p>
                <w:p w:rsidR="005726A5" w:rsidRPr="00D46FEC" w:rsidRDefault="005726A5" w:rsidP="00E60C74">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D46FEC" w:rsidRDefault="005726A5" w:rsidP="00E60C74">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D46FEC" w:rsidRDefault="005726A5" w:rsidP="00E60C74">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FE1137" w:rsidRDefault="005726A5" w:rsidP="00E60C74">
                  <w:pPr>
                    <w:pStyle w:val="Web"/>
                    <w:kinsoku w:val="0"/>
                    <w:overflowPunct w:val="0"/>
                    <w:spacing w:before="40" w:beforeAutospacing="0" w:after="0" w:afterAutospacing="0"/>
                    <w:ind w:left="547" w:hanging="547"/>
                    <w:textAlignment w:val="baseline"/>
                    <w:rPr>
                      <w:b/>
                      <w:color w:val="008080"/>
                      <w:sz w:val="16"/>
                    </w:rPr>
                  </w:pPr>
                </w:p>
              </w:txbxContent>
            </v:textbox>
          </v:rect>
        </w:pict>
      </w:r>
    </w:p>
    <w:p w:rsidR="00604AD2" w:rsidRPr="00DB0F12" w:rsidRDefault="00604AD2" w:rsidP="00D374DD">
      <w:pPr>
        <w:spacing w:after="0" w:line="240" w:lineRule="auto"/>
        <w:textAlignment w:val="baseline"/>
        <w:rPr>
          <w:rFonts w:ascii="Segoe UI" w:eastAsia="Calibri" w:hAnsi="Segoe UI" w:cs="Segoe UI"/>
          <w:sz w:val="11"/>
          <w:szCs w:val="11"/>
          <w:lang w:val="el-GR"/>
        </w:rPr>
      </w:pPr>
    </w:p>
    <w:p w:rsidR="00604AD2" w:rsidRPr="00DB0F12" w:rsidRDefault="00486D0B" w:rsidP="00D374DD">
      <w:pPr>
        <w:spacing w:after="0" w:line="240" w:lineRule="auto"/>
        <w:textAlignment w:val="baseline"/>
        <w:rPr>
          <w:rFonts w:ascii="Segoe UI" w:eastAsia="Calibri" w:hAnsi="Segoe UI" w:cs="Segoe UI"/>
          <w:sz w:val="11"/>
          <w:szCs w:val="11"/>
          <w:lang w:val="el-GR"/>
        </w:rPr>
      </w:pPr>
      <w:r w:rsidRPr="00486D0B">
        <w:rPr>
          <w:rFonts w:eastAsia="Calibri"/>
          <w:noProof/>
          <w:lang w:val="el-GR" w:eastAsia="el-GR"/>
        </w:rPr>
        <w:pict>
          <v:roundrect id="_x0000_s1056" style="position:absolute;margin-left:179.15pt;margin-top:6.7pt;width:43.25pt;height:115.15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" filled="f" strokecolor="#ff7415"/>
        </w:pict>
      </w:r>
    </w:p>
    <w:tbl>
      <w:tblPr>
        <w:tblW w:w="8672" w:type="dxa"/>
        <w:tblCellMar>
          <w:left w:w="0" w:type="dxa"/>
          <w:right w:w="0" w:type="dxa"/>
        </w:tblCellMar>
        <w:tblLook w:val="0420"/>
      </w:tblPr>
      <w:tblGrid>
        <w:gridCol w:w="3572"/>
        <w:gridCol w:w="850"/>
        <w:gridCol w:w="850"/>
        <w:gridCol w:w="850"/>
        <w:gridCol w:w="850"/>
        <w:gridCol w:w="850"/>
        <w:gridCol w:w="850"/>
      </w:tblGrid>
      <w:tr w:rsidR="00927122" w:rsidRPr="00FF523C" w:rsidTr="004D3BEB">
        <w:trPr>
          <w:trHeight w:val="287"/>
        </w:trPr>
        <w:tc>
          <w:tcPr>
            <w:tcW w:w="3572"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927122" w:rsidRPr="00C62FEB" w:rsidRDefault="00927122" w:rsidP="007D67DC">
            <w:pPr>
              <w:spacing w:before="38" w:after="0" w:line="240" w:lineRule="auto"/>
              <w:textAlignment w:val="baseline"/>
              <w:rPr>
                <w:rFonts w:ascii="Segoe UI" w:eastAsia="Times New Roman" w:hAnsi="Segoe UI" w:cs="Segoe UI"/>
                <w:sz w:val="14"/>
                <w:szCs w:val="14"/>
                <w:lang w:val="el-GR" w:eastAsia="el-GR"/>
              </w:rPr>
            </w:pPr>
            <w:r w:rsidRPr="004C0E3B">
              <w:rPr>
                <w:rFonts w:ascii="Segoe UI" w:eastAsia="Segoe UI" w:hAnsi="Segoe UI" w:cs="Segoe UI"/>
                <w:b/>
                <w:bCs/>
                <w:color w:val="000000"/>
                <w:kern w:val="24"/>
                <w:sz w:val="14"/>
                <w:szCs w:val="14"/>
                <w:lang w:val="el-GR" w:eastAsia="el-GR"/>
              </w:rPr>
              <w:t>€ εκατ</w:t>
            </w:r>
            <w:r w:rsidRPr="00C62FEB">
              <w:rPr>
                <w:rFonts w:ascii="Segoe UI" w:eastAsia="Segoe UI" w:hAnsi="Segoe UI" w:cs="Segoe UI"/>
                <w:b/>
                <w:bCs/>
                <w:color w:val="000000"/>
                <w:kern w:val="24"/>
                <w:sz w:val="14"/>
                <w:szCs w:val="14"/>
                <w:lang w:val="el-GR" w:eastAsia="el-GR"/>
              </w:rPr>
              <w:t>.</w:t>
            </w:r>
          </w:p>
        </w:tc>
        <w:tc>
          <w:tcPr>
            <w:tcW w:w="850" w:type="dxa"/>
            <w:tcBorders>
              <w:top w:val="single" w:sz="8" w:space="0" w:color="000000"/>
              <w:left w:val="nil"/>
              <w:bottom w:val="single" w:sz="8" w:space="0" w:color="000000"/>
              <w:right w:val="nil"/>
            </w:tcBorders>
          </w:tcPr>
          <w:p w:rsidR="00927122" w:rsidRDefault="004D3BEB" w:rsidP="007D67DC">
            <w:pPr>
              <w:spacing w:after="0" w:line="240" w:lineRule="auto"/>
              <w:jc w:val="right"/>
              <w:textAlignment w:val="center"/>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Γ</w:t>
            </w:r>
            <w:r w:rsidRPr="004D3BEB">
              <w:rPr>
                <w:rFonts w:ascii="Segoe UI" w:eastAsia="Times New Roman" w:hAnsi="Segoe UI" w:cs="Segoe UI"/>
                <w:b/>
                <w:bCs/>
                <w:color w:val="000000" w:themeColor="text1"/>
                <w:kern w:val="24"/>
                <w:sz w:val="14"/>
                <w:szCs w:val="14"/>
                <w:lang w:val="el-GR" w:eastAsia="el-GR"/>
              </w:rPr>
              <w:t>‘ τρίμηνο  2019</w:t>
            </w:r>
          </w:p>
        </w:tc>
        <w:tc>
          <w:tcPr>
            <w:tcW w:w="850" w:type="dxa"/>
            <w:tcBorders>
              <w:top w:val="single" w:sz="8" w:space="0" w:color="000000"/>
              <w:left w:val="nil"/>
              <w:bottom w:val="single" w:sz="8" w:space="0" w:color="000000"/>
              <w:right w:val="nil"/>
            </w:tcBorders>
          </w:tcPr>
          <w:p w:rsidR="00927122" w:rsidRDefault="00927122" w:rsidP="007D67DC">
            <w:pPr>
              <w:spacing w:after="0" w:line="240" w:lineRule="auto"/>
              <w:jc w:val="right"/>
              <w:textAlignment w:val="center"/>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Β</w:t>
            </w:r>
            <w:r w:rsidRPr="004C0E3B">
              <w:rPr>
                <w:rFonts w:ascii="Segoe UI" w:eastAsia="Times New Roman" w:hAnsi="Segoe UI" w:cs="Segoe UI"/>
                <w:b/>
                <w:bCs/>
                <w:color w:val="000000" w:themeColor="text1"/>
                <w:kern w:val="24"/>
                <w:sz w:val="14"/>
                <w:szCs w:val="14"/>
                <w:lang w:val="el-GR" w:eastAsia="el-GR"/>
              </w:rPr>
              <w:t>‘</w:t>
            </w:r>
            <w:r w:rsidRPr="00C62FEB">
              <w:rPr>
                <w:rFonts w:ascii="Segoe UI" w:eastAsia="Times New Roman" w:hAnsi="Segoe UI" w:cs="Segoe UI"/>
                <w:b/>
                <w:bCs/>
                <w:color w:val="000000" w:themeColor="text1"/>
                <w:kern w:val="24"/>
                <w:sz w:val="14"/>
                <w:szCs w:val="14"/>
                <w:lang w:val="el-GR" w:eastAsia="el-GR"/>
              </w:rPr>
              <w:t xml:space="preserve"> </w:t>
            </w:r>
            <w:r>
              <w:rPr>
                <w:rFonts w:ascii="Segoe UI" w:eastAsia="Times New Roman" w:hAnsi="Segoe UI" w:cs="Segoe UI"/>
                <w:b/>
                <w:bCs/>
                <w:color w:val="000000" w:themeColor="text1"/>
                <w:kern w:val="24"/>
                <w:sz w:val="14"/>
                <w:szCs w:val="14"/>
                <w:lang w:val="el-GR" w:eastAsia="el-GR"/>
              </w:rPr>
              <w:t>τ</w:t>
            </w:r>
            <w:r w:rsidRPr="004C0E3B">
              <w:rPr>
                <w:rFonts w:ascii="Segoe UI" w:eastAsia="Times New Roman" w:hAnsi="Segoe UI" w:cs="Segoe UI"/>
                <w:b/>
                <w:bCs/>
                <w:color w:val="000000" w:themeColor="text1"/>
                <w:kern w:val="24"/>
                <w:sz w:val="14"/>
                <w:szCs w:val="14"/>
                <w:lang w:val="el-GR" w:eastAsia="el-GR"/>
              </w:rPr>
              <w:t>ρίμηνο</w:t>
            </w:r>
            <w:r w:rsidRPr="00C62FEB">
              <w:rPr>
                <w:rFonts w:ascii="Segoe UI" w:eastAsia="Times New Roman" w:hAnsi="Segoe UI" w:cs="Segoe UI"/>
                <w:b/>
                <w:bCs/>
                <w:color w:val="000000" w:themeColor="text1"/>
                <w:kern w:val="24"/>
                <w:sz w:val="14"/>
                <w:szCs w:val="14"/>
                <w:lang w:val="el-GR" w:eastAsia="el-GR"/>
              </w:rPr>
              <w:t xml:space="preserve"> </w:t>
            </w:r>
            <w:r w:rsidRPr="004C0E3B">
              <w:rPr>
                <w:rFonts w:ascii="Segoe UI" w:eastAsia="Times New Roman" w:hAnsi="Segoe UI" w:cs="Segoe UI"/>
                <w:b/>
                <w:bCs/>
                <w:color w:val="000000" w:themeColor="text1"/>
                <w:kern w:val="24"/>
                <w:sz w:val="14"/>
                <w:szCs w:val="14"/>
                <w:lang w:val="el-GR" w:eastAsia="el-GR"/>
              </w:rPr>
              <w:t xml:space="preserve"> 201</w:t>
            </w:r>
            <w:r>
              <w:rPr>
                <w:rFonts w:ascii="Segoe UI" w:eastAsia="Times New Roman" w:hAnsi="Segoe UI" w:cs="Segoe UI"/>
                <w:b/>
                <w:bCs/>
                <w:color w:val="000000" w:themeColor="text1"/>
                <w:kern w:val="24"/>
                <w:sz w:val="14"/>
                <w:szCs w:val="14"/>
                <w:lang w:val="el-GR" w:eastAsia="el-GR"/>
              </w:rPr>
              <w:t>9</w:t>
            </w:r>
          </w:p>
        </w:tc>
        <w:tc>
          <w:tcPr>
            <w:tcW w:w="850" w:type="dxa"/>
            <w:tcBorders>
              <w:top w:val="single" w:sz="8" w:space="0" w:color="000000"/>
              <w:left w:val="nil"/>
              <w:bottom w:val="single" w:sz="8" w:space="0" w:color="000000"/>
              <w:right w:val="nil"/>
            </w:tcBorders>
            <w:vAlign w:val="center"/>
          </w:tcPr>
          <w:p w:rsidR="00927122" w:rsidRPr="007D67DC" w:rsidRDefault="00927122" w:rsidP="007D67DC">
            <w:pPr>
              <w:spacing w:after="0" w:line="240" w:lineRule="auto"/>
              <w:jc w:val="right"/>
              <w:textAlignment w:val="center"/>
              <w:rPr>
                <w:rFonts w:ascii="Segoe UI" w:eastAsia="Times New Roman" w:hAnsi="Segoe UI" w:cs="Segoe UI"/>
                <w:sz w:val="14"/>
                <w:szCs w:val="14"/>
                <w:lang w:val="el-GR" w:eastAsia="el-GR"/>
              </w:rPr>
            </w:pPr>
            <w:r>
              <w:rPr>
                <w:rFonts w:ascii="Segoe UI" w:eastAsia="Times New Roman" w:hAnsi="Segoe UI" w:cs="Segoe UI"/>
                <w:b/>
                <w:bCs/>
                <w:color w:val="000000" w:themeColor="text1"/>
                <w:kern w:val="24"/>
                <w:sz w:val="14"/>
                <w:szCs w:val="14"/>
                <w:lang w:val="el-GR" w:eastAsia="el-GR"/>
              </w:rPr>
              <w:t>Α</w:t>
            </w:r>
            <w:r w:rsidRPr="004C0E3B">
              <w:rPr>
                <w:rFonts w:ascii="Segoe UI" w:eastAsia="Times New Roman" w:hAnsi="Segoe UI" w:cs="Segoe UI"/>
                <w:b/>
                <w:bCs/>
                <w:color w:val="000000" w:themeColor="text1"/>
                <w:kern w:val="24"/>
                <w:sz w:val="14"/>
                <w:szCs w:val="14"/>
                <w:lang w:val="el-GR" w:eastAsia="el-GR"/>
              </w:rPr>
              <w:t>‘</w:t>
            </w:r>
            <w:r w:rsidRPr="00C62FEB">
              <w:rPr>
                <w:rFonts w:ascii="Segoe UI" w:eastAsia="Times New Roman" w:hAnsi="Segoe UI" w:cs="Segoe UI"/>
                <w:b/>
                <w:bCs/>
                <w:color w:val="000000" w:themeColor="text1"/>
                <w:kern w:val="24"/>
                <w:sz w:val="14"/>
                <w:szCs w:val="14"/>
                <w:lang w:val="el-GR" w:eastAsia="el-GR"/>
              </w:rPr>
              <w:t xml:space="preserve"> </w:t>
            </w:r>
            <w:r>
              <w:rPr>
                <w:rFonts w:ascii="Segoe UI" w:eastAsia="Times New Roman" w:hAnsi="Segoe UI" w:cs="Segoe UI"/>
                <w:b/>
                <w:bCs/>
                <w:color w:val="000000" w:themeColor="text1"/>
                <w:kern w:val="24"/>
                <w:sz w:val="14"/>
                <w:szCs w:val="14"/>
                <w:lang w:val="el-GR" w:eastAsia="el-GR"/>
              </w:rPr>
              <w:t>τ</w:t>
            </w:r>
            <w:r w:rsidRPr="004C0E3B">
              <w:rPr>
                <w:rFonts w:ascii="Segoe UI" w:eastAsia="Times New Roman" w:hAnsi="Segoe UI" w:cs="Segoe UI"/>
                <w:b/>
                <w:bCs/>
                <w:color w:val="000000" w:themeColor="text1"/>
                <w:kern w:val="24"/>
                <w:sz w:val="14"/>
                <w:szCs w:val="14"/>
                <w:lang w:val="el-GR" w:eastAsia="el-GR"/>
              </w:rPr>
              <w:t>ρίμηνο</w:t>
            </w:r>
            <w:r w:rsidRPr="00C62FEB">
              <w:rPr>
                <w:rFonts w:ascii="Segoe UI" w:eastAsia="Times New Roman" w:hAnsi="Segoe UI" w:cs="Segoe UI"/>
                <w:b/>
                <w:bCs/>
                <w:color w:val="000000" w:themeColor="text1"/>
                <w:kern w:val="24"/>
                <w:sz w:val="14"/>
                <w:szCs w:val="14"/>
                <w:lang w:val="el-GR" w:eastAsia="el-GR"/>
              </w:rPr>
              <w:t xml:space="preserve"> </w:t>
            </w:r>
            <w:r w:rsidRPr="004C0E3B">
              <w:rPr>
                <w:rFonts w:ascii="Segoe UI" w:eastAsia="Times New Roman" w:hAnsi="Segoe UI" w:cs="Segoe UI"/>
                <w:b/>
                <w:bCs/>
                <w:color w:val="000000" w:themeColor="text1"/>
                <w:kern w:val="24"/>
                <w:sz w:val="14"/>
                <w:szCs w:val="14"/>
                <w:lang w:val="el-GR" w:eastAsia="el-GR"/>
              </w:rPr>
              <w:t xml:space="preserve"> 201</w:t>
            </w:r>
            <w:r>
              <w:rPr>
                <w:rFonts w:ascii="Segoe UI" w:eastAsia="Times New Roman" w:hAnsi="Segoe UI" w:cs="Segoe UI"/>
                <w:b/>
                <w:bCs/>
                <w:color w:val="000000" w:themeColor="text1"/>
                <w:kern w:val="24"/>
                <w:sz w:val="14"/>
                <w:szCs w:val="14"/>
                <w:lang w:val="el-GR" w:eastAsia="el-GR"/>
              </w:rPr>
              <w:t>9</w:t>
            </w:r>
          </w:p>
        </w:tc>
        <w:tc>
          <w:tcPr>
            <w:tcW w:w="850" w:type="dxa"/>
            <w:tcBorders>
              <w:top w:val="single" w:sz="8" w:space="0" w:color="000000"/>
              <w:left w:val="nil"/>
              <w:bottom w:val="single" w:sz="8" w:space="0" w:color="000000"/>
              <w:right w:val="nil"/>
            </w:tcBorders>
            <w:vAlign w:val="center"/>
          </w:tcPr>
          <w:p w:rsidR="00927122" w:rsidRPr="004C0E3B" w:rsidRDefault="00927122" w:rsidP="007D67DC">
            <w:pPr>
              <w:spacing w:after="0" w:line="240" w:lineRule="auto"/>
              <w:jc w:val="right"/>
              <w:textAlignment w:val="center"/>
              <w:rPr>
                <w:rFonts w:ascii="Segoe UI" w:eastAsia="Times New Roman" w:hAnsi="Segoe UI" w:cs="Segoe UI"/>
                <w:sz w:val="14"/>
                <w:szCs w:val="14"/>
                <w:lang w:val="el-GR" w:eastAsia="el-GR"/>
              </w:rPr>
            </w:pPr>
            <w:r>
              <w:rPr>
                <w:rFonts w:ascii="Segoe UI" w:eastAsia="Times New Roman" w:hAnsi="Segoe UI" w:cs="Segoe UI"/>
                <w:b/>
                <w:bCs/>
                <w:color w:val="000000" w:themeColor="text1"/>
                <w:kern w:val="24"/>
                <w:sz w:val="14"/>
                <w:szCs w:val="14"/>
                <w:lang w:val="el-GR" w:eastAsia="el-GR"/>
              </w:rPr>
              <w:t>Δ</w:t>
            </w:r>
            <w:r w:rsidRPr="004C0E3B">
              <w:rPr>
                <w:rFonts w:ascii="Segoe UI" w:eastAsia="Times New Roman" w:hAnsi="Segoe UI" w:cs="Segoe UI"/>
                <w:b/>
                <w:bCs/>
                <w:color w:val="000000" w:themeColor="text1"/>
                <w:kern w:val="24"/>
                <w:sz w:val="14"/>
                <w:szCs w:val="14"/>
                <w:lang w:val="el-GR" w:eastAsia="el-GR"/>
              </w:rPr>
              <w:t>‘</w:t>
            </w:r>
            <w:r w:rsidRPr="00C62FEB">
              <w:rPr>
                <w:rFonts w:ascii="Segoe UI" w:eastAsia="Times New Roman" w:hAnsi="Segoe UI" w:cs="Segoe UI"/>
                <w:b/>
                <w:bCs/>
                <w:color w:val="000000" w:themeColor="text1"/>
                <w:kern w:val="24"/>
                <w:sz w:val="14"/>
                <w:szCs w:val="14"/>
                <w:lang w:val="el-GR" w:eastAsia="el-GR"/>
              </w:rPr>
              <w:t xml:space="preserve"> </w:t>
            </w:r>
            <w:r>
              <w:rPr>
                <w:rFonts w:ascii="Segoe UI" w:eastAsia="Times New Roman" w:hAnsi="Segoe UI" w:cs="Segoe UI"/>
                <w:b/>
                <w:bCs/>
                <w:color w:val="000000" w:themeColor="text1"/>
                <w:kern w:val="24"/>
                <w:sz w:val="14"/>
                <w:szCs w:val="14"/>
                <w:lang w:val="el-GR" w:eastAsia="el-GR"/>
              </w:rPr>
              <w:t>τ</w:t>
            </w:r>
            <w:r w:rsidRPr="004C0E3B">
              <w:rPr>
                <w:rFonts w:ascii="Segoe UI" w:eastAsia="Times New Roman" w:hAnsi="Segoe UI" w:cs="Segoe UI"/>
                <w:b/>
                <w:bCs/>
                <w:color w:val="000000" w:themeColor="text1"/>
                <w:kern w:val="24"/>
                <w:sz w:val="14"/>
                <w:szCs w:val="14"/>
                <w:lang w:val="el-GR" w:eastAsia="el-GR"/>
              </w:rPr>
              <w:t>ρίμηνο</w:t>
            </w:r>
            <w:r w:rsidRPr="00C62FEB">
              <w:rPr>
                <w:rFonts w:ascii="Segoe UI" w:eastAsia="Times New Roman" w:hAnsi="Segoe UI" w:cs="Segoe UI"/>
                <w:b/>
                <w:bCs/>
                <w:color w:val="000000" w:themeColor="text1"/>
                <w:kern w:val="24"/>
                <w:sz w:val="14"/>
                <w:szCs w:val="14"/>
                <w:lang w:val="el-GR" w:eastAsia="el-GR"/>
              </w:rPr>
              <w:t xml:space="preserve"> </w:t>
            </w:r>
            <w:r w:rsidRPr="004C0E3B">
              <w:rPr>
                <w:rFonts w:ascii="Segoe UI" w:eastAsia="Times New Roman" w:hAnsi="Segoe UI" w:cs="Segoe UI"/>
                <w:b/>
                <w:bCs/>
                <w:color w:val="000000" w:themeColor="text1"/>
                <w:kern w:val="24"/>
                <w:sz w:val="14"/>
                <w:szCs w:val="14"/>
                <w:lang w:val="el-GR" w:eastAsia="el-GR"/>
              </w:rPr>
              <w:t xml:space="preserve"> 2018</w:t>
            </w:r>
          </w:p>
        </w:tc>
        <w:tc>
          <w:tcPr>
            <w:tcW w:w="850" w:type="dxa"/>
            <w:tcBorders>
              <w:top w:val="single" w:sz="8" w:space="0" w:color="000000"/>
              <w:left w:val="nil"/>
              <w:bottom w:val="single" w:sz="8" w:space="0" w:color="000000"/>
              <w:right w:val="nil"/>
            </w:tcBorders>
            <w:vAlign w:val="center"/>
          </w:tcPr>
          <w:p w:rsidR="00927122" w:rsidRPr="004C0E3B" w:rsidRDefault="00927122" w:rsidP="007D67DC">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Times New Roman" w:hAnsi="Segoe UI" w:cs="Segoe UI"/>
                <w:b/>
                <w:bCs/>
                <w:color w:val="000000" w:themeColor="text1"/>
                <w:kern w:val="24"/>
                <w:sz w:val="14"/>
                <w:szCs w:val="14"/>
                <w:lang w:val="el-GR" w:eastAsia="el-GR"/>
              </w:rPr>
              <w:t>Γ</w:t>
            </w:r>
            <w:r w:rsidRPr="004C0E3B">
              <w:rPr>
                <w:rFonts w:ascii="Segoe UI" w:eastAsia="Times New Roman" w:hAnsi="Segoe UI" w:cs="Segoe UI"/>
                <w:b/>
                <w:bCs/>
                <w:color w:val="000000" w:themeColor="text1"/>
                <w:kern w:val="24"/>
                <w:sz w:val="14"/>
                <w:szCs w:val="14"/>
                <w:lang w:val="el-GR" w:eastAsia="el-GR"/>
              </w:rPr>
              <w:t>‘</w:t>
            </w:r>
            <w:r w:rsidRPr="00C62FEB">
              <w:rPr>
                <w:rFonts w:ascii="Segoe UI" w:eastAsia="Times New Roman" w:hAnsi="Segoe UI" w:cs="Segoe UI"/>
                <w:b/>
                <w:bCs/>
                <w:color w:val="000000" w:themeColor="text1"/>
                <w:kern w:val="24"/>
                <w:sz w:val="14"/>
                <w:szCs w:val="14"/>
                <w:lang w:val="el-GR" w:eastAsia="el-GR"/>
              </w:rPr>
              <w:t xml:space="preserve"> </w:t>
            </w:r>
            <w:r>
              <w:rPr>
                <w:rFonts w:ascii="Segoe UI" w:eastAsia="Times New Roman" w:hAnsi="Segoe UI" w:cs="Segoe UI"/>
                <w:b/>
                <w:bCs/>
                <w:color w:val="000000" w:themeColor="text1"/>
                <w:kern w:val="24"/>
                <w:sz w:val="14"/>
                <w:szCs w:val="14"/>
                <w:lang w:val="el-GR" w:eastAsia="el-GR"/>
              </w:rPr>
              <w:t>τ</w:t>
            </w:r>
            <w:r w:rsidRPr="004C0E3B">
              <w:rPr>
                <w:rFonts w:ascii="Segoe UI" w:eastAsia="Times New Roman" w:hAnsi="Segoe UI" w:cs="Segoe UI"/>
                <w:b/>
                <w:bCs/>
                <w:color w:val="000000" w:themeColor="text1"/>
                <w:kern w:val="24"/>
                <w:sz w:val="14"/>
                <w:szCs w:val="14"/>
                <w:lang w:val="el-GR" w:eastAsia="el-GR"/>
              </w:rPr>
              <w:t>ρίμηνο</w:t>
            </w:r>
            <w:r w:rsidRPr="00C62FEB">
              <w:rPr>
                <w:rFonts w:ascii="Segoe UI" w:eastAsia="Times New Roman" w:hAnsi="Segoe UI" w:cs="Segoe UI"/>
                <w:b/>
                <w:bCs/>
                <w:color w:val="000000" w:themeColor="text1"/>
                <w:kern w:val="24"/>
                <w:sz w:val="14"/>
                <w:szCs w:val="14"/>
                <w:lang w:val="el-GR" w:eastAsia="el-GR"/>
              </w:rPr>
              <w:t xml:space="preserve"> </w:t>
            </w:r>
            <w:r w:rsidRPr="004C0E3B">
              <w:rPr>
                <w:rFonts w:ascii="Segoe UI" w:eastAsia="Times New Roman" w:hAnsi="Segoe UI" w:cs="Segoe UI"/>
                <w:b/>
                <w:bCs/>
                <w:color w:val="000000" w:themeColor="text1"/>
                <w:kern w:val="24"/>
                <w:sz w:val="14"/>
                <w:szCs w:val="14"/>
                <w:lang w:val="el-GR" w:eastAsia="el-GR"/>
              </w:rPr>
              <w:t xml:space="preserve"> 2018</w:t>
            </w:r>
          </w:p>
        </w:tc>
        <w:tc>
          <w:tcPr>
            <w:tcW w:w="850" w:type="dxa"/>
            <w:tcBorders>
              <w:top w:val="single" w:sz="8" w:space="0" w:color="000000"/>
              <w:left w:val="nil"/>
              <w:bottom w:val="single" w:sz="8" w:space="0" w:color="000000"/>
              <w:right w:val="nil"/>
            </w:tcBorders>
            <w:vAlign w:val="center"/>
          </w:tcPr>
          <w:p w:rsidR="00927122" w:rsidRPr="004C0E3B" w:rsidRDefault="00927122" w:rsidP="007D67DC">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Times New Roman" w:hAnsi="Segoe UI" w:cs="Segoe UI"/>
                <w:b/>
                <w:bCs/>
                <w:color w:val="000000" w:themeColor="text1"/>
                <w:kern w:val="24"/>
                <w:sz w:val="14"/>
                <w:szCs w:val="14"/>
                <w:lang w:val="el-GR" w:eastAsia="el-GR"/>
              </w:rPr>
              <w:t>Β</w:t>
            </w:r>
            <w:r w:rsidRPr="004C0E3B">
              <w:rPr>
                <w:rFonts w:ascii="Segoe UI" w:eastAsia="Times New Roman" w:hAnsi="Segoe UI" w:cs="Segoe UI"/>
                <w:b/>
                <w:bCs/>
                <w:color w:val="000000" w:themeColor="text1"/>
                <w:kern w:val="24"/>
                <w:sz w:val="14"/>
                <w:szCs w:val="14"/>
                <w:lang w:val="el-GR" w:eastAsia="el-GR"/>
              </w:rPr>
              <w:t>‘</w:t>
            </w:r>
            <w:r w:rsidRPr="00C62FEB">
              <w:rPr>
                <w:rFonts w:ascii="Segoe UI" w:eastAsia="Times New Roman" w:hAnsi="Segoe UI" w:cs="Segoe UI"/>
                <w:b/>
                <w:bCs/>
                <w:color w:val="000000" w:themeColor="text1"/>
                <w:kern w:val="24"/>
                <w:sz w:val="14"/>
                <w:szCs w:val="14"/>
                <w:lang w:val="el-GR" w:eastAsia="el-GR"/>
              </w:rPr>
              <w:t xml:space="preserve"> </w:t>
            </w:r>
            <w:r>
              <w:rPr>
                <w:rFonts w:ascii="Segoe UI" w:eastAsia="Times New Roman" w:hAnsi="Segoe UI" w:cs="Segoe UI"/>
                <w:b/>
                <w:bCs/>
                <w:color w:val="000000" w:themeColor="text1"/>
                <w:kern w:val="24"/>
                <w:sz w:val="14"/>
                <w:szCs w:val="14"/>
                <w:lang w:val="el-GR" w:eastAsia="el-GR"/>
              </w:rPr>
              <w:t>τ</w:t>
            </w:r>
            <w:r w:rsidRPr="004C0E3B">
              <w:rPr>
                <w:rFonts w:ascii="Segoe UI" w:eastAsia="Times New Roman" w:hAnsi="Segoe UI" w:cs="Segoe UI"/>
                <w:b/>
                <w:bCs/>
                <w:color w:val="000000" w:themeColor="text1"/>
                <w:kern w:val="24"/>
                <w:sz w:val="14"/>
                <w:szCs w:val="14"/>
                <w:lang w:val="el-GR" w:eastAsia="el-GR"/>
              </w:rPr>
              <w:t>ρίμηνο</w:t>
            </w:r>
            <w:r w:rsidRPr="00C62FEB">
              <w:rPr>
                <w:rFonts w:ascii="Segoe UI" w:eastAsia="Times New Roman" w:hAnsi="Segoe UI" w:cs="Segoe UI"/>
                <w:b/>
                <w:bCs/>
                <w:color w:val="000000" w:themeColor="text1"/>
                <w:kern w:val="24"/>
                <w:sz w:val="14"/>
                <w:szCs w:val="14"/>
                <w:lang w:val="el-GR" w:eastAsia="el-GR"/>
              </w:rPr>
              <w:t xml:space="preserve"> </w:t>
            </w:r>
            <w:r w:rsidRPr="004C0E3B">
              <w:rPr>
                <w:rFonts w:ascii="Segoe UI" w:eastAsia="Times New Roman" w:hAnsi="Segoe UI" w:cs="Segoe UI"/>
                <w:b/>
                <w:bCs/>
                <w:color w:val="000000" w:themeColor="text1"/>
                <w:kern w:val="24"/>
                <w:sz w:val="14"/>
                <w:szCs w:val="14"/>
                <w:lang w:val="el-GR" w:eastAsia="el-GR"/>
              </w:rPr>
              <w:t xml:space="preserve"> 2018</w:t>
            </w:r>
          </w:p>
        </w:tc>
      </w:tr>
      <w:tr w:rsidR="004D3BEB" w:rsidRPr="00173966" w:rsidTr="00AF1BA2">
        <w:trPr>
          <w:trHeight w:val="113"/>
        </w:trPr>
        <w:tc>
          <w:tcPr>
            <w:tcW w:w="3572" w:type="dxa"/>
            <w:tcBorders>
              <w:top w:val="single" w:sz="8" w:space="0" w:color="000000"/>
              <w:left w:val="nil"/>
              <w:bottom w:val="nil"/>
              <w:right w:val="nil"/>
            </w:tcBorders>
            <w:shd w:val="clear" w:color="auto" w:fill="F2F2F2"/>
            <w:tcMar>
              <w:top w:w="15" w:type="dxa"/>
              <w:left w:w="42" w:type="dxa"/>
              <w:bottom w:w="0" w:type="dxa"/>
              <w:right w:w="15" w:type="dxa"/>
            </w:tcMar>
            <w:vAlign w:val="center"/>
          </w:tcPr>
          <w:p w:rsidR="004D3BEB" w:rsidRPr="00C62FEB" w:rsidRDefault="00684283" w:rsidP="004D3BEB">
            <w:pPr>
              <w:spacing w:after="0" w:line="240" w:lineRule="auto"/>
              <w:textAlignment w:val="center"/>
              <w:rPr>
                <w:rFonts w:ascii="Segoe UI" w:eastAsia="Times New Roman" w:hAnsi="Segoe UI" w:cs="Segoe UI"/>
                <w:sz w:val="14"/>
                <w:szCs w:val="14"/>
                <w:lang w:val="el-GR" w:eastAsia="el-GR"/>
              </w:rPr>
            </w:pPr>
            <w:r>
              <w:rPr>
                <w:rFonts w:ascii="Segoe UI" w:eastAsia="Segoe UI" w:hAnsi="Segoe UI" w:cs="Segoe UI"/>
                <w:b/>
                <w:bCs/>
                <w:color w:val="000000"/>
                <w:kern w:val="24"/>
                <w:sz w:val="14"/>
                <w:szCs w:val="14"/>
                <w:lang w:val="el-GR" w:eastAsia="el-GR"/>
              </w:rPr>
              <w:t>Σύνολο Ενεργητικού</w:t>
            </w:r>
            <w:r w:rsidR="004D3BEB" w:rsidRPr="00C62FEB">
              <w:rPr>
                <w:rFonts w:ascii="Segoe UI" w:eastAsia="Segoe UI" w:hAnsi="Segoe UI" w:cs="Segoe UI"/>
                <w:b/>
                <w:bCs/>
                <w:color w:val="000000"/>
                <w:kern w:val="24"/>
                <w:sz w:val="14"/>
                <w:szCs w:val="14"/>
                <w:lang w:val="el-GR" w:eastAsia="el-GR"/>
              </w:rPr>
              <w:t xml:space="preserve"> </w:t>
            </w:r>
          </w:p>
        </w:tc>
        <w:tc>
          <w:tcPr>
            <w:tcW w:w="850" w:type="dxa"/>
            <w:tcBorders>
              <w:top w:val="single" w:sz="8" w:space="0" w:color="000000"/>
              <w:left w:val="nil"/>
              <w:bottom w:val="nil"/>
              <w:right w:val="nil"/>
            </w:tcBorders>
            <w:shd w:val="clear" w:color="auto" w:fill="F2F2F2"/>
            <w:vAlign w:val="center"/>
          </w:tcPr>
          <w:p w:rsidR="004D3BEB" w:rsidRPr="004D3BEB" w:rsidRDefault="004D3BEB" w:rsidP="004D3BEB">
            <w:pPr>
              <w:spacing w:after="0" w:line="240" w:lineRule="auto"/>
              <w:jc w:val="right"/>
              <w:textAlignment w:val="center"/>
              <w:rPr>
                <w:rFonts w:ascii="Arial" w:eastAsia="Times New Roman" w:hAnsi="Arial" w:cs="Arial"/>
                <w:sz w:val="14"/>
                <w:szCs w:val="36"/>
                <w:lang w:eastAsia="el-GR"/>
              </w:rPr>
            </w:pPr>
            <w:r w:rsidRPr="004D3BEB">
              <w:rPr>
                <w:rFonts w:ascii="Segoe UI" w:eastAsia="Segoe UI" w:hAnsi="Segoe UI" w:cs="Segoe UI"/>
                <w:b/>
                <w:bCs/>
                <w:color w:val="000000"/>
                <w:kern w:val="24"/>
                <w:sz w:val="14"/>
                <w:szCs w:val="16"/>
                <w:lang w:eastAsia="el-GR"/>
              </w:rPr>
              <w:t>65 828</w:t>
            </w:r>
          </w:p>
        </w:tc>
        <w:tc>
          <w:tcPr>
            <w:tcW w:w="850" w:type="dxa"/>
            <w:tcBorders>
              <w:top w:val="single" w:sz="8" w:space="0" w:color="000000"/>
              <w:left w:val="nil"/>
              <w:bottom w:val="nil"/>
              <w:right w:val="nil"/>
            </w:tcBorders>
            <w:shd w:val="clear" w:color="auto" w:fill="F2F2F2"/>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b/>
                <w:bCs/>
                <w:color w:val="000000"/>
                <w:kern w:val="24"/>
                <w:sz w:val="14"/>
                <w:szCs w:val="16"/>
                <w:lang w:eastAsia="el-GR"/>
              </w:rPr>
              <w:t>65 131</w:t>
            </w:r>
          </w:p>
        </w:tc>
        <w:tc>
          <w:tcPr>
            <w:tcW w:w="850" w:type="dxa"/>
            <w:tcBorders>
              <w:top w:val="single" w:sz="8" w:space="0" w:color="000000"/>
              <w:left w:val="nil"/>
              <w:bottom w:val="nil"/>
              <w:right w:val="nil"/>
            </w:tcBorders>
            <w:shd w:val="clear" w:color="auto" w:fill="F2F2F2"/>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b/>
                <w:bCs/>
                <w:color w:val="000000"/>
                <w:kern w:val="24"/>
                <w:sz w:val="14"/>
                <w:szCs w:val="16"/>
                <w:lang w:eastAsia="el-GR"/>
              </w:rPr>
              <w:t>64 217</w:t>
            </w:r>
          </w:p>
        </w:tc>
        <w:tc>
          <w:tcPr>
            <w:tcW w:w="850" w:type="dxa"/>
            <w:tcBorders>
              <w:top w:val="single" w:sz="8" w:space="0" w:color="000000"/>
              <w:left w:val="nil"/>
              <w:bottom w:val="nil"/>
              <w:right w:val="nil"/>
            </w:tcBorders>
            <w:shd w:val="clear" w:color="auto" w:fill="F2F2F2"/>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b/>
                <w:bCs/>
                <w:color w:val="000000"/>
                <w:kern w:val="24"/>
                <w:sz w:val="14"/>
                <w:szCs w:val="16"/>
                <w:lang w:eastAsia="el-GR"/>
              </w:rPr>
              <w:t>65 095</w:t>
            </w:r>
          </w:p>
        </w:tc>
        <w:tc>
          <w:tcPr>
            <w:tcW w:w="850" w:type="dxa"/>
            <w:tcBorders>
              <w:top w:val="single" w:sz="8" w:space="0" w:color="000000"/>
              <w:left w:val="nil"/>
              <w:bottom w:val="nil"/>
              <w:right w:val="nil"/>
            </w:tcBorders>
            <w:shd w:val="clear" w:color="auto" w:fill="F2F2F2"/>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b/>
                <w:bCs/>
                <w:color w:val="000000"/>
                <w:kern w:val="24"/>
                <w:sz w:val="14"/>
                <w:szCs w:val="16"/>
                <w:lang w:eastAsia="el-GR"/>
              </w:rPr>
              <w:t xml:space="preserve">63 153 </w:t>
            </w:r>
          </w:p>
        </w:tc>
        <w:tc>
          <w:tcPr>
            <w:tcW w:w="850" w:type="dxa"/>
            <w:tcBorders>
              <w:top w:val="single" w:sz="8" w:space="0" w:color="000000"/>
              <w:left w:val="nil"/>
              <w:bottom w:val="nil"/>
              <w:right w:val="nil"/>
            </w:tcBorders>
            <w:shd w:val="clear" w:color="auto" w:fill="F2F2F2"/>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b/>
                <w:bCs/>
                <w:color w:val="000000"/>
                <w:kern w:val="24"/>
                <w:sz w:val="14"/>
                <w:szCs w:val="16"/>
                <w:lang w:eastAsia="el-GR"/>
              </w:rPr>
              <w:t xml:space="preserve">62 854 </w:t>
            </w:r>
          </w:p>
        </w:tc>
      </w:tr>
      <w:tr w:rsidR="004D3BEB" w:rsidRPr="00173966"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4D3BEB" w:rsidRPr="00C62FEB" w:rsidRDefault="004D3BEB" w:rsidP="004D3B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Δάνεια </w:t>
            </w:r>
            <w:r w:rsidRPr="00C62FEB">
              <w:rPr>
                <w:rFonts w:ascii="Segoe UI" w:eastAsia="Segoe UI" w:hAnsi="Segoe UI" w:cs="Segoe UI"/>
                <w:color w:val="000000"/>
                <w:kern w:val="24"/>
                <w:sz w:val="14"/>
                <w:szCs w:val="14"/>
                <w:lang w:val="en-US" w:eastAsia="el-GR"/>
              </w:rPr>
              <w:t>(</w:t>
            </w:r>
            <w:r w:rsidRPr="00C62FEB">
              <w:rPr>
                <w:rFonts w:ascii="Segoe UI" w:eastAsia="Segoe UI" w:hAnsi="Segoe UI" w:cs="Segoe UI"/>
                <w:color w:val="000000"/>
                <w:kern w:val="24"/>
                <w:sz w:val="14"/>
                <w:szCs w:val="14"/>
                <w:lang w:val="el-GR" w:eastAsia="el-GR"/>
              </w:rPr>
              <w:t>προ προβλέψεων</w:t>
            </w:r>
            <w:r w:rsidRPr="00C62FEB">
              <w:rPr>
                <w:rFonts w:ascii="Segoe UI" w:eastAsia="Segoe UI" w:hAnsi="Segoe UI" w:cs="Segoe UI"/>
                <w:color w:val="000000"/>
                <w:kern w:val="24"/>
                <w:sz w:val="14"/>
                <w:szCs w:val="14"/>
                <w:lang w:val="en-US" w:eastAsia="el-GR"/>
              </w:rPr>
              <w:t>)</w:t>
            </w:r>
          </w:p>
        </w:tc>
        <w:tc>
          <w:tcPr>
            <w:tcW w:w="850" w:type="dxa"/>
            <w:tcBorders>
              <w:top w:val="nil"/>
              <w:left w:val="nil"/>
              <w:bottom w:val="nil"/>
              <w:right w:val="nil"/>
            </w:tcBorders>
            <w:vAlign w:val="center"/>
          </w:tcPr>
          <w:p w:rsidR="004D3BEB" w:rsidRPr="004D3BEB" w:rsidRDefault="004D3BEB" w:rsidP="004D3BEB">
            <w:pPr>
              <w:spacing w:after="0" w:line="240" w:lineRule="auto"/>
              <w:jc w:val="right"/>
              <w:textAlignment w:val="center"/>
              <w:rPr>
                <w:rFonts w:ascii="Arial" w:eastAsia="Times New Roman" w:hAnsi="Arial" w:cs="Arial"/>
                <w:sz w:val="14"/>
                <w:szCs w:val="36"/>
                <w:lang w:eastAsia="el-GR"/>
              </w:rPr>
            </w:pPr>
            <w:r w:rsidRPr="004D3BEB">
              <w:rPr>
                <w:rFonts w:ascii="Segoe UI" w:eastAsia="Segoe UI" w:hAnsi="Segoe UI" w:cs="Segoe UI"/>
                <w:color w:val="000000"/>
                <w:kern w:val="24"/>
                <w:sz w:val="14"/>
                <w:szCs w:val="16"/>
                <w:lang w:eastAsia="el-GR"/>
              </w:rPr>
              <w:t>35 645</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37 502</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38 808</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39 600</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39 732</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40 050</w:t>
            </w:r>
          </w:p>
        </w:tc>
      </w:tr>
      <w:tr w:rsidR="004D3BEB" w:rsidRPr="00173966"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4D3BEB" w:rsidRPr="00C62FEB" w:rsidRDefault="004D3BEB" w:rsidP="004D3B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Σωρευμένες προβλέψεις </w:t>
            </w:r>
          </w:p>
        </w:tc>
        <w:tc>
          <w:tcPr>
            <w:tcW w:w="850" w:type="dxa"/>
            <w:tcBorders>
              <w:top w:val="nil"/>
              <w:left w:val="nil"/>
              <w:bottom w:val="nil"/>
              <w:right w:val="nil"/>
            </w:tcBorders>
            <w:vAlign w:val="center"/>
          </w:tcPr>
          <w:p w:rsidR="004D3BEB" w:rsidRPr="004D3BEB" w:rsidRDefault="004D3BEB" w:rsidP="004D3BEB">
            <w:pPr>
              <w:spacing w:after="0" w:line="240" w:lineRule="auto"/>
              <w:jc w:val="right"/>
              <w:textAlignment w:val="center"/>
              <w:rPr>
                <w:rFonts w:ascii="Arial" w:eastAsia="Times New Roman" w:hAnsi="Arial" w:cs="Arial"/>
                <w:sz w:val="14"/>
                <w:szCs w:val="36"/>
                <w:lang w:eastAsia="el-GR"/>
              </w:rPr>
            </w:pPr>
            <w:r w:rsidRPr="004D3BEB">
              <w:rPr>
                <w:rFonts w:ascii="Segoe UI" w:eastAsia="Segoe UI" w:hAnsi="Segoe UI" w:cs="Segoe UI"/>
                <w:color w:val="000000"/>
                <w:kern w:val="24"/>
                <w:sz w:val="14"/>
                <w:szCs w:val="16"/>
                <w:lang w:eastAsia="el-GR"/>
              </w:rPr>
              <w:t>(6 579)</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Pr>
                <w:rFonts w:ascii="Segoe UI" w:eastAsia="Segoe UI" w:hAnsi="Segoe UI" w:cs="Segoe UI"/>
                <w:color w:val="000000"/>
                <w:kern w:val="24"/>
                <w:sz w:val="14"/>
                <w:szCs w:val="16"/>
                <w:lang w:eastAsia="el-GR"/>
              </w:rPr>
              <w:t>(7 56</w:t>
            </w:r>
            <w:r>
              <w:rPr>
                <w:rFonts w:ascii="Segoe UI" w:eastAsia="Segoe UI" w:hAnsi="Segoe UI" w:cs="Segoe UI"/>
                <w:color w:val="000000"/>
                <w:kern w:val="24"/>
                <w:sz w:val="14"/>
                <w:szCs w:val="16"/>
                <w:lang w:val="el-GR" w:eastAsia="el-GR"/>
              </w:rPr>
              <w:t>4</w:t>
            </w:r>
            <w:r w:rsidRPr="00AB328B">
              <w:rPr>
                <w:rFonts w:ascii="Segoe UI" w:eastAsia="Segoe UI" w:hAnsi="Segoe UI" w:cs="Segoe UI"/>
                <w:color w:val="000000"/>
                <w:kern w:val="24"/>
                <w:sz w:val="14"/>
                <w:szCs w:val="16"/>
                <w:lang w:eastAsia="el-GR"/>
              </w:rPr>
              <w:t>)</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(8 751)</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(9 466)</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(9 921)</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(10 088)</w:t>
            </w:r>
          </w:p>
        </w:tc>
      </w:tr>
      <w:tr w:rsidR="004D3BEB" w:rsidRPr="00173966"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tcPr>
          <w:p w:rsidR="004D3BEB" w:rsidRPr="00AB328B" w:rsidRDefault="004D3BEB" w:rsidP="004D3BEB">
            <w:pPr>
              <w:spacing w:after="0" w:line="240" w:lineRule="auto"/>
              <w:textAlignment w:val="center"/>
              <w:rPr>
                <w:rFonts w:ascii="Segoe UI" w:eastAsia="Segoe UI" w:hAnsi="Segoe UI" w:cs="Segoe UI"/>
                <w:b/>
                <w:color w:val="000000"/>
                <w:kern w:val="24"/>
                <w:sz w:val="14"/>
                <w:szCs w:val="14"/>
                <w:lang w:val="el-GR" w:eastAsia="el-GR"/>
              </w:rPr>
            </w:pPr>
            <w:r w:rsidRPr="00AB328B">
              <w:rPr>
                <w:rFonts w:ascii="Segoe UI" w:eastAsia="Segoe UI" w:hAnsi="Segoe UI" w:cs="Segoe UI"/>
                <w:b/>
                <w:color w:val="000000"/>
                <w:kern w:val="24"/>
                <w:sz w:val="14"/>
                <w:szCs w:val="14"/>
                <w:lang w:val="el-GR" w:eastAsia="el-GR"/>
              </w:rPr>
              <w:t xml:space="preserve">Δάνεια </w:t>
            </w:r>
            <w:r w:rsidRPr="00AB328B">
              <w:rPr>
                <w:rFonts w:ascii="Segoe UI" w:eastAsia="Segoe UI" w:hAnsi="Segoe UI" w:cs="Segoe UI"/>
                <w:b/>
                <w:color w:val="000000"/>
                <w:kern w:val="24"/>
                <w:sz w:val="14"/>
                <w:szCs w:val="14"/>
                <w:lang w:val="en-US" w:eastAsia="el-GR"/>
              </w:rPr>
              <w:t>(</w:t>
            </w:r>
            <w:r w:rsidRPr="00AB328B">
              <w:rPr>
                <w:rFonts w:ascii="Segoe UI" w:eastAsia="Segoe UI" w:hAnsi="Segoe UI" w:cs="Segoe UI"/>
                <w:b/>
                <w:color w:val="000000"/>
                <w:kern w:val="24"/>
                <w:sz w:val="14"/>
                <w:szCs w:val="14"/>
                <w:lang w:val="el-GR" w:eastAsia="el-GR"/>
              </w:rPr>
              <w:t>μετά προβλέψεων</w:t>
            </w:r>
            <w:r w:rsidRPr="00AB328B">
              <w:rPr>
                <w:rFonts w:ascii="Segoe UI" w:eastAsia="Segoe UI" w:hAnsi="Segoe UI" w:cs="Segoe UI"/>
                <w:b/>
                <w:color w:val="000000"/>
                <w:kern w:val="24"/>
                <w:sz w:val="14"/>
                <w:szCs w:val="14"/>
                <w:lang w:val="en-US" w:eastAsia="el-GR"/>
              </w:rPr>
              <w:t>)</w:t>
            </w:r>
          </w:p>
        </w:tc>
        <w:tc>
          <w:tcPr>
            <w:tcW w:w="850" w:type="dxa"/>
            <w:tcBorders>
              <w:top w:val="nil"/>
              <w:left w:val="nil"/>
              <w:bottom w:val="nil"/>
              <w:right w:val="nil"/>
            </w:tcBorders>
            <w:vAlign w:val="center"/>
          </w:tcPr>
          <w:p w:rsidR="004D3BEB" w:rsidRPr="004D3BEB" w:rsidRDefault="004D3BEB" w:rsidP="007A5DB3">
            <w:pPr>
              <w:spacing w:after="0" w:line="240" w:lineRule="auto"/>
              <w:jc w:val="right"/>
              <w:textAlignment w:val="center"/>
              <w:rPr>
                <w:rFonts w:ascii="Segoe UI" w:eastAsia="Segoe UI" w:hAnsi="Segoe UI" w:cs="Segoe UI"/>
                <w:b/>
                <w:color w:val="000000"/>
                <w:kern w:val="24"/>
                <w:sz w:val="14"/>
                <w:szCs w:val="16"/>
                <w:lang w:eastAsia="el-GR"/>
              </w:rPr>
            </w:pPr>
            <w:r w:rsidRPr="004D3BEB">
              <w:rPr>
                <w:rFonts w:ascii="Segoe UI" w:eastAsia="Segoe UI" w:hAnsi="Segoe UI" w:cs="Segoe UI"/>
                <w:b/>
                <w:color w:val="000000"/>
                <w:kern w:val="24"/>
                <w:sz w:val="14"/>
                <w:szCs w:val="16"/>
                <w:lang w:eastAsia="el-GR"/>
              </w:rPr>
              <w:t xml:space="preserve">29 </w:t>
            </w:r>
            <w:r w:rsidR="007A5DB3">
              <w:rPr>
                <w:rFonts w:ascii="Segoe UI" w:eastAsia="Segoe UI" w:hAnsi="Segoe UI" w:cs="Segoe UI"/>
                <w:b/>
                <w:color w:val="000000"/>
                <w:kern w:val="24"/>
                <w:sz w:val="14"/>
                <w:szCs w:val="16"/>
                <w:lang w:val="el-GR" w:eastAsia="el-GR"/>
              </w:rPr>
              <w:t>0</w:t>
            </w:r>
            <w:r w:rsidRPr="004D3BEB">
              <w:rPr>
                <w:rFonts w:ascii="Segoe UI" w:eastAsia="Segoe UI" w:hAnsi="Segoe UI" w:cs="Segoe UI"/>
                <w:b/>
                <w:color w:val="000000"/>
                <w:kern w:val="24"/>
                <w:sz w:val="14"/>
                <w:szCs w:val="16"/>
                <w:lang w:eastAsia="el-GR"/>
              </w:rPr>
              <w:t>67</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Segoe UI" w:eastAsia="Segoe UI" w:hAnsi="Segoe UI" w:cs="Segoe UI"/>
                <w:b/>
                <w:color w:val="000000"/>
                <w:kern w:val="24"/>
                <w:sz w:val="14"/>
                <w:szCs w:val="16"/>
                <w:lang w:eastAsia="el-GR"/>
              </w:rPr>
            </w:pPr>
            <w:r w:rsidRPr="00AB328B">
              <w:rPr>
                <w:rFonts w:ascii="Segoe UI" w:eastAsia="Segoe UI" w:hAnsi="Segoe UI" w:cs="Segoe UI"/>
                <w:b/>
                <w:color w:val="000000"/>
                <w:kern w:val="24"/>
                <w:sz w:val="14"/>
                <w:szCs w:val="16"/>
                <w:lang w:eastAsia="el-GR"/>
              </w:rPr>
              <w:t>29 938</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Segoe UI" w:eastAsia="Segoe UI" w:hAnsi="Segoe UI" w:cs="Segoe UI"/>
                <w:b/>
                <w:color w:val="000000"/>
                <w:kern w:val="24"/>
                <w:sz w:val="14"/>
                <w:szCs w:val="16"/>
                <w:lang w:eastAsia="el-GR"/>
              </w:rPr>
            </w:pPr>
            <w:r w:rsidRPr="00AB328B">
              <w:rPr>
                <w:rFonts w:ascii="Segoe UI" w:eastAsia="Segoe UI" w:hAnsi="Segoe UI" w:cs="Segoe UI"/>
                <w:b/>
                <w:color w:val="000000"/>
                <w:kern w:val="24"/>
                <w:sz w:val="14"/>
                <w:szCs w:val="16"/>
                <w:lang w:eastAsia="el-GR"/>
              </w:rPr>
              <w:t>30 057</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Segoe UI" w:eastAsia="Segoe UI" w:hAnsi="Segoe UI" w:cs="Segoe UI"/>
                <w:b/>
                <w:color w:val="000000"/>
                <w:kern w:val="24"/>
                <w:sz w:val="14"/>
                <w:szCs w:val="16"/>
                <w:lang w:eastAsia="el-GR"/>
              </w:rPr>
            </w:pPr>
            <w:r w:rsidRPr="00AB328B">
              <w:rPr>
                <w:rFonts w:ascii="Segoe UI" w:eastAsia="Segoe UI" w:hAnsi="Segoe UI" w:cs="Segoe UI"/>
                <w:b/>
                <w:color w:val="000000"/>
                <w:kern w:val="24"/>
                <w:sz w:val="14"/>
                <w:szCs w:val="16"/>
                <w:lang w:eastAsia="el-GR"/>
              </w:rPr>
              <w:t>30 134</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Segoe UI" w:eastAsia="Segoe UI" w:hAnsi="Segoe UI" w:cs="Segoe UI"/>
                <w:b/>
                <w:color w:val="000000"/>
                <w:kern w:val="24"/>
                <w:sz w:val="14"/>
                <w:szCs w:val="16"/>
                <w:lang w:eastAsia="el-GR"/>
              </w:rPr>
            </w:pPr>
            <w:r w:rsidRPr="00AB328B">
              <w:rPr>
                <w:rFonts w:ascii="Segoe UI" w:eastAsia="Segoe UI" w:hAnsi="Segoe UI" w:cs="Segoe UI"/>
                <w:b/>
                <w:color w:val="000000"/>
                <w:kern w:val="24"/>
                <w:sz w:val="14"/>
                <w:szCs w:val="16"/>
                <w:lang w:eastAsia="el-GR"/>
              </w:rPr>
              <w:t>29 810</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Segoe UI" w:eastAsia="Segoe UI" w:hAnsi="Segoe UI" w:cs="Segoe UI"/>
                <w:b/>
                <w:color w:val="000000"/>
                <w:kern w:val="24"/>
                <w:sz w:val="14"/>
                <w:szCs w:val="16"/>
                <w:lang w:eastAsia="el-GR"/>
              </w:rPr>
            </w:pPr>
            <w:r w:rsidRPr="00AB328B">
              <w:rPr>
                <w:rFonts w:ascii="Segoe UI" w:eastAsia="Segoe UI" w:hAnsi="Segoe UI" w:cs="Segoe UI"/>
                <w:b/>
                <w:color w:val="000000"/>
                <w:kern w:val="24"/>
                <w:sz w:val="14"/>
                <w:szCs w:val="16"/>
                <w:lang w:eastAsia="el-GR"/>
              </w:rPr>
              <w:t>29 961</w:t>
            </w:r>
          </w:p>
        </w:tc>
      </w:tr>
      <w:tr w:rsidR="004D3BEB" w:rsidRPr="00173966"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tcPr>
          <w:p w:rsidR="004D3BEB" w:rsidRPr="00AB328B" w:rsidRDefault="004D3BEB" w:rsidP="004D3BEB">
            <w:pPr>
              <w:spacing w:after="0" w:line="240" w:lineRule="auto"/>
              <w:textAlignment w:val="center"/>
              <w:rPr>
                <w:rFonts w:ascii="Segoe UI" w:eastAsia="Segoe UI" w:hAnsi="Segoe UI" w:cs="Segoe UI"/>
                <w:b/>
                <w:color w:val="000000"/>
                <w:kern w:val="24"/>
                <w:sz w:val="14"/>
                <w:szCs w:val="14"/>
                <w:lang w:val="el-GR" w:eastAsia="el-GR"/>
              </w:rPr>
            </w:pPr>
            <w:r>
              <w:rPr>
                <w:rFonts w:ascii="Segoe UI" w:eastAsia="Segoe UI" w:hAnsi="Segoe UI" w:cs="Segoe UI"/>
                <w:b/>
                <w:color w:val="000000"/>
                <w:kern w:val="24"/>
                <w:sz w:val="14"/>
                <w:szCs w:val="14"/>
                <w:lang w:val="el-GR" w:eastAsia="el-GR"/>
              </w:rPr>
              <w:t>Εξυπηρετούμενα δάνεια</w:t>
            </w:r>
          </w:p>
        </w:tc>
        <w:tc>
          <w:tcPr>
            <w:tcW w:w="850" w:type="dxa"/>
            <w:tcBorders>
              <w:top w:val="nil"/>
              <w:left w:val="nil"/>
              <w:bottom w:val="nil"/>
              <w:right w:val="nil"/>
            </w:tcBorders>
            <w:vAlign w:val="center"/>
          </w:tcPr>
          <w:p w:rsidR="004D3BEB" w:rsidRPr="004D3BEB" w:rsidRDefault="004D3BEB" w:rsidP="004D3BEB">
            <w:pPr>
              <w:spacing w:after="0" w:line="240" w:lineRule="auto"/>
              <w:jc w:val="right"/>
              <w:textAlignment w:val="center"/>
              <w:rPr>
                <w:rFonts w:ascii="Segoe UI" w:eastAsia="Segoe UI" w:hAnsi="Segoe UI" w:cs="Segoe UI"/>
                <w:b/>
                <w:color w:val="000000"/>
                <w:kern w:val="24"/>
                <w:sz w:val="14"/>
                <w:szCs w:val="16"/>
                <w:lang w:eastAsia="el-GR"/>
              </w:rPr>
            </w:pPr>
            <w:r w:rsidRPr="004D3BEB">
              <w:rPr>
                <w:rFonts w:ascii="Segoe UI" w:eastAsia="Segoe UI" w:hAnsi="Segoe UI" w:cs="Segoe UI"/>
                <w:b/>
                <w:color w:val="000000"/>
                <w:kern w:val="24"/>
                <w:sz w:val="14"/>
                <w:szCs w:val="16"/>
                <w:lang w:eastAsia="el-GR"/>
              </w:rPr>
              <w:t>23 472</w:t>
            </w:r>
          </w:p>
        </w:tc>
        <w:tc>
          <w:tcPr>
            <w:tcW w:w="850" w:type="dxa"/>
            <w:tcBorders>
              <w:top w:val="nil"/>
              <w:left w:val="nil"/>
              <w:bottom w:val="nil"/>
              <w:right w:val="nil"/>
            </w:tcBorders>
            <w:vAlign w:val="center"/>
          </w:tcPr>
          <w:p w:rsidR="004D3BEB" w:rsidRPr="008D7F85" w:rsidRDefault="004D3BEB" w:rsidP="004D3BEB">
            <w:pPr>
              <w:spacing w:after="0" w:line="240" w:lineRule="auto"/>
              <w:jc w:val="right"/>
              <w:textAlignment w:val="center"/>
              <w:rPr>
                <w:rFonts w:ascii="Segoe UI" w:eastAsia="Segoe UI" w:hAnsi="Segoe UI" w:cs="Segoe UI"/>
                <w:b/>
                <w:color w:val="000000"/>
                <w:kern w:val="24"/>
                <w:sz w:val="14"/>
                <w:szCs w:val="16"/>
                <w:lang w:eastAsia="el-GR"/>
              </w:rPr>
            </w:pPr>
            <w:r w:rsidRPr="008D7F85">
              <w:rPr>
                <w:rFonts w:ascii="Segoe UI" w:eastAsia="Segoe UI" w:hAnsi="Segoe UI" w:cs="Segoe UI"/>
                <w:b/>
                <w:color w:val="000000"/>
                <w:kern w:val="24"/>
                <w:sz w:val="14"/>
                <w:szCs w:val="16"/>
                <w:lang w:eastAsia="el-GR"/>
              </w:rPr>
              <w:t>23 808</w:t>
            </w:r>
          </w:p>
        </w:tc>
        <w:tc>
          <w:tcPr>
            <w:tcW w:w="850" w:type="dxa"/>
            <w:tcBorders>
              <w:top w:val="nil"/>
              <w:left w:val="nil"/>
              <w:bottom w:val="nil"/>
              <w:right w:val="nil"/>
            </w:tcBorders>
            <w:vAlign w:val="center"/>
          </w:tcPr>
          <w:p w:rsidR="004D3BEB" w:rsidRPr="008D7F85" w:rsidRDefault="004D3BEB" w:rsidP="004D3BEB">
            <w:pPr>
              <w:spacing w:after="0" w:line="240" w:lineRule="auto"/>
              <w:jc w:val="right"/>
              <w:textAlignment w:val="center"/>
              <w:rPr>
                <w:rFonts w:ascii="Segoe UI" w:eastAsia="Segoe UI" w:hAnsi="Segoe UI" w:cs="Segoe UI"/>
                <w:b/>
                <w:color w:val="000000"/>
                <w:kern w:val="24"/>
                <w:sz w:val="14"/>
                <w:szCs w:val="16"/>
                <w:lang w:eastAsia="el-GR"/>
              </w:rPr>
            </w:pPr>
            <w:r w:rsidRPr="008D7F85">
              <w:rPr>
                <w:rFonts w:ascii="Segoe UI" w:eastAsia="Segoe UI" w:hAnsi="Segoe UI" w:cs="Segoe UI"/>
                <w:b/>
                <w:color w:val="000000"/>
                <w:kern w:val="24"/>
                <w:sz w:val="14"/>
                <w:szCs w:val="16"/>
                <w:lang w:eastAsia="el-GR"/>
              </w:rPr>
              <w:t>23 707</w:t>
            </w:r>
          </w:p>
        </w:tc>
        <w:tc>
          <w:tcPr>
            <w:tcW w:w="850" w:type="dxa"/>
            <w:tcBorders>
              <w:top w:val="nil"/>
              <w:left w:val="nil"/>
              <w:bottom w:val="nil"/>
              <w:right w:val="nil"/>
            </w:tcBorders>
            <w:vAlign w:val="center"/>
          </w:tcPr>
          <w:p w:rsidR="004D3BEB" w:rsidRPr="008D7F85" w:rsidRDefault="004D3BEB" w:rsidP="004D3BEB">
            <w:pPr>
              <w:spacing w:after="0" w:line="240" w:lineRule="auto"/>
              <w:jc w:val="right"/>
              <w:textAlignment w:val="center"/>
              <w:rPr>
                <w:rFonts w:ascii="Segoe UI" w:eastAsia="Segoe UI" w:hAnsi="Segoe UI" w:cs="Segoe UI"/>
                <w:b/>
                <w:color w:val="000000"/>
                <w:kern w:val="24"/>
                <w:sz w:val="14"/>
                <w:szCs w:val="16"/>
                <w:lang w:eastAsia="el-GR"/>
              </w:rPr>
            </w:pPr>
            <w:r w:rsidRPr="008D7F85">
              <w:rPr>
                <w:rFonts w:ascii="Segoe UI" w:eastAsia="Segoe UI" w:hAnsi="Segoe UI" w:cs="Segoe UI"/>
                <w:b/>
                <w:color w:val="000000"/>
                <w:kern w:val="24"/>
                <w:sz w:val="14"/>
                <w:szCs w:val="16"/>
                <w:lang w:eastAsia="el-GR"/>
              </w:rPr>
              <w:t>23 400</w:t>
            </w:r>
          </w:p>
        </w:tc>
        <w:tc>
          <w:tcPr>
            <w:tcW w:w="850" w:type="dxa"/>
            <w:tcBorders>
              <w:top w:val="nil"/>
              <w:left w:val="nil"/>
              <w:bottom w:val="nil"/>
              <w:right w:val="nil"/>
            </w:tcBorders>
            <w:vAlign w:val="center"/>
          </w:tcPr>
          <w:p w:rsidR="004D3BEB" w:rsidRPr="008D7F85" w:rsidRDefault="004D3BEB" w:rsidP="004D3BEB">
            <w:pPr>
              <w:spacing w:after="0" w:line="240" w:lineRule="auto"/>
              <w:jc w:val="right"/>
              <w:textAlignment w:val="center"/>
              <w:rPr>
                <w:rFonts w:ascii="Segoe UI" w:eastAsia="Segoe UI" w:hAnsi="Segoe UI" w:cs="Segoe UI"/>
                <w:b/>
                <w:color w:val="000000"/>
                <w:kern w:val="24"/>
                <w:sz w:val="14"/>
                <w:szCs w:val="16"/>
                <w:lang w:eastAsia="el-GR"/>
              </w:rPr>
            </w:pPr>
            <w:r w:rsidRPr="008D7F85">
              <w:rPr>
                <w:rFonts w:ascii="Segoe UI" w:eastAsia="Segoe UI" w:hAnsi="Segoe UI" w:cs="Segoe UI"/>
                <w:b/>
                <w:color w:val="000000"/>
                <w:kern w:val="24"/>
                <w:sz w:val="14"/>
                <w:szCs w:val="16"/>
                <w:lang w:eastAsia="el-GR"/>
              </w:rPr>
              <w:t>22 962</w:t>
            </w:r>
          </w:p>
        </w:tc>
        <w:tc>
          <w:tcPr>
            <w:tcW w:w="850" w:type="dxa"/>
            <w:tcBorders>
              <w:top w:val="nil"/>
              <w:left w:val="nil"/>
              <w:bottom w:val="nil"/>
              <w:right w:val="nil"/>
            </w:tcBorders>
            <w:vAlign w:val="center"/>
          </w:tcPr>
          <w:p w:rsidR="004D3BEB" w:rsidRPr="008D7F85" w:rsidRDefault="004D3BEB" w:rsidP="004D3BEB">
            <w:pPr>
              <w:spacing w:after="0" w:line="240" w:lineRule="auto"/>
              <w:jc w:val="right"/>
              <w:textAlignment w:val="center"/>
              <w:rPr>
                <w:rFonts w:ascii="Segoe UI" w:eastAsia="Segoe UI" w:hAnsi="Segoe UI" w:cs="Segoe UI"/>
                <w:b/>
                <w:color w:val="000000"/>
                <w:kern w:val="24"/>
                <w:sz w:val="14"/>
                <w:szCs w:val="16"/>
                <w:lang w:eastAsia="el-GR"/>
              </w:rPr>
            </w:pPr>
            <w:r w:rsidRPr="008D7F85">
              <w:rPr>
                <w:rFonts w:ascii="Segoe UI" w:eastAsia="Segoe UI" w:hAnsi="Segoe UI" w:cs="Segoe UI"/>
                <w:b/>
                <w:color w:val="000000"/>
                <w:kern w:val="24"/>
                <w:sz w:val="14"/>
                <w:szCs w:val="16"/>
                <w:lang w:eastAsia="el-GR"/>
              </w:rPr>
              <w:t>23 071</w:t>
            </w:r>
          </w:p>
        </w:tc>
      </w:tr>
      <w:tr w:rsidR="004D3BEB" w:rsidRPr="00173966"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tcPr>
          <w:p w:rsidR="004D3BEB" w:rsidRPr="00C62FEB" w:rsidRDefault="004D3BEB" w:rsidP="004D3BEB">
            <w:pPr>
              <w:spacing w:after="0" w:line="240" w:lineRule="auto"/>
              <w:textAlignment w:val="center"/>
              <w:rPr>
                <w:rFonts w:ascii="Segoe UI" w:eastAsia="Times New Roman" w:hAnsi="Segoe UI" w:cs="Segoe UI"/>
                <w:sz w:val="14"/>
                <w:szCs w:val="14"/>
                <w:lang w:val="el-GR" w:eastAsia="el-GR"/>
              </w:rPr>
            </w:pPr>
            <w:r>
              <w:rPr>
                <w:rFonts w:ascii="Segoe UI" w:eastAsia="Segoe UI" w:hAnsi="Segoe UI" w:cs="Segoe UI"/>
                <w:color w:val="000000"/>
                <w:kern w:val="24"/>
                <w:sz w:val="14"/>
                <w:szCs w:val="14"/>
                <w:lang w:val="el-GR" w:eastAsia="el-GR"/>
              </w:rPr>
              <w:t xml:space="preserve">Χαρτοφυλάκιο επενδύσεων </w:t>
            </w:r>
          </w:p>
        </w:tc>
        <w:tc>
          <w:tcPr>
            <w:tcW w:w="850" w:type="dxa"/>
            <w:tcBorders>
              <w:top w:val="nil"/>
              <w:left w:val="nil"/>
              <w:bottom w:val="nil"/>
              <w:right w:val="nil"/>
            </w:tcBorders>
            <w:vAlign w:val="center"/>
          </w:tcPr>
          <w:p w:rsidR="004D3BEB" w:rsidRPr="004D3BEB" w:rsidRDefault="004D3BEB" w:rsidP="004D3BEB">
            <w:pPr>
              <w:spacing w:after="0" w:line="240" w:lineRule="auto"/>
              <w:jc w:val="right"/>
              <w:textAlignment w:val="center"/>
              <w:rPr>
                <w:rFonts w:ascii="Arial" w:eastAsia="Times New Roman" w:hAnsi="Arial" w:cs="Arial"/>
                <w:sz w:val="14"/>
                <w:szCs w:val="36"/>
                <w:lang w:eastAsia="el-GR"/>
              </w:rPr>
            </w:pPr>
            <w:r w:rsidRPr="004D3BEB">
              <w:rPr>
                <w:rFonts w:ascii="Segoe UI" w:eastAsia="Segoe UI" w:hAnsi="Segoe UI" w:cs="Segoe UI"/>
                <w:color w:val="000000"/>
                <w:kern w:val="24"/>
                <w:sz w:val="14"/>
                <w:szCs w:val="16"/>
                <w:lang w:eastAsia="el-GR"/>
              </w:rPr>
              <w:t>8 993</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10 154</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9 123</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8 959</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8 396</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7</w:t>
            </w:r>
            <w:r>
              <w:rPr>
                <w:rFonts w:ascii="Segoe UI" w:eastAsia="Segoe UI" w:hAnsi="Segoe UI" w:cs="Segoe UI"/>
                <w:color w:val="000000"/>
                <w:kern w:val="24"/>
                <w:sz w:val="14"/>
                <w:szCs w:val="16"/>
                <w:lang w:val="el-GR" w:eastAsia="el-GR"/>
              </w:rPr>
              <w:t xml:space="preserve"> </w:t>
            </w:r>
            <w:r w:rsidRPr="00AB328B">
              <w:rPr>
                <w:rFonts w:ascii="Segoe UI" w:eastAsia="Segoe UI" w:hAnsi="Segoe UI" w:cs="Segoe UI"/>
                <w:color w:val="000000"/>
                <w:kern w:val="24"/>
                <w:sz w:val="14"/>
                <w:szCs w:val="16"/>
                <w:lang w:eastAsia="el-GR"/>
              </w:rPr>
              <w:t>867</w:t>
            </w:r>
          </w:p>
        </w:tc>
      </w:tr>
      <w:tr w:rsidR="004D3BEB" w:rsidRPr="00173966"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4D3BEB" w:rsidRPr="00C62FEB" w:rsidRDefault="004D3BEB" w:rsidP="004D3B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Καταθέσεις</w:t>
            </w:r>
          </w:p>
        </w:tc>
        <w:tc>
          <w:tcPr>
            <w:tcW w:w="850" w:type="dxa"/>
            <w:tcBorders>
              <w:top w:val="nil"/>
              <w:left w:val="nil"/>
              <w:bottom w:val="nil"/>
              <w:right w:val="nil"/>
            </w:tcBorders>
            <w:vAlign w:val="center"/>
          </w:tcPr>
          <w:p w:rsidR="004D3BEB" w:rsidRPr="004D3BEB" w:rsidRDefault="004D3BEB" w:rsidP="004D3BEB">
            <w:pPr>
              <w:spacing w:after="0" w:line="240" w:lineRule="auto"/>
              <w:jc w:val="right"/>
              <w:textAlignment w:val="center"/>
              <w:rPr>
                <w:rFonts w:ascii="Arial" w:eastAsia="Times New Roman" w:hAnsi="Arial" w:cs="Arial"/>
                <w:sz w:val="14"/>
                <w:szCs w:val="36"/>
                <w:lang w:eastAsia="el-GR"/>
              </w:rPr>
            </w:pPr>
            <w:r w:rsidRPr="004D3BEB">
              <w:rPr>
                <w:rFonts w:ascii="Segoe UI" w:eastAsia="Segoe UI" w:hAnsi="Segoe UI" w:cs="Segoe UI"/>
                <w:color w:val="000000"/>
                <w:kern w:val="24"/>
                <w:sz w:val="14"/>
                <w:szCs w:val="16"/>
                <w:lang w:eastAsia="el-GR"/>
              </w:rPr>
              <w:t>42 809</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42 943</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42 500</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43 027</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41</w:t>
            </w:r>
            <w:r>
              <w:rPr>
                <w:rFonts w:ascii="Segoe UI" w:eastAsia="Segoe UI" w:hAnsi="Segoe UI" w:cs="Segoe UI"/>
                <w:color w:val="000000"/>
                <w:kern w:val="24"/>
                <w:sz w:val="14"/>
                <w:szCs w:val="16"/>
                <w:lang w:val="el-GR" w:eastAsia="el-GR"/>
              </w:rPr>
              <w:t xml:space="preserve"> </w:t>
            </w:r>
            <w:r w:rsidRPr="00AB328B">
              <w:rPr>
                <w:rFonts w:ascii="Segoe UI" w:eastAsia="Segoe UI" w:hAnsi="Segoe UI" w:cs="Segoe UI"/>
                <w:color w:val="000000"/>
                <w:kern w:val="24"/>
                <w:sz w:val="14"/>
                <w:szCs w:val="16"/>
                <w:lang w:eastAsia="el-GR"/>
              </w:rPr>
              <w:t>322</w:t>
            </w:r>
          </w:p>
        </w:tc>
        <w:tc>
          <w:tcPr>
            <w:tcW w:w="850" w:type="dxa"/>
            <w:tcBorders>
              <w:top w:val="nil"/>
              <w:left w:val="nil"/>
              <w:bottom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sz w:val="14"/>
                <w:szCs w:val="36"/>
                <w:lang w:eastAsia="el-GR"/>
              </w:rPr>
            </w:pPr>
            <w:r w:rsidRPr="00AB328B">
              <w:rPr>
                <w:rFonts w:ascii="Segoe UI" w:eastAsia="Segoe UI" w:hAnsi="Segoe UI" w:cs="Segoe UI"/>
                <w:color w:val="000000"/>
                <w:kern w:val="24"/>
                <w:sz w:val="14"/>
                <w:szCs w:val="16"/>
                <w:lang w:eastAsia="el-GR"/>
              </w:rPr>
              <w:t>40 552</w:t>
            </w:r>
          </w:p>
        </w:tc>
      </w:tr>
      <w:tr w:rsidR="004D3BEB" w:rsidRPr="00173966"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4D3BEB" w:rsidRPr="00AB328B" w:rsidRDefault="004D3BEB" w:rsidP="004D3BEB">
            <w:pPr>
              <w:spacing w:after="0" w:line="240" w:lineRule="auto"/>
              <w:textAlignment w:val="center"/>
              <w:rPr>
                <w:rFonts w:ascii="Segoe UI" w:eastAsia="Times New Roman" w:hAnsi="Segoe UI" w:cs="Segoe UI"/>
                <w:b/>
                <w:sz w:val="14"/>
                <w:szCs w:val="14"/>
                <w:lang w:val="el-GR" w:eastAsia="el-GR"/>
              </w:rPr>
            </w:pPr>
            <w:r w:rsidRPr="00AB328B">
              <w:rPr>
                <w:rFonts w:ascii="Segoe UI" w:eastAsia="Segoe UI" w:hAnsi="Segoe UI" w:cs="Segoe UI"/>
                <w:b/>
                <w:color w:val="000000"/>
                <w:kern w:val="24"/>
                <w:sz w:val="14"/>
                <w:szCs w:val="14"/>
                <w:lang w:val="el-GR" w:eastAsia="el-GR"/>
              </w:rPr>
              <w:t xml:space="preserve">Ίδια κεφάλαια </w:t>
            </w:r>
          </w:p>
        </w:tc>
        <w:tc>
          <w:tcPr>
            <w:tcW w:w="850" w:type="dxa"/>
            <w:tcBorders>
              <w:top w:val="nil"/>
              <w:left w:val="nil"/>
              <w:right w:val="nil"/>
            </w:tcBorders>
            <w:vAlign w:val="center"/>
          </w:tcPr>
          <w:p w:rsidR="004D3BEB" w:rsidRPr="004D3BEB" w:rsidRDefault="004D3BEB" w:rsidP="004D3BEB">
            <w:pPr>
              <w:spacing w:after="0" w:line="240" w:lineRule="auto"/>
              <w:jc w:val="right"/>
              <w:textAlignment w:val="center"/>
              <w:rPr>
                <w:rFonts w:ascii="Arial" w:eastAsia="Times New Roman" w:hAnsi="Arial" w:cs="Arial"/>
                <w:b/>
                <w:sz w:val="14"/>
                <w:szCs w:val="36"/>
                <w:lang w:eastAsia="el-GR"/>
              </w:rPr>
            </w:pPr>
            <w:r w:rsidRPr="004D3BEB">
              <w:rPr>
                <w:rFonts w:ascii="Segoe UI" w:eastAsia="Segoe UI" w:hAnsi="Segoe UI" w:cs="Segoe UI"/>
                <w:b/>
                <w:kern w:val="24"/>
                <w:sz w:val="14"/>
                <w:szCs w:val="16"/>
                <w:lang w:eastAsia="el-GR"/>
              </w:rPr>
              <w:t>5 880</w:t>
            </w:r>
          </w:p>
        </w:tc>
        <w:tc>
          <w:tcPr>
            <w:tcW w:w="850" w:type="dxa"/>
            <w:tcBorders>
              <w:top w:val="nil"/>
              <w:left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b/>
                <w:sz w:val="14"/>
                <w:szCs w:val="36"/>
                <w:lang w:eastAsia="el-GR"/>
              </w:rPr>
            </w:pPr>
            <w:r w:rsidRPr="00AB328B">
              <w:rPr>
                <w:rFonts w:ascii="Segoe UI" w:eastAsia="Segoe UI" w:hAnsi="Segoe UI" w:cs="Segoe UI"/>
                <w:b/>
                <w:kern w:val="24"/>
                <w:sz w:val="14"/>
                <w:szCs w:val="16"/>
                <w:lang w:eastAsia="el-GR"/>
              </w:rPr>
              <w:t>5 550</w:t>
            </w:r>
          </w:p>
        </w:tc>
        <w:tc>
          <w:tcPr>
            <w:tcW w:w="850" w:type="dxa"/>
            <w:tcBorders>
              <w:top w:val="nil"/>
              <w:left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b/>
                <w:sz w:val="14"/>
                <w:szCs w:val="36"/>
                <w:lang w:eastAsia="el-GR"/>
              </w:rPr>
            </w:pPr>
            <w:r w:rsidRPr="00AB328B">
              <w:rPr>
                <w:rFonts w:ascii="Segoe UI" w:eastAsia="Segoe UI" w:hAnsi="Segoe UI" w:cs="Segoe UI"/>
                <w:b/>
                <w:kern w:val="24"/>
                <w:sz w:val="14"/>
                <w:szCs w:val="16"/>
                <w:lang w:eastAsia="el-GR"/>
              </w:rPr>
              <w:t>5 078</w:t>
            </w:r>
          </w:p>
        </w:tc>
        <w:tc>
          <w:tcPr>
            <w:tcW w:w="850" w:type="dxa"/>
            <w:tcBorders>
              <w:top w:val="nil"/>
              <w:left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b/>
                <w:sz w:val="14"/>
                <w:szCs w:val="36"/>
                <w:lang w:eastAsia="el-GR"/>
              </w:rPr>
            </w:pPr>
            <w:r w:rsidRPr="00AB328B">
              <w:rPr>
                <w:rFonts w:ascii="Segoe UI" w:eastAsia="Segoe UI" w:hAnsi="Segoe UI" w:cs="Segoe UI"/>
                <w:b/>
                <w:kern w:val="24"/>
                <w:sz w:val="14"/>
                <w:szCs w:val="16"/>
                <w:lang w:eastAsia="el-GR"/>
              </w:rPr>
              <w:t>4 962</w:t>
            </w:r>
          </w:p>
        </w:tc>
        <w:tc>
          <w:tcPr>
            <w:tcW w:w="850" w:type="dxa"/>
            <w:tcBorders>
              <w:top w:val="nil"/>
              <w:left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b/>
                <w:sz w:val="14"/>
                <w:szCs w:val="36"/>
                <w:lang w:eastAsia="el-GR"/>
              </w:rPr>
            </w:pPr>
            <w:r w:rsidRPr="00AB328B">
              <w:rPr>
                <w:rFonts w:ascii="Segoe UI" w:eastAsia="Segoe UI" w:hAnsi="Segoe UI" w:cs="Segoe UI"/>
                <w:b/>
                <w:kern w:val="24"/>
                <w:sz w:val="14"/>
                <w:szCs w:val="16"/>
                <w:lang w:eastAsia="el-GR"/>
              </w:rPr>
              <w:t>5 051</w:t>
            </w:r>
          </w:p>
        </w:tc>
        <w:tc>
          <w:tcPr>
            <w:tcW w:w="850" w:type="dxa"/>
            <w:tcBorders>
              <w:top w:val="nil"/>
              <w:left w:val="nil"/>
              <w:right w:val="nil"/>
            </w:tcBorders>
            <w:vAlign w:val="center"/>
          </w:tcPr>
          <w:p w:rsidR="004D3BEB" w:rsidRPr="00AB328B" w:rsidRDefault="004D3BEB" w:rsidP="004D3BEB">
            <w:pPr>
              <w:spacing w:after="0" w:line="240" w:lineRule="auto"/>
              <w:jc w:val="right"/>
              <w:textAlignment w:val="center"/>
              <w:rPr>
                <w:rFonts w:ascii="Arial" w:eastAsia="Times New Roman" w:hAnsi="Arial" w:cs="Arial"/>
                <w:b/>
                <w:sz w:val="14"/>
                <w:szCs w:val="36"/>
                <w:lang w:eastAsia="el-GR"/>
              </w:rPr>
            </w:pPr>
            <w:r w:rsidRPr="00AB328B">
              <w:rPr>
                <w:rFonts w:ascii="Segoe UI" w:eastAsia="Segoe UI" w:hAnsi="Segoe UI" w:cs="Segoe UI"/>
                <w:b/>
                <w:kern w:val="24"/>
                <w:sz w:val="14"/>
                <w:szCs w:val="16"/>
                <w:lang w:eastAsia="el-GR"/>
              </w:rPr>
              <w:t>5 088</w:t>
            </w:r>
          </w:p>
        </w:tc>
      </w:tr>
      <w:tr w:rsidR="004D3BEB" w:rsidRPr="00173966" w:rsidTr="00AF1BA2">
        <w:trPr>
          <w:trHeight w:val="113"/>
        </w:trPr>
        <w:tc>
          <w:tcPr>
            <w:tcW w:w="3572" w:type="dxa"/>
            <w:tcBorders>
              <w:top w:val="nil"/>
              <w:left w:val="nil"/>
              <w:bottom w:val="single" w:sz="12" w:space="0" w:color="auto"/>
              <w:right w:val="nil"/>
            </w:tcBorders>
            <w:shd w:val="clear" w:color="auto" w:fill="auto"/>
            <w:tcMar>
              <w:top w:w="15" w:type="dxa"/>
              <w:left w:w="42" w:type="dxa"/>
              <w:bottom w:w="0" w:type="dxa"/>
              <w:right w:w="15" w:type="dxa"/>
            </w:tcMar>
            <w:vAlign w:val="center"/>
          </w:tcPr>
          <w:p w:rsidR="004D3BEB" w:rsidRPr="00C62FEB" w:rsidRDefault="004D3BEB" w:rsidP="004D3BEB">
            <w:pPr>
              <w:spacing w:after="0" w:line="240" w:lineRule="auto"/>
              <w:textAlignment w:val="center"/>
              <w:rPr>
                <w:rFonts w:ascii="Segoe UI" w:eastAsia="Segoe UI" w:hAnsi="Segoe UI" w:cs="Segoe UI"/>
                <w:color w:val="000000"/>
                <w:kern w:val="24"/>
                <w:sz w:val="14"/>
                <w:szCs w:val="14"/>
                <w:lang w:val="el-GR" w:eastAsia="el-GR"/>
              </w:rPr>
            </w:pPr>
            <w:r w:rsidRPr="00C62FEB">
              <w:rPr>
                <w:rFonts w:ascii="Segoe UI" w:eastAsia="Segoe UI" w:hAnsi="Segoe UI" w:cs="Segoe UI"/>
                <w:color w:val="000000"/>
                <w:kern w:val="24"/>
                <w:sz w:val="14"/>
                <w:szCs w:val="14"/>
                <w:lang w:val="el-GR" w:eastAsia="el-GR"/>
              </w:rPr>
              <w:t>Ενσώματα Ίδια κεφάλαια</w:t>
            </w:r>
          </w:p>
        </w:tc>
        <w:tc>
          <w:tcPr>
            <w:tcW w:w="850" w:type="dxa"/>
            <w:tcBorders>
              <w:top w:val="nil"/>
              <w:left w:val="nil"/>
              <w:bottom w:val="single" w:sz="12" w:space="0" w:color="auto"/>
              <w:right w:val="nil"/>
            </w:tcBorders>
            <w:vAlign w:val="center"/>
          </w:tcPr>
          <w:p w:rsidR="004D3BEB" w:rsidRPr="004D3BEB" w:rsidRDefault="004D3BEB" w:rsidP="004D3BEB">
            <w:pPr>
              <w:spacing w:after="0" w:line="240" w:lineRule="auto"/>
              <w:jc w:val="right"/>
              <w:textAlignment w:val="center"/>
              <w:rPr>
                <w:rFonts w:ascii="Segoe UI" w:eastAsia="Segoe UI" w:hAnsi="Segoe UI" w:cs="Segoe UI"/>
                <w:kern w:val="24"/>
                <w:sz w:val="14"/>
                <w:szCs w:val="16"/>
                <w:lang w:eastAsia="el-GR"/>
              </w:rPr>
            </w:pPr>
            <w:r w:rsidRPr="004D3BEB">
              <w:rPr>
                <w:rFonts w:ascii="Segoe UI" w:eastAsia="Segoe UI" w:hAnsi="Segoe UI" w:cs="Segoe UI"/>
                <w:kern w:val="24"/>
                <w:sz w:val="14"/>
                <w:szCs w:val="16"/>
                <w:lang w:eastAsia="el-GR"/>
              </w:rPr>
              <w:t>5 704</w:t>
            </w:r>
          </w:p>
        </w:tc>
        <w:tc>
          <w:tcPr>
            <w:tcW w:w="850" w:type="dxa"/>
            <w:tcBorders>
              <w:top w:val="nil"/>
              <w:left w:val="nil"/>
              <w:bottom w:val="single" w:sz="12" w:space="0" w:color="auto"/>
              <w:right w:val="nil"/>
            </w:tcBorders>
            <w:vAlign w:val="center"/>
          </w:tcPr>
          <w:p w:rsidR="004D3BEB" w:rsidRPr="00AB328B" w:rsidRDefault="004D3BEB" w:rsidP="004D3BEB">
            <w:pPr>
              <w:spacing w:after="0" w:line="240" w:lineRule="auto"/>
              <w:jc w:val="right"/>
              <w:textAlignment w:val="center"/>
              <w:rPr>
                <w:rFonts w:ascii="Segoe UI" w:eastAsia="Segoe UI" w:hAnsi="Segoe UI" w:cs="Segoe UI"/>
                <w:kern w:val="24"/>
                <w:sz w:val="14"/>
                <w:szCs w:val="16"/>
                <w:lang w:eastAsia="el-GR"/>
              </w:rPr>
            </w:pPr>
            <w:r w:rsidRPr="00AB328B">
              <w:rPr>
                <w:rFonts w:ascii="Segoe UI" w:eastAsia="Segoe UI" w:hAnsi="Segoe UI" w:cs="Segoe UI"/>
                <w:kern w:val="24"/>
                <w:sz w:val="14"/>
                <w:szCs w:val="16"/>
                <w:lang w:eastAsia="el-GR"/>
              </w:rPr>
              <w:t>5 390</w:t>
            </w:r>
          </w:p>
        </w:tc>
        <w:tc>
          <w:tcPr>
            <w:tcW w:w="850" w:type="dxa"/>
            <w:tcBorders>
              <w:top w:val="nil"/>
              <w:left w:val="nil"/>
              <w:bottom w:val="single" w:sz="12" w:space="0" w:color="auto"/>
              <w:right w:val="nil"/>
            </w:tcBorders>
            <w:vAlign w:val="center"/>
          </w:tcPr>
          <w:p w:rsidR="004D3BEB" w:rsidRPr="00AB328B" w:rsidRDefault="004D3BEB" w:rsidP="004D3BEB">
            <w:pPr>
              <w:spacing w:after="0" w:line="240" w:lineRule="auto"/>
              <w:jc w:val="right"/>
              <w:textAlignment w:val="center"/>
              <w:rPr>
                <w:rFonts w:ascii="Segoe UI" w:eastAsia="Segoe UI" w:hAnsi="Segoe UI" w:cs="Segoe UI"/>
                <w:kern w:val="24"/>
                <w:sz w:val="14"/>
                <w:szCs w:val="16"/>
                <w:lang w:eastAsia="el-GR"/>
              </w:rPr>
            </w:pPr>
            <w:r w:rsidRPr="00AB328B">
              <w:rPr>
                <w:rFonts w:ascii="Segoe UI" w:eastAsia="Segoe UI" w:hAnsi="Segoe UI" w:cs="Segoe UI"/>
                <w:kern w:val="24"/>
                <w:sz w:val="14"/>
                <w:szCs w:val="16"/>
                <w:lang w:eastAsia="el-GR"/>
              </w:rPr>
              <w:t>4 933</w:t>
            </w:r>
          </w:p>
        </w:tc>
        <w:tc>
          <w:tcPr>
            <w:tcW w:w="850" w:type="dxa"/>
            <w:tcBorders>
              <w:top w:val="nil"/>
              <w:left w:val="nil"/>
              <w:bottom w:val="single" w:sz="12" w:space="0" w:color="auto"/>
              <w:right w:val="nil"/>
            </w:tcBorders>
            <w:vAlign w:val="center"/>
          </w:tcPr>
          <w:p w:rsidR="004D3BEB" w:rsidRPr="00AB328B" w:rsidRDefault="004D3BEB" w:rsidP="004D3BEB">
            <w:pPr>
              <w:spacing w:after="0" w:line="240" w:lineRule="auto"/>
              <w:jc w:val="right"/>
              <w:textAlignment w:val="center"/>
              <w:rPr>
                <w:rFonts w:ascii="Segoe UI" w:eastAsia="Segoe UI" w:hAnsi="Segoe UI" w:cs="Segoe UI"/>
                <w:kern w:val="24"/>
                <w:sz w:val="14"/>
                <w:szCs w:val="16"/>
                <w:lang w:eastAsia="el-GR"/>
              </w:rPr>
            </w:pPr>
            <w:r w:rsidRPr="00AB328B">
              <w:rPr>
                <w:rFonts w:ascii="Segoe UI" w:eastAsia="Segoe UI" w:hAnsi="Segoe UI" w:cs="Segoe UI"/>
                <w:kern w:val="24"/>
                <w:sz w:val="14"/>
                <w:szCs w:val="16"/>
                <w:lang w:eastAsia="el-GR"/>
              </w:rPr>
              <w:t>4 812</w:t>
            </w:r>
          </w:p>
        </w:tc>
        <w:tc>
          <w:tcPr>
            <w:tcW w:w="850" w:type="dxa"/>
            <w:tcBorders>
              <w:top w:val="nil"/>
              <w:left w:val="nil"/>
              <w:bottom w:val="single" w:sz="12" w:space="0" w:color="auto"/>
              <w:right w:val="nil"/>
            </w:tcBorders>
            <w:vAlign w:val="center"/>
          </w:tcPr>
          <w:p w:rsidR="004D3BEB" w:rsidRPr="00AB328B" w:rsidRDefault="004D3BEB" w:rsidP="004D3BEB">
            <w:pPr>
              <w:spacing w:after="0" w:line="240" w:lineRule="auto"/>
              <w:jc w:val="right"/>
              <w:textAlignment w:val="center"/>
              <w:rPr>
                <w:rFonts w:ascii="Segoe UI" w:eastAsia="Segoe UI" w:hAnsi="Segoe UI" w:cs="Segoe UI"/>
                <w:kern w:val="24"/>
                <w:sz w:val="14"/>
                <w:szCs w:val="16"/>
                <w:lang w:eastAsia="el-GR"/>
              </w:rPr>
            </w:pPr>
            <w:r w:rsidRPr="00AB328B">
              <w:rPr>
                <w:rFonts w:ascii="Segoe UI" w:eastAsia="Segoe UI" w:hAnsi="Segoe UI" w:cs="Segoe UI"/>
                <w:kern w:val="24"/>
                <w:sz w:val="14"/>
                <w:szCs w:val="16"/>
                <w:lang w:eastAsia="el-GR"/>
              </w:rPr>
              <w:t>4 911</w:t>
            </w:r>
          </w:p>
        </w:tc>
        <w:tc>
          <w:tcPr>
            <w:tcW w:w="850" w:type="dxa"/>
            <w:tcBorders>
              <w:top w:val="nil"/>
              <w:left w:val="nil"/>
              <w:bottom w:val="single" w:sz="12" w:space="0" w:color="auto"/>
              <w:right w:val="nil"/>
            </w:tcBorders>
            <w:vAlign w:val="center"/>
          </w:tcPr>
          <w:p w:rsidR="004D3BEB" w:rsidRPr="00AB328B" w:rsidRDefault="004D3BEB" w:rsidP="004D3BEB">
            <w:pPr>
              <w:spacing w:after="0" w:line="240" w:lineRule="auto"/>
              <w:jc w:val="right"/>
              <w:textAlignment w:val="center"/>
              <w:rPr>
                <w:rFonts w:ascii="Segoe UI" w:eastAsia="Segoe UI" w:hAnsi="Segoe UI" w:cs="Segoe UI"/>
                <w:kern w:val="24"/>
                <w:sz w:val="14"/>
                <w:szCs w:val="16"/>
                <w:lang w:eastAsia="el-GR"/>
              </w:rPr>
            </w:pPr>
            <w:r w:rsidRPr="00AB328B">
              <w:rPr>
                <w:rFonts w:ascii="Segoe UI" w:eastAsia="Segoe UI" w:hAnsi="Segoe UI" w:cs="Segoe UI"/>
                <w:kern w:val="24"/>
                <w:sz w:val="14"/>
                <w:szCs w:val="16"/>
                <w:lang w:eastAsia="el-GR"/>
              </w:rPr>
              <w:t>4 957</w:t>
            </w:r>
          </w:p>
        </w:tc>
      </w:tr>
    </w:tbl>
    <w:p w:rsidR="00604AD2" w:rsidRPr="00FE7A2C" w:rsidRDefault="00396E58" w:rsidP="00DF299F">
      <w:pPr>
        <w:spacing w:after="0"/>
        <w:jc w:val="both"/>
        <w:textAlignment w:val="baseline"/>
        <w:rPr>
          <w:rFonts w:ascii="Segoe UI" w:eastAsia="Times New Roman" w:hAnsi="Segoe UI" w:cs="Segoe UI"/>
          <w:kern w:val="24"/>
          <w:sz w:val="9"/>
          <w:szCs w:val="9"/>
          <w:lang w:val="el-GR" w:eastAsia="el-GR"/>
        </w:rPr>
      </w:pPr>
      <w:r w:rsidRPr="008510E3">
        <w:rPr>
          <w:rFonts w:ascii="Segoe UI" w:eastAsia="Times New Roman" w:hAnsi="Segoe UI" w:cs="Segoe UI"/>
          <w:kern w:val="24"/>
          <w:sz w:val="9"/>
          <w:szCs w:val="9"/>
          <w:vertAlign w:val="superscript"/>
          <w:lang w:val="el-GR" w:eastAsia="el-GR"/>
        </w:rPr>
        <w:t>1</w:t>
      </w:r>
      <w:r w:rsidRPr="00B000B3">
        <w:rPr>
          <w:rFonts w:ascii="Segoe UI" w:eastAsia="Times New Roman" w:hAnsi="Segoe UI" w:cs="Segoe UI"/>
          <w:kern w:val="24"/>
          <w:sz w:val="9"/>
          <w:szCs w:val="9"/>
          <w:lang w:val="el-GR" w:eastAsia="el-GR"/>
        </w:rPr>
        <w:t xml:space="preserve"> Η Κατάσταση Χρηματοοικονομικής Θέσης του Ομίλου </w:t>
      </w:r>
      <w:r w:rsidR="00FE7A2C">
        <w:rPr>
          <w:rFonts w:ascii="Segoe UI" w:eastAsia="Times New Roman" w:hAnsi="Segoe UI" w:cs="Segoe UI"/>
          <w:kern w:val="24"/>
          <w:sz w:val="9"/>
          <w:szCs w:val="9"/>
          <w:lang w:val="el-GR" w:eastAsia="el-GR"/>
        </w:rPr>
        <w:t>το</w:t>
      </w:r>
      <w:r w:rsidR="00FE7A2C" w:rsidRPr="00FE7A2C">
        <w:rPr>
          <w:rFonts w:ascii="Segoe UI" w:eastAsia="Times New Roman" w:hAnsi="Segoe UI" w:cs="Segoe UI"/>
          <w:kern w:val="24"/>
          <w:sz w:val="9"/>
          <w:szCs w:val="9"/>
          <w:lang w:val="el-GR" w:eastAsia="el-GR"/>
        </w:rPr>
        <w:t xml:space="preserve"> </w:t>
      </w:r>
      <w:r w:rsidR="00AA00B9">
        <w:rPr>
          <w:rFonts w:ascii="Segoe UI" w:eastAsia="Times New Roman" w:hAnsi="Segoe UI" w:cs="Segoe UI"/>
          <w:kern w:val="24"/>
          <w:sz w:val="9"/>
          <w:szCs w:val="9"/>
          <w:lang w:val="el-GR" w:eastAsia="el-GR"/>
        </w:rPr>
        <w:t>Γ</w:t>
      </w:r>
      <w:r w:rsidR="00FE7A2C" w:rsidRPr="00FE7A2C">
        <w:rPr>
          <w:rFonts w:ascii="Segoe UI" w:eastAsia="Times New Roman" w:hAnsi="Segoe UI" w:cs="Segoe UI"/>
          <w:kern w:val="24"/>
          <w:sz w:val="9"/>
          <w:szCs w:val="9"/>
          <w:lang w:val="el-GR" w:eastAsia="el-GR"/>
        </w:rPr>
        <w:t xml:space="preserve">’ </w:t>
      </w:r>
      <w:r w:rsidR="00FE7A2C">
        <w:rPr>
          <w:rFonts w:ascii="Segoe UI" w:eastAsia="Times New Roman" w:hAnsi="Segoe UI" w:cs="Segoe UI"/>
          <w:kern w:val="24"/>
          <w:sz w:val="9"/>
          <w:szCs w:val="9"/>
          <w:lang w:val="el-GR" w:eastAsia="el-GR"/>
        </w:rPr>
        <w:t xml:space="preserve">τρίμηνο 2019 </w:t>
      </w:r>
      <w:r w:rsidRPr="00B000B3">
        <w:rPr>
          <w:rFonts w:ascii="Segoe UI" w:eastAsia="Times New Roman" w:hAnsi="Segoe UI" w:cs="Segoe UI"/>
          <w:kern w:val="24"/>
          <w:sz w:val="9"/>
          <w:szCs w:val="9"/>
          <w:lang w:val="el-GR" w:eastAsia="el-GR"/>
        </w:rPr>
        <w:t xml:space="preserve">έχει αναπροσαρμοστεί για τις αποεπενδύσεις της ΕΤΕ </w:t>
      </w:r>
      <w:r w:rsidR="00CE41BB">
        <w:rPr>
          <w:rFonts w:ascii="Segoe UI" w:eastAsia="Times New Roman" w:hAnsi="Segoe UI" w:cs="Segoe UI"/>
          <w:kern w:val="24"/>
          <w:sz w:val="9"/>
          <w:szCs w:val="9"/>
          <w:lang w:val="el-GR" w:eastAsia="el-GR"/>
        </w:rPr>
        <w:t>σε</w:t>
      </w:r>
      <w:r w:rsidRPr="00B000B3">
        <w:rPr>
          <w:rFonts w:ascii="Segoe UI" w:eastAsia="Times New Roman" w:hAnsi="Segoe UI" w:cs="Segoe UI"/>
          <w:kern w:val="24"/>
          <w:sz w:val="9"/>
          <w:szCs w:val="9"/>
          <w:lang w:val="el-GR" w:eastAsia="el-GR"/>
        </w:rPr>
        <w:t xml:space="preserve"> Κύπρο, Αίγυπτο</w:t>
      </w:r>
      <w:r>
        <w:rPr>
          <w:rFonts w:ascii="Segoe UI" w:eastAsia="Times New Roman" w:hAnsi="Segoe UI" w:cs="Segoe UI"/>
          <w:kern w:val="24"/>
          <w:sz w:val="9"/>
          <w:szCs w:val="9"/>
          <w:lang w:val="el-GR" w:eastAsia="el-GR"/>
        </w:rPr>
        <w:t xml:space="preserve">, </w:t>
      </w:r>
      <w:r w:rsidRPr="00B000B3">
        <w:rPr>
          <w:rFonts w:ascii="Segoe UI" w:eastAsia="Times New Roman" w:hAnsi="Segoe UI" w:cs="Segoe UI"/>
          <w:kern w:val="24"/>
          <w:sz w:val="9"/>
          <w:szCs w:val="9"/>
          <w:lang w:val="el-GR" w:eastAsia="el-GR"/>
        </w:rPr>
        <w:t>Ρουμανία, καθώς και Εθνική Ασφαλιστική, οι οποίες έχουν ταξινομηθεί ως μη κυκλοφορούντα περιουσιακά στοιχεία προοριζόμενα προς πώληση και υποχρεώσεις σχετιζόμενες με μη κυκλοφορούντα περιουσιακά στ</w:t>
      </w:r>
      <w:r w:rsidR="00FE7A2C">
        <w:rPr>
          <w:rFonts w:ascii="Segoe UI" w:eastAsia="Times New Roman" w:hAnsi="Segoe UI" w:cs="Segoe UI"/>
          <w:kern w:val="24"/>
          <w:sz w:val="9"/>
          <w:szCs w:val="9"/>
          <w:lang w:val="el-GR" w:eastAsia="el-GR"/>
        </w:rPr>
        <w:t>οιχεία προοριζόμενα προς πώληση</w:t>
      </w:r>
    </w:p>
    <w:p w:rsidR="00396E58" w:rsidRDefault="00486D0B" w:rsidP="00591E6B">
      <w:pPr>
        <w:spacing w:after="0"/>
        <w:textAlignment w:val="baseline"/>
        <w:rPr>
          <w:rFonts w:ascii="Segoe UI" w:eastAsia="Times New Roman" w:hAnsi="Segoe UI" w:cs="Segoe UI"/>
          <w:color w:val="000000" w:themeColor="text1"/>
          <w:kern w:val="24"/>
          <w:sz w:val="11"/>
          <w:szCs w:val="11"/>
          <w:lang w:val="el-GR" w:eastAsia="el-GR"/>
        </w:rPr>
      </w:pPr>
      <w:r w:rsidRPr="00486D0B">
        <w:rPr>
          <w:rFonts w:ascii="Segoe UI" w:eastAsia="Times New Roman" w:hAnsi="Segoe UI" w:cs="Segoe UI"/>
          <w:noProof/>
          <w:kern w:val="24"/>
          <w:sz w:val="9"/>
          <w:szCs w:val="9"/>
          <w:lang w:val="el-GR" w:eastAsia="el-GR"/>
        </w:rPr>
        <w:pict>
          <v:rect id="_x0000_s1030" style="position:absolute;margin-left:-2.2pt;margin-top:4.9pt;width:123.2pt;height:20.25pt;z-index:251618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" filled="f" stroked="f">
            <v:shadow on="t" type="perspective" color="black" opacity="26214f" origin=",.5" offset="0,1pt" matrix="64881f,,,64881f"/>
            <v:path arrowok="t"/>
            <o:lock v:ext="edit" grouping="t"/>
            <v:textbox inset="1.2699mm,1.2699mm,1.2699mm,1.2699mm">
              <w:txbxContent>
                <w:p w:rsidR="005726A5" w:rsidRPr="00D46FEC" w:rsidRDefault="005726A5" w:rsidP="008F2323">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Κύριοι Δείκτες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Όμιλος</w:t>
                  </w:r>
                </w:p>
                <w:p w:rsidR="005726A5" w:rsidRPr="00D46FEC" w:rsidRDefault="005726A5" w:rsidP="008F2323">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D46FEC" w:rsidRDefault="005726A5" w:rsidP="008F2323">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D46FEC" w:rsidRDefault="005726A5" w:rsidP="008F2323">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FE1137" w:rsidRDefault="005726A5" w:rsidP="008F2323">
                  <w:pPr>
                    <w:pStyle w:val="Web"/>
                    <w:kinsoku w:val="0"/>
                    <w:overflowPunct w:val="0"/>
                    <w:spacing w:before="40" w:beforeAutospacing="0" w:after="0" w:afterAutospacing="0"/>
                    <w:ind w:left="547" w:hanging="547"/>
                    <w:textAlignment w:val="baseline"/>
                    <w:rPr>
                      <w:b/>
                      <w:color w:val="008080"/>
                      <w:sz w:val="16"/>
                    </w:rPr>
                  </w:pPr>
                </w:p>
              </w:txbxContent>
            </v:textbox>
          </v:rect>
        </w:pict>
      </w:r>
    </w:p>
    <w:p w:rsidR="00B000B3" w:rsidRDefault="00B000B3" w:rsidP="00591E6B">
      <w:pPr>
        <w:spacing w:after="0"/>
        <w:textAlignment w:val="baseline"/>
        <w:rPr>
          <w:rFonts w:ascii="Segoe UI" w:eastAsia="Times New Roman" w:hAnsi="Segoe UI" w:cs="Segoe UI"/>
          <w:color w:val="000000" w:themeColor="text1"/>
          <w:kern w:val="24"/>
          <w:sz w:val="11"/>
          <w:szCs w:val="11"/>
          <w:lang w:val="el-GR" w:eastAsia="el-GR"/>
        </w:rPr>
      </w:pPr>
    </w:p>
    <w:p w:rsidR="00604AD2" w:rsidRPr="00173966" w:rsidRDefault="00486D0B" w:rsidP="00591E6B">
      <w:pPr>
        <w:spacing w:after="0"/>
        <w:textAlignment w:val="baseline"/>
        <w:rPr>
          <w:rFonts w:ascii="Segoe UI" w:eastAsia="Times New Roman" w:hAnsi="Segoe UI" w:cs="Segoe UI"/>
          <w:color w:val="000000" w:themeColor="text1"/>
          <w:kern w:val="24"/>
          <w:sz w:val="11"/>
          <w:szCs w:val="11"/>
          <w:lang w:val="el-GR" w:eastAsia="el-GR"/>
        </w:rPr>
      </w:pPr>
      <w:r w:rsidRPr="00486D0B">
        <w:rPr>
          <w:rFonts w:eastAsia="Calibri"/>
          <w:noProof/>
          <w:lang w:val="el-GR" w:eastAsia="el-GR"/>
        </w:rPr>
        <w:pict>
          <v:roundrect id="_x0000_s1055" style="position:absolute;margin-left:178.7pt;margin-top:8.1pt;width:43.1pt;height:182.5pt;z-index:2516428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" filled="f" strokecolor="#ff7415"/>
        </w:pict>
      </w:r>
    </w:p>
    <w:tbl>
      <w:tblPr>
        <w:tblW w:w="8676" w:type="dxa"/>
        <w:tblLayout w:type="fixed"/>
        <w:tblCellMar>
          <w:left w:w="0" w:type="dxa"/>
          <w:right w:w="0" w:type="dxa"/>
        </w:tblCellMar>
        <w:tblLook w:val="0420"/>
      </w:tblPr>
      <w:tblGrid>
        <w:gridCol w:w="3572"/>
        <w:gridCol w:w="850"/>
        <w:gridCol w:w="850"/>
        <w:gridCol w:w="850"/>
        <w:gridCol w:w="850"/>
        <w:gridCol w:w="852"/>
        <w:gridCol w:w="852"/>
      </w:tblGrid>
      <w:tr w:rsidR="00DF299F" w:rsidRPr="00173966" w:rsidTr="00AF1BA2">
        <w:trPr>
          <w:trHeight w:val="289"/>
        </w:trPr>
        <w:tc>
          <w:tcPr>
            <w:tcW w:w="3572" w:type="dxa"/>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DF299F" w:rsidRPr="00C62FEB" w:rsidRDefault="00DF299F" w:rsidP="00DF299F">
            <w:pPr>
              <w:spacing w:after="0" w:line="240" w:lineRule="auto"/>
              <w:rPr>
                <w:rFonts w:ascii="Segoe UI" w:eastAsia="Times New Roman" w:hAnsi="Segoe UI" w:cs="Segoe UI"/>
                <w:sz w:val="14"/>
                <w:szCs w:val="14"/>
                <w:lang w:val="el-GR" w:eastAsia="el-GR"/>
              </w:rPr>
            </w:pPr>
          </w:p>
        </w:tc>
        <w:tc>
          <w:tcPr>
            <w:tcW w:w="850" w:type="dxa"/>
            <w:tcBorders>
              <w:top w:val="single" w:sz="8" w:space="0" w:color="000000"/>
              <w:left w:val="nil"/>
              <w:bottom w:val="single" w:sz="8" w:space="0" w:color="000000"/>
              <w:right w:val="nil"/>
            </w:tcBorders>
          </w:tcPr>
          <w:p w:rsidR="00DF299F" w:rsidRDefault="00DF299F" w:rsidP="00DF299F">
            <w:pPr>
              <w:spacing w:after="0" w:line="240" w:lineRule="auto"/>
              <w:jc w:val="right"/>
              <w:textAlignment w:val="center"/>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Γ</w:t>
            </w:r>
            <w:r w:rsidRPr="004D3BEB">
              <w:rPr>
                <w:rFonts w:ascii="Segoe UI" w:eastAsia="Times New Roman" w:hAnsi="Segoe UI" w:cs="Segoe UI"/>
                <w:b/>
                <w:bCs/>
                <w:color w:val="000000" w:themeColor="text1"/>
                <w:kern w:val="24"/>
                <w:sz w:val="14"/>
                <w:szCs w:val="14"/>
                <w:lang w:val="el-GR" w:eastAsia="el-GR"/>
              </w:rPr>
              <w:t>‘ τρίμηνο  2019</w:t>
            </w:r>
          </w:p>
        </w:tc>
        <w:tc>
          <w:tcPr>
            <w:tcW w:w="850" w:type="dxa"/>
            <w:tcBorders>
              <w:top w:val="single" w:sz="8" w:space="0" w:color="000000"/>
              <w:left w:val="nil"/>
              <w:bottom w:val="single" w:sz="8" w:space="0" w:color="000000"/>
              <w:right w:val="nil"/>
            </w:tcBorders>
          </w:tcPr>
          <w:p w:rsidR="00DF299F" w:rsidRDefault="00DF299F" w:rsidP="00DF299F">
            <w:pPr>
              <w:spacing w:after="0" w:line="240" w:lineRule="auto"/>
              <w:jc w:val="right"/>
              <w:textAlignment w:val="center"/>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Β</w:t>
            </w:r>
            <w:r w:rsidRPr="004C0E3B">
              <w:rPr>
                <w:rFonts w:ascii="Segoe UI" w:eastAsia="Times New Roman" w:hAnsi="Segoe UI" w:cs="Segoe UI"/>
                <w:b/>
                <w:bCs/>
                <w:color w:val="000000" w:themeColor="text1"/>
                <w:kern w:val="24"/>
                <w:sz w:val="14"/>
                <w:szCs w:val="14"/>
                <w:lang w:val="el-GR" w:eastAsia="el-GR"/>
              </w:rPr>
              <w:t>‘</w:t>
            </w:r>
            <w:r w:rsidRPr="00C62FEB">
              <w:rPr>
                <w:rFonts w:ascii="Segoe UI" w:eastAsia="Times New Roman" w:hAnsi="Segoe UI" w:cs="Segoe UI"/>
                <w:b/>
                <w:bCs/>
                <w:color w:val="000000" w:themeColor="text1"/>
                <w:kern w:val="24"/>
                <w:sz w:val="14"/>
                <w:szCs w:val="14"/>
                <w:lang w:val="el-GR" w:eastAsia="el-GR"/>
              </w:rPr>
              <w:t xml:space="preserve"> </w:t>
            </w:r>
            <w:r>
              <w:rPr>
                <w:rFonts w:ascii="Segoe UI" w:eastAsia="Times New Roman" w:hAnsi="Segoe UI" w:cs="Segoe UI"/>
                <w:b/>
                <w:bCs/>
                <w:color w:val="000000" w:themeColor="text1"/>
                <w:kern w:val="24"/>
                <w:sz w:val="14"/>
                <w:szCs w:val="14"/>
                <w:lang w:val="el-GR" w:eastAsia="el-GR"/>
              </w:rPr>
              <w:t>τ</w:t>
            </w:r>
            <w:r w:rsidRPr="004C0E3B">
              <w:rPr>
                <w:rFonts w:ascii="Segoe UI" w:eastAsia="Times New Roman" w:hAnsi="Segoe UI" w:cs="Segoe UI"/>
                <w:b/>
                <w:bCs/>
                <w:color w:val="000000" w:themeColor="text1"/>
                <w:kern w:val="24"/>
                <w:sz w:val="14"/>
                <w:szCs w:val="14"/>
                <w:lang w:val="el-GR" w:eastAsia="el-GR"/>
              </w:rPr>
              <w:t>ρίμηνο</w:t>
            </w:r>
            <w:r w:rsidRPr="00C62FEB">
              <w:rPr>
                <w:rFonts w:ascii="Segoe UI" w:eastAsia="Times New Roman" w:hAnsi="Segoe UI" w:cs="Segoe UI"/>
                <w:b/>
                <w:bCs/>
                <w:color w:val="000000" w:themeColor="text1"/>
                <w:kern w:val="24"/>
                <w:sz w:val="14"/>
                <w:szCs w:val="14"/>
                <w:lang w:val="el-GR" w:eastAsia="el-GR"/>
              </w:rPr>
              <w:t xml:space="preserve"> </w:t>
            </w:r>
            <w:r w:rsidRPr="004C0E3B">
              <w:rPr>
                <w:rFonts w:ascii="Segoe UI" w:eastAsia="Times New Roman" w:hAnsi="Segoe UI" w:cs="Segoe UI"/>
                <w:b/>
                <w:bCs/>
                <w:color w:val="000000" w:themeColor="text1"/>
                <w:kern w:val="24"/>
                <w:sz w:val="14"/>
                <w:szCs w:val="14"/>
                <w:lang w:val="el-GR" w:eastAsia="el-GR"/>
              </w:rPr>
              <w:t xml:space="preserve"> 201</w:t>
            </w:r>
            <w:r>
              <w:rPr>
                <w:rFonts w:ascii="Segoe UI" w:eastAsia="Times New Roman" w:hAnsi="Segoe UI" w:cs="Segoe UI"/>
                <w:b/>
                <w:bCs/>
                <w:color w:val="000000" w:themeColor="text1"/>
                <w:kern w:val="24"/>
                <w:sz w:val="14"/>
                <w:szCs w:val="14"/>
                <w:lang w:val="el-GR" w:eastAsia="el-GR"/>
              </w:rPr>
              <w:t>9</w:t>
            </w:r>
          </w:p>
        </w:tc>
        <w:tc>
          <w:tcPr>
            <w:tcW w:w="850" w:type="dxa"/>
            <w:tcBorders>
              <w:top w:val="single" w:sz="8" w:space="0" w:color="000000"/>
              <w:left w:val="nil"/>
              <w:bottom w:val="single" w:sz="8" w:space="0" w:color="000000"/>
              <w:right w:val="nil"/>
            </w:tcBorders>
            <w:vAlign w:val="center"/>
          </w:tcPr>
          <w:p w:rsidR="00DF299F" w:rsidRPr="007D67DC" w:rsidRDefault="00DF299F" w:rsidP="00DF299F">
            <w:pPr>
              <w:spacing w:after="0" w:line="240" w:lineRule="auto"/>
              <w:jc w:val="right"/>
              <w:textAlignment w:val="center"/>
              <w:rPr>
                <w:rFonts w:ascii="Segoe UI" w:eastAsia="Times New Roman" w:hAnsi="Segoe UI" w:cs="Segoe UI"/>
                <w:sz w:val="14"/>
                <w:szCs w:val="14"/>
                <w:lang w:val="el-GR" w:eastAsia="el-GR"/>
              </w:rPr>
            </w:pPr>
            <w:r>
              <w:rPr>
                <w:rFonts w:ascii="Segoe UI" w:eastAsia="Times New Roman" w:hAnsi="Segoe UI" w:cs="Segoe UI"/>
                <w:b/>
                <w:bCs/>
                <w:color w:val="000000" w:themeColor="text1"/>
                <w:kern w:val="24"/>
                <w:sz w:val="14"/>
                <w:szCs w:val="14"/>
                <w:lang w:val="el-GR" w:eastAsia="el-GR"/>
              </w:rPr>
              <w:t>Α</w:t>
            </w:r>
            <w:r w:rsidRPr="004C0E3B">
              <w:rPr>
                <w:rFonts w:ascii="Segoe UI" w:eastAsia="Times New Roman" w:hAnsi="Segoe UI" w:cs="Segoe UI"/>
                <w:b/>
                <w:bCs/>
                <w:color w:val="000000" w:themeColor="text1"/>
                <w:kern w:val="24"/>
                <w:sz w:val="14"/>
                <w:szCs w:val="14"/>
                <w:lang w:val="el-GR" w:eastAsia="el-GR"/>
              </w:rPr>
              <w:t>‘</w:t>
            </w:r>
            <w:r w:rsidRPr="00C62FEB">
              <w:rPr>
                <w:rFonts w:ascii="Segoe UI" w:eastAsia="Times New Roman" w:hAnsi="Segoe UI" w:cs="Segoe UI"/>
                <w:b/>
                <w:bCs/>
                <w:color w:val="000000" w:themeColor="text1"/>
                <w:kern w:val="24"/>
                <w:sz w:val="14"/>
                <w:szCs w:val="14"/>
                <w:lang w:val="el-GR" w:eastAsia="el-GR"/>
              </w:rPr>
              <w:t xml:space="preserve"> </w:t>
            </w:r>
            <w:r>
              <w:rPr>
                <w:rFonts w:ascii="Segoe UI" w:eastAsia="Times New Roman" w:hAnsi="Segoe UI" w:cs="Segoe UI"/>
                <w:b/>
                <w:bCs/>
                <w:color w:val="000000" w:themeColor="text1"/>
                <w:kern w:val="24"/>
                <w:sz w:val="14"/>
                <w:szCs w:val="14"/>
                <w:lang w:val="el-GR" w:eastAsia="el-GR"/>
              </w:rPr>
              <w:t>τ</w:t>
            </w:r>
            <w:r w:rsidRPr="004C0E3B">
              <w:rPr>
                <w:rFonts w:ascii="Segoe UI" w:eastAsia="Times New Roman" w:hAnsi="Segoe UI" w:cs="Segoe UI"/>
                <w:b/>
                <w:bCs/>
                <w:color w:val="000000" w:themeColor="text1"/>
                <w:kern w:val="24"/>
                <w:sz w:val="14"/>
                <w:szCs w:val="14"/>
                <w:lang w:val="el-GR" w:eastAsia="el-GR"/>
              </w:rPr>
              <w:t>ρίμηνο</w:t>
            </w:r>
            <w:r w:rsidRPr="00C62FEB">
              <w:rPr>
                <w:rFonts w:ascii="Segoe UI" w:eastAsia="Times New Roman" w:hAnsi="Segoe UI" w:cs="Segoe UI"/>
                <w:b/>
                <w:bCs/>
                <w:color w:val="000000" w:themeColor="text1"/>
                <w:kern w:val="24"/>
                <w:sz w:val="14"/>
                <w:szCs w:val="14"/>
                <w:lang w:val="el-GR" w:eastAsia="el-GR"/>
              </w:rPr>
              <w:t xml:space="preserve"> </w:t>
            </w:r>
            <w:r w:rsidRPr="004C0E3B">
              <w:rPr>
                <w:rFonts w:ascii="Segoe UI" w:eastAsia="Times New Roman" w:hAnsi="Segoe UI" w:cs="Segoe UI"/>
                <w:b/>
                <w:bCs/>
                <w:color w:val="000000" w:themeColor="text1"/>
                <w:kern w:val="24"/>
                <w:sz w:val="14"/>
                <w:szCs w:val="14"/>
                <w:lang w:val="el-GR" w:eastAsia="el-GR"/>
              </w:rPr>
              <w:t xml:space="preserve"> 201</w:t>
            </w:r>
            <w:r>
              <w:rPr>
                <w:rFonts w:ascii="Segoe UI" w:eastAsia="Times New Roman" w:hAnsi="Segoe UI" w:cs="Segoe UI"/>
                <w:b/>
                <w:bCs/>
                <w:color w:val="000000" w:themeColor="text1"/>
                <w:kern w:val="24"/>
                <w:sz w:val="14"/>
                <w:szCs w:val="14"/>
                <w:lang w:val="el-GR" w:eastAsia="el-GR"/>
              </w:rPr>
              <w:t>9</w:t>
            </w:r>
          </w:p>
        </w:tc>
        <w:tc>
          <w:tcPr>
            <w:tcW w:w="850" w:type="dxa"/>
            <w:tcBorders>
              <w:top w:val="single" w:sz="8" w:space="0" w:color="000000"/>
              <w:left w:val="nil"/>
              <w:bottom w:val="single" w:sz="8" w:space="0" w:color="000000"/>
              <w:right w:val="nil"/>
            </w:tcBorders>
            <w:vAlign w:val="center"/>
          </w:tcPr>
          <w:p w:rsidR="00DF299F" w:rsidRPr="004C0E3B" w:rsidRDefault="00DF299F" w:rsidP="00DF299F">
            <w:pPr>
              <w:spacing w:after="0" w:line="240" w:lineRule="auto"/>
              <w:jc w:val="right"/>
              <w:textAlignment w:val="center"/>
              <w:rPr>
                <w:rFonts w:ascii="Segoe UI" w:eastAsia="Times New Roman" w:hAnsi="Segoe UI" w:cs="Segoe UI"/>
                <w:sz w:val="14"/>
                <w:szCs w:val="14"/>
                <w:lang w:val="el-GR" w:eastAsia="el-GR"/>
              </w:rPr>
            </w:pPr>
            <w:r>
              <w:rPr>
                <w:rFonts w:ascii="Segoe UI" w:eastAsia="Times New Roman" w:hAnsi="Segoe UI" w:cs="Segoe UI"/>
                <w:b/>
                <w:bCs/>
                <w:color w:val="000000" w:themeColor="text1"/>
                <w:kern w:val="24"/>
                <w:sz w:val="14"/>
                <w:szCs w:val="14"/>
                <w:lang w:val="el-GR" w:eastAsia="el-GR"/>
              </w:rPr>
              <w:t>Δ</w:t>
            </w:r>
            <w:r w:rsidRPr="004C0E3B">
              <w:rPr>
                <w:rFonts w:ascii="Segoe UI" w:eastAsia="Times New Roman" w:hAnsi="Segoe UI" w:cs="Segoe UI"/>
                <w:b/>
                <w:bCs/>
                <w:color w:val="000000" w:themeColor="text1"/>
                <w:kern w:val="24"/>
                <w:sz w:val="14"/>
                <w:szCs w:val="14"/>
                <w:lang w:val="el-GR" w:eastAsia="el-GR"/>
              </w:rPr>
              <w:t>‘</w:t>
            </w:r>
            <w:r w:rsidRPr="00C62FEB">
              <w:rPr>
                <w:rFonts w:ascii="Segoe UI" w:eastAsia="Times New Roman" w:hAnsi="Segoe UI" w:cs="Segoe UI"/>
                <w:b/>
                <w:bCs/>
                <w:color w:val="000000" w:themeColor="text1"/>
                <w:kern w:val="24"/>
                <w:sz w:val="14"/>
                <w:szCs w:val="14"/>
                <w:lang w:val="el-GR" w:eastAsia="el-GR"/>
              </w:rPr>
              <w:t xml:space="preserve"> </w:t>
            </w:r>
            <w:r>
              <w:rPr>
                <w:rFonts w:ascii="Segoe UI" w:eastAsia="Times New Roman" w:hAnsi="Segoe UI" w:cs="Segoe UI"/>
                <w:b/>
                <w:bCs/>
                <w:color w:val="000000" w:themeColor="text1"/>
                <w:kern w:val="24"/>
                <w:sz w:val="14"/>
                <w:szCs w:val="14"/>
                <w:lang w:val="el-GR" w:eastAsia="el-GR"/>
              </w:rPr>
              <w:t>τ</w:t>
            </w:r>
            <w:r w:rsidRPr="004C0E3B">
              <w:rPr>
                <w:rFonts w:ascii="Segoe UI" w:eastAsia="Times New Roman" w:hAnsi="Segoe UI" w:cs="Segoe UI"/>
                <w:b/>
                <w:bCs/>
                <w:color w:val="000000" w:themeColor="text1"/>
                <w:kern w:val="24"/>
                <w:sz w:val="14"/>
                <w:szCs w:val="14"/>
                <w:lang w:val="el-GR" w:eastAsia="el-GR"/>
              </w:rPr>
              <w:t>ρίμηνο</w:t>
            </w:r>
            <w:r w:rsidRPr="00C62FEB">
              <w:rPr>
                <w:rFonts w:ascii="Segoe UI" w:eastAsia="Times New Roman" w:hAnsi="Segoe UI" w:cs="Segoe UI"/>
                <w:b/>
                <w:bCs/>
                <w:color w:val="000000" w:themeColor="text1"/>
                <w:kern w:val="24"/>
                <w:sz w:val="14"/>
                <w:szCs w:val="14"/>
                <w:lang w:val="el-GR" w:eastAsia="el-GR"/>
              </w:rPr>
              <w:t xml:space="preserve"> </w:t>
            </w:r>
            <w:r w:rsidRPr="004C0E3B">
              <w:rPr>
                <w:rFonts w:ascii="Segoe UI" w:eastAsia="Times New Roman" w:hAnsi="Segoe UI" w:cs="Segoe UI"/>
                <w:b/>
                <w:bCs/>
                <w:color w:val="000000" w:themeColor="text1"/>
                <w:kern w:val="24"/>
                <w:sz w:val="14"/>
                <w:szCs w:val="14"/>
                <w:lang w:val="el-GR" w:eastAsia="el-GR"/>
              </w:rPr>
              <w:t xml:space="preserve"> 2018</w:t>
            </w:r>
          </w:p>
        </w:tc>
        <w:tc>
          <w:tcPr>
            <w:tcW w:w="852" w:type="dxa"/>
            <w:tcBorders>
              <w:top w:val="single" w:sz="8" w:space="0" w:color="000000"/>
              <w:left w:val="nil"/>
              <w:bottom w:val="single" w:sz="8" w:space="0" w:color="000000"/>
              <w:right w:val="nil"/>
            </w:tcBorders>
            <w:vAlign w:val="center"/>
          </w:tcPr>
          <w:p w:rsidR="00DF299F" w:rsidRPr="004C0E3B" w:rsidRDefault="00DF299F" w:rsidP="00DF299F">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Times New Roman" w:hAnsi="Segoe UI" w:cs="Segoe UI"/>
                <w:b/>
                <w:bCs/>
                <w:color w:val="000000" w:themeColor="text1"/>
                <w:kern w:val="24"/>
                <w:sz w:val="14"/>
                <w:szCs w:val="14"/>
                <w:lang w:val="el-GR" w:eastAsia="el-GR"/>
              </w:rPr>
              <w:t>Γ</w:t>
            </w:r>
            <w:r w:rsidRPr="004C0E3B">
              <w:rPr>
                <w:rFonts w:ascii="Segoe UI" w:eastAsia="Times New Roman" w:hAnsi="Segoe UI" w:cs="Segoe UI"/>
                <w:b/>
                <w:bCs/>
                <w:color w:val="000000" w:themeColor="text1"/>
                <w:kern w:val="24"/>
                <w:sz w:val="14"/>
                <w:szCs w:val="14"/>
                <w:lang w:val="el-GR" w:eastAsia="el-GR"/>
              </w:rPr>
              <w:t>‘</w:t>
            </w:r>
            <w:r w:rsidRPr="00C62FEB">
              <w:rPr>
                <w:rFonts w:ascii="Segoe UI" w:eastAsia="Times New Roman" w:hAnsi="Segoe UI" w:cs="Segoe UI"/>
                <w:b/>
                <w:bCs/>
                <w:color w:val="000000" w:themeColor="text1"/>
                <w:kern w:val="24"/>
                <w:sz w:val="14"/>
                <w:szCs w:val="14"/>
                <w:lang w:val="el-GR" w:eastAsia="el-GR"/>
              </w:rPr>
              <w:t xml:space="preserve"> </w:t>
            </w:r>
            <w:r>
              <w:rPr>
                <w:rFonts w:ascii="Segoe UI" w:eastAsia="Times New Roman" w:hAnsi="Segoe UI" w:cs="Segoe UI"/>
                <w:b/>
                <w:bCs/>
                <w:color w:val="000000" w:themeColor="text1"/>
                <w:kern w:val="24"/>
                <w:sz w:val="14"/>
                <w:szCs w:val="14"/>
                <w:lang w:val="el-GR" w:eastAsia="el-GR"/>
              </w:rPr>
              <w:t>τ</w:t>
            </w:r>
            <w:r w:rsidRPr="004C0E3B">
              <w:rPr>
                <w:rFonts w:ascii="Segoe UI" w:eastAsia="Times New Roman" w:hAnsi="Segoe UI" w:cs="Segoe UI"/>
                <w:b/>
                <w:bCs/>
                <w:color w:val="000000" w:themeColor="text1"/>
                <w:kern w:val="24"/>
                <w:sz w:val="14"/>
                <w:szCs w:val="14"/>
                <w:lang w:val="el-GR" w:eastAsia="el-GR"/>
              </w:rPr>
              <w:t>ρίμηνο</w:t>
            </w:r>
            <w:r w:rsidRPr="00C62FEB">
              <w:rPr>
                <w:rFonts w:ascii="Segoe UI" w:eastAsia="Times New Roman" w:hAnsi="Segoe UI" w:cs="Segoe UI"/>
                <w:b/>
                <w:bCs/>
                <w:color w:val="000000" w:themeColor="text1"/>
                <w:kern w:val="24"/>
                <w:sz w:val="14"/>
                <w:szCs w:val="14"/>
                <w:lang w:val="el-GR" w:eastAsia="el-GR"/>
              </w:rPr>
              <w:t xml:space="preserve"> </w:t>
            </w:r>
            <w:r w:rsidRPr="004C0E3B">
              <w:rPr>
                <w:rFonts w:ascii="Segoe UI" w:eastAsia="Times New Roman" w:hAnsi="Segoe UI" w:cs="Segoe UI"/>
                <w:b/>
                <w:bCs/>
                <w:color w:val="000000" w:themeColor="text1"/>
                <w:kern w:val="24"/>
                <w:sz w:val="14"/>
                <w:szCs w:val="14"/>
                <w:lang w:val="el-GR" w:eastAsia="el-GR"/>
              </w:rPr>
              <w:t xml:space="preserve"> 2018</w:t>
            </w:r>
          </w:p>
        </w:tc>
        <w:tc>
          <w:tcPr>
            <w:tcW w:w="852" w:type="dxa"/>
            <w:tcBorders>
              <w:top w:val="single" w:sz="8" w:space="0" w:color="000000"/>
              <w:left w:val="nil"/>
              <w:bottom w:val="single" w:sz="8" w:space="0" w:color="000000"/>
              <w:right w:val="nil"/>
            </w:tcBorders>
            <w:vAlign w:val="center"/>
          </w:tcPr>
          <w:p w:rsidR="00DF299F" w:rsidRPr="004C0E3B" w:rsidRDefault="00DF299F" w:rsidP="00DF299F">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Times New Roman" w:hAnsi="Segoe UI" w:cs="Segoe UI"/>
                <w:b/>
                <w:bCs/>
                <w:color w:val="000000" w:themeColor="text1"/>
                <w:kern w:val="24"/>
                <w:sz w:val="14"/>
                <w:szCs w:val="14"/>
                <w:lang w:val="el-GR" w:eastAsia="el-GR"/>
              </w:rPr>
              <w:t>Β</w:t>
            </w:r>
            <w:r w:rsidRPr="004C0E3B">
              <w:rPr>
                <w:rFonts w:ascii="Segoe UI" w:eastAsia="Times New Roman" w:hAnsi="Segoe UI" w:cs="Segoe UI"/>
                <w:b/>
                <w:bCs/>
                <w:color w:val="000000" w:themeColor="text1"/>
                <w:kern w:val="24"/>
                <w:sz w:val="14"/>
                <w:szCs w:val="14"/>
                <w:lang w:val="el-GR" w:eastAsia="el-GR"/>
              </w:rPr>
              <w:t>‘</w:t>
            </w:r>
            <w:r w:rsidRPr="00C62FEB">
              <w:rPr>
                <w:rFonts w:ascii="Segoe UI" w:eastAsia="Times New Roman" w:hAnsi="Segoe UI" w:cs="Segoe UI"/>
                <w:b/>
                <w:bCs/>
                <w:color w:val="000000" w:themeColor="text1"/>
                <w:kern w:val="24"/>
                <w:sz w:val="14"/>
                <w:szCs w:val="14"/>
                <w:lang w:val="el-GR" w:eastAsia="el-GR"/>
              </w:rPr>
              <w:t xml:space="preserve"> </w:t>
            </w:r>
            <w:r>
              <w:rPr>
                <w:rFonts w:ascii="Segoe UI" w:eastAsia="Times New Roman" w:hAnsi="Segoe UI" w:cs="Segoe UI"/>
                <w:b/>
                <w:bCs/>
                <w:color w:val="000000" w:themeColor="text1"/>
                <w:kern w:val="24"/>
                <w:sz w:val="14"/>
                <w:szCs w:val="14"/>
                <w:lang w:val="el-GR" w:eastAsia="el-GR"/>
              </w:rPr>
              <w:t>τ</w:t>
            </w:r>
            <w:r w:rsidRPr="004C0E3B">
              <w:rPr>
                <w:rFonts w:ascii="Segoe UI" w:eastAsia="Times New Roman" w:hAnsi="Segoe UI" w:cs="Segoe UI"/>
                <w:b/>
                <w:bCs/>
                <w:color w:val="000000" w:themeColor="text1"/>
                <w:kern w:val="24"/>
                <w:sz w:val="14"/>
                <w:szCs w:val="14"/>
                <w:lang w:val="el-GR" w:eastAsia="el-GR"/>
              </w:rPr>
              <w:t>ρίμηνο</w:t>
            </w:r>
            <w:r w:rsidRPr="00C62FEB">
              <w:rPr>
                <w:rFonts w:ascii="Segoe UI" w:eastAsia="Times New Roman" w:hAnsi="Segoe UI" w:cs="Segoe UI"/>
                <w:b/>
                <w:bCs/>
                <w:color w:val="000000" w:themeColor="text1"/>
                <w:kern w:val="24"/>
                <w:sz w:val="14"/>
                <w:szCs w:val="14"/>
                <w:lang w:val="el-GR" w:eastAsia="el-GR"/>
              </w:rPr>
              <w:t xml:space="preserve"> </w:t>
            </w:r>
            <w:r w:rsidRPr="004C0E3B">
              <w:rPr>
                <w:rFonts w:ascii="Segoe UI" w:eastAsia="Times New Roman" w:hAnsi="Segoe UI" w:cs="Segoe UI"/>
                <w:b/>
                <w:bCs/>
                <w:color w:val="000000" w:themeColor="text1"/>
                <w:kern w:val="24"/>
                <w:sz w:val="14"/>
                <w:szCs w:val="14"/>
                <w:lang w:val="el-GR" w:eastAsia="el-GR"/>
              </w:rPr>
              <w:t xml:space="preserve"> 2018</w:t>
            </w:r>
          </w:p>
        </w:tc>
      </w:tr>
      <w:tr w:rsidR="00E01FF9" w:rsidRPr="00173966" w:rsidTr="00E01FF9">
        <w:trPr>
          <w:trHeight w:val="113"/>
        </w:trPr>
        <w:tc>
          <w:tcPr>
            <w:tcW w:w="3572" w:type="dxa"/>
            <w:tcBorders>
              <w:top w:val="single" w:sz="8" w:space="0" w:color="000000"/>
              <w:left w:val="nil"/>
              <w:bottom w:val="nil"/>
              <w:right w:val="nil"/>
            </w:tcBorders>
            <w:shd w:val="clear" w:color="auto" w:fill="F2F2F2" w:themeFill="background1" w:themeFillShade="F2"/>
            <w:tcMar>
              <w:top w:w="15" w:type="dxa"/>
              <w:left w:w="41" w:type="dxa"/>
              <w:bottom w:w="0" w:type="dxa"/>
              <w:right w:w="15" w:type="dxa"/>
            </w:tcMar>
            <w:vAlign w:val="center"/>
          </w:tcPr>
          <w:p w:rsidR="00E01FF9" w:rsidRPr="00C62FEB" w:rsidRDefault="00E01FF9" w:rsidP="00897DBA">
            <w:pPr>
              <w:spacing w:after="0" w:line="240" w:lineRule="auto"/>
              <w:rPr>
                <w:rFonts w:ascii="Segoe UI" w:eastAsia="Times New Roman" w:hAnsi="Segoe UI" w:cs="Segoe UI"/>
                <w:sz w:val="14"/>
                <w:szCs w:val="14"/>
                <w:lang w:val="el-GR" w:eastAsia="el-GR"/>
              </w:rPr>
            </w:pPr>
            <w:r w:rsidRPr="00C62FEB">
              <w:rPr>
                <w:rFonts w:ascii="Segoe UI" w:eastAsia="Times New Roman" w:hAnsi="Segoe UI" w:cs="Segoe UI"/>
                <w:b/>
                <w:bCs/>
                <w:color w:val="000000" w:themeColor="text1"/>
                <w:kern w:val="24"/>
                <w:sz w:val="14"/>
                <w:szCs w:val="14"/>
                <w:lang w:val="el-GR" w:eastAsia="el-GR"/>
              </w:rPr>
              <w:t>Ρευστότητα</w:t>
            </w:r>
          </w:p>
        </w:tc>
        <w:tc>
          <w:tcPr>
            <w:tcW w:w="850" w:type="dxa"/>
            <w:tcBorders>
              <w:top w:val="nil"/>
              <w:left w:val="nil"/>
              <w:bottom w:val="nil"/>
              <w:right w:val="nil"/>
            </w:tcBorders>
            <w:shd w:val="clear" w:color="auto" w:fill="F2F2F2" w:themeFill="background1" w:themeFillShade="F2"/>
          </w:tcPr>
          <w:p w:rsidR="00E01FF9" w:rsidRPr="00C62FEB" w:rsidRDefault="00E01FF9" w:rsidP="00897DBA">
            <w:pPr>
              <w:spacing w:after="0" w:line="240" w:lineRule="auto"/>
              <w:jc w:val="right"/>
              <w:rPr>
                <w:rFonts w:ascii="Segoe UI" w:eastAsia="Times New Roman" w:hAnsi="Segoe UI" w:cs="Segoe UI"/>
                <w:color w:val="000000" w:themeColor="text1"/>
                <w:kern w:val="24"/>
                <w:sz w:val="14"/>
                <w:szCs w:val="14"/>
                <w:lang w:val="en-US" w:eastAsia="el-GR"/>
              </w:rPr>
            </w:pPr>
          </w:p>
        </w:tc>
        <w:tc>
          <w:tcPr>
            <w:tcW w:w="850" w:type="dxa"/>
            <w:tcBorders>
              <w:top w:val="nil"/>
              <w:left w:val="nil"/>
              <w:bottom w:val="nil"/>
              <w:right w:val="nil"/>
            </w:tcBorders>
            <w:shd w:val="clear" w:color="auto" w:fill="F2F2F2" w:themeFill="background1" w:themeFillShade="F2"/>
            <w:vAlign w:val="center"/>
          </w:tcPr>
          <w:p w:rsidR="00E01FF9" w:rsidRPr="00C62FEB" w:rsidRDefault="00E01FF9" w:rsidP="00897DBA">
            <w:pPr>
              <w:spacing w:after="0" w:line="240" w:lineRule="auto"/>
              <w:jc w:val="right"/>
              <w:rPr>
                <w:rFonts w:ascii="Segoe UI" w:eastAsia="Times New Roman" w:hAnsi="Segoe UI" w:cs="Segoe UI"/>
                <w:color w:val="000000" w:themeColor="text1"/>
                <w:kern w:val="24"/>
                <w:sz w:val="14"/>
                <w:szCs w:val="14"/>
                <w:lang w:val="en-US" w:eastAsia="el-GR"/>
              </w:rPr>
            </w:pPr>
          </w:p>
        </w:tc>
        <w:tc>
          <w:tcPr>
            <w:tcW w:w="850" w:type="dxa"/>
            <w:tcBorders>
              <w:top w:val="nil"/>
              <w:left w:val="nil"/>
              <w:bottom w:val="nil"/>
              <w:right w:val="nil"/>
            </w:tcBorders>
            <w:shd w:val="clear" w:color="auto" w:fill="F2F2F2" w:themeFill="background1" w:themeFillShade="F2"/>
            <w:vAlign w:val="center"/>
          </w:tcPr>
          <w:p w:rsidR="00E01FF9" w:rsidRPr="00C62FEB" w:rsidRDefault="00E01FF9" w:rsidP="00897DBA">
            <w:pPr>
              <w:spacing w:after="0" w:line="240" w:lineRule="auto"/>
              <w:jc w:val="right"/>
              <w:rPr>
                <w:rFonts w:ascii="Segoe UI" w:eastAsia="Times New Roman" w:hAnsi="Segoe UI" w:cs="Segoe UI"/>
                <w:color w:val="000000" w:themeColor="text1"/>
                <w:kern w:val="24"/>
                <w:sz w:val="14"/>
                <w:szCs w:val="14"/>
                <w:lang w:val="en-US" w:eastAsia="el-GR"/>
              </w:rPr>
            </w:pPr>
          </w:p>
        </w:tc>
        <w:tc>
          <w:tcPr>
            <w:tcW w:w="850" w:type="dxa"/>
            <w:tcBorders>
              <w:top w:val="nil"/>
              <w:left w:val="nil"/>
              <w:bottom w:val="nil"/>
              <w:right w:val="nil"/>
            </w:tcBorders>
            <w:shd w:val="clear" w:color="auto" w:fill="F2F2F2" w:themeFill="background1" w:themeFillShade="F2"/>
            <w:vAlign w:val="center"/>
          </w:tcPr>
          <w:p w:rsidR="00E01FF9" w:rsidRPr="00C62FEB" w:rsidRDefault="00E01FF9" w:rsidP="00897DBA">
            <w:pPr>
              <w:spacing w:after="0" w:line="240" w:lineRule="auto"/>
              <w:jc w:val="right"/>
              <w:rPr>
                <w:rFonts w:ascii="Segoe UI" w:eastAsia="Times New Roman" w:hAnsi="Segoe UI" w:cs="Segoe UI"/>
                <w:color w:val="000000" w:themeColor="text1"/>
                <w:kern w:val="24"/>
                <w:sz w:val="14"/>
                <w:szCs w:val="14"/>
                <w:lang w:val="en-US" w:eastAsia="el-GR"/>
              </w:rPr>
            </w:pPr>
          </w:p>
        </w:tc>
        <w:tc>
          <w:tcPr>
            <w:tcW w:w="852" w:type="dxa"/>
            <w:tcBorders>
              <w:top w:val="nil"/>
              <w:left w:val="nil"/>
              <w:bottom w:val="nil"/>
              <w:right w:val="nil"/>
            </w:tcBorders>
            <w:shd w:val="clear" w:color="auto" w:fill="F2F2F2" w:themeFill="background1" w:themeFillShade="F2"/>
            <w:vAlign w:val="center"/>
          </w:tcPr>
          <w:p w:rsidR="00E01FF9" w:rsidRPr="00C62FEB" w:rsidRDefault="00E01FF9" w:rsidP="00897DBA">
            <w:pPr>
              <w:spacing w:after="0" w:line="240" w:lineRule="auto"/>
              <w:jc w:val="right"/>
              <w:rPr>
                <w:rFonts w:ascii="Segoe UI" w:eastAsia="Times New Roman" w:hAnsi="Segoe UI" w:cs="Segoe UI"/>
                <w:color w:val="000000" w:themeColor="text1"/>
                <w:kern w:val="24"/>
                <w:sz w:val="14"/>
                <w:szCs w:val="14"/>
                <w:lang w:val="en-US" w:eastAsia="el-GR"/>
              </w:rPr>
            </w:pPr>
          </w:p>
        </w:tc>
        <w:tc>
          <w:tcPr>
            <w:tcW w:w="852" w:type="dxa"/>
            <w:tcBorders>
              <w:top w:val="nil"/>
              <w:left w:val="nil"/>
              <w:bottom w:val="nil"/>
              <w:right w:val="nil"/>
            </w:tcBorders>
            <w:shd w:val="clear" w:color="auto" w:fill="F2F2F2" w:themeFill="background1" w:themeFillShade="F2"/>
          </w:tcPr>
          <w:p w:rsidR="00E01FF9" w:rsidRPr="00C62FEB" w:rsidRDefault="00E01FF9" w:rsidP="00897DBA">
            <w:pPr>
              <w:spacing w:after="0" w:line="240" w:lineRule="auto"/>
              <w:jc w:val="right"/>
              <w:rPr>
                <w:rFonts w:ascii="Segoe UI" w:eastAsia="Times New Roman" w:hAnsi="Segoe UI" w:cs="Segoe UI"/>
                <w:color w:val="000000" w:themeColor="text1"/>
                <w:kern w:val="24"/>
                <w:sz w:val="14"/>
                <w:szCs w:val="14"/>
                <w:lang w:val="en-US" w:eastAsia="el-GR"/>
              </w:rPr>
            </w:pPr>
          </w:p>
        </w:tc>
      </w:tr>
      <w:tr w:rsidR="0026079F" w:rsidRPr="00173966" w:rsidTr="00546F09">
        <w:trPr>
          <w:trHeight w:val="113"/>
        </w:trPr>
        <w:tc>
          <w:tcPr>
            <w:tcW w:w="3572" w:type="dxa"/>
            <w:tcBorders>
              <w:top w:val="nil"/>
              <w:left w:val="nil"/>
              <w:bottom w:val="nil"/>
              <w:right w:val="nil"/>
            </w:tcBorders>
            <w:shd w:val="clear" w:color="auto" w:fill="auto"/>
            <w:tcMar>
              <w:top w:w="15" w:type="dxa"/>
              <w:left w:w="41" w:type="dxa"/>
              <w:bottom w:w="0" w:type="dxa"/>
              <w:right w:w="15" w:type="dxa"/>
            </w:tcMar>
            <w:vAlign w:val="center"/>
            <w:hideMark/>
          </w:tcPr>
          <w:p w:rsidR="0026079F" w:rsidRPr="00C62FEB" w:rsidRDefault="0026079F" w:rsidP="0026079F">
            <w:pPr>
              <w:spacing w:after="0" w:line="240" w:lineRule="auto"/>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l-GR" w:eastAsia="el-GR"/>
              </w:rPr>
              <w:t xml:space="preserve">Δάνεια (μετά προβλέψεων) προς καταθέσεις </w:t>
            </w:r>
          </w:p>
        </w:tc>
        <w:tc>
          <w:tcPr>
            <w:tcW w:w="850" w:type="dxa"/>
            <w:tcBorders>
              <w:top w:val="nil"/>
              <w:left w:val="nil"/>
              <w:bottom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68%</w:t>
            </w:r>
          </w:p>
        </w:tc>
        <w:tc>
          <w:tcPr>
            <w:tcW w:w="850" w:type="dxa"/>
            <w:tcBorders>
              <w:top w:val="nil"/>
              <w:left w:val="nil"/>
              <w:bottom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70%</w:t>
            </w:r>
          </w:p>
        </w:tc>
        <w:tc>
          <w:tcPr>
            <w:tcW w:w="850" w:type="dxa"/>
            <w:tcBorders>
              <w:top w:val="nil"/>
              <w:left w:val="nil"/>
              <w:bottom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71%</w:t>
            </w:r>
          </w:p>
        </w:tc>
        <w:tc>
          <w:tcPr>
            <w:tcW w:w="850" w:type="dxa"/>
            <w:tcBorders>
              <w:top w:val="nil"/>
              <w:left w:val="nil"/>
              <w:bottom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70%</w:t>
            </w:r>
          </w:p>
        </w:tc>
        <w:tc>
          <w:tcPr>
            <w:tcW w:w="852" w:type="dxa"/>
            <w:tcBorders>
              <w:top w:val="nil"/>
              <w:left w:val="nil"/>
              <w:bottom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72%</w:t>
            </w:r>
          </w:p>
        </w:tc>
        <w:tc>
          <w:tcPr>
            <w:tcW w:w="852" w:type="dxa"/>
            <w:tcBorders>
              <w:top w:val="nil"/>
              <w:left w:val="nil"/>
              <w:bottom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74%</w:t>
            </w:r>
          </w:p>
        </w:tc>
      </w:tr>
      <w:tr w:rsidR="0026079F" w:rsidRPr="00604AD2" w:rsidTr="00546F09">
        <w:trPr>
          <w:trHeight w:val="113"/>
        </w:trPr>
        <w:tc>
          <w:tcPr>
            <w:tcW w:w="3572" w:type="dxa"/>
            <w:tcBorders>
              <w:top w:val="nil"/>
              <w:left w:val="nil"/>
              <w:bottom w:val="nil"/>
              <w:right w:val="nil"/>
            </w:tcBorders>
            <w:shd w:val="clear" w:color="auto" w:fill="auto"/>
            <w:tcMar>
              <w:top w:w="15" w:type="dxa"/>
              <w:left w:w="41" w:type="dxa"/>
              <w:bottom w:w="0" w:type="dxa"/>
              <w:right w:w="15" w:type="dxa"/>
            </w:tcMar>
            <w:vAlign w:val="center"/>
          </w:tcPr>
          <w:p w:rsidR="0026079F" w:rsidRPr="00C62FEB" w:rsidRDefault="0026079F" w:rsidP="0026079F">
            <w:pPr>
              <w:spacing w:after="0" w:line="240" w:lineRule="auto"/>
              <w:textAlignment w:val="center"/>
              <w:rPr>
                <w:rFonts w:ascii="Segoe UI" w:eastAsia="Segoe UI" w:hAnsi="Segoe UI" w:cs="Segoe UI"/>
                <w:color w:val="000000"/>
                <w:kern w:val="24"/>
                <w:sz w:val="14"/>
                <w:szCs w:val="14"/>
                <w:lang w:val="el-GR" w:eastAsia="el-GR"/>
              </w:rPr>
            </w:pPr>
            <w:r w:rsidRPr="00C62FEB">
              <w:rPr>
                <w:rFonts w:ascii="Segoe UI" w:eastAsia="Segoe UI" w:hAnsi="Segoe UI" w:cs="Segoe UI"/>
                <w:color w:val="000000"/>
                <w:kern w:val="24"/>
                <w:sz w:val="14"/>
                <w:szCs w:val="14"/>
                <w:lang w:val="el-GR" w:eastAsia="el-GR"/>
              </w:rPr>
              <w:t>Δείκτης Κάλυψης Ρευστότητας (</w:t>
            </w:r>
            <w:r w:rsidRPr="00C62FEB">
              <w:rPr>
                <w:rFonts w:ascii="Segoe UI" w:eastAsia="Segoe UI" w:hAnsi="Segoe UI" w:cs="Segoe UI"/>
                <w:color w:val="000000"/>
                <w:kern w:val="24"/>
                <w:sz w:val="14"/>
                <w:szCs w:val="14"/>
                <w:lang w:val="en-US" w:eastAsia="el-GR"/>
              </w:rPr>
              <w:t>LCR</w:t>
            </w:r>
            <w:r w:rsidRPr="00C62FEB">
              <w:rPr>
                <w:rFonts w:ascii="Segoe UI" w:eastAsia="Segoe UI" w:hAnsi="Segoe UI" w:cs="Segoe UI"/>
                <w:color w:val="000000"/>
                <w:kern w:val="24"/>
                <w:sz w:val="14"/>
                <w:szCs w:val="14"/>
                <w:lang w:val="el-GR" w:eastAsia="el-GR"/>
              </w:rPr>
              <w:t>)</w:t>
            </w:r>
          </w:p>
        </w:tc>
        <w:tc>
          <w:tcPr>
            <w:tcW w:w="850" w:type="dxa"/>
            <w:tcBorders>
              <w:top w:val="nil"/>
              <w:left w:val="nil"/>
              <w:bottom w:val="nil"/>
              <w:right w:val="nil"/>
            </w:tcBorders>
            <w:vAlign w:val="center"/>
          </w:tcPr>
          <w:p w:rsidR="0026079F" w:rsidRPr="0026079F" w:rsidRDefault="0026079F" w:rsidP="0026079F">
            <w:pPr>
              <w:spacing w:after="0" w:line="240" w:lineRule="auto"/>
              <w:jc w:val="right"/>
              <w:rPr>
                <w:rFonts w:ascii="Segoe UI" w:eastAsia="Times New Roman" w:hAnsi="Segoe UI" w:cs="Segoe UI"/>
                <w:kern w:val="24"/>
                <w:sz w:val="14"/>
                <w:szCs w:val="16"/>
                <w:lang w:eastAsia="el-GR"/>
              </w:rPr>
            </w:pPr>
            <w:r w:rsidRPr="0026079F">
              <w:rPr>
                <w:rFonts w:ascii="Segoe UI" w:eastAsia="Times New Roman" w:hAnsi="Segoe UI" w:cs="Segoe UI"/>
                <w:kern w:val="24"/>
                <w:sz w:val="14"/>
                <w:szCs w:val="16"/>
                <w:lang w:val="en-US" w:eastAsia="el-GR"/>
              </w:rPr>
              <w:t>198</w:t>
            </w:r>
            <w:r w:rsidRPr="0026079F">
              <w:rPr>
                <w:rFonts w:ascii="Segoe UI" w:eastAsia="Times New Roman" w:hAnsi="Segoe UI" w:cs="Segoe UI"/>
                <w:kern w:val="24"/>
                <w:sz w:val="14"/>
                <w:szCs w:val="16"/>
                <w:lang w:eastAsia="el-GR"/>
              </w:rPr>
              <w:t>%</w:t>
            </w:r>
          </w:p>
        </w:tc>
        <w:tc>
          <w:tcPr>
            <w:tcW w:w="850" w:type="dxa"/>
            <w:tcBorders>
              <w:top w:val="nil"/>
              <w:left w:val="nil"/>
              <w:bottom w:val="nil"/>
              <w:right w:val="nil"/>
            </w:tcBorders>
            <w:vAlign w:val="center"/>
          </w:tcPr>
          <w:p w:rsidR="0026079F" w:rsidRPr="0026079F" w:rsidRDefault="0026079F" w:rsidP="0026079F">
            <w:pPr>
              <w:spacing w:after="0" w:line="240" w:lineRule="auto"/>
              <w:jc w:val="right"/>
              <w:rPr>
                <w:rFonts w:ascii="Segoe UI" w:eastAsia="Times New Roman" w:hAnsi="Segoe UI" w:cs="Segoe UI"/>
                <w:kern w:val="24"/>
                <w:sz w:val="14"/>
                <w:szCs w:val="16"/>
                <w:lang w:eastAsia="el-GR"/>
              </w:rPr>
            </w:pPr>
            <w:r w:rsidRPr="0026079F">
              <w:rPr>
                <w:rFonts w:ascii="Segoe UI" w:eastAsia="Times New Roman" w:hAnsi="Segoe UI" w:cs="Segoe UI"/>
                <w:kern w:val="24"/>
                <w:sz w:val="14"/>
                <w:szCs w:val="16"/>
                <w:lang w:val="el-GR" w:eastAsia="el-GR"/>
              </w:rPr>
              <w:t>1</w:t>
            </w:r>
            <w:r w:rsidRPr="0026079F">
              <w:rPr>
                <w:rFonts w:ascii="Segoe UI" w:eastAsia="Times New Roman" w:hAnsi="Segoe UI" w:cs="Segoe UI"/>
                <w:kern w:val="24"/>
                <w:sz w:val="14"/>
                <w:szCs w:val="16"/>
                <w:lang w:val="en-US" w:eastAsia="el-GR"/>
              </w:rPr>
              <w:t>71</w:t>
            </w:r>
            <w:r w:rsidRPr="0026079F">
              <w:rPr>
                <w:rFonts w:ascii="Segoe UI" w:eastAsia="Times New Roman" w:hAnsi="Segoe UI" w:cs="Segoe UI"/>
                <w:kern w:val="24"/>
                <w:sz w:val="14"/>
                <w:szCs w:val="16"/>
                <w:lang w:eastAsia="el-GR"/>
              </w:rPr>
              <w:t>%</w:t>
            </w:r>
          </w:p>
        </w:tc>
        <w:tc>
          <w:tcPr>
            <w:tcW w:w="850" w:type="dxa"/>
            <w:tcBorders>
              <w:top w:val="nil"/>
              <w:left w:val="nil"/>
              <w:bottom w:val="nil"/>
              <w:right w:val="nil"/>
            </w:tcBorders>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r w:rsidRPr="0026079F">
              <w:rPr>
                <w:rFonts w:ascii="Segoe UI" w:eastAsia="Times New Roman" w:hAnsi="Segoe UI" w:cs="Segoe UI"/>
                <w:color w:val="000000" w:themeColor="text1"/>
                <w:kern w:val="24"/>
                <w:sz w:val="14"/>
                <w:szCs w:val="16"/>
                <w:lang w:val="el-GR" w:eastAsia="el-GR"/>
              </w:rPr>
              <w:t>1</w:t>
            </w:r>
            <w:r w:rsidRPr="0026079F">
              <w:rPr>
                <w:rFonts w:ascii="Segoe UI" w:eastAsia="Times New Roman" w:hAnsi="Segoe UI" w:cs="Segoe UI"/>
                <w:color w:val="000000" w:themeColor="text1"/>
                <w:kern w:val="24"/>
                <w:sz w:val="14"/>
                <w:szCs w:val="16"/>
                <w:lang w:val="en-US" w:eastAsia="el-GR"/>
              </w:rPr>
              <w:t>51</w:t>
            </w:r>
            <w:r w:rsidRPr="0026079F">
              <w:rPr>
                <w:rFonts w:ascii="Segoe UI" w:eastAsia="Times New Roman" w:hAnsi="Segoe UI" w:cs="Segoe UI"/>
                <w:color w:val="000000" w:themeColor="text1"/>
                <w:kern w:val="24"/>
                <w:sz w:val="14"/>
                <w:szCs w:val="16"/>
                <w:lang w:eastAsia="el-GR"/>
              </w:rPr>
              <w:t>%</w:t>
            </w:r>
          </w:p>
        </w:tc>
        <w:tc>
          <w:tcPr>
            <w:tcW w:w="850" w:type="dxa"/>
            <w:tcBorders>
              <w:top w:val="nil"/>
              <w:left w:val="nil"/>
              <w:bottom w:val="nil"/>
              <w:right w:val="nil"/>
            </w:tcBorders>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r w:rsidRPr="0026079F">
              <w:rPr>
                <w:rFonts w:ascii="Segoe UI" w:eastAsia="Times New Roman" w:hAnsi="Segoe UI" w:cs="Segoe UI"/>
                <w:color w:val="000000" w:themeColor="text1"/>
                <w:kern w:val="24"/>
                <w:sz w:val="14"/>
                <w:szCs w:val="16"/>
                <w:lang w:eastAsia="el-GR"/>
              </w:rPr>
              <w:t>144%</w:t>
            </w:r>
          </w:p>
        </w:tc>
        <w:tc>
          <w:tcPr>
            <w:tcW w:w="852" w:type="dxa"/>
            <w:tcBorders>
              <w:top w:val="nil"/>
              <w:left w:val="nil"/>
              <w:bottom w:val="nil"/>
              <w:right w:val="nil"/>
            </w:tcBorders>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r w:rsidRPr="0026079F">
              <w:rPr>
                <w:rFonts w:ascii="Segoe UI" w:eastAsia="Times New Roman" w:hAnsi="Segoe UI" w:cs="Segoe UI"/>
                <w:color w:val="000000" w:themeColor="text1"/>
                <w:kern w:val="24"/>
                <w:sz w:val="14"/>
                <w:szCs w:val="16"/>
                <w:lang w:eastAsia="el-GR"/>
              </w:rPr>
              <w:t>103%</w:t>
            </w:r>
          </w:p>
        </w:tc>
        <w:tc>
          <w:tcPr>
            <w:tcW w:w="852" w:type="dxa"/>
            <w:tcBorders>
              <w:top w:val="nil"/>
              <w:left w:val="nil"/>
              <w:bottom w:val="nil"/>
              <w:right w:val="nil"/>
            </w:tcBorders>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r w:rsidRPr="0026079F">
              <w:rPr>
                <w:rFonts w:ascii="Segoe UI" w:eastAsia="Times New Roman" w:hAnsi="Segoe UI" w:cs="Segoe UI"/>
                <w:color w:val="000000" w:themeColor="text1"/>
                <w:kern w:val="24"/>
                <w:sz w:val="14"/>
                <w:szCs w:val="16"/>
                <w:lang w:eastAsia="el-GR"/>
              </w:rPr>
              <w:t>86%</w:t>
            </w:r>
          </w:p>
        </w:tc>
      </w:tr>
      <w:tr w:rsidR="0026079F" w:rsidRPr="00173966" w:rsidTr="00546F09">
        <w:trPr>
          <w:trHeight w:val="113"/>
        </w:trPr>
        <w:tc>
          <w:tcPr>
            <w:tcW w:w="3572" w:type="dxa"/>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26079F" w:rsidRPr="00C62FEB" w:rsidRDefault="0026079F" w:rsidP="0026079F">
            <w:pPr>
              <w:spacing w:after="0" w:line="240" w:lineRule="auto"/>
              <w:rPr>
                <w:rFonts w:ascii="Segoe UI" w:eastAsia="Times New Roman" w:hAnsi="Segoe UI" w:cs="Segoe UI"/>
                <w:sz w:val="14"/>
                <w:szCs w:val="14"/>
                <w:lang w:val="el-GR" w:eastAsia="el-GR"/>
              </w:rPr>
            </w:pPr>
            <w:r w:rsidRPr="00C62FEB">
              <w:rPr>
                <w:rFonts w:ascii="Segoe UI" w:eastAsia="Times New Roman" w:hAnsi="Segoe UI" w:cs="Segoe UI"/>
                <w:b/>
                <w:bCs/>
                <w:color w:val="000000" w:themeColor="text1"/>
                <w:kern w:val="24"/>
                <w:sz w:val="14"/>
                <w:szCs w:val="14"/>
                <w:lang w:val="el-GR" w:eastAsia="el-GR"/>
              </w:rPr>
              <w:t>Κε</w:t>
            </w:r>
            <w:r w:rsidRPr="00C62FEB">
              <w:rPr>
                <w:rFonts w:ascii="Segoe UI" w:eastAsia="Times New Roman" w:hAnsi="Segoe UI" w:cs="Segoe UI"/>
                <w:b/>
                <w:bCs/>
                <w:color w:val="000000" w:themeColor="text1"/>
                <w:kern w:val="24"/>
                <w:sz w:val="14"/>
                <w:szCs w:val="14"/>
                <w:shd w:val="clear" w:color="auto" w:fill="F2F2F2" w:themeFill="background1" w:themeFillShade="F2"/>
                <w:lang w:val="el-GR" w:eastAsia="el-GR"/>
              </w:rPr>
              <w:t>ρδοφορία</w:t>
            </w: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2"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2"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p>
        </w:tc>
      </w:tr>
      <w:tr w:rsidR="0026079F" w:rsidRPr="00173966" w:rsidTr="00AF1BA2">
        <w:trPr>
          <w:trHeight w:val="113"/>
        </w:trPr>
        <w:tc>
          <w:tcPr>
            <w:tcW w:w="3572" w:type="dxa"/>
            <w:tcBorders>
              <w:top w:val="nil"/>
              <w:left w:val="nil"/>
              <w:bottom w:val="nil"/>
              <w:right w:val="nil"/>
            </w:tcBorders>
            <w:shd w:val="clear" w:color="auto" w:fill="auto"/>
            <w:tcMar>
              <w:top w:w="15" w:type="dxa"/>
              <w:left w:w="41" w:type="dxa"/>
              <w:bottom w:w="0" w:type="dxa"/>
              <w:right w:w="15" w:type="dxa"/>
            </w:tcMar>
            <w:vAlign w:val="center"/>
            <w:hideMark/>
          </w:tcPr>
          <w:p w:rsidR="0026079F" w:rsidRPr="00C62FEB" w:rsidRDefault="0026079F" w:rsidP="0026079F">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Καθαρό επιτοκιακό περιθώριο (μ.β.)</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270</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276</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263</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260</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268</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275</w:t>
            </w:r>
          </w:p>
        </w:tc>
      </w:tr>
      <w:tr w:rsidR="0026079F" w:rsidRPr="00E01FF9" w:rsidTr="00AF1BA2">
        <w:trPr>
          <w:trHeight w:val="113"/>
        </w:trPr>
        <w:tc>
          <w:tcPr>
            <w:tcW w:w="3572" w:type="dxa"/>
            <w:tcBorders>
              <w:top w:val="nil"/>
              <w:left w:val="nil"/>
              <w:bottom w:val="nil"/>
              <w:right w:val="nil"/>
            </w:tcBorders>
            <w:shd w:val="clear" w:color="auto" w:fill="auto"/>
            <w:tcMar>
              <w:top w:w="15" w:type="dxa"/>
              <w:left w:w="41" w:type="dxa"/>
              <w:bottom w:w="0" w:type="dxa"/>
              <w:right w:w="15" w:type="dxa"/>
            </w:tcMar>
            <w:vAlign w:val="center"/>
          </w:tcPr>
          <w:p w:rsidR="0026079F" w:rsidRPr="00C62FEB" w:rsidRDefault="0026079F" w:rsidP="0026079F">
            <w:pPr>
              <w:spacing w:after="0" w:line="240" w:lineRule="auto"/>
              <w:textAlignment w:val="center"/>
              <w:rPr>
                <w:rFonts w:ascii="Segoe UI" w:eastAsia="Segoe UI" w:hAnsi="Segoe UI" w:cs="Segoe UI"/>
                <w:color w:val="000000"/>
                <w:kern w:val="24"/>
                <w:sz w:val="14"/>
                <w:szCs w:val="14"/>
                <w:lang w:val="el-GR" w:eastAsia="el-GR"/>
              </w:rPr>
            </w:pPr>
            <w:r>
              <w:rPr>
                <w:rFonts w:ascii="Segoe UI" w:eastAsia="Segoe UI" w:hAnsi="Segoe UI" w:cs="Segoe UI"/>
                <w:color w:val="000000"/>
                <w:kern w:val="24"/>
                <w:sz w:val="14"/>
                <w:szCs w:val="14"/>
                <w:lang w:val="el-GR" w:eastAsia="el-GR"/>
              </w:rPr>
              <w:t xml:space="preserve">Δείκτης κόστους προς οργανικά έσοδα </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58%</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55%</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58%</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64%</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68%</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67%</w:t>
            </w:r>
          </w:p>
        </w:tc>
      </w:tr>
      <w:tr w:rsidR="0026079F" w:rsidRPr="00173966" w:rsidTr="00AF1BA2">
        <w:trPr>
          <w:trHeight w:val="113"/>
        </w:trPr>
        <w:tc>
          <w:tcPr>
            <w:tcW w:w="3572" w:type="dxa"/>
            <w:tcBorders>
              <w:top w:val="nil"/>
              <w:left w:val="nil"/>
              <w:bottom w:val="nil"/>
              <w:right w:val="nil"/>
            </w:tcBorders>
            <w:shd w:val="clear" w:color="auto" w:fill="auto"/>
            <w:tcMar>
              <w:top w:w="15" w:type="dxa"/>
              <w:left w:w="41" w:type="dxa"/>
              <w:bottom w:w="0" w:type="dxa"/>
              <w:right w:w="15" w:type="dxa"/>
            </w:tcMar>
            <w:vAlign w:val="center"/>
            <w:hideMark/>
          </w:tcPr>
          <w:p w:rsidR="0026079F" w:rsidRPr="00C62FEB" w:rsidRDefault="0026079F" w:rsidP="0026079F">
            <w:pPr>
              <w:spacing w:after="0" w:line="240" w:lineRule="auto"/>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K</w:t>
            </w:r>
            <w:r w:rsidRPr="00C62FEB">
              <w:rPr>
                <w:rFonts w:ascii="Segoe UI" w:eastAsia="Segoe UI" w:hAnsi="Segoe UI" w:cs="Segoe UI"/>
                <w:color w:val="000000"/>
                <w:kern w:val="24"/>
                <w:sz w:val="14"/>
                <w:szCs w:val="14"/>
                <w:lang w:val="el-GR" w:eastAsia="el-GR"/>
              </w:rPr>
              <w:t>όστος πιστωτικού κινδύνου (μ.β.)</w:t>
            </w:r>
            <w:r>
              <w:rPr>
                <w:rFonts w:ascii="Segoe UI" w:eastAsia="Segoe UI" w:hAnsi="Segoe UI" w:cs="Segoe UI"/>
                <w:color w:val="000000"/>
                <w:kern w:val="24"/>
                <w:sz w:val="14"/>
                <w:szCs w:val="14"/>
                <w:vertAlign w:val="superscript"/>
                <w:lang w:val="el-GR" w:eastAsia="el-GR"/>
              </w:rPr>
              <w:t>1</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135</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135</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136</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81</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108</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106</w:t>
            </w:r>
          </w:p>
        </w:tc>
      </w:tr>
      <w:tr w:rsidR="0026079F" w:rsidRPr="00CF3A8E" w:rsidTr="00AF1BA2">
        <w:trPr>
          <w:trHeight w:val="113"/>
        </w:trPr>
        <w:tc>
          <w:tcPr>
            <w:tcW w:w="3572" w:type="dxa"/>
            <w:tcBorders>
              <w:top w:val="nil"/>
              <w:left w:val="nil"/>
              <w:bottom w:val="nil"/>
              <w:right w:val="nil"/>
            </w:tcBorders>
            <w:shd w:val="clear" w:color="auto" w:fill="auto"/>
            <w:tcMar>
              <w:top w:w="15" w:type="dxa"/>
              <w:left w:w="41" w:type="dxa"/>
              <w:bottom w:w="0" w:type="dxa"/>
              <w:right w:w="15" w:type="dxa"/>
            </w:tcMar>
            <w:vAlign w:val="center"/>
          </w:tcPr>
          <w:p w:rsidR="0026079F" w:rsidRPr="00C62FEB" w:rsidRDefault="0026079F" w:rsidP="0026079F">
            <w:pPr>
              <w:spacing w:after="0" w:line="240" w:lineRule="auto"/>
              <w:textAlignment w:val="center"/>
              <w:rPr>
                <w:rFonts w:ascii="Segoe UI" w:eastAsia="Segoe UI" w:hAnsi="Segoe UI" w:cs="Segoe UI"/>
                <w:color w:val="000000"/>
                <w:kern w:val="24"/>
                <w:sz w:val="14"/>
                <w:szCs w:val="14"/>
                <w:lang w:val="el-GR" w:eastAsia="el-GR"/>
              </w:rPr>
            </w:pPr>
            <w:r w:rsidRPr="00C62FEB">
              <w:rPr>
                <w:rFonts w:ascii="Segoe UI" w:eastAsia="Segoe UI" w:hAnsi="Segoe UI" w:cs="Segoe UI"/>
                <w:color w:val="000000"/>
                <w:kern w:val="24"/>
                <w:sz w:val="14"/>
                <w:szCs w:val="14"/>
                <w:lang w:val="el-GR" w:eastAsia="el-GR"/>
              </w:rPr>
              <w:t>Καθαρό επιτοκιακό περιθώριο προσαρμοσμένο στον κίνδυνο (μ.β.)</w:t>
            </w:r>
            <w:r>
              <w:rPr>
                <w:rFonts w:ascii="Segoe UI" w:eastAsia="Segoe UI" w:hAnsi="Segoe UI" w:cs="Segoe UI"/>
                <w:color w:val="000000"/>
                <w:kern w:val="24"/>
                <w:sz w:val="14"/>
                <w:szCs w:val="14"/>
                <w:vertAlign w:val="superscript"/>
                <w:lang w:val="el-GR" w:eastAsia="el-GR"/>
              </w:rPr>
              <w:t>2</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135</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rPr>
              <w:t>1</w:t>
            </w:r>
            <w:r w:rsidRPr="0026079F">
              <w:rPr>
                <w:rFonts w:ascii="Segoe UI" w:hAnsi="Segoe UI" w:cs="Segoe UI"/>
                <w:color w:val="000000" w:themeColor="text1"/>
                <w:kern w:val="24"/>
                <w:sz w:val="14"/>
                <w:szCs w:val="16"/>
                <w:lang w:val="en-US"/>
              </w:rPr>
              <w:t>41</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rPr>
              <w:t>1</w:t>
            </w:r>
            <w:r w:rsidRPr="0026079F">
              <w:rPr>
                <w:rFonts w:ascii="Segoe UI" w:hAnsi="Segoe UI" w:cs="Segoe UI"/>
                <w:color w:val="000000" w:themeColor="text1"/>
                <w:kern w:val="24"/>
                <w:sz w:val="14"/>
                <w:szCs w:val="16"/>
                <w:lang w:val="en-US"/>
              </w:rPr>
              <w:t>27</w:t>
            </w:r>
          </w:p>
        </w:tc>
        <w:tc>
          <w:tcPr>
            <w:tcW w:w="850"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179</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160</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169</w:t>
            </w:r>
          </w:p>
        </w:tc>
      </w:tr>
      <w:tr w:rsidR="0026079F" w:rsidRPr="00173966" w:rsidTr="00546F09">
        <w:trPr>
          <w:trHeight w:val="113"/>
        </w:trPr>
        <w:tc>
          <w:tcPr>
            <w:tcW w:w="3572" w:type="dxa"/>
            <w:tcBorders>
              <w:top w:val="nil"/>
              <w:left w:val="nil"/>
              <w:bottom w:val="nil"/>
              <w:right w:val="nil"/>
            </w:tcBorders>
            <w:shd w:val="clear" w:color="auto" w:fill="F2F2F2"/>
            <w:tcMar>
              <w:top w:w="15" w:type="dxa"/>
              <w:left w:w="41" w:type="dxa"/>
              <w:bottom w:w="0" w:type="dxa"/>
              <w:right w:w="15" w:type="dxa"/>
            </w:tcMar>
            <w:vAlign w:val="center"/>
          </w:tcPr>
          <w:p w:rsidR="0026079F" w:rsidRPr="001168B2" w:rsidRDefault="0026079F" w:rsidP="0026079F">
            <w:pPr>
              <w:spacing w:after="0" w:line="240" w:lineRule="auto"/>
              <w:rPr>
                <w:rFonts w:ascii="Segoe UI" w:eastAsia="Times New Roman" w:hAnsi="Segoe UI" w:cs="Segoe UI"/>
                <w:b/>
                <w:bCs/>
                <w:color w:val="000000" w:themeColor="text1"/>
                <w:kern w:val="24"/>
                <w:sz w:val="14"/>
                <w:szCs w:val="14"/>
                <w:lang w:val="el-GR" w:eastAsia="el-GR"/>
              </w:rPr>
            </w:pPr>
            <w:r w:rsidRPr="001168B2">
              <w:rPr>
                <w:rFonts w:ascii="Segoe UI" w:eastAsia="Times New Roman" w:hAnsi="Segoe UI" w:cs="Segoe UI"/>
                <w:b/>
                <w:bCs/>
                <w:color w:val="000000" w:themeColor="text1"/>
                <w:kern w:val="24"/>
                <w:sz w:val="14"/>
                <w:szCs w:val="14"/>
                <w:lang w:val="el-GR" w:eastAsia="el-GR"/>
              </w:rPr>
              <w:t>Ποιότητα δανειακού χαρτοφυλακίου</w:t>
            </w: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2"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2"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p>
        </w:tc>
      </w:tr>
      <w:tr w:rsidR="0026079F" w:rsidRPr="00173966" w:rsidTr="00AF1BA2">
        <w:trPr>
          <w:trHeight w:val="113"/>
        </w:trPr>
        <w:tc>
          <w:tcPr>
            <w:tcW w:w="3572" w:type="dxa"/>
            <w:tcBorders>
              <w:top w:val="nil"/>
              <w:left w:val="nil"/>
              <w:bottom w:val="nil"/>
              <w:right w:val="nil"/>
            </w:tcBorders>
            <w:shd w:val="clear" w:color="auto" w:fill="auto"/>
            <w:tcMar>
              <w:top w:w="15" w:type="dxa"/>
              <w:left w:w="41" w:type="dxa"/>
              <w:bottom w:w="0" w:type="dxa"/>
              <w:right w:w="15" w:type="dxa"/>
            </w:tcMar>
            <w:vAlign w:val="center"/>
            <w:hideMark/>
          </w:tcPr>
          <w:p w:rsidR="0026079F" w:rsidRPr="00C62FEB" w:rsidRDefault="0026079F" w:rsidP="0026079F">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Δείκτης Μη Εξυπηρετούμενων Ανοιγμάτων</w:t>
            </w:r>
            <w:r w:rsidRPr="007B24E4">
              <w:rPr>
                <w:rFonts w:ascii="Segoe UI" w:eastAsia="Segoe UI" w:hAnsi="Segoe UI" w:cs="Segoe UI"/>
                <w:color w:val="000000"/>
                <w:kern w:val="24"/>
                <w:sz w:val="14"/>
                <w:szCs w:val="14"/>
                <w:vertAlign w:val="superscript"/>
                <w:lang w:val="el-GR" w:eastAsia="el-GR"/>
              </w:rPr>
              <w:t xml:space="preserve"> </w:t>
            </w:r>
          </w:p>
        </w:tc>
        <w:tc>
          <w:tcPr>
            <w:tcW w:w="850" w:type="dxa"/>
            <w:tcBorders>
              <w:top w:val="nil"/>
              <w:left w:val="nil"/>
              <w:bottom w:val="nil"/>
              <w:right w:val="nil"/>
            </w:tcBorders>
            <w:shd w:val="clear" w:color="auto" w:fill="auto"/>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kern w:val="24"/>
                <w:sz w:val="14"/>
                <w:szCs w:val="16"/>
                <w:lang w:eastAsia="el-GR"/>
              </w:rPr>
              <w:t>34.2%</w:t>
            </w:r>
          </w:p>
        </w:tc>
        <w:tc>
          <w:tcPr>
            <w:tcW w:w="850" w:type="dxa"/>
            <w:tcBorders>
              <w:top w:val="nil"/>
              <w:left w:val="nil"/>
              <w:bottom w:val="nil"/>
              <w:right w:val="nil"/>
            </w:tcBorders>
            <w:shd w:val="clear" w:color="auto" w:fill="auto"/>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36.5%</w:t>
            </w:r>
          </w:p>
        </w:tc>
        <w:tc>
          <w:tcPr>
            <w:tcW w:w="850" w:type="dxa"/>
            <w:tcBorders>
              <w:top w:val="nil"/>
              <w:left w:val="nil"/>
              <w:bottom w:val="nil"/>
              <w:right w:val="nil"/>
            </w:tcBorders>
            <w:shd w:val="clear" w:color="auto" w:fill="auto"/>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38.9%</w:t>
            </w:r>
          </w:p>
        </w:tc>
        <w:tc>
          <w:tcPr>
            <w:tcW w:w="850" w:type="dxa"/>
            <w:tcBorders>
              <w:top w:val="nil"/>
              <w:left w:val="nil"/>
              <w:bottom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40.9%</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42.2%</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rPr>
            </w:pPr>
            <w:r w:rsidRPr="0026079F">
              <w:rPr>
                <w:rFonts w:ascii="Segoe UI" w:hAnsi="Segoe UI" w:cs="Segoe UI"/>
                <w:color w:val="000000" w:themeColor="text1"/>
                <w:kern w:val="24"/>
                <w:sz w:val="14"/>
                <w:szCs w:val="16"/>
                <w:lang w:val="en-US"/>
              </w:rPr>
              <w:t>42.4%</w:t>
            </w:r>
          </w:p>
        </w:tc>
      </w:tr>
      <w:tr w:rsidR="0026079F" w:rsidRPr="00173966" w:rsidTr="00AF1BA2">
        <w:trPr>
          <w:trHeight w:val="113"/>
        </w:trPr>
        <w:tc>
          <w:tcPr>
            <w:tcW w:w="3572" w:type="dxa"/>
            <w:tcBorders>
              <w:top w:val="nil"/>
              <w:left w:val="nil"/>
              <w:bottom w:val="nil"/>
              <w:right w:val="nil"/>
            </w:tcBorders>
            <w:shd w:val="clear" w:color="auto" w:fill="auto"/>
            <w:tcMar>
              <w:top w:w="15" w:type="dxa"/>
              <w:left w:w="41" w:type="dxa"/>
              <w:bottom w:w="0" w:type="dxa"/>
              <w:right w:w="15" w:type="dxa"/>
            </w:tcMar>
            <w:vAlign w:val="center"/>
            <w:hideMark/>
          </w:tcPr>
          <w:p w:rsidR="0026079F" w:rsidRPr="00C62FEB" w:rsidRDefault="0026079F" w:rsidP="0026079F">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Δείκτης κάλυψης Μη Εξυπηρετούμενων Ανοιγμάτων</w:t>
            </w:r>
          </w:p>
        </w:tc>
        <w:tc>
          <w:tcPr>
            <w:tcW w:w="850" w:type="dxa"/>
            <w:tcBorders>
              <w:top w:val="nil"/>
              <w:left w:val="nil"/>
              <w:bottom w:val="nil"/>
              <w:right w:val="nil"/>
            </w:tcBorders>
            <w:shd w:val="clear" w:color="auto" w:fill="auto"/>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kern w:val="24"/>
                <w:sz w:val="14"/>
                <w:szCs w:val="16"/>
                <w:lang w:eastAsia="el-GR"/>
              </w:rPr>
              <w:t>54.8%</w:t>
            </w:r>
          </w:p>
        </w:tc>
        <w:tc>
          <w:tcPr>
            <w:tcW w:w="850" w:type="dxa"/>
            <w:tcBorders>
              <w:top w:val="nil"/>
              <w:left w:val="nil"/>
              <w:bottom w:val="nil"/>
              <w:right w:val="nil"/>
            </w:tcBorders>
            <w:shd w:val="clear" w:color="auto" w:fill="auto"/>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56.0%</w:t>
            </w:r>
          </w:p>
        </w:tc>
        <w:tc>
          <w:tcPr>
            <w:tcW w:w="850" w:type="dxa"/>
            <w:tcBorders>
              <w:top w:val="nil"/>
              <w:left w:val="nil"/>
              <w:bottom w:val="nil"/>
              <w:right w:val="nil"/>
            </w:tcBorders>
            <w:shd w:val="clear" w:color="auto" w:fill="auto"/>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58.6%</w:t>
            </w:r>
          </w:p>
        </w:tc>
        <w:tc>
          <w:tcPr>
            <w:tcW w:w="850" w:type="dxa"/>
            <w:tcBorders>
              <w:top w:val="nil"/>
              <w:left w:val="nil"/>
              <w:bottom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59.1%</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lang w:val="en-US"/>
              </w:rPr>
            </w:pPr>
            <w:r w:rsidRPr="0026079F">
              <w:rPr>
                <w:rFonts w:ascii="Segoe UI" w:hAnsi="Segoe UI" w:cs="Segoe UI"/>
                <w:color w:val="000000" w:themeColor="text1"/>
                <w:kern w:val="24"/>
                <w:sz w:val="14"/>
                <w:szCs w:val="16"/>
                <w:lang w:val="en-US"/>
              </w:rPr>
              <w:t>59.9%</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lang w:val="en-US"/>
              </w:rPr>
            </w:pPr>
            <w:r w:rsidRPr="0026079F">
              <w:rPr>
                <w:rFonts w:ascii="Segoe UI" w:hAnsi="Segoe UI" w:cs="Segoe UI"/>
                <w:color w:val="000000" w:themeColor="text1"/>
                <w:kern w:val="24"/>
                <w:sz w:val="14"/>
                <w:szCs w:val="16"/>
                <w:lang w:val="en-US"/>
              </w:rPr>
              <w:t>60.1%</w:t>
            </w:r>
          </w:p>
        </w:tc>
      </w:tr>
      <w:tr w:rsidR="0026079F" w:rsidRPr="00173966" w:rsidTr="00546F09">
        <w:trPr>
          <w:trHeight w:val="113"/>
        </w:trPr>
        <w:tc>
          <w:tcPr>
            <w:tcW w:w="3572" w:type="dxa"/>
            <w:tcBorders>
              <w:top w:val="nil"/>
              <w:left w:val="nil"/>
              <w:bottom w:val="nil"/>
              <w:right w:val="nil"/>
            </w:tcBorders>
            <w:shd w:val="clear" w:color="auto" w:fill="F2F2F2"/>
            <w:tcMar>
              <w:top w:w="15" w:type="dxa"/>
              <w:left w:w="41" w:type="dxa"/>
              <w:bottom w:w="0" w:type="dxa"/>
              <w:right w:w="15" w:type="dxa"/>
            </w:tcMar>
            <w:vAlign w:val="center"/>
          </w:tcPr>
          <w:p w:rsidR="0026079F" w:rsidRPr="00FE75EA" w:rsidRDefault="0026079F" w:rsidP="0026079F">
            <w:pPr>
              <w:spacing w:after="0" w:line="240" w:lineRule="auto"/>
              <w:rPr>
                <w:rFonts w:ascii="Segoe UI" w:eastAsia="Times New Roman" w:hAnsi="Segoe UI" w:cs="Segoe UI"/>
                <w:b/>
                <w:bCs/>
                <w:color w:val="000000" w:themeColor="text1"/>
                <w:kern w:val="24"/>
                <w:sz w:val="14"/>
                <w:szCs w:val="14"/>
                <w:lang w:val="el-GR" w:eastAsia="el-GR"/>
              </w:rPr>
            </w:pPr>
            <w:r w:rsidRPr="00FE75EA">
              <w:rPr>
                <w:rFonts w:ascii="Segoe UI" w:eastAsia="Times New Roman" w:hAnsi="Segoe UI" w:cs="Segoe UI"/>
                <w:b/>
                <w:bCs/>
                <w:color w:val="000000" w:themeColor="text1"/>
                <w:kern w:val="24"/>
                <w:sz w:val="14"/>
                <w:szCs w:val="14"/>
                <w:lang w:val="el-GR" w:eastAsia="el-GR"/>
              </w:rPr>
              <w:t>Κεφαλαιακή επάρκεια</w:t>
            </w: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kern w:val="24"/>
                <w:sz w:val="14"/>
                <w:szCs w:val="16"/>
                <w:highlight w:val="yellow"/>
                <w:lang w:eastAsia="el-GR"/>
              </w:rPr>
            </w:pP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c>
          <w:tcPr>
            <w:tcW w:w="850"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p>
        </w:tc>
        <w:tc>
          <w:tcPr>
            <w:tcW w:w="852"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p>
        </w:tc>
        <w:tc>
          <w:tcPr>
            <w:tcW w:w="852" w:type="dxa"/>
            <w:tcBorders>
              <w:top w:val="nil"/>
              <w:left w:val="nil"/>
              <w:bottom w:val="nil"/>
              <w:right w:val="nil"/>
            </w:tcBorders>
            <w:shd w:val="clear" w:color="auto" w:fill="F2F2F2" w:themeFill="background1" w:themeFillShade="F2"/>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highlight w:val="yellow"/>
                <w:lang w:eastAsia="el-GR"/>
              </w:rPr>
            </w:pPr>
          </w:p>
        </w:tc>
      </w:tr>
      <w:tr w:rsidR="0026079F" w:rsidRPr="00173966" w:rsidTr="00AF1BA2">
        <w:trPr>
          <w:trHeight w:val="113"/>
        </w:trPr>
        <w:tc>
          <w:tcPr>
            <w:tcW w:w="3572" w:type="dxa"/>
            <w:tcBorders>
              <w:top w:val="nil"/>
              <w:left w:val="nil"/>
              <w:right w:val="nil"/>
            </w:tcBorders>
            <w:shd w:val="clear" w:color="auto" w:fill="auto"/>
            <w:tcMar>
              <w:top w:w="15" w:type="dxa"/>
              <w:left w:w="41" w:type="dxa"/>
              <w:bottom w:w="0" w:type="dxa"/>
              <w:right w:w="15" w:type="dxa"/>
            </w:tcMar>
            <w:vAlign w:val="center"/>
            <w:hideMark/>
          </w:tcPr>
          <w:p w:rsidR="0026079F" w:rsidRPr="00C62FEB" w:rsidRDefault="0026079F" w:rsidP="0026079F">
            <w:pPr>
              <w:spacing w:after="0" w:line="240" w:lineRule="auto"/>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val="el-GR"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val="el-GR" w:eastAsia="el-GR"/>
              </w:rPr>
              <w:t>1</w:t>
            </w:r>
            <w:r w:rsidRPr="00C90D19">
              <w:rPr>
                <w:rFonts w:ascii="Segoe UI" w:eastAsia="Segoe UI" w:hAnsi="Segoe UI" w:cs="Segoe UI"/>
                <w:color w:val="000000"/>
                <w:kern w:val="24"/>
                <w:sz w:val="14"/>
                <w:szCs w:val="14"/>
                <w:vertAlign w:val="superscript"/>
                <w:lang w:val="el-GR" w:eastAsia="el-GR"/>
              </w:rPr>
              <w:t>3</w:t>
            </w:r>
            <w:r w:rsidRPr="00C62FEB">
              <w:rPr>
                <w:rFonts w:ascii="Segoe UI" w:eastAsia="Segoe UI" w:hAnsi="Segoe UI" w:cs="Segoe UI"/>
                <w:color w:val="000000"/>
                <w:kern w:val="24"/>
                <w:sz w:val="14"/>
                <w:szCs w:val="14"/>
                <w:lang w:val="el-GR" w:eastAsia="el-GR"/>
              </w:rPr>
              <w:t xml:space="preserve"> </w:t>
            </w:r>
          </w:p>
        </w:tc>
        <w:tc>
          <w:tcPr>
            <w:tcW w:w="850" w:type="dxa"/>
            <w:tcBorders>
              <w:top w:val="nil"/>
              <w:left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16.8%</w:t>
            </w:r>
            <w:r w:rsidRPr="0026079F">
              <w:rPr>
                <w:rFonts w:ascii="Segoe UI" w:eastAsia="Times New Roman" w:hAnsi="Segoe UI" w:cs="Segoe UI"/>
                <w:color w:val="000000" w:themeColor="text1"/>
                <w:kern w:val="24"/>
                <w:sz w:val="14"/>
                <w:szCs w:val="16"/>
                <w:vertAlign w:val="superscript"/>
                <w:lang w:eastAsia="el-GR"/>
              </w:rPr>
              <w:t>3</w:t>
            </w:r>
          </w:p>
        </w:tc>
        <w:tc>
          <w:tcPr>
            <w:tcW w:w="850" w:type="dxa"/>
            <w:tcBorders>
              <w:top w:val="nil"/>
              <w:left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16.0%</w:t>
            </w:r>
            <w:r w:rsidRPr="0026079F">
              <w:rPr>
                <w:rFonts w:ascii="Segoe UI" w:eastAsia="Times New Roman" w:hAnsi="Segoe UI" w:cs="Segoe UI"/>
                <w:color w:val="000000" w:themeColor="text1"/>
                <w:kern w:val="24"/>
                <w:sz w:val="14"/>
                <w:szCs w:val="16"/>
                <w:vertAlign w:val="superscript"/>
                <w:lang w:eastAsia="el-GR"/>
              </w:rPr>
              <w:t>3</w:t>
            </w:r>
          </w:p>
        </w:tc>
        <w:tc>
          <w:tcPr>
            <w:tcW w:w="850" w:type="dxa"/>
            <w:tcBorders>
              <w:top w:val="nil"/>
              <w:left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15.7%</w:t>
            </w:r>
          </w:p>
        </w:tc>
        <w:tc>
          <w:tcPr>
            <w:tcW w:w="850" w:type="dxa"/>
            <w:tcBorders>
              <w:top w:val="nil"/>
              <w:left w:val="nil"/>
              <w:right w:val="nil"/>
            </w:tcBorders>
            <w:vAlign w:val="center"/>
          </w:tcPr>
          <w:p w:rsidR="0026079F" w:rsidRPr="0026079F" w:rsidRDefault="0026079F" w:rsidP="0026079F">
            <w:pPr>
              <w:spacing w:after="0" w:line="240" w:lineRule="auto"/>
              <w:jc w:val="right"/>
              <w:rPr>
                <w:rFonts w:ascii="Arial" w:eastAsia="Times New Roman" w:hAnsi="Arial" w:cs="Arial"/>
                <w:sz w:val="14"/>
                <w:szCs w:val="36"/>
                <w:lang w:eastAsia="el-GR"/>
              </w:rPr>
            </w:pPr>
            <w:r w:rsidRPr="0026079F">
              <w:rPr>
                <w:rFonts w:ascii="Segoe UI" w:eastAsia="Times New Roman" w:hAnsi="Segoe UI" w:cs="Segoe UI"/>
                <w:color w:val="000000" w:themeColor="text1"/>
                <w:kern w:val="24"/>
                <w:sz w:val="14"/>
                <w:szCs w:val="16"/>
                <w:lang w:eastAsia="el-GR"/>
              </w:rPr>
              <w:t>16.1%</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lang w:val="en-US"/>
              </w:rPr>
            </w:pPr>
            <w:r w:rsidRPr="0026079F">
              <w:rPr>
                <w:rFonts w:ascii="Segoe UI" w:hAnsi="Segoe UI" w:cs="Segoe UI"/>
                <w:color w:val="000000" w:themeColor="text1"/>
                <w:kern w:val="24"/>
                <w:sz w:val="14"/>
                <w:szCs w:val="16"/>
                <w:lang w:val="en-US"/>
              </w:rPr>
              <w:t>16.4%</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Arial" w:hAnsi="Arial" w:cs="Arial"/>
                <w:sz w:val="14"/>
                <w:szCs w:val="36"/>
                <w:lang w:val="en-US"/>
              </w:rPr>
            </w:pPr>
            <w:r w:rsidRPr="0026079F">
              <w:rPr>
                <w:rFonts w:ascii="Segoe UI" w:hAnsi="Segoe UI" w:cs="Segoe UI"/>
                <w:color w:val="000000" w:themeColor="text1"/>
                <w:kern w:val="24"/>
                <w:sz w:val="14"/>
                <w:szCs w:val="16"/>
                <w:lang w:val="en-US"/>
              </w:rPr>
              <w:t>16.2%</w:t>
            </w:r>
          </w:p>
        </w:tc>
      </w:tr>
      <w:tr w:rsidR="0026079F" w:rsidRPr="00173966" w:rsidTr="00AF1BA2">
        <w:trPr>
          <w:trHeight w:val="113"/>
        </w:trPr>
        <w:tc>
          <w:tcPr>
            <w:tcW w:w="3572" w:type="dxa"/>
            <w:tcBorders>
              <w:top w:val="nil"/>
              <w:left w:val="nil"/>
              <w:right w:val="nil"/>
            </w:tcBorders>
            <w:shd w:val="clear" w:color="auto" w:fill="auto"/>
            <w:tcMar>
              <w:top w:w="15" w:type="dxa"/>
              <w:left w:w="41" w:type="dxa"/>
              <w:bottom w:w="0" w:type="dxa"/>
              <w:right w:w="15" w:type="dxa"/>
            </w:tcMar>
            <w:vAlign w:val="center"/>
          </w:tcPr>
          <w:p w:rsidR="0026079F" w:rsidRPr="00C62FEB" w:rsidRDefault="0026079F" w:rsidP="0026079F">
            <w:pPr>
              <w:spacing w:after="0" w:line="240" w:lineRule="auto"/>
              <w:textAlignment w:val="center"/>
              <w:rPr>
                <w:rFonts w:ascii="Segoe UI" w:eastAsia="Segoe UI" w:hAnsi="Segoe UI" w:cs="Segoe UI"/>
                <w:color w:val="000000"/>
                <w:kern w:val="24"/>
                <w:sz w:val="14"/>
                <w:szCs w:val="14"/>
                <w:lang w:val="el-GR" w:eastAsia="el-GR"/>
              </w:rPr>
            </w:pPr>
            <w:r w:rsidRPr="00C62FEB">
              <w:rPr>
                <w:rFonts w:ascii="Segoe UI" w:eastAsia="Segoe UI" w:hAnsi="Segoe UI" w:cs="Segoe UI"/>
                <w:color w:val="000000"/>
                <w:kern w:val="24"/>
                <w:sz w:val="14"/>
                <w:szCs w:val="14"/>
                <w:lang w:val="el-GR"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val="el-GR" w:eastAsia="el-GR"/>
              </w:rPr>
              <w:t>1</w:t>
            </w:r>
            <w:r>
              <w:rPr>
                <w:rFonts w:ascii="Segoe UI" w:eastAsia="Segoe UI" w:hAnsi="Segoe UI" w:cs="Segoe UI"/>
                <w:color w:val="000000"/>
                <w:kern w:val="24"/>
                <w:sz w:val="14"/>
                <w:szCs w:val="14"/>
                <w:lang w:val="el-GR" w:eastAsia="el-GR"/>
              </w:rPr>
              <w:t xml:space="preserve"> </w:t>
            </w:r>
            <w:r>
              <w:rPr>
                <w:rFonts w:ascii="Segoe UI" w:eastAsia="Segoe UI" w:hAnsi="Segoe UI" w:cs="Segoe UI"/>
                <w:color w:val="000000"/>
                <w:kern w:val="24"/>
                <w:sz w:val="14"/>
                <w:szCs w:val="14"/>
                <w:lang w:val="en-US" w:eastAsia="el-GR"/>
              </w:rPr>
              <w:t>FL</w:t>
            </w:r>
            <w:r w:rsidRPr="00C90D19">
              <w:rPr>
                <w:rFonts w:ascii="Segoe UI" w:eastAsia="Segoe UI" w:hAnsi="Segoe UI" w:cs="Segoe UI"/>
                <w:color w:val="000000"/>
                <w:kern w:val="24"/>
                <w:sz w:val="14"/>
                <w:szCs w:val="14"/>
                <w:vertAlign w:val="superscript"/>
                <w:lang w:val="el-GR" w:eastAsia="el-GR"/>
              </w:rPr>
              <w:t>3</w:t>
            </w:r>
          </w:p>
        </w:tc>
        <w:tc>
          <w:tcPr>
            <w:tcW w:w="850" w:type="dxa"/>
            <w:tcBorders>
              <w:top w:val="nil"/>
              <w:left w:val="nil"/>
              <w:right w:val="nil"/>
            </w:tcBorders>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r w:rsidRPr="0026079F">
              <w:rPr>
                <w:rFonts w:ascii="Segoe UI" w:eastAsia="Times New Roman" w:hAnsi="Segoe UI" w:cs="Segoe UI"/>
                <w:color w:val="000000" w:themeColor="text1"/>
                <w:kern w:val="24"/>
                <w:sz w:val="14"/>
                <w:szCs w:val="16"/>
                <w:lang w:eastAsia="el-GR"/>
              </w:rPr>
              <w:t>13.4%</w:t>
            </w:r>
            <w:r w:rsidRPr="0026079F">
              <w:rPr>
                <w:rFonts w:ascii="Segoe UI" w:eastAsia="Times New Roman" w:hAnsi="Segoe UI" w:cs="Segoe UI"/>
                <w:color w:val="000000" w:themeColor="text1"/>
                <w:kern w:val="24"/>
                <w:sz w:val="14"/>
                <w:szCs w:val="16"/>
                <w:vertAlign w:val="superscript"/>
                <w:lang w:eastAsia="el-GR"/>
              </w:rPr>
              <w:t>3</w:t>
            </w:r>
          </w:p>
        </w:tc>
        <w:tc>
          <w:tcPr>
            <w:tcW w:w="850" w:type="dxa"/>
            <w:tcBorders>
              <w:top w:val="nil"/>
              <w:left w:val="nil"/>
              <w:right w:val="nil"/>
            </w:tcBorders>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r w:rsidRPr="0026079F">
              <w:rPr>
                <w:rFonts w:ascii="Segoe UI" w:eastAsia="Times New Roman" w:hAnsi="Segoe UI" w:cs="Segoe UI"/>
                <w:color w:val="000000" w:themeColor="text1"/>
                <w:kern w:val="24"/>
                <w:sz w:val="14"/>
                <w:szCs w:val="16"/>
                <w:lang w:eastAsia="el-GR"/>
              </w:rPr>
              <w:t>12.6%</w:t>
            </w:r>
            <w:r w:rsidRPr="0026079F">
              <w:rPr>
                <w:rFonts w:ascii="Segoe UI" w:eastAsia="Times New Roman" w:hAnsi="Segoe UI" w:cs="Segoe UI"/>
                <w:color w:val="000000" w:themeColor="text1"/>
                <w:kern w:val="24"/>
                <w:sz w:val="14"/>
                <w:szCs w:val="16"/>
                <w:vertAlign w:val="superscript"/>
                <w:lang w:eastAsia="el-GR"/>
              </w:rPr>
              <w:t>3</w:t>
            </w:r>
          </w:p>
        </w:tc>
        <w:tc>
          <w:tcPr>
            <w:tcW w:w="850" w:type="dxa"/>
            <w:tcBorders>
              <w:top w:val="nil"/>
              <w:left w:val="nil"/>
              <w:right w:val="nil"/>
            </w:tcBorders>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r w:rsidRPr="0026079F">
              <w:rPr>
                <w:rFonts w:ascii="Segoe UI" w:eastAsia="Times New Roman" w:hAnsi="Segoe UI" w:cs="Segoe UI"/>
                <w:color w:val="000000" w:themeColor="text1"/>
                <w:kern w:val="24"/>
                <w:sz w:val="14"/>
                <w:szCs w:val="16"/>
                <w:lang w:eastAsia="el-GR"/>
              </w:rPr>
              <w:t>12.7%</w:t>
            </w:r>
          </w:p>
        </w:tc>
        <w:tc>
          <w:tcPr>
            <w:tcW w:w="850" w:type="dxa"/>
            <w:tcBorders>
              <w:top w:val="nil"/>
              <w:left w:val="nil"/>
              <w:right w:val="nil"/>
            </w:tcBorders>
            <w:vAlign w:val="center"/>
          </w:tcPr>
          <w:p w:rsidR="0026079F" w:rsidRPr="0026079F" w:rsidRDefault="0026079F" w:rsidP="0026079F">
            <w:pPr>
              <w:spacing w:after="0" w:line="240" w:lineRule="auto"/>
              <w:jc w:val="right"/>
              <w:rPr>
                <w:rFonts w:ascii="Segoe UI" w:eastAsia="Times New Roman" w:hAnsi="Segoe UI" w:cs="Segoe UI"/>
                <w:color w:val="000000" w:themeColor="text1"/>
                <w:kern w:val="24"/>
                <w:sz w:val="14"/>
                <w:szCs w:val="16"/>
                <w:lang w:eastAsia="el-GR"/>
              </w:rPr>
            </w:pPr>
            <w:r w:rsidRPr="0026079F">
              <w:rPr>
                <w:rFonts w:ascii="Segoe UI" w:eastAsia="Times New Roman" w:hAnsi="Segoe UI" w:cs="Segoe UI"/>
                <w:color w:val="000000" w:themeColor="text1"/>
                <w:kern w:val="24"/>
                <w:sz w:val="14"/>
                <w:szCs w:val="16"/>
                <w:lang w:eastAsia="el-GR"/>
              </w:rPr>
              <w:t>12.8%</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Segoe UI" w:hAnsi="Segoe UI" w:cs="Segoe UI"/>
                <w:color w:val="000000" w:themeColor="text1"/>
                <w:kern w:val="24"/>
                <w:sz w:val="14"/>
                <w:szCs w:val="16"/>
                <w:lang w:val="en-US"/>
              </w:rPr>
            </w:pPr>
            <w:r w:rsidRPr="0026079F">
              <w:rPr>
                <w:rFonts w:ascii="Segoe UI" w:hAnsi="Segoe UI" w:cs="Segoe UI"/>
                <w:color w:val="000000" w:themeColor="text1"/>
                <w:kern w:val="24"/>
                <w:sz w:val="14"/>
                <w:szCs w:val="16"/>
                <w:lang w:val="en-US"/>
              </w:rPr>
              <w:t>13.0%</w:t>
            </w:r>
          </w:p>
        </w:tc>
        <w:tc>
          <w:tcPr>
            <w:tcW w:w="852" w:type="dxa"/>
            <w:tcBorders>
              <w:top w:val="nil"/>
              <w:left w:val="nil"/>
              <w:bottom w:val="nil"/>
              <w:right w:val="nil"/>
            </w:tcBorders>
            <w:shd w:val="clear" w:color="auto" w:fill="auto"/>
            <w:vAlign w:val="center"/>
          </w:tcPr>
          <w:p w:rsidR="0026079F" w:rsidRPr="0026079F" w:rsidRDefault="0026079F" w:rsidP="0026079F">
            <w:pPr>
              <w:pStyle w:val="Web"/>
              <w:spacing w:before="0" w:beforeAutospacing="0" w:after="0" w:afterAutospacing="0"/>
              <w:jc w:val="right"/>
              <w:rPr>
                <w:rFonts w:ascii="Segoe UI" w:hAnsi="Segoe UI" w:cs="Segoe UI"/>
                <w:color w:val="000000" w:themeColor="text1"/>
                <w:kern w:val="24"/>
                <w:sz w:val="14"/>
                <w:szCs w:val="16"/>
                <w:lang w:val="en-US"/>
              </w:rPr>
            </w:pPr>
            <w:r w:rsidRPr="0026079F">
              <w:rPr>
                <w:rFonts w:ascii="Segoe UI" w:hAnsi="Segoe UI" w:cs="Segoe UI"/>
                <w:color w:val="000000" w:themeColor="text1"/>
                <w:kern w:val="24"/>
                <w:sz w:val="14"/>
                <w:szCs w:val="16"/>
                <w:lang w:val="en-US"/>
              </w:rPr>
              <w:t>12.9%</w:t>
            </w:r>
          </w:p>
        </w:tc>
      </w:tr>
      <w:tr w:rsidR="0026079F" w:rsidRPr="00173966" w:rsidTr="00AF1BA2">
        <w:trPr>
          <w:trHeight w:val="113"/>
        </w:trPr>
        <w:tc>
          <w:tcPr>
            <w:tcW w:w="3572" w:type="dxa"/>
            <w:tcBorders>
              <w:top w:val="nil"/>
              <w:left w:val="nil"/>
              <w:bottom w:val="single" w:sz="12" w:space="0" w:color="auto"/>
              <w:right w:val="nil"/>
            </w:tcBorders>
            <w:shd w:val="clear" w:color="auto" w:fill="auto"/>
            <w:tcMar>
              <w:top w:w="15" w:type="dxa"/>
              <w:left w:w="41" w:type="dxa"/>
              <w:bottom w:w="0" w:type="dxa"/>
              <w:right w:w="15" w:type="dxa"/>
            </w:tcMar>
            <w:vAlign w:val="center"/>
            <w:hideMark/>
          </w:tcPr>
          <w:p w:rsidR="0026079F" w:rsidRPr="00C62FEB" w:rsidRDefault="0026079F" w:rsidP="0026079F">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Σταθμισμένα στοιχεία ενεργητικού (€ δισ.)</w:t>
            </w:r>
            <w:r w:rsidR="003B36F0" w:rsidRPr="003B36F0">
              <w:rPr>
                <w:rFonts w:ascii="Segoe UI" w:eastAsia="Segoe UI" w:hAnsi="Segoe UI" w:cs="Segoe UI"/>
                <w:color w:val="000000"/>
                <w:kern w:val="24"/>
                <w:sz w:val="14"/>
                <w:szCs w:val="14"/>
                <w:vertAlign w:val="superscript"/>
                <w:lang w:val="el-GR" w:eastAsia="el-GR"/>
              </w:rPr>
              <w:t>3</w:t>
            </w:r>
          </w:p>
        </w:tc>
        <w:tc>
          <w:tcPr>
            <w:tcW w:w="850" w:type="dxa"/>
            <w:tcBorders>
              <w:top w:val="nil"/>
              <w:left w:val="nil"/>
              <w:bottom w:val="single" w:sz="12" w:space="0" w:color="000000"/>
              <w:right w:val="nil"/>
            </w:tcBorders>
            <w:vAlign w:val="center"/>
          </w:tcPr>
          <w:p w:rsidR="0026079F" w:rsidRPr="0026079F" w:rsidRDefault="0026079F" w:rsidP="0077221E">
            <w:pPr>
              <w:spacing w:after="0" w:line="240" w:lineRule="auto"/>
              <w:jc w:val="right"/>
              <w:textAlignment w:val="center"/>
              <w:rPr>
                <w:rFonts w:ascii="Arial" w:eastAsia="Times New Roman" w:hAnsi="Arial" w:cs="Arial"/>
                <w:sz w:val="14"/>
                <w:szCs w:val="36"/>
                <w:lang w:eastAsia="el-GR"/>
              </w:rPr>
            </w:pPr>
            <w:r w:rsidRPr="0026079F">
              <w:rPr>
                <w:rFonts w:ascii="Segoe UI" w:eastAsia="Segoe UI" w:hAnsi="Segoe UI" w:cs="Segoe UI"/>
                <w:color w:val="000000" w:themeColor="text1"/>
                <w:kern w:val="24"/>
                <w:sz w:val="14"/>
                <w:szCs w:val="16"/>
                <w:lang w:eastAsia="el-GR"/>
              </w:rPr>
              <w:t>37.</w:t>
            </w:r>
            <w:r w:rsidR="0077221E">
              <w:rPr>
                <w:rFonts w:ascii="Segoe UI" w:eastAsia="Segoe UI" w:hAnsi="Segoe UI" w:cs="Segoe UI"/>
                <w:color w:val="000000" w:themeColor="text1"/>
                <w:kern w:val="24"/>
                <w:sz w:val="14"/>
                <w:szCs w:val="16"/>
                <w:lang w:val="el-GR" w:eastAsia="el-GR"/>
              </w:rPr>
              <w:t>0</w:t>
            </w:r>
            <w:r w:rsidRPr="0026079F">
              <w:rPr>
                <w:rFonts w:ascii="Segoe UI" w:eastAsia="Segoe UI" w:hAnsi="Segoe UI" w:cs="Segoe UI"/>
                <w:color w:val="000000" w:themeColor="text1"/>
                <w:kern w:val="24"/>
                <w:sz w:val="14"/>
                <w:szCs w:val="16"/>
                <w:vertAlign w:val="superscript"/>
                <w:lang w:eastAsia="el-GR"/>
              </w:rPr>
              <w:t>3</w:t>
            </w:r>
          </w:p>
        </w:tc>
        <w:tc>
          <w:tcPr>
            <w:tcW w:w="850" w:type="dxa"/>
            <w:tcBorders>
              <w:top w:val="nil"/>
              <w:left w:val="nil"/>
              <w:bottom w:val="single" w:sz="12" w:space="0" w:color="000000"/>
              <w:right w:val="nil"/>
            </w:tcBorders>
            <w:vAlign w:val="center"/>
          </w:tcPr>
          <w:p w:rsidR="0026079F" w:rsidRPr="0026079F" w:rsidRDefault="0026079F" w:rsidP="0026079F">
            <w:pPr>
              <w:spacing w:after="0" w:line="240" w:lineRule="auto"/>
              <w:jc w:val="right"/>
              <w:textAlignment w:val="center"/>
              <w:rPr>
                <w:rFonts w:ascii="Arial" w:eastAsia="Times New Roman" w:hAnsi="Arial" w:cs="Arial"/>
                <w:sz w:val="14"/>
                <w:szCs w:val="36"/>
                <w:lang w:eastAsia="el-GR"/>
              </w:rPr>
            </w:pPr>
            <w:r w:rsidRPr="0026079F">
              <w:rPr>
                <w:rFonts w:ascii="Segoe UI" w:eastAsia="Segoe UI" w:hAnsi="Segoe UI" w:cs="Segoe UI"/>
                <w:color w:val="000000" w:themeColor="text1"/>
                <w:kern w:val="24"/>
                <w:sz w:val="14"/>
                <w:szCs w:val="16"/>
                <w:lang w:eastAsia="el-GR"/>
              </w:rPr>
              <w:t>37.4</w:t>
            </w:r>
            <w:r w:rsidRPr="0026079F">
              <w:rPr>
                <w:rFonts w:ascii="Segoe UI" w:eastAsia="Segoe UI" w:hAnsi="Segoe UI" w:cs="Segoe UI"/>
                <w:color w:val="000000" w:themeColor="text1"/>
                <w:kern w:val="24"/>
                <w:sz w:val="14"/>
                <w:szCs w:val="16"/>
                <w:vertAlign w:val="superscript"/>
                <w:lang w:eastAsia="el-GR"/>
              </w:rPr>
              <w:t>3</w:t>
            </w:r>
          </w:p>
        </w:tc>
        <w:tc>
          <w:tcPr>
            <w:tcW w:w="850" w:type="dxa"/>
            <w:tcBorders>
              <w:top w:val="nil"/>
              <w:left w:val="nil"/>
              <w:bottom w:val="single" w:sz="12" w:space="0" w:color="000000"/>
              <w:right w:val="nil"/>
            </w:tcBorders>
            <w:vAlign w:val="center"/>
          </w:tcPr>
          <w:p w:rsidR="0026079F" w:rsidRPr="0026079F" w:rsidRDefault="0026079F" w:rsidP="0026079F">
            <w:pPr>
              <w:spacing w:after="0" w:line="240" w:lineRule="auto"/>
              <w:jc w:val="right"/>
              <w:textAlignment w:val="center"/>
              <w:rPr>
                <w:rFonts w:ascii="Arial" w:eastAsia="Times New Roman" w:hAnsi="Arial" w:cs="Arial"/>
                <w:sz w:val="14"/>
                <w:szCs w:val="36"/>
                <w:lang w:val="en-US" w:eastAsia="el-GR"/>
              </w:rPr>
            </w:pPr>
            <w:r w:rsidRPr="0026079F">
              <w:rPr>
                <w:rFonts w:ascii="Segoe UI" w:eastAsia="Segoe UI" w:hAnsi="Segoe UI" w:cs="Segoe UI"/>
                <w:color w:val="000000" w:themeColor="text1"/>
                <w:kern w:val="24"/>
                <w:sz w:val="14"/>
                <w:szCs w:val="16"/>
                <w:lang w:eastAsia="el-GR"/>
              </w:rPr>
              <w:t>35.1</w:t>
            </w:r>
          </w:p>
        </w:tc>
        <w:tc>
          <w:tcPr>
            <w:tcW w:w="850" w:type="dxa"/>
            <w:tcBorders>
              <w:top w:val="nil"/>
              <w:left w:val="nil"/>
              <w:bottom w:val="single" w:sz="12" w:space="0" w:color="000000"/>
              <w:right w:val="nil"/>
            </w:tcBorders>
            <w:vAlign w:val="center"/>
          </w:tcPr>
          <w:p w:rsidR="0026079F" w:rsidRPr="0026079F" w:rsidRDefault="0026079F" w:rsidP="0026079F">
            <w:pPr>
              <w:spacing w:after="0" w:line="240" w:lineRule="auto"/>
              <w:jc w:val="right"/>
              <w:textAlignment w:val="center"/>
              <w:rPr>
                <w:rFonts w:ascii="Arial" w:eastAsia="Times New Roman" w:hAnsi="Arial" w:cs="Arial"/>
                <w:sz w:val="14"/>
                <w:szCs w:val="36"/>
                <w:lang w:eastAsia="el-GR"/>
              </w:rPr>
            </w:pPr>
            <w:r w:rsidRPr="0026079F">
              <w:rPr>
                <w:rFonts w:ascii="Segoe UI" w:eastAsia="Segoe UI" w:hAnsi="Segoe UI" w:cs="Segoe UI"/>
                <w:color w:val="000000" w:themeColor="text1"/>
                <w:kern w:val="24"/>
                <w:sz w:val="14"/>
                <w:szCs w:val="16"/>
                <w:lang w:eastAsia="el-GR"/>
              </w:rPr>
              <w:t>35.0</w:t>
            </w:r>
          </w:p>
        </w:tc>
        <w:tc>
          <w:tcPr>
            <w:tcW w:w="852" w:type="dxa"/>
            <w:tcBorders>
              <w:top w:val="nil"/>
              <w:left w:val="nil"/>
              <w:bottom w:val="single" w:sz="12" w:space="0" w:color="000000"/>
              <w:right w:val="nil"/>
            </w:tcBorders>
            <w:vAlign w:val="center"/>
          </w:tcPr>
          <w:p w:rsidR="0026079F" w:rsidRPr="0026079F" w:rsidRDefault="0026079F" w:rsidP="0026079F">
            <w:pPr>
              <w:spacing w:after="0" w:line="240" w:lineRule="auto"/>
              <w:jc w:val="right"/>
              <w:textAlignment w:val="center"/>
              <w:rPr>
                <w:rFonts w:ascii="Arial" w:eastAsia="Times New Roman" w:hAnsi="Arial" w:cs="Arial"/>
                <w:sz w:val="14"/>
                <w:szCs w:val="36"/>
                <w:lang w:eastAsia="el-GR"/>
              </w:rPr>
            </w:pPr>
            <w:r w:rsidRPr="0026079F">
              <w:rPr>
                <w:rFonts w:ascii="Segoe UI" w:eastAsia="Segoe UI" w:hAnsi="Segoe UI" w:cs="Segoe UI"/>
                <w:color w:val="000000" w:themeColor="text1"/>
                <w:kern w:val="24"/>
                <w:sz w:val="14"/>
                <w:szCs w:val="16"/>
                <w:lang w:eastAsia="el-GR"/>
              </w:rPr>
              <w:t>35.0</w:t>
            </w:r>
          </w:p>
        </w:tc>
        <w:tc>
          <w:tcPr>
            <w:tcW w:w="852" w:type="dxa"/>
            <w:tcBorders>
              <w:top w:val="nil"/>
              <w:left w:val="nil"/>
              <w:bottom w:val="single" w:sz="12" w:space="0" w:color="000000"/>
              <w:right w:val="nil"/>
            </w:tcBorders>
            <w:vAlign w:val="center"/>
          </w:tcPr>
          <w:p w:rsidR="0026079F" w:rsidRPr="0026079F" w:rsidRDefault="0026079F" w:rsidP="0026079F">
            <w:pPr>
              <w:spacing w:after="0" w:line="240" w:lineRule="auto"/>
              <w:jc w:val="right"/>
              <w:textAlignment w:val="center"/>
              <w:rPr>
                <w:rFonts w:ascii="Arial" w:eastAsia="Times New Roman" w:hAnsi="Arial" w:cs="Arial"/>
                <w:sz w:val="14"/>
                <w:szCs w:val="36"/>
                <w:lang w:eastAsia="el-GR"/>
              </w:rPr>
            </w:pPr>
            <w:r w:rsidRPr="0026079F">
              <w:rPr>
                <w:rFonts w:ascii="Segoe UI" w:eastAsia="Segoe UI" w:hAnsi="Segoe UI" w:cs="Segoe UI"/>
                <w:color w:val="000000" w:themeColor="text1"/>
                <w:kern w:val="24"/>
                <w:sz w:val="14"/>
                <w:szCs w:val="16"/>
                <w:lang w:eastAsia="el-GR"/>
              </w:rPr>
              <w:t>36.1</w:t>
            </w:r>
          </w:p>
        </w:tc>
      </w:tr>
    </w:tbl>
    <w:p w:rsidR="00396E58" w:rsidRPr="007B24E4" w:rsidRDefault="00396E58" w:rsidP="003367B4">
      <w:pPr>
        <w:spacing w:after="0" w:line="240" w:lineRule="auto"/>
        <w:jc w:val="both"/>
        <w:textAlignment w:val="baseline"/>
        <w:rPr>
          <w:rFonts w:ascii="Segoe UI" w:eastAsia="Times New Roman" w:hAnsi="Segoe UI" w:cs="Segoe UI"/>
          <w:color w:val="000000" w:themeColor="text1"/>
          <w:kern w:val="24"/>
          <w:sz w:val="9"/>
          <w:szCs w:val="11"/>
          <w:lang w:val="el-GR" w:eastAsia="el-GR"/>
        </w:rPr>
      </w:pPr>
      <w:r>
        <w:rPr>
          <w:rFonts w:ascii="Segoe UI" w:eastAsia="Times New Roman" w:hAnsi="Segoe UI" w:cs="Segoe UI"/>
          <w:color w:val="000000" w:themeColor="text1"/>
          <w:kern w:val="24"/>
          <w:sz w:val="9"/>
          <w:szCs w:val="11"/>
          <w:vertAlign w:val="superscript"/>
          <w:lang w:val="el-GR" w:eastAsia="el-GR"/>
        </w:rPr>
        <w:t>1</w:t>
      </w:r>
      <w:r w:rsidRPr="007B24E4">
        <w:rPr>
          <w:rFonts w:ascii="Segoe UI" w:eastAsia="Times New Roman" w:hAnsi="Segoe UI" w:cs="Segoe UI"/>
          <w:color w:val="000000" w:themeColor="text1"/>
          <w:kern w:val="24"/>
          <w:sz w:val="9"/>
          <w:szCs w:val="11"/>
          <w:lang w:val="el-GR" w:eastAsia="el-GR"/>
        </w:rPr>
        <w:t xml:space="preserve"> Το κόστος πιστωτικού κινδύνου για το </w:t>
      </w:r>
      <w:r w:rsidR="005326A3">
        <w:rPr>
          <w:rFonts w:ascii="Segoe UI" w:eastAsia="Times New Roman" w:hAnsi="Segoe UI" w:cs="Segoe UI"/>
          <w:color w:val="000000" w:themeColor="text1"/>
          <w:kern w:val="24"/>
          <w:sz w:val="9"/>
          <w:szCs w:val="11"/>
          <w:lang w:val="el-GR" w:eastAsia="el-GR"/>
        </w:rPr>
        <w:t>Β</w:t>
      </w:r>
      <w:r w:rsidR="002D3005">
        <w:rPr>
          <w:rFonts w:ascii="Segoe UI" w:eastAsia="Times New Roman" w:hAnsi="Segoe UI" w:cs="Segoe UI"/>
          <w:color w:val="000000" w:themeColor="text1"/>
          <w:kern w:val="24"/>
          <w:sz w:val="9"/>
          <w:szCs w:val="11"/>
          <w:lang w:val="el-GR" w:eastAsia="el-GR"/>
        </w:rPr>
        <w:t>’ τρίμηνο</w:t>
      </w:r>
      <w:r w:rsidR="005326A3">
        <w:rPr>
          <w:rFonts w:ascii="Segoe UI" w:eastAsia="Times New Roman" w:hAnsi="Segoe UI" w:cs="Segoe UI"/>
          <w:color w:val="000000" w:themeColor="text1"/>
          <w:kern w:val="24"/>
          <w:sz w:val="9"/>
          <w:szCs w:val="11"/>
          <w:lang w:val="el-GR" w:eastAsia="el-GR"/>
        </w:rPr>
        <w:t xml:space="preserve"> 2018 </w:t>
      </w:r>
      <w:r>
        <w:rPr>
          <w:rFonts w:ascii="Segoe UI" w:eastAsia="Times New Roman" w:hAnsi="Segoe UI" w:cs="Segoe UI"/>
          <w:color w:val="000000" w:themeColor="text1"/>
          <w:kern w:val="24"/>
          <w:sz w:val="9"/>
          <w:szCs w:val="11"/>
          <w:lang w:val="el-GR" w:eastAsia="el-GR"/>
        </w:rPr>
        <w:t xml:space="preserve">εξαιρεί </w:t>
      </w:r>
      <w:r w:rsidR="00325CA2">
        <w:rPr>
          <w:rFonts w:ascii="Segoe UI" w:eastAsia="Times New Roman" w:hAnsi="Segoe UI" w:cs="Segoe UI"/>
          <w:color w:val="000000" w:themeColor="text1"/>
          <w:kern w:val="24"/>
          <w:sz w:val="9"/>
          <w:szCs w:val="11"/>
          <w:lang w:val="el-GR" w:eastAsia="el-GR"/>
        </w:rPr>
        <w:t xml:space="preserve">τις </w:t>
      </w:r>
      <w:r w:rsidR="00325CA2" w:rsidRPr="00325CA2">
        <w:rPr>
          <w:rFonts w:ascii="Segoe UI" w:eastAsia="Times New Roman" w:hAnsi="Segoe UI" w:cs="Segoe UI"/>
          <w:color w:val="000000" w:themeColor="text1"/>
          <w:kern w:val="24"/>
          <w:sz w:val="9"/>
          <w:szCs w:val="11"/>
          <w:lang w:val="el-GR" w:eastAsia="el-GR"/>
        </w:rPr>
        <w:t>ανακτήσεις δανείων σχετιζόμενες με την πώληση ΜΕΑ</w:t>
      </w:r>
      <w:r w:rsidRPr="007B24E4">
        <w:rPr>
          <w:rFonts w:ascii="Segoe UI" w:eastAsia="Times New Roman" w:hAnsi="Segoe UI" w:cs="Segoe UI"/>
          <w:color w:val="000000" w:themeColor="text1"/>
          <w:kern w:val="24"/>
          <w:sz w:val="9"/>
          <w:szCs w:val="11"/>
          <w:lang w:val="el-GR" w:eastAsia="el-GR"/>
        </w:rPr>
        <w:t xml:space="preserve">. Σε δημοσιευμένη βάση, το κόστος πιστωτικού κινδύνου ανέρχεται σε </w:t>
      </w:r>
      <w:r w:rsidR="005326A3">
        <w:rPr>
          <w:rFonts w:ascii="Segoe UI" w:eastAsia="Times New Roman" w:hAnsi="Segoe UI" w:cs="Segoe UI"/>
          <w:color w:val="000000" w:themeColor="text1"/>
          <w:kern w:val="24"/>
          <w:sz w:val="9"/>
          <w:szCs w:val="11"/>
          <w:lang w:val="el-GR" w:eastAsia="el-GR"/>
        </w:rPr>
        <w:t>50</w:t>
      </w:r>
      <w:r w:rsidR="002D3005">
        <w:rPr>
          <w:rFonts w:ascii="Segoe UI" w:eastAsia="Times New Roman" w:hAnsi="Segoe UI" w:cs="Segoe UI"/>
          <w:color w:val="000000" w:themeColor="text1"/>
          <w:kern w:val="24"/>
          <w:sz w:val="9"/>
          <w:szCs w:val="11"/>
          <w:lang w:val="el-GR" w:eastAsia="el-GR"/>
        </w:rPr>
        <w:t xml:space="preserve">μ.β. </w:t>
      </w:r>
    </w:p>
    <w:p w:rsidR="00C90D19" w:rsidRDefault="00396E58" w:rsidP="003367B4">
      <w:pPr>
        <w:spacing w:after="0" w:line="240" w:lineRule="auto"/>
        <w:jc w:val="both"/>
        <w:textAlignment w:val="baseline"/>
        <w:rPr>
          <w:rFonts w:ascii="Segoe UI" w:eastAsia="Times New Roman" w:hAnsi="Segoe UI" w:cs="Segoe UI"/>
          <w:color w:val="000000" w:themeColor="text1"/>
          <w:kern w:val="24"/>
          <w:sz w:val="9"/>
          <w:szCs w:val="11"/>
          <w:lang w:val="el-GR" w:eastAsia="el-GR"/>
        </w:rPr>
      </w:pPr>
      <w:r>
        <w:rPr>
          <w:rFonts w:ascii="Segoe UI" w:eastAsia="Times New Roman" w:hAnsi="Segoe UI" w:cs="Segoe UI"/>
          <w:color w:val="000000" w:themeColor="text1"/>
          <w:kern w:val="24"/>
          <w:sz w:val="9"/>
          <w:szCs w:val="11"/>
          <w:vertAlign w:val="superscript"/>
          <w:lang w:val="el-GR" w:eastAsia="el-GR"/>
        </w:rPr>
        <w:t xml:space="preserve">2 </w:t>
      </w:r>
      <w:r w:rsidRPr="007B24E4">
        <w:rPr>
          <w:rFonts w:ascii="Segoe UI" w:eastAsia="Times New Roman" w:hAnsi="Segoe UI" w:cs="Segoe UI"/>
          <w:color w:val="000000" w:themeColor="text1"/>
          <w:kern w:val="24"/>
          <w:sz w:val="9"/>
          <w:szCs w:val="11"/>
          <w:lang w:val="el-GR" w:eastAsia="el-GR"/>
        </w:rPr>
        <w:t>Το καθαρό επιτοκιακό περιθώριο πλην του κόστους πιστωτικού κινδύνου</w:t>
      </w:r>
    </w:p>
    <w:p w:rsidR="00C90D19" w:rsidRDefault="00C90D19" w:rsidP="003367B4">
      <w:pPr>
        <w:spacing w:after="0" w:line="240" w:lineRule="auto"/>
        <w:jc w:val="both"/>
        <w:textAlignment w:val="baseline"/>
        <w:rPr>
          <w:rFonts w:ascii="Segoe UI" w:eastAsia="Calibri" w:hAnsi="Segoe UI" w:cs="Segoe UI"/>
          <w:b/>
          <w:sz w:val="12"/>
          <w:szCs w:val="20"/>
          <w:lang w:val="el-GR"/>
        </w:rPr>
      </w:pPr>
      <w:r w:rsidRPr="00C90D19">
        <w:rPr>
          <w:rFonts w:ascii="Segoe UI" w:eastAsia="Times New Roman" w:hAnsi="Segoe UI" w:cs="Segoe UI"/>
          <w:color w:val="000000" w:themeColor="text1"/>
          <w:kern w:val="24"/>
          <w:sz w:val="9"/>
          <w:szCs w:val="11"/>
          <w:vertAlign w:val="superscript"/>
          <w:lang w:val="el-GR" w:eastAsia="el-GR"/>
        </w:rPr>
        <w:t>3</w:t>
      </w:r>
      <w:r w:rsidRPr="00C90D19">
        <w:rPr>
          <w:rFonts w:ascii="Segoe UI" w:eastAsia="Times New Roman" w:hAnsi="Segoe UI" w:cs="Segoe UI"/>
          <w:color w:val="000000" w:themeColor="text1"/>
          <w:kern w:val="24"/>
          <w:sz w:val="9"/>
          <w:szCs w:val="11"/>
          <w:lang w:val="el-GR" w:eastAsia="el-GR"/>
        </w:rPr>
        <w:t xml:space="preserve"> </w:t>
      </w:r>
      <w:r>
        <w:rPr>
          <w:rFonts w:ascii="Segoe UI" w:eastAsia="Times New Roman" w:hAnsi="Segoe UI" w:cs="Segoe UI"/>
          <w:color w:val="000000" w:themeColor="text1"/>
          <w:kern w:val="24"/>
          <w:sz w:val="9"/>
          <w:szCs w:val="11"/>
          <w:lang w:val="el-GR" w:eastAsia="el-GR"/>
        </w:rPr>
        <w:t xml:space="preserve">Οι δείκτες </w:t>
      </w:r>
      <w:r>
        <w:rPr>
          <w:rFonts w:ascii="Segoe UI" w:eastAsia="Times New Roman" w:hAnsi="Segoe UI" w:cs="Segoe UI"/>
          <w:color w:val="000000" w:themeColor="text1"/>
          <w:kern w:val="24"/>
          <w:sz w:val="9"/>
          <w:szCs w:val="11"/>
          <w:lang w:eastAsia="el-GR"/>
        </w:rPr>
        <w:t>CET</w:t>
      </w:r>
      <w:r w:rsidRPr="00C90D19">
        <w:rPr>
          <w:rFonts w:ascii="Segoe UI" w:eastAsia="Times New Roman" w:hAnsi="Segoe UI" w:cs="Segoe UI"/>
          <w:color w:val="000000" w:themeColor="text1"/>
          <w:kern w:val="24"/>
          <w:sz w:val="9"/>
          <w:szCs w:val="11"/>
          <w:lang w:val="el-GR" w:eastAsia="el-GR"/>
        </w:rPr>
        <w:t xml:space="preserve">1 </w:t>
      </w:r>
      <w:r>
        <w:rPr>
          <w:rFonts w:ascii="Segoe UI" w:eastAsia="Times New Roman" w:hAnsi="Segoe UI" w:cs="Segoe UI"/>
          <w:color w:val="000000" w:themeColor="text1"/>
          <w:kern w:val="24"/>
          <w:sz w:val="9"/>
          <w:szCs w:val="11"/>
          <w:lang w:val="el-GR" w:eastAsia="el-GR"/>
        </w:rPr>
        <w:t xml:space="preserve">για το </w:t>
      </w:r>
      <w:r w:rsidR="00D45E2E">
        <w:rPr>
          <w:rFonts w:ascii="Segoe UI" w:eastAsia="Times New Roman" w:hAnsi="Segoe UI" w:cs="Segoe UI"/>
          <w:color w:val="000000" w:themeColor="text1"/>
          <w:kern w:val="24"/>
          <w:sz w:val="9"/>
          <w:szCs w:val="11"/>
          <w:lang w:val="el-GR" w:eastAsia="el-GR"/>
        </w:rPr>
        <w:t>Γ</w:t>
      </w:r>
      <w:r>
        <w:rPr>
          <w:rFonts w:ascii="Segoe UI" w:eastAsia="Times New Roman" w:hAnsi="Segoe UI" w:cs="Segoe UI"/>
          <w:color w:val="000000" w:themeColor="text1"/>
          <w:kern w:val="24"/>
          <w:sz w:val="9"/>
          <w:szCs w:val="11"/>
          <w:lang w:val="el-GR" w:eastAsia="el-GR"/>
        </w:rPr>
        <w:t xml:space="preserve">’ </w:t>
      </w:r>
      <w:r w:rsidR="00D45E2E">
        <w:rPr>
          <w:rFonts w:ascii="Segoe UI" w:eastAsia="Times New Roman" w:hAnsi="Segoe UI" w:cs="Segoe UI"/>
          <w:color w:val="000000" w:themeColor="text1"/>
          <w:kern w:val="24"/>
          <w:sz w:val="9"/>
          <w:szCs w:val="11"/>
          <w:lang w:val="el-GR" w:eastAsia="el-GR"/>
        </w:rPr>
        <w:t xml:space="preserve">&amp; Β’ </w:t>
      </w:r>
      <w:r>
        <w:rPr>
          <w:rFonts w:ascii="Segoe UI" w:eastAsia="Times New Roman" w:hAnsi="Segoe UI" w:cs="Segoe UI"/>
          <w:color w:val="000000" w:themeColor="text1"/>
          <w:kern w:val="24"/>
          <w:sz w:val="9"/>
          <w:szCs w:val="11"/>
          <w:lang w:val="el-GR" w:eastAsia="el-GR"/>
        </w:rPr>
        <w:t>τρίμηνο</w:t>
      </w:r>
      <w:r w:rsidR="00D45E2E">
        <w:rPr>
          <w:rFonts w:ascii="Segoe UI" w:eastAsia="Times New Roman" w:hAnsi="Segoe UI" w:cs="Segoe UI"/>
          <w:color w:val="000000" w:themeColor="text1"/>
          <w:kern w:val="24"/>
          <w:sz w:val="9"/>
          <w:szCs w:val="11"/>
          <w:lang w:val="el-GR" w:eastAsia="el-GR"/>
        </w:rPr>
        <w:t xml:space="preserve"> </w:t>
      </w:r>
      <w:r w:rsidR="0082071F">
        <w:rPr>
          <w:rFonts w:ascii="Segoe UI" w:eastAsia="Times New Roman" w:hAnsi="Segoe UI" w:cs="Segoe UI"/>
          <w:color w:val="000000" w:themeColor="text1"/>
          <w:kern w:val="24"/>
          <w:sz w:val="9"/>
          <w:szCs w:val="11"/>
          <w:lang w:val="el-GR" w:eastAsia="el-GR"/>
        </w:rPr>
        <w:t>2019</w:t>
      </w:r>
      <w:r w:rsidR="001B6148">
        <w:rPr>
          <w:rFonts w:ascii="Segoe UI" w:eastAsia="Times New Roman" w:hAnsi="Segoe UI" w:cs="Segoe UI"/>
          <w:color w:val="000000" w:themeColor="text1"/>
          <w:kern w:val="24"/>
          <w:sz w:val="9"/>
          <w:szCs w:val="11"/>
          <w:lang w:val="el-GR" w:eastAsia="el-GR"/>
        </w:rPr>
        <w:t xml:space="preserve"> είναι προσαρμοσμένοι και</w:t>
      </w:r>
      <w:r>
        <w:rPr>
          <w:rFonts w:ascii="Segoe UI" w:eastAsia="Times New Roman" w:hAnsi="Segoe UI" w:cs="Segoe UI"/>
          <w:color w:val="000000" w:themeColor="text1"/>
          <w:kern w:val="24"/>
          <w:sz w:val="9"/>
          <w:szCs w:val="11"/>
          <w:lang w:val="el-GR" w:eastAsia="el-GR"/>
        </w:rPr>
        <w:t xml:space="preserve"> περιλαμβάνουν το κέρδος </w:t>
      </w:r>
      <w:r w:rsidR="009E45DB">
        <w:rPr>
          <w:rFonts w:ascii="Segoe UI" w:eastAsia="Times New Roman" w:hAnsi="Segoe UI" w:cs="Segoe UI"/>
          <w:color w:val="000000" w:themeColor="text1"/>
          <w:kern w:val="24"/>
          <w:sz w:val="9"/>
          <w:szCs w:val="11"/>
          <w:lang w:val="el-GR" w:eastAsia="el-GR"/>
        </w:rPr>
        <w:t xml:space="preserve">μετά φόρων </w:t>
      </w:r>
      <w:r w:rsidR="006212F2">
        <w:rPr>
          <w:rFonts w:ascii="Segoe UI" w:eastAsia="Times New Roman" w:hAnsi="Segoe UI" w:cs="Segoe UI"/>
          <w:color w:val="000000" w:themeColor="text1"/>
          <w:kern w:val="24"/>
          <w:sz w:val="9"/>
          <w:szCs w:val="11"/>
          <w:lang w:val="el-GR" w:eastAsia="el-GR"/>
        </w:rPr>
        <w:t>της περιόδου</w:t>
      </w:r>
      <w:r>
        <w:rPr>
          <w:rFonts w:ascii="Segoe UI" w:eastAsia="Times New Roman" w:hAnsi="Segoe UI" w:cs="Segoe UI"/>
          <w:color w:val="000000" w:themeColor="text1"/>
          <w:kern w:val="24"/>
          <w:sz w:val="9"/>
          <w:szCs w:val="11"/>
          <w:lang w:val="el-GR" w:eastAsia="el-GR"/>
        </w:rPr>
        <w:t xml:space="preserve"> </w:t>
      </w:r>
      <w:r w:rsidR="009C727C">
        <w:rPr>
          <w:rFonts w:ascii="Segoe UI" w:eastAsia="Times New Roman" w:hAnsi="Segoe UI" w:cs="Segoe UI"/>
          <w:color w:val="000000" w:themeColor="text1"/>
          <w:kern w:val="24"/>
          <w:sz w:val="9"/>
          <w:szCs w:val="11"/>
          <w:lang w:val="el-GR" w:eastAsia="el-GR"/>
        </w:rPr>
        <w:t xml:space="preserve">και το όφελος από τις συμφωνηθείσες αποεπενδύσεις </w:t>
      </w:r>
      <w:r w:rsidR="001B6148">
        <w:rPr>
          <w:rFonts w:ascii="Segoe UI" w:eastAsia="Times New Roman" w:hAnsi="Segoe UI" w:cs="Segoe UI"/>
          <w:color w:val="000000" w:themeColor="text1"/>
          <w:kern w:val="24"/>
          <w:sz w:val="9"/>
          <w:szCs w:val="11"/>
          <w:lang w:val="el-GR" w:eastAsia="el-GR"/>
        </w:rPr>
        <w:t>σε</w:t>
      </w:r>
      <w:r w:rsidR="009C727C">
        <w:rPr>
          <w:rFonts w:ascii="Segoe UI" w:eastAsia="Times New Roman" w:hAnsi="Segoe UI" w:cs="Segoe UI"/>
          <w:color w:val="000000" w:themeColor="text1"/>
          <w:kern w:val="24"/>
          <w:sz w:val="9"/>
          <w:szCs w:val="11"/>
          <w:lang w:val="el-GR" w:eastAsia="el-GR"/>
        </w:rPr>
        <w:t xml:space="preserve"> Ρουμανία, Αίγυπτο και Κύπρο</w:t>
      </w:r>
    </w:p>
    <w:p w:rsidR="00D374DD" w:rsidRPr="007E3628" w:rsidRDefault="00D374DD" w:rsidP="00396E58">
      <w:pPr>
        <w:spacing w:after="0" w:line="240" w:lineRule="auto"/>
        <w:textAlignment w:val="baseline"/>
        <w:rPr>
          <w:rFonts w:ascii="Segoe UI" w:eastAsia="Calibri" w:hAnsi="Segoe UI" w:cs="Segoe UI"/>
          <w:b/>
          <w:sz w:val="12"/>
          <w:szCs w:val="20"/>
          <w:lang w:val="el-GR"/>
        </w:rPr>
      </w:pPr>
      <w:r w:rsidRPr="007E3628">
        <w:rPr>
          <w:rFonts w:ascii="Segoe UI" w:eastAsia="Calibri" w:hAnsi="Segoe UI" w:cs="Segoe UI"/>
          <w:b/>
          <w:sz w:val="12"/>
          <w:szCs w:val="20"/>
          <w:lang w:val="el-GR"/>
        </w:rPr>
        <w:br w:type="page"/>
      </w:r>
    </w:p>
    <w:p w:rsidR="00BE09B9" w:rsidRDefault="00486D0B" w:rsidP="000851DE">
      <w:pPr>
        <w:spacing w:after="0"/>
        <w:textAlignment w:val="baseline"/>
        <w:rPr>
          <w:rFonts w:ascii="Segoe UI" w:hAnsi="Segoe UI" w:cs="Segoe UI"/>
          <w:color w:val="000000" w:themeColor="text1"/>
          <w:kern w:val="24"/>
          <w:sz w:val="11"/>
          <w:szCs w:val="11"/>
          <w:vertAlign w:val="superscript"/>
          <w:lang w:val="el-GR" w:eastAsia="el-GR"/>
        </w:rPr>
      </w:pPr>
      <w:r w:rsidRPr="00486D0B">
        <w:rPr>
          <w:noProof/>
          <w:lang w:val="el-GR" w:eastAsia="el-GR"/>
        </w:rPr>
        <w:pict>
          <v:rect id="_x0000_s1031" style="position:absolute;margin-left:-2.05pt;margin-top:-3.2pt;width:175.35pt;height:20.25pt;z-index:251789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" filled="f" stroked="f">
            <v:shadow on="t" type="perspective" color="black" opacity="26214f" origin=",.5" offset="0,1pt" matrix="64881f,,,64881f"/>
            <v:path arrowok="t"/>
            <o:lock v:ext="edit" grouping="t"/>
            <v:textbox inset="1.2699mm,1.2699mm,1.2699mm,1.2699mm">
              <w:txbxContent>
                <w:p w:rsidR="005726A5" w:rsidRPr="00D46FEC" w:rsidRDefault="005726A5" w:rsidP="00BE09B9">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Ελλάδα</w:t>
                  </w:r>
                </w:p>
                <w:p w:rsidR="005726A5" w:rsidRPr="00D46FEC" w:rsidRDefault="005726A5" w:rsidP="00BE09B9">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D46FEC" w:rsidRDefault="005726A5" w:rsidP="00BE09B9">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D46FEC" w:rsidRDefault="005726A5" w:rsidP="00BE09B9">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FE1137" w:rsidRDefault="005726A5" w:rsidP="00BE09B9">
                  <w:pPr>
                    <w:pStyle w:val="Web"/>
                    <w:kinsoku w:val="0"/>
                    <w:overflowPunct w:val="0"/>
                    <w:spacing w:before="40" w:beforeAutospacing="0" w:after="0" w:afterAutospacing="0"/>
                    <w:ind w:left="547" w:hanging="547"/>
                    <w:textAlignment w:val="baseline"/>
                    <w:rPr>
                      <w:b/>
                      <w:color w:val="008080"/>
                      <w:sz w:val="16"/>
                    </w:rPr>
                  </w:pPr>
                </w:p>
              </w:txbxContent>
            </v:textbox>
          </v:rect>
        </w:pict>
      </w:r>
    </w:p>
    <w:p w:rsidR="00BE09B9" w:rsidRDefault="00486D0B" w:rsidP="000851DE">
      <w:pPr>
        <w:spacing w:after="0"/>
        <w:textAlignment w:val="baseline"/>
        <w:rPr>
          <w:rFonts w:ascii="Segoe UI" w:hAnsi="Segoe UI" w:cs="Segoe UI"/>
          <w:color w:val="000000" w:themeColor="text1"/>
          <w:kern w:val="24"/>
          <w:sz w:val="11"/>
          <w:szCs w:val="11"/>
          <w:vertAlign w:val="superscript"/>
          <w:lang w:val="el-GR" w:eastAsia="el-GR"/>
        </w:rPr>
      </w:pPr>
      <w:r w:rsidRPr="00486D0B">
        <w:rPr>
          <w:rFonts w:eastAsia="Calibri"/>
          <w:noProof/>
          <w:lang w:val="el-GR" w:eastAsia="el-GR"/>
        </w:rPr>
        <w:pict>
          <v:roundrect id="_x0000_s1054" style="position:absolute;margin-left:178.55pt;margin-top:8.1pt;width:43.1pt;height:243.05pt;z-index:2519772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" filled="f" strokecolor="#ff7415"/>
        </w:pict>
      </w:r>
      <w:r w:rsidRPr="00486D0B">
        <w:rPr>
          <w:rFonts w:eastAsia="Calibri"/>
          <w:noProof/>
          <w:lang w:val="el-GR" w:eastAsia="el-GR"/>
        </w:rPr>
        <w:pict>
          <v:roundrect id="_x0000_s1053" style="position:absolute;margin-left:306.1pt;margin-top:7.55pt;width:43.1pt;height:243.4pt;z-index:25197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" filled="f" strokecolor="#ff7415"/>
        </w:pict>
      </w:r>
    </w:p>
    <w:tbl>
      <w:tblPr>
        <w:tblW w:w="8676" w:type="dxa"/>
        <w:tblLayout w:type="fixed"/>
        <w:tblCellMar>
          <w:left w:w="0" w:type="dxa"/>
          <w:right w:w="0" w:type="dxa"/>
        </w:tblCellMar>
        <w:tblLook w:val="0420"/>
      </w:tblPr>
      <w:tblGrid>
        <w:gridCol w:w="3572"/>
        <w:gridCol w:w="850"/>
        <w:gridCol w:w="850"/>
        <w:gridCol w:w="850"/>
        <w:gridCol w:w="850"/>
        <w:gridCol w:w="852"/>
        <w:gridCol w:w="852"/>
      </w:tblGrid>
      <w:tr w:rsidR="00B76747" w:rsidRPr="00C62FEB" w:rsidTr="00546F09">
        <w:trPr>
          <w:trHeight w:val="289"/>
        </w:trPr>
        <w:tc>
          <w:tcPr>
            <w:tcW w:w="3572"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B76747" w:rsidRPr="00C62FEB" w:rsidRDefault="00B76747" w:rsidP="00546F09">
            <w:pPr>
              <w:spacing w:before="38" w:after="0" w:line="240" w:lineRule="auto"/>
              <w:textAlignment w:val="baseline"/>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n-US" w:eastAsia="el-GR"/>
              </w:rPr>
              <w:t>€ εκατ</w:t>
            </w:r>
            <w:r w:rsidRPr="00C62FEB">
              <w:rPr>
                <w:rFonts w:ascii="Segoe UI" w:eastAsia="Segoe UI" w:hAnsi="Segoe UI" w:cs="Segoe UI"/>
                <w:b/>
                <w:bCs/>
                <w:color w:val="000000"/>
                <w:kern w:val="24"/>
                <w:sz w:val="14"/>
                <w:szCs w:val="14"/>
                <w:lang w:val="el-GR" w:eastAsia="el-GR"/>
              </w:rPr>
              <w:t>.</w:t>
            </w:r>
          </w:p>
        </w:tc>
        <w:tc>
          <w:tcPr>
            <w:tcW w:w="850" w:type="dxa"/>
            <w:tcBorders>
              <w:top w:val="single" w:sz="8" w:space="0" w:color="000000"/>
              <w:left w:val="nil"/>
              <w:bottom w:val="single" w:sz="8" w:space="0" w:color="000000"/>
              <w:right w:val="nil"/>
            </w:tcBorders>
            <w:vAlign w:val="center"/>
          </w:tcPr>
          <w:p w:rsidR="00B76747" w:rsidRPr="00CC2C68" w:rsidRDefault="00843553" w:rsidP="00546F09">
            <w:pPr>
              <w:spacing w:after="0" w:line="240" w:lineRule="auto"/>
              <w:jc w:val="right"/>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Εννεάμηνο</w:t>
            </w:r>
            <w:r w:rsidRPr="00C62FEB">
              <w:rPr>
                <w:rFonts w:ascii="Segoe UI" w:eastAsia="Times New Roman" w:hAnsi="Segoe UI" w:cs="Segoe UI"/>
                <w:b/>
                <w:bCs/>
                <w:color w:val="000000" w:themeColor="text1"/>
                <w:kern w:val="24"/>
                <w:sz w:val="14"/>
                <w:szCs w:val="14"/>
                <w:lang w:val="el-GR" w:eastAsia="el-GR"/>
              </w:rPr>
              <w:t xml:space="preserve"> </w:t>
            </w:r>
            <w:r w:rsidRPr="00C62FEB">
              <w:rPr>
                <w:rFonts w:ascii="Segoe UI" w:eastAsia="Times New Roman" w:hAnsi="Segoe UI" w:cs="Segoe UI"/>
                <w:b/>
                <w:bCs/>
                <w:color w:val="000000" w:themeColor="text1"/>
                <w:kern w:val="24"/>
                <w:sz w:val="14"/>
                <w:szCs w:val="14"/>
                <w:lang w:val="en-US" w:eastAsia="el-GR"/>
              </w:rPr>
              <w:t xml:space="preserve"> </w:t>
            </w:r>
            <w:r w:rsidR="00B76747" w:rsidRPr="00C62FEB">
              <w:rPr>
                <w:rFonts w:ascii="Segoe UI" w:eastAsia="Times New Roman" w:hAnsi="Segoe UI" w:cs="Segoe UI"/>
                <w:b/>
                <w:bCs/>
                <w:color w:val="000000" w:themeColor="text1"/>
                <w:kern w:val="24"/>
                <w:sz w:val="14"/>
                <w:szCs w:val="14"/>
                <w:lang w:val="en-US" w:eastAsia="el-GR"/>
              </w:rPr>
              <w:t>201</w:t>
            </w:r>
            <w:r w:rsidR="00B76747">
              <w:rPr>
                <w:rFonts w:ascii="Segoe UI" w:eastAsia="Times New Roman" w:hAnsi="Segoe UI" w:cs="Segoe UI"/>
                <w:b/>
                <w:bCs/>
                <w:color w:val="000000" w:themeColor="text1"/>
                <w:kern w:val="24"/>
                <w:sz w:val="14"/>
                <w:szCs w:val="14"/>
                <w:lang w:val="el-GR" w:eastAsia="el-GR"/>
              </w:rPr>
              <w:t>9</w:t>
            </w:r>
          </w:p>
        </w:tc>
        <w:tc>
          <w:tcPr>
            <w:tcW w:w="850" w:type="dxa"/>
            <w:tcBorders>
              <w:top w:val="single" w:sz="8" w:space="0" w:color="000000"/>
              <w:left w:val="nil"/>
              <w:bottom w:val="single" w:sz="8" w:space="0" w:color="000000"/>
              <w:right w:val="nil"/>
            </w:tcBorders>
            <w:vAlign w:val="center"/>
          </w:tcPr>
          <w:p w:rsidR="00B76747" w:rsidRPr="00C62FEB" w:rsidRDefault="00843553" w:rsidP="00546F09">
            <w:pPr>
              <w:spacing w:after="0" w:line="240" w:lineRule="auto"/>
              <w:jc w:val="right"/>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Εννεάμηνο</w:t>
            </w:r>
            <w:r w:rsidRPr="00C62FEB">
              <w:rPr>
                <w:rFonts w:ascii="Segoe UI" w:eastAsia="Times New Roman" w:hAnsi="Segoe UI" w:cs="Segoe UI"/>
                <w:b/>
                <w:bCs/>
                <w:color w:val="000000" w:themeColor="text1"/>
                <w:kern w:val="24"/>
                <w:sz w:val="14"/>
                <w:szCs w:val="14"/>
                <w:lang w:val="el-GR" w:eastAsia="el-GR"/>
              </w:rPr>
              <w:t xml:space="preserve"> </w:t>
            </w:r>
            <w:r w:rsidRPr="00C62FEB">
              <w:rPr>
                <w:rFonts w:ascii="Segoe UI" w:eastAsia="Times New Roman" w:hAnsi="Segoe UI" w:cs="Segoe UI"/>
                <w:b/>
                <w:bCs/>
                <w:color w:val="000000" w:themeColor="text1"/>
                <w:kern w:val="24"/>
                <w:sz w:val="14"/>
                <w:szCs w:val="14"/>
                <w:lang w:val="en-US" w:eastAsia="el-GR"/>
              </w:rPr>
              <w:t xml:space="preserve"> </w:t>
            </w:r>
            <w:r w:rsidR="00B76747" w:rsidRPr="00C62FEB">
              <w:rPr>
                <w:rFonts w:ascii="Segoe UI" w:eastAsia="Times New Roman" w:hAnsi="Segoe UI" w:cs="Segoe UI"/>
                <w:b/>
                <w:bCs/>
                <w:color w:val="000000" w:themeColor="text1"/>
                <w:kern w:val="24"/>
                <w:sz w:val="14"/>
                <w:szCs w:val="14"/>
                <w:lang w:val="en-US" w:eastAsia="el-GR"/>
              </w:rPr>
              <w:t>2018</w:t>
            </w:r>
          </w:p>
        </w:tc>
        <w:tc>
          <w:tcPr>
            <w:tcW w:w="850"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B76747" w:rsidRPr="00C62FEB" w:rsidRDefault="00B76747" w:rsidP="00546F09">
            <w:pPr>
              <w:spacing w:before="38" w:after="0" w:line="240" w:lineRule="auto"/>
              <w:jc w:val="right"/>
              <w:textAlignment w:val="baseline"/>
              <w:rPr>
                <w:rFonts w:ascii="Segoe UI" w:eastAsia="Times New Roman" w:hAnsi="Segoe UI" w:cs="Segoe UI"/>
                <w:i/>
                <w:sz w:val="14"/>
                <w:szCs w:val="14"/>
                <w:lang w:val="en-US" w:eastAsia="el-GR"/>
              </w:rPr>
            </w:pPr>
            <w:r w:rsidRPr="00C62FEB">
              <w:rPr>
                <w:rFonts w:ascii="Segoe UI" w:eastAsia="Segoe UI" w:hAnsi="Segoe UI" w:cs="Segoe UI"/>
                <w:b/>
                <w:bCs/>
                <w:i/>
                <w:color w:val="000000"/>
                <w:kern w:val="24"/>
                <w:sz w:val="14"/>
                <w:szCs w:val="14"/>
                <w:lang w:val="el-GR" w:eastAsia="el-GR"/>
              </w:rPr>
              <w:t>Δ</w:t>
            </w:r>
            <w:r w:rsidR="00FE6545">
              <w:rPr>
                <w:rFonts w:ascii="Segoe UI" w:eastAsia="Segoe UI" w:hAnsi="Segoe UI" w:cs="Segoe UI"/>
                <w:b/>
                <w:bCs/>
                <w:i/>
                <w:color w:val="000000"/>
                <w:kern w:val="24"/>
                <w:sz w:val="14"/>
                <w:szCs w:val="14"/>
                <w:lang w:val="el-GR" w:eastAsia="el-GR"/>
              </w:rPr>
              <w:t xml:space="preserve"> (%)</w:t>
            </w:r>
          </w:p>
        </w:tc>
        <w:tc>
          <w:tcPr>
            <w:tcW w:w="850" w:type="dxa"/>
            <w:tcBorders>
              <w:top w:val="single" w:sz="8" w:space="0" w:color="000000"/>
              <w:left w:val="nil"/>
              <w:bottom w:val="single" w:sz="8" w:space="0" w:color="000000"/>
              <w:right w:val="nil"/>
            </w:tcBorders>
            <w:vAlign w:val="center"/>
          </w:tcPr>
          <w:p w:rsidR="00B76747" w:rsidRPr="00601A1B" w:rsidRDefault="00843553" w:rsidP="00546F09">
            <w:pPr>
              <w:spacing w:after="0" w:line="240" w:lineRule="auto"/>
              <w:jc w:val="right"/>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Γ</w:t>
            </w:r>
            <w:r w:rsidR="00B76747" w:rsidRPr="00C62FEB">
              <w:rPr>
                <w:rFonts w:ascii="Segoe UI" w:eastAsia="Times New Roman" w:hAnsi="Segoe UI" w:cs="Segoe UI"/>
                <w:b/>
                <w:bCs/>
                <w:color w:val="000000" w:themeColor="text1"/>
                <w:kern w:val="24"/>
                <w:sz w:val="14"/>
                <w:szCs w:val="14"/>
                <w:lang w:val="en-US" w:eastAsia="el-GR"/>
              </w:rPr>
              <w:t xml:space="preserve">‘ </w:t>
            </w:r>
            <w:r w:rsidR="00B76747">
              <w:rPr>
                <w:rFonts w:ascii="Segoe UI" w:eastAsia="Times New Roman" w:hAnsi="Segoe UI" w:cs="Segoe UI"/>
                <w:b/>
                <w:bCs/>
                <w:color w:val="000000" w:themeColor="text1"/>
                <w:kern w:val="24"/>
                <w:sz w:val="14"/>
                <w:szCs w:val="14"/>
                <w:lang w:val="el-GR" w:eastAsia="el-GR"/>
              </w:rPr>
              <w:t>τρίμηνο</w:t>
            </w:r>
            <w:r w:rsidR="00B76747" w:rsidRPr="00C62FEB">
              <w:rPr>
                <w:rFonts w:ascii="Segoe UI" w:eastAsia="Times New Roman" w:hAnsi="Segoe UI" w:cs="Segoe UI"/>
                <w:b/>
                <w:bCs/>
                <w:color w:val="000000" w:themeColor="text1"/>
                <w:kern w:val="24"/>
                <w:sz w:val="14"/>
                <w:szCs w:val="14"/>
                <w:lang w:val="el-GR" w:eastAsia="el-GR"/>
              </w:rPr>
              <w:t xml:space="preserve"> </w:t>
            </w:r>
            <w:r w:rsidR="00B76747" w:rsidRPr="00C62FEB">
              <w:rPr>
                <w:rFonts w:ascii="Segoe UI" w:eastAsia="Times New Roman" w:hAnsi="Segoe UI" w:cs="Segoe UI"/>
                <w:b/>
                <w:bCs/>
                <w:color w:val="000000" w:themeColor="text1"/>
                <w:kern w:val="24"/>
                <w:sz w:val="14"/>
                <w:szCs w:val="14"/>
                <w:lang w:val="en-US" w:eastAsia="el-GR"/>
              </w:rPr>
              <w:t xml:space="preserve"> 201</w:t>
            </w:r>
            <w:r w:rsidR="00B76747">
              <w:rPr>
                <w:rFonts w:ascii="Segoe UI" w:eastAsia="Times New Roman" w:hAnsi="Segoe UI" w:cs="Segoe UI"/>
                <w:b/>
                <w:bCs/>
                <w:color w:val="000000" w:themeColor="text1"/>
                <w:kern w:val="24"/>
                <w:sz w:val="14"/>
                <w:szCs w:val="14"/>
                <w:lang w:val="el-GR" w:eastAsia="el-GR"/>
              </w:rPr>
              <w:t>9</w:t>
            </w:r>
          </w:p>
        </w:tc>
        <w:tc>
          <w:tcPr>
            <w:tcW w:w="852" w:type="dxa"/>
            <w:tcBorders>
              <w:top w:val="single" w:sz="8" w:space="0" w:color="000000"/>
              <w:left w:val="nil"/>
              <w:bottom w:val="single" w:sz="8" w:space="0" w:color="000000"/>
              <w:right w:val="nil"/>
            </w:tcBorders>
            <w:vAlign w:val="center"/>
          </w:tcPr>
          <w:p w:rsidR="00B76747" w:rsidRPr="00C62FEB" w:rsidRDefault="00843553" w:rsidP="00546F09">
            <w:pPr>
              <w:spacing w:after="0" w:line="240" w:lineRule="auto"/>
              <w:jc w:val="right"/>
              <w:rPr>
                <w:rFonts w:ascii="Segoe UI" w:eastAsia="Times New Roman" w:hAnsi="Segoe UI" w:cs="Segoe UI"/>
                <w:b/>
                <w:bCs/>
                <w:color w:val="000000" w:themeColor="text1"/>
                <w:kern w:val="24"/>
                <w:sz w:val="14"/>
                <w:szCs w:val="14"/>
                <w:lang w:val="en-US" w:eastAsia="el-GR"/>
              </w:rPr>
            </w:pPr>
            <w:r>
              <w:rPr>
                <w:rFonts w:ascii="Segoe UI" w:eastAsia="Times New Roman" w:hAnsi="Segoe UI" w:cs="Segoe UI"/>
                <w:b/>
                <w:bCs/>
                <w:color w:val="000000" w:themeColor="text1"/>
                <w:kern w:val="24"/>
                <w:sz w:val="14"/>
                <w:szCs w:val="14"/>
                <w:lang w:val="el-GR" w:eastAsia="el-GR"/>
              </w:rPr>
              <w:t>Β</w:t>
            </w:r>
            <w:r w:rsidR="00B76747" w:rsidRPr="00C62FEB">
              <w:rPr>
                <w:rFonts w:ascii="Segoe UI" w:eastAsia="Times New Roman" w:hAnsi="Segoe UI" w:cs="Segoe UI"/>
                <w:b/>
                <w:bCs/>
                <w:color w:val="000000" w:themeColor="text1"/>
                <w:kern w:val="24"/>
                <w:sz w:val="14"/>
                <w:szCs w:val="14"/>
                <w:lang w:val="en-US" w:eastAsia="el-GR"/>
              </w:rPr>
              <w:t xml:space="preserve">‘ </w:t>
            </w:r>
            <w:r w:rsidR="00B76747">
              <w:rPr>
                <w:rFonts w:ascii="Segoe UI" w:eastAsia="Times New Roman" w:hAnsi="Segoe UI" w:cs="Segoe UI"/>
                <w:b/>
                <w:bCs/>
                <w:color w:val="000000" w:themeColor="text1"/>
                <w:kern w:val="24"/>
                <w:sz w:val="14"/>
                <w:szCs w:val="14"/>
                <w:lang w:val="el-GR" w:eastAsia="el-GR"/>
              </w:rPr>
              <w:t>τρίμηνο</w:t>
            </w:r>
            <w:r w:rsidR="00B76747" w:rsidRPr="00C62FEB">
              <w:rPr>
                <w:rFonts w:ascii="Segoe UI" w:eastAsia="Times New Roman" w:hAnsi="Segoe UI" w:cs="Segoe UI"/>
                <w:b/>
                <w:bCs/>
                <w:color w:val="000000" w:themeColor="text1"/>
                <w:kern w:val="24"/>
                <w:sz w:val="14"/>
                <w:szCs w:val="14"/>
                <w:lang w:val="el-GR" w:eastAsia="el-GR"/>
              </w:rPr>
              <w:t xml:space="preserve"> </w:t>
            </w:r>
            <w:r w:rsidR="00B76747" w:rsidRPr="00C62FEB">
              <w:rPr>
                <w:rFonts w:ascii="Segoe UI" w:eastAsia="Times New Roman" w:hAnsi="Segoe UI" w:cs="Segoe UI"/>
                <w:b/>
                <w:bCs/>
                <w:color w:val="000000" w:themeColor="text1"/>
                <w:kern w:val="24"/>
                <w:sz w:val="14"/>
                <w:szCs w:val="14"/>
                <w:lang w:val="en-US" w:eastAsia="el-GR"/>
              </w:rPr>
              <w:t xml:space="preserve"> 201</w:t>
            </w:r>
            <w:r w:rsidR="00B76747">
              <w:rPr>
                <w:rFonts w:ascii="Segoe UI" w:eastAsia="Times New Roman" w:hAnsi="Segoe UI" w:cs="Segoe UI"/>
                <w:b/>
                <w:bCs/>
                <w:color w:val="000000" w:themeColor="text1"/>
                <w:kern w:val="24"/>
                <w:sz w:val="14"/>
                <w:szCs w:val="14"/>
                <w:lang w:val="el-GR" w:eastAsia="el-GR"/>
              </w:rPr>
              <w:t>9</w:t>
            </w:r>
          </w:p>
        </w:tc>
        <w:tc>
          <w:tcPr>
            <w:tcW w:w="852"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B76747" w:rsidRPr="00C62FEB" w:rsidRDefault="00B76747" w:rsidP="00546F09">
            <w:pPr>
              <w:spacing w:before="38" w:after="0" w:line="240" w:lineRule="auto"/>
              <w:jc w:val="right"/>
              <w:textAlignment w:val="baseline"/>
              <w:rPr>
                <w:rFonts w:ascii="Segoe UI" w:eastAsia="Times New Roman" w:hAnsi="Segoe UI" w:cs="Segoe UI"/>
                <w:i/>
                <w:sz w:val="14"/>
                <w:szCs w:val="14"/>
                <w:lang w:val="el-GR" w:eastAsia="el-GR"/>
              </w:rPr>
            </w:pPr>
            <w:r w:rsidRPr="00C62FEB">
              <w:rPr>
                <w:rFonts w:ascii="Segoe UI" w:eastAsia="Segoe UI" w:hAnsi="Segoe UI" w:cs="Segoe UI"/>
                <w:b/>
                <w:bCs/>
                <w:i/>
                <w:color w:val="000000"/>
                <w:kern w:val="24"/>
                <w:sz w:val="14"/>
                <w:szCs w:val="14"/>
                <w:lang w:val="el-GR" w:eastAsia="el-GR"/>
              </w:rPr>
              <w:t>Δ</w:t>
            </w:r>
            <w:r w:rsidR="00FE6545">
              <w:rPr>
                <w:rFonts w:ascii="Segoe UI" w:eastAsia="Segoe UI" w:hAnsi="Segoe UI" w:cs="Segoe UI"/>
                <w:b/>
                <w:bCs/>
                <w:i/>
                <w:color w:val="000000"/>
                <w:kern w:val="24"/>
                <w:sz w:val="14"/>
                <w:szCs w:val="14"/>
                <w:lang w:val="el-GR" w:eastAsia="el-GR"/>
              </w:rPr>
              <w:t xml:space="preserve"> (%)</w:t>
            </w:r>
          </w:p>
        </w:tc>
      </w:tr>
      <w:tr w:rsidR="00CC1F0C" w:rsidRPr="00C62FEB" w:rsidTr="00AF1BA2">
        <w:trPr>
          <w:trHeight w:val="113"/>
        </w:trPr>
        <w:tc>
          <w:tcPr>
            <w:tcW w:w="3572"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Καθαρά έσοδα από τόκους</w:t>
            </w:r>
          </w:p>
        </w:tc>
        <w:tc>
          <w:tcPr>
            <w:tcW w:w="850" w:type="dxa"/>
            <w:tcBorders>
              <w:top w:val="single" w:sz="8" w:space="0" w:color="000000"/>
              <w:left w:val="nil"/>
              <w:bottom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kern w:val="24"/>
                <w:sz w:val="14"/>
                <w:szCs w:val="16"/>
                <w:lang w:eastAsia="el-GR"/>
              </w:rPr>
              <w:t>852</w:t>
            </w:r>
          </w:p>
        </w:tc>
        <w:tc>
          <w:tcPr>
            <w:tcW w:w="850" w:type="dxa"/>
            <w:tcBorders>
              <w:top w:val="single" w:sz="8" w:space="0" w:color="000000"/>
              <w:left w:val="nil"/>
              <w:bottom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kern w:val="24"/>
                <w:sz w:val="14"/>
                <w:szCs w:val="16"/>
                <w:lang w:eastAsia="el-GR"/>
              </w:rPr>
              <w:t>791</w:t>
            </w:r>
          </w:p>
        </w:tc>
        <w:tc>
          <w:tcPr>
            <w:tcW w:w="85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+8%</w:t>
            </w:r>
          </w:p>
        </w:tc>
        <w:tc>
          <w:tcPr>
            <w:tcW w:w="850" w:type="dxa"/>
            <w:tcBorders>
              <w:top w:val="single" w:sz="8" w:space="0" w:color="000000"/>
              <w:left w:val="nil"/>
              <w:bottom w:val="nil"/>
              <w:right w:val="nil"/>
            </w:tcBorders>
            <w:shd w:val="clear" w:color="auto" w:fill="auto"/>
            <w:vAlign w:val="center"/>
          </w:tcPr>
          <w:p w:rsidR="00CC1F0C" w:rsidRPr="00CC1F0C" w:rsidRDefault="00CC1F0C" w:rsidP="00CC1F0C">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color w:val="000000" w:themeColor="text1"/>
                <w:kern w:val="24"/>
                <w:sz w:val="14"/>
                <w:szCs w:val="16"/>
                <w:lang w:val="en-US"/>
              </w:rPr>
              <w:t>284</w:t>
            </w:r>
          </w:p>
        </w:tc>
        <w:tc>
          <w:tcPr>
            <w:tcW w:w="852" w:type="dxa"/>
            <w:tcBorders>
              <w:top w:val="single" w:sz="8" w:space="0" w:color="000000"/>
              <w:left w:val="nil"/>
              <w:bottom w:val="nil"/>
              <w:right w:val="nil"/>
            </w:tcBorders>
            <w:shd w:val="clear" w:color="auto" w:fill="auto"/>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kern w:val="24"/>
                <w:sz w:val="14"/>
                <w:szCs w:val="16"/>
                <w:lang w:eastAsia="el-GR"/>
              </w:rPr>
              <w:t>293</w:t>
            </w:r>
          </w:p>
        </w:tc>
        <w:tc>
          <w:tcPr>
            <w:tcW w:w="852" w:type="dxa"/>
            <w:tcBorders>
              <w:top w:val="single" w:sz="8" w:space="0" w:color="000000"/>
              <w:left w:val="nil"/>
              <w:bottom w:val="nil"/>
              <w:right w:val="nil"/>
            </w:tcBorders>
            <w:shd w:val="clear" w:color="auto" w:fill="auto"/>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-3%</w:t>
            </w:r>
          </w:p>
        </w:tc>
      </w:tr>
      <w:tr w:rsidR="00CC1F0C"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themeColor="text1"/>
                <w:kern w:val="24"/>
                <w:sz w:val="14"/>
                <w:szCs w:val="14"/>
                <w:lang w:val="el-GR" w:eastAsia="el-GR"/>
              </w:rPr>
              <w:t>Καθαρά έσοδα από προμήθειες</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kern w:val="24"/>
                <w:sz w:val="14"/>
                <w:szCs w:val="16"/>
                <w:lang w:eastAsia="el-GR"/>
              </w:rPr>
              <w:t>174</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kern w:val="24"/>
                <w:sz w:val="14"/>
                <w:szCs w:val="16"/>
                <w:lang w:eastAsia="el-GR"/>
              </w:rPr>
              <w:t>165</w:t>
            </w:r>
          </w:p>
        </w:tc>
        <w:tc>
          <w:tcPr>
            <w:tcW w:w="850" w:type="dxa"/>
            <w:tcBorders>
              <w:top w:val="nil"/>
              <w:left w:val="nil"/>
              <w:bottom w:val="nil"/>
              <w:right w:val="nil"/>
            </w:tcBorders>
            <w:shd w:val="clear" w:color="auto" w:fill="auto"/>
            <w:tcMar>
              <w:top w:w="15" w:type="dxa"/>
              <w:left w:w="15" w:type="dxa"/>
              <w:bottom w:w="0" w:type="dxa"/>
              <w:right w:w="78"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+5%</w:t>
            </w:r>
          </w:p>
        </w:tc>
        <w:tc>
          <w:tcPr>
            <w:tcW w:w="850" w:type="dxa"/>
            <w:tcBorders>
              <w:top w:val="nil"/>
              <w:left w:val="nil"/>
              <w:bottom w:val="nil"/>
              <w:right w:val="nil"/>
            </w:tcBorders>
            <w:shd w:val="clear" w:color="auto" w:fill="auto"/>
            <w:vAlign w:val="center"/>
          </w:tcPr>
          <w:p w:rsidR="00CC1F0C" w:rsidRPr="00CC1F0C" w:rsidRDefault="00CC1F0C" w:rsidP="00CC1F0C">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color w:val="000000" w:themeColor="text1"/>
                <w:kern w:val="24"/>
                <w:sz w:val="14"/>
                <w:szCs w:val="16"/>
                <w:lang w:val="en-US"/>
              </w:rPr>
              <w:t>60</w:t>
            </w:r>
          </w:p>
        </w:tc>
        <w:tc>
          <w:tcPr>
            <w:tcW w:w="852" w:type="dxa"/>
            <w:tcBorders>
              <w:top w:val="nil"/>
              <w:left w:val="nil"/>
              <w:bottom w:val="nil"/>
              <w:right w:val="nil"/>
            </w:tcBorders>
            <w:shd w:val="clear" w:color="auto" w:fill="auto"/>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kern w:val="24"/>
                <w:sz w:val="14"/>
                <w:szCs w:val="16"/>
                <w:lang w:eastAsia="el-GR"/>
              </w:rPr>
              <w:t>58</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+5%</w:t>
            </w:r>
          </w:p>
        </w:tc>
      </w:tr>
      <w:tr w:rsidR="00CC1F0C" w:rsidRPr="00C62FEB" w:rsidTr="00AF1BA2">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themeColor="text1"/>
                <w:kern w:val="24"/>
                <w:sz w:val="14"/>
                <w:szCs w:val="14"/>
                <w:lang w:val="el-GR" w:eastAsia="el-GR"/>
              </w:rPr>
              <w:t>Οργανικά έσοδα</w:t>
            </w:r>
          </w:p>
        </w:tc>
        <w:tc>
          <w:tcPr>
            <w:tcW w:w="850" w:type="dxa"/>
            <w:tcBorders>
              <w:top w:val="nil"/>
              <w:left w:val="nil"/>
              <w:bottom w:val="nil"/>
              <w:right w:val="nil"/>
            </w:tcBorders>
            <w:shd w:val="clear" w:color="auto" w:fill="F2F2F2"/>
            <w:vAlign w:val="center"/>
          </w:tcPr>
          <w:p w:rsidR="00CC1F0C" w:rsidRPr="00CC1F0C" w:rsidRDefault="00CC1F0C" w:rsidP="00CC1F0C">
            <w:pPr>
              <w:spacing w:after="0" w:line="240" w:lineRule="auto"/>
              <w:jc w:val="right"/>
              <w:textAlignment w:val="center"/>
              <w:rPr>
                <w:rFonts w:ascii="Segoe UI" w:eastAsia="Segoe UI" w:hAnsi="Segoe UI" w:cs="Segoe UI"/>
                <w:b/>
                <w:bCs/>
                <w:color w:val="000000"/>
                <w:kern w:val="24"/>
                <w:sz w:val="14"/>
                <w:szCs w:val="16"/>
                <w:lang w:eastAsia="el-GR"/>
              </w:rPr>
            </w:pPr>
            <w:r w:rsidRPr="00CC1F0C">
              <w:rPr>
                <w:rFonts w:ascii="Segoe UI" w:eastAsia="Segoe UI" w:hAnsi="Segoe UI" w:cs="Segoe UI"/>
                <w:b/>
                <w:bCs/>
                <w:color w:val="000000"/>
                <w:kern w:val="24"/>
                <w:sz w:val="14"/>
                <w:szCs w:val="16"/>
                <w:lang w:eastAsia="el-GR"/>
              </w:rPr>
              <w:t>1 025</w:t>
            </w:r>
          </w:p>
        </w:tc>
        <w:tc>
          <w:tcPr>
            <w:tcW w:w="850" w:type="dxa"/>
            <w:tcBorders>
              <w:top w:val="nil"/>
              <w:left w:val="nil"/>
              <w:bottom w:val="nil"/>
              <w:right w:val="nil"/>
            </w:tcBorders>
            <w:shd w:val="clear" w:color="auto" w:fill="F2F2F2" w:themeFill="background1" w:themeFillShade="F2"/>
            <w:vAlign w:val="center"/>
          </w:tcPr>
          <w:p w:rsidR="00CC1F0C" w:rsidRPr="00CC1F0C" w:rsidRDefault="00CC1F0C" w:rsidP="00CC1F0C">
            <w:pPr>
              <w:spacing w:after="0" w:line="240" w:lineRule="auto"/>
              <w:jc w:val="right"/>
              <w:textAlignment w:val="center"/>
              <w:rPr>
                <w:rFonts w:ascii="Segoe UI" w:eastAsia="Segoe UI" w:hAnsi="Segoe UI" w:cs="Segoe UI"/>
                <w:b/>
                <w:bCs/>
                <w:color w:val="000000"/>
                <w:kern w:val="24"/>
                <w:sz w:val="14"/>
                <w:szCs w:val="16"/>
                <w:lang w:eastAsia="el-GR"/>
              </w:rPr>
            </w:pPr>
            <w:r w:rsidRPr="00CC1F0C">
              <w:rPr>
                <w:rFonts w:ascii="Segoe UI" w:eastAsia="Segoe UI" w:hAnsi="Segoe UI" w:cs="Segoe UI"/>
                <w:b/>
                <w:bCs/>
                <w:color w:val="000000"/>
                <w:kern w:val="24"/>
                <w:sz w:val="14"/>
                <w:szCs w:val="16"/>
                <w:lang w:eastAsia="el-GR"/>
              </w:rPr>
              <w:t>956</w:t>
            </w:r>
          </w:p>
        </w:tc>
        <w:tc>
          <w:tcPr>
            <w:tcW w:w="850"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+7%</w:t>
            </w:r>
          </w:p>
        </w:tc>
        <w:tc>
          <w:tcPr>
            <w:tcW w:w="850" w:type="dxa"/>
            <w:tcBorders>
              <w:top w:val="nil"/>
              <w:left w:val="nil"/>
              <w:bottom w:val="nil"/>
              <w:right w:val="nil"/>
            </w:tcBorders>
            <w:shd w:val="clear" w:color="auto" w:fill="F2F2F2" w:themeFill="background1" w:themeFillShade="F2"/>
            <w:vAlign w:val="center"/>
          </w:tcPr>
          <w:p w:rsidR="00CC1F0C" w:rsidRPr="00CC1F0C" w:rsidRDefault="00CC1F0C" w:rsidP="00CC1F0C">
            <w:pPr>
              <w:pStyle w:val="Web"/>
              <w:spacing w:before="0" w:beforeAutospacing="0" w:after="0" w:afterAutospacing="0"/>
              <w:jc w:val="right"/>
              <w:textAlignment w:val="center"/>
              <w:rPr>
                <w:rFonts w:ascii="Arial" w:hAnsi="Arial" w:cs="Arial"/>
                <w:b/>
                <w:sz w:val="14"/>
                <w:szCs w:val="36"/>
              </w:rPr>
            </w:pPr>
            <w:r w:rsidRPr="00CC1F0C">
              <w:rPr>
                <w:rFonts w:ascii="Segoe UI" w:eastAsia="Segoe UI" w:hAnsi="Segoe UI" w:cs="Segoe UI"/>
                <w:b/>
                <w:color w:val="000000" w:themeColor="text1"/>
                <w:kern w:val="24"/>
                <w:sz w:val="14"/>
                <w:szCs w:val="16"/>
                <w:lang w:val="en-US"/>
              </w:rPr>
              <w:t>345</w:t>
            </w:r>
          </w:p>
        </w:tc>
        <w:tc>
          <w:tcPr>
            <w:tcW w:w="852" w:type="dxa"/>
            <w:tcBorders>
              <w:top w:val="nil"/>
              <w:left w:val="nil"/>
              <w:bottom w:val="nil"/>
              <w:right w:val="nil"/>
            </w:tcBorders>
            <w:shd w:val="clear" w:color="auto" w:fill="F2F2F2" w:themeFill="background1" w:themeFillShade="F2"/>
            <w:vAlign w:val="center"/>
          </w:tcPr>
          <w:p w:rsidR="00CC1F0C" w:rsidRPr="00CC1F0C" w:rsidRDefault="00CC1F0C" w:rsidP="00CC1F0C">
            <w:pPr>
              <w:spacing w:after="0" w:line="240" w:lineRule="auto"/>
              <w:jc w:val="right"/>
              <w:textAlignment w:val="center"/>
              <w:rPr>
                <w:rFonts w:ascii="Segoe UI" w:eastAsia="Segoe UI" w:hAnsi="Segoe UI" w:cs="Segoe UI"/>
                <w:b/>
                <w:bCs/>
                <w:color w:val="000000"/>
                <w:kern w:val="24"/>
                <w:sz w:val="14"/>
                <w:szCs w:val="16"/>
                <w:lang w:eastAsia="el-GR"/>
              </w:rPr>
            </w:pPr>
            <w:r w:rsidRPr="00CC1F0C">
              <w:rPr>
                <w:rFonts w:ascii="Segoe UI" w:eastAsia="Segoe UI" w:hAnsi="Segoe UI" w:cs="Segoe UI"/>
                <w:b/>
                <w:bCs/>
                <w:color w:val="000000"/>
                <w:kern w:val="24"/>
                <w:sz w:val="14"/>
                <w:szCs w:val="16"/>
                <w:lang w:eastAsia="el-GR"/>
              </w:rPr>
              <w:t>351</w:t>
            </w:r>
          </w:p>
        </w:tc>
        <w:tc>
          <w:tcPr>
            <w:tcW w:w="852" w:type="dxa"/>
            <w:tcBorders>
              <w:top w:val="nil"/>
              <w:left w:val="nil"/>
              <w:bottom w:val="nil"/>
              <w:right w:val="nil"/>
            </w:tcBorders>
            <w:shd w:val="clear" w:color="auto" w:fill="F2F2F2" w:themeFill="background1" w:themeFillShade="F2"/>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-2%</w:t>
            </w:r>
          </w:p>
        </w:tc>
      </w:tr>
      <w:tr w:rsidR="00CC1F0C"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Έσοδα από χρημ</w:t>
            </w:r>
            <w:r>
              <w:rPr>
                <w:rFonts w:ascii="Segoe UI" w:eastAsia="Segoe UI" w:hAnsi="Segoe UI" w:cs="Segoe UI"/>
                <w:color w:val="000000"/>
                <w:kern w:val="24"/>
                <w:sz w:val="14"/>
                <w:szCs w:val="14"/>
                <w:lang w:val="el-GR" w:eastAsia="el-GR"/>
              </w:rPr>
              <w:t>ατ/μι</w:t>
            </w:r>
            <w:r w:rsidRPr="00C62FEB">
              <w:rPr>
                <w:rFonts w:ascii="Segoe UI" w:eastAsia="Segoe UI" w:hAnsi="Segoe UI" w:cs="Segoe UI"/>
                <w:color w:val="000000"/>
                <w:kern w:val="24"/>
                <w:sz w:val="14"/>
                <w:szCs w:val="14"/>
                <w:lang w:val="el-GR" w:eastAsia="el-GR"/>
              </w:rPr>
              <w:t>κές πράξεις και λοιπά έσοδα</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kern w:val="24"/>
                <w:sz w:val="14"/>
                <w:szCs w:val="16"/>
                <w:lang w:eastAsia="el-GR"/>
              </w:rPr>
              <w:t>254</w:t>
            </w:r>
            <w:r w:rsidRPr="00CC1F0C">
              <w:rPr>
                <w:rFonts w:ascii="Segoe UI" w:eastAsia="Segoe UI" w:hAnsi="Segoe UI" w:cs="Segoe UI"/>
                <w:kern w:val="24"/>
                <w:sz w:val="14"/>
                <w:szCs w:val="16"/>
                <w:vertAlign w:val="superscript"/>
                <w:lang w:eastAsia="el-GR"/>
              </w:rPr>
              <w:t>1</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kern w:val="24"/>
                <w:sz w:val="14"/>
                <w:szCs w:val="16"/>
                <w:lang w:eastAsia="el-GR"/>
              </w:rPr>
              <w:t>(27)</w:t>
            </w:r>
          </w:p>
        </w:tc>
        <w:tc>
          <w:tcPr>
            <w:tcW w:w="850" w:type="dxa"/>
            <w:tcBorders>
              <w:top w:val="nil"/>
              <w:left w:val="nil"/>
              <w:bottom w:val="nil"/>
              <w:right w:val="nil"/>
            </w:tcBorders>
            <w:shd w:val="clear" w:color="auto" w:fill="auto"/>
            <w:tcMar>
              <w:top w:w="15" w:type="dxa"/>
              <w:left w:w="15" w:type="dxa"/>
              <w:bottom w:w="0" w:type="dxa"/>
              <w:right w:w="78"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val="el-GR" w:eastAsia="el-GR"/>
              </w:rPr>
            </w:pPr>
            <w:r>
              <w:rPr>
                <w:rFonts w:ascii="Segoe UI" w:eastAsia="Times New Roman" w:hAnsi="Segoe UI" w:cs="Segoe UI"/>
                <w:i/>
                <w:sz w:val="14"/>
                <w:szCs w:val="16"/>
                <w:lang w:val="el-GR" w:eastAsia="el-GR"/>
              </w:rPr>
              <w:t>--</w:t>
            </w:r>
          </w:p>
        </w:tc>
        <w:tc>
          <w:tcPr>
            <w:tcW w:w="850" w:type="dxa"/>
            <w:tcBorders>
              <w:top w:val="nil"/>
              <w:left w:val="nil"/>
              <w:bottom w:val="nil"/>
              <w:right w:val="nil"/>
            </w:tcBorders>
            <w:shd w:val="clear" w:color="auto" w:fill="auto"/>
            <w:vAlign w:val="center"/>
          </w:tcPr>
          <w:p w:rsidR="00CC1F0C" w:rsidRPr="00CC1F0C" w:rsidRDefault="00CC1F0C" w:rsidP="00CC1F0C">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color w:val="000000" w:themeColor="text1"/>
                <w:kern w:val="24"/>
                <w:sz w:val="14"/>
                <w:szCs w:val="16"/>
                <w:lang w:val="en-US"/>
              </w:rPr>
              <w:t>105</w:t>
            </w:r>
          </w:p>
        </w:tc>
        <w:tc>
          <w:tcPr>
            <w:tcW w:w="852" w:type="dxa"/>
            <w:tcBorders>
              <w:top w:val="nil"/>
              <w:left w:val="nil"/>
              <w:bottom w:val="nil"/>
              <w:right w:val="nil"/>
            </w:tcBorders>
            <w:shd w:val="clear" w:color="auto" w:fill="auto"/>
            <w:vAlign w:val="center"/>
          </w:tcPr>
          <w:p w:rsidR="00CC1F0C" w:rsidRPr="00CC1F0C" w:rsidRDefault="00CC1F0C" w:rsidP="00CC1F0C">
            <w:pPr>
              <w:spacing w:after="0" w:line="240" w:lineRule="auto"/>
              <w:jc w:val="right"/>
              <w:textAlignment w:val="center"/>
              <w:rPr>
                <w:rFonts w:ascii="Arial" w:eastAsia="Times New Roman" w:hAnsi="Arial" w:cs="Arial"/>
                <w:sz w:val="14"/>
                <w:szCs w:val="36"/>
                <w:highlight w:val="yellow"/>
                <w:lang w:eastAsia="el-GR"/>
              </w:rPr>
            </w:pPr>
            <w:r w:rsidRPr="00CC1F0C">
              <w:rPr>
                <w:rFonts w:ascii="Segoe UI" w:eastAsia="Segoe UI" w:hAnsi="Segoe UI" w:cs="Segoe UI"/>
                <w:color w:val="000000"/>
                <w:kern w:val="24"/>
                <w:sz w:val="14"/>
                <w:szCs w:val="16"/>
                <w:lang w:eastAsia="el-GR"/>
              </w:rPr>
              <w:t>49</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highlight w:val="yellow"/>
                <w:lang w:eastAsia="el-GR"/>
              </w:rPr>
            </w:pPr>
            <w:r w:rsidRPr="00CC1F0C">
              <w:rPr>
                <w:rFonts w:ascii="Segoe UI" w:eastAsia="Times New Roman" w:hAnsi="Segoe UI" w:cs="Segoe UI"/>
                <w:i/>
                <w:sz w:val="14"/>
                <w:szCs w:val="16"/>
                <w:lang w:eastAsia="el-GR"/>
              </w:rPr>
              <w:t>&gt;100%</w:t>
            </w:r>
          </w:p>
        </w:tc>
      </w:tr>
      <w:tr w:rsidR="00CC1F0C" w:rsidRPr="00C62FEB" w:rsidTr="00546F09">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 xml:space="preserve">Καθαρά λειτουργικά έσοδα </w:t>
            </w:r>
          </w:p>
        </w:tc>
        <w:tc>
          <w:tcPr>
            <w:tcW w:w="850" w:type="dxa"/>
            <w:tcBorders>
              <w:top w:val="nil"/>
              <w:left w:val="nil"/>
              <w:bottom w:val="nil"/>
              <w:right w:val="nil"/>
            </w:tcBorders>
            <w:shd w:val="clear" w:color="auto" w:fill="F2F2F2"/>
            <w:vAlign w:val="center"/>
          </w:tcPr>
          <w:p w:rsidR="00CC1F0C" w:rsidRPr="00CC1F0C" w:rsidRDefault="00CC1F0C" w:rsidP="00CC1F0C">
            <w:pPr>
              <w:spacing w:after="0" w:line="240" w:lineRule="auto"/>
              <w:jc w:val="right"/>
              <w:textAlignment w:val="center"/>
              <w:rPr>
                <w:rFonts w:ascii="Arial" w:eastAsia="Times New Roman" w:hAnsi="Arial" w:cs="Arial"/>
                <w:b/>
                <w:sz w:val="14"/>
                <w:szCs w:val="36"/>
                <w:lang w:eastAsia="el-GR"/>
              </w:rPr>
            </w:pPr>
            <w:r w:rsidRPr="00CC1F0C">
              <w:rPr>
                <w:rFonts w:ascii="Segoe UI" w:eastAsia="Segoe UI" w:hAnsi="Segoe UI" w:cs="Segoe UI"/>
                <w:b/>
                <w:bCs/>
                <w:color w:val="000000"/>
                <w:kern w:val="24"/>
                <w:sz w:val="14"/>
                <w:szCs w:val="16"/>
                <w:lang w:eastAsia="el-GR"/>
              </w:rPr>
              <w:t>1 279</w:t>
            </w:r>
          </w:p>
        </w:tc>
        <w:tc>
          <w:tcPr>
            <w:tcW w:w="850" w:type="dxa"/>
            <w:tcBorders>
              <w:top w:val="nil"/>
              <w:left w:val="nil"/>
              <w:bottom w:val="nil"/>
              <w:right w:val="nil"/>
            </w:tcBorders>
            <w:shd w:val="clear" w:color="auto" w:fill="F2F2F2"/>
            <w:vAlign w:val="center"/>
          </w:tcPr>
          <w:p w:rsidR="00CC1F0C" w:rsidRPr="00CC1F0C" w:rsidRDefault="00CC1F0C" w:rsidP="00EB6D7C">
            <w:pPr>
              <w:spacing w:after="0" w:line="240" w:lineRule="auto"/>
              <w:jc w:val="right"/>
              <w:textAlignment w:val="center"/>
              <w:rPr>
                <w:rFonts w:ascii="Arial" w:eastAsia="Times New Roman" w:hAnsi="Arial" w:cs="Arial"/>
                <w:b/>
                <w:sz w:val="14"/>
                <w:szCs w:val="36"/>
                <w:lang w:eastAsia="el-GR"/>
              </w:rPr>
            </w:pPr>
            <w:r w:rsidRPr="00CC1F0C">
              <w:rPr>
                <w:rFonts w:ascii="Segoe UI" w:eastAsia="Segoe UI" w:hAnsi="Segoe UI" w:cs="Segoe UI"/>
                <w:b/>
                <w:bCs/>
                <w:color w:val="000000"/>
                <w:kern w:val="24"/>
                <w:sz w:val="14"/>
                <w:szCs w:val="16"/>
                <w:lang w:eastAsia="el-GR"/>
              </w:rPr>
              <w:t>9</w:t>
            </w:r>
            <w:r w:rsidR="00EB6D7C">
              <w:rPr>
                <w:rFonts w:ascii="Segoe UI" w:eastAsia="Segoe UI" w:hAnsi="Segoe UI" w:cs="Segoe UI"/>
                <w:b/>
                <w:bCs/>
                <w:color w:val="000000"/>
                <w:kern w:val="24"/>
                <w:sz w:val="14"/>
                <w:szCs w:val="16"/>
                <w:lang w:eastAsia="el-GR"/>
              </w:rPr>
              <w:t>29</w:t>
            </w:r>
          </w:p>
        </w:tc>
        <w:tc>
          <w:tcPr>
            <w:tcW w:w="850" w:type="dxa"/>
            <w:tcBorders>
              <w:top w:val="nil"/>
              <w:left w:val="nil"/>
              <w:bottom w:val="nil"/>
              <w:right w:val="nil"/>
            </w:tcBorders>
            <w:shd w:val="clear" w:color="auto" w:fill="F2F2F2"/>
            <w:tcMar>
              <w:top w:w="15" w:type="dxa"/>
              <w:left w:w="15" w:type="dxa"/>
              <w:bottom w:w="0" w:type="dxa"/>
              <w:right w:w="78"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+38%</w:t>
            </w:r>
          </w:p>
        </w:tc>
        <w:tc>
          <w:tcPr>
            <w:tcW w:w="850" w:type="dxa"/>
            <w:tcBorders>
              <w:top w:val="nil"/>
              <w:left w:val="nil"/>
              <w:bottom w:val="nil"/>
              <w:right w:val="nil"/>
            </w:tcBorders>
            <w:shd w:val="clear" w:color="auto" w:fill="F2F2F2"/>
            <w:vAlign w:val="center"/>
          </w:tcPr>
          <w:p w:rsidR="00CC1F0C" w:rsidRPr="00CC1F0C" w:rsidRDefault="00CC1F0C" w:rsidP="00CC1F0C">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b/>
                <w:bCs/>
                <w:color w:val="000000" w:themeColor="text1"/>
                <w:kern w:val="24"/>
                <w:sz w:val="14"/>
                <w:szCs w:val="16"/>
                <w:lang w:val="en-US"/>
              </w:rPr>
              <w:t>450</w:t>
            </w:r>
          </w:p>
        </w:tc>
        <w:tc>
          <w:tcPr>
            <w:tcW w:w="852" w:type="dxa"/>
            <w:tcBorders>
              <w:top w:val="nil"/>
              <w:left w:val="nil"/>
              <w:bottom w:val="nil"/>
              <w:right w:val="nil"/>
            </w:tcBorders>
            <w:shd w:val="clear" w:color="auto" w:fill="F2F2F2"/>
            <w:vAlign w:val="center"/>
          </w:tcPr>
          <w:p w:rsidR="00CC1F0C" w:rsidRPr="00CC1F0C" w:rsidRDefault="00CC1F0C" w:rsidP="00CC1F0C">
            <w:pPr>
              <w:spacing w:after="0" w:line="240" w:lineRule="auto"/>
              <w:jc w:val="right"/>
              <w:textAlignment w:val="center"/>
              <w:rPr>
                <w:rFonts w:ascii="Arial" w:eastAsia="Times New Roman" w:hAnsi="Arial" w:cs="Arial"/>
                <w:b/>
                <w:sz w:val="14"/>
                <w:szCs w:val="36"/>
                <w:lang w:eastAsia="el-GR"/>
              </w:rPr>
            </w:pPr>
            <w:r w:rsidRPr="00CC1F0C">
              <w:rPr>
                <w:rFonts w:ascii="Segoe UI" w:eastAsia="Segoe UI" w:hAnsi="Segoe UI" w:cs="Segoe UI"/>
                <w:b/>
                <w:bCs/>
                <w:color w:val="000000"/>
                <w:kern w:val="24"/>
                <w:sz w:val="14"/>
                <w:szCs w:val="16"/>
                <w:lang w:eastAsia="el-GR"/>
              </w:rPr>
              <w:t>400</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+13%</w:t>
            </w:r>
          </w:p>
        </w:tc>
      </w:tr>
      <w:tr w:rsidR="00CC1F0C"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Λειτουργικές δαπάνες</w:t>
            </w:r>
          </w:p>
        </w:tc>
        <w:tc>
          <w:tcPr>
            <w:tcW w:w="850" w:type="dxa"/>
            <w:tcBorders>
              <w:top w:val="nil"/>
              <w:left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bCs/>
                <w:color w:val="000000"/>
                <w:kern w:val="24"/>
                <w:sz w:val="14"/>
                <w:szCs w:val="16"/>
                <w:lang w:eastAsia="el-GR"/>
              </w:rPr>
              <w:t>(592)</w:t>
            </w:r>
          </w:p>
        </w:tc>
        <w:tc>
          <w:tcPr>
            <w:tcW w:w="850" w:type="dxa"/>
            <w:tcBorders>
              <w:top w:val="nil"/>
              <w:left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bCs/>
                <w:color w:val="000000"/>
                <w:kern w:val="24"/>
                <w:sz w:val="14"/>
                <w:szCs w:val="16"/>
                <w:lang w:eastAsia="el-GR"/>
              </w:rPr>
              <w:t>(631)</w:t>
            </w:r>
          </w:p>
        </w:tc>
        <w:tc>
          <w:tcPr>
            <w:tcW w:w="850" w:type="dxa"/>
            <w:tcBorders>
              <w:top w:val="nil"/>
              <w:left w:val="nil"/>
              <w:right w:val="nil"/>
            </w:tcBorders>
            <w:shd w:val="clear" w:color="auto" w:fill="auto"/>
            <w:tcMar>
              <w:top w:w="15" w:type="dxa"/>
              <w:left w:w="15" w:type="dxa"/>
              <w:bottom w:w="0" w:type="dxa"/>
              <w:right w:w="78"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-6%</w:t>
            </w:r>
          </w:p>
        </w:tc>
        <w:tc>
          <w:tcPr>
            <w:tcW w:w="850" w:type="dxa"/>
            <w:tcBorders>
              <w:top w:val="nil"/>
              <w:left w:val="nil"/>
              <w:bottom w:val="nil"/>
              <w:right w:val="nil"/>
            </w:tcBorders>
            <w:shd w:val="clear" w:color="auto" w:fill="auto"/>
            <w:vAlign w:val="center"/>
          </w:tcPr>
          <w:p w:rsidR="00CC1F0C" w:rsidRPr="00CC1F0C" w:rsidRDefault="00CC1F0C" w:rsidP="00CC1F0C">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bCs/>
                <w:color w:val="000000" w:themeColor="text1"/>
                <w:kern w:val="24"/>
                <w:sz w:val="14"/>
                <w:szCs w:val="16"/>
                <w:lang w:val="en-US"/>
              </w:rPr>
              <w:t>(204)</w:t>
            </w:r>
          </w:p>
        </w:tc>
        <w:tc>
          <w:tcPr>
            <w:tcW w:w="852" w:type="dxa"/>
            <w:tcBorders>
              <w:top w:val="nil"/>
              <w:left w:val="nil"/>
              <w:right w:val="nil"/>
            </w:tcBorders>
            <w:shd w:val="clear" w:color="auto" w:fill="auto"/>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bCs/>
                <w:color w:val="000000"/>
                <w:kern w:val="24"/>
                <w:sz w:val="14"/>
                <w:szCs w:val="16"/>
                <w:lang w:eastAsia="el-GR"/>
              </w:rPr>
              <w:t>(194)</w:t>
            </w:r>
          </w:p>
        </w:tc>
        <w:tc>
          <w:tcPr>
            <w:tcW w:w="852" w:type="dxa"/>
            <w:tcBorders>
              <w:top w:val="nil"/>
              <w:left w:val="nil"/>
              <w:right w:val="nil"/>
            </w:tcBorders>
            <w:shd w:val="clear" w:color="auto" w:fill="auto"/>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val="el-GR" w:eastAsia="el-GR"/>
              </w:rPr>
            </w:pPr>
            <w:r w:rsidRPr="00CC1F0C">
              <w:rPr>
                <w:rFonts w:ascii="Segoe UI" w:eastAsia="Times New Roman" w:hAnsi="Segoe UI" w:cs="Segoe UI"/>
                <w:i/>
                <w:sz w:val="14"/>
                <w:szCs w:val="16"/>
                <w:lang w:eastAsia="el-GR"/>
              </w:rPr>
              <w:t>+5%</w:t>
            </w:r>
            <w:r w:rsidRPr="00CC1F0C">
              <w:rPr>
                <w:rFonts w:ascii="Segoe UI" w:eastAsia="Times New Roman" w:hAnsi="Segoe UI" w:cs="Segoe UI"/>
                <w:i/>
                <w:sz w:val="14"/>
                <w:szCs w:val="16"/>
                <w:vertAlign w:val="superscript"/>
                <w:lang w:val="el-GR" w:eastAsia="el-GR"/>
              </w:rPr>
              <w:t>2</w:t>
            </w:r>
          </w:p>
        </w:tc>
      </w:tr>
      <w:tr w:rsidR="00CC1F0C" w:rsidRPr="00C62FEB" w:rsidTr="00AF1BA2">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 xml:space="preserve">Οργανικά κέρδη / (ζημίες) προ προβλέψεων </w:t>
            </w:r>
          </w:p>
        </w:tc>
        <w:tc>
          <w:tcPr>
            <w:tcW w:w="850" w:type="dxa"/>
            <w:tcBorders>
              <w:top w:val="nil"/>
              <w:left w:val="nil"/>
              <w:bottom w:val="nil"/>
              <w:right w:val="nil"/>
            </w:tcBorders>
            <w:shd w:val="clear" w:color="auto" w:fill="F2F2F2" w:themeFill="background1" w:themeFillShade="F2"/>
            <w:vAlign w:val="center"/>
          </w:tcPr>
          <w:p w:rsidR="00CC1F0C" w:rsidRPr="00CC1F0C" w:rsidRDefault="00CC1F0C" w:rsidP="00CC1F0C">
            <w:pPr>
              <w:spacing w:after="0" w:line="240" w:lineRule="auto"/>
              <w:jc w:val="right"/>
              <w:textAlignment w:val="center"/>
              <w:rPr>
                <w:rFonts w:ascii="Arial" w:eastAsia="Times New Roman" w:hAnsi="Arial" w:cs="Arial"/>
                <w:b/>
                <w:sz w:val="14"/>
                <w:szCs w:val="36"/>
                <w:lang w:eastAsia="el-GR"/>
              </w:rPr>
            </w:pPr>
            <w:r w:rsidRPr="00CC1F0C">
              <w:rPr>
                <w:rFonts w:ascii="Segoe UI" w:eastAsia="Segoe UI" w:hAnsi="Segoe UI" w:cs="Segoe UI"/>
                <w:b/>
                <w:color w:val="000000"/>
                <w:kern w:val="24"/>
                <w:sz w:val="14"/>
                <w:szCs w:val="16"/>
                <w:lang w:eastAsia="el-GR"/>
              </w:rPr>
              <w:t>434</w:t>
            </w:r>
          </w:p>
        </w:tc>
        <w:tc>
          <w:tcPr>
            <w:tcW w:w="850" w:type="dxa"/>
            <w:tcBorders>
              <w:top w:val="nil"/>
              <w:left w:val="nil"/>
              <w:bottom w:val="nil"/>
              <w:right w:val="nil"/>
            </w:tcBorders>
            <w:shd w:val="clear" w:color="auto" w:fill="F2F2F2" w:themeFill="background1" w:themeFillShade="F2"/>
            <w:vAlign w:val="center"/>
          </w:tcPr>
          <w:p w:rsidR="00CC1F0C" w:rsidRPr="00CC1F0C" w:rsidRDefault="00CC1F0C" w:rsidP="00CC1F0C">
            <w:pPr>
              <w:spacing w:after="0" w:line="240" w:lineRule="auto"/>
              <w:jc w:val="right"/>
              <w:textAlignment w:val="center"/>
              <w:rPr>
                <w:rFonts w:ascii="Segoe UI" w:eastAsia="Segoe UI" w:hAnsi="Segoe UI" w:cs="Segoe UI"/>
                <w:b/>
                <w:color w:val="000000"/>
                <w:kern w:val="24"/>
                <w:sz w:val="14"/>
                <w:szCs w:val="16"/>
                <w:lang w:eastAsia="el-GR"/>
              </w:rPr>
            </w:pPr>
            <w:r w:rsidRPr="00CC1F0C">
              <w:rPr>
                <w:rFonts w:ascii="Segoe UI" w:eastAsia="Segoe UI" w:hAnsi="Segoe UI" w:cs="Segoe UI"/>
                <w:b/>
                <w:color w:val="000000"/>
                <w:kern w:val="24"/>
                <w:sz w:val="14"/>
                <w:szCs w:val="16"/>
                <w:lang w:eastAsia="el-GR"/>
              </w:rPr>
              <w:t>325</w:t>
            </w:r>
          </w:p>
        </w:tc>
        <w:tc>
          <w:tcPr>
            <w:tcW w:w="850"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+33%</w:t>
            </w:r>
          </w:p>
        </w:tc>
        <w:tc>
          <w:tcPr>
            <w:tcW w:w="850" w:type="dxa"/>
            <w:tcBorders>
              <w:top w:val="nil"/>
              <w:left w:val="nil"/>
              <w:bottom w:val="nil"/>
              <w:right w:val="nil"/>
            </w:tcBorders>
            <w:shd w:val="clear" w:color="auto" w:fill="F2F2F2" w:themeFill="background1" w:themeFillShade="F2"/>
            <w:vAlign w:val="center"/>
          </w:tcPr>
          <w:p w:rsidR="00CC1F0C" w:rsidRPr="00CC1F0C" w:rsidRDefault="00CC1F0C" w:rsidP="00CC1F0C">
            <w:pPr>
              <w:pStyle w:val="Web"/>
              <w:spacing w:before="0" w:beforeAutospacing="0" w:after="0" w:afterAutospacing="0"/>
              <w:jc w:val="right"/>
              <w:textAlignment w:val="center"/>
              <w:rPr>
                <w:rFonts w:ascii="Arial" w:hAnsi="Arial" w:cs="Arial"/>
                <w:b/>
                <w:sz w:val="14"/>
                <w:szCs w:val="36"/>
              </w:rPr>
            </w:pPr>
            <w:r w:rsidRPr="00CC1F0C">
              <w:rPr>
                <w:rFonts w:ascii="Segoe UI" w:eastAsia="Segoe UI" w:hAnsi="Segoe UI" w:cs="Segoe UI"/>
                <w:b/>
                <w:color w:val="000000" w:themeColor="text1"/>
                <w:kern w:val="24"/>
                <w:sz w:val="14"/>
                <w:szCs w:val="16"/>
                <w:lang w:val="en-US"/>
              </w:rPr>
              <w:t>141</w:t>
            </w:r>
          </w:p>
        </w:tc>
        <w:tc>
          <w:tcPr>
            <w:tcW w:w="852" w:type="dxa"/>
            <w:tcBorders>
              <w:top w:val="nil"/>
              <w:left w:val="nil"/>
              <w:bottom w:val="nil"/>
              <w:right w:val="nil"/>
            </w:tcBorders>
            <w:shd w:val="clear" w:color="auto" w:fill="F2F2F2" w:themeFill="background1" w:themeFillShade="F2"/>
            <w:vAlign w:val="center"/>
          </w:tcPr>
          <w:p w:rsidR="00CC1F0C" w:rsidRPr="00CC1F0C" w:rsidRDefault="00CC1F0C" w:rsidP="00CC1F0C">
            <w:pPr>
              <w:spacing w:after="0" w:line="240" w:lineRule="auto"/>
              <w:jc w:val="right"/>
              <w:textAlignment w:val="center"/>
              <w:rPr>
                <w:rFonts w:ascii="Arial" w:eastAsia="Times New Roman" w:hAnsi="Arial" w:cs="Arial"/>
                <w:b/>
                <w:sz w:val="14"/>
                <w:szCs w:val="36"/>
                <w:lang w:eastAsia="el-GR"/>
              </w:rPr>
            </w:pPr>
            <w:r w:rsidRPr="00CC1F0C">
              <w:rPr>
                <w:rFonts w:ascii="Segoe UI" w:eastAsia="Segoe UI" w:hAnsi="Segoe UI" w:cs="Segoe UI"/>
                <w:b/>
                <w:color w:val="000000"/>
                <w:kern w:val="24"/>
                <w:sz w:val="14"/>
                <w:szCs w:val="16"/>
                <w:lang w:eastAsia="el-GR"/>
              </w:rPr>
              <w:t>156</w:t>
            </w:r>
          </w:p>
        </w:tc>
        <w:tc>
          <w:tcPr>
            <w:tcW w:w="852" w:type="dxa"/>
            <w:tcBorders>
              <w:top w:val="nil"/>
              <w:left w:val="nil"/>
              <w:bottom w:val="nil"/>
              <w:right w:val="nil"/>
            </w:tcBorders>
            <w:shd w:val="clear" w:color="auto" w:fill="F2F2F2" w:themeFill="background1" w:themeFillShade="F2"/>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-10%</w:t>
            </w:r>
          </w:p>
        </w:tc>
      </w:tr>
      <w:tr w:rsidR="00CC1F0C" w:rsidRPr="00C62FEB" w:rsidTr="00AF1BA2">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Κέρδη / (ζημίες) προ προβλέψεων</w:t>
            </w:r>
          </w:p>
        </w:tc>
        <w:tc>
          <w:tcPr>
            <w:tcW w:w="850" w:type="dxa"/>
            <w:tcBorders>
              <w:top w:val="nil"/>
              <w:left w:val="nil"/>
              <w:bottom w:val="nil"/>
              <w:right w:val="nil"/>
            </w:tcBorders>
            <w:shd w:val="clear" w:color="auto" w:fill="F2F2F2" w:themeFill="background1" w:themeFillShade="F2"/>
            <w:vAlign w:val="center"/>
          </w:tcPr>
          <w:p w:rsidR="00CC1F0C" w:rsidRPr="00CC1F0C" w:rsidRDefault="00CC1F0C" w:rsidP="00CC1F0C">
            <w:pPr>
              <w:spacing w:after="0" w:line="240" w:lineRule="auto"/>
              <w:jc w:val="right"/>
              <w:textAlignment w:val="center"/>
              <w:rPr>
                <w:rFonts w:ascii="Arial" w:eastAsia="Times New Roman" w:hAnsi="Arial" w:cs="Arial"/>
                <w:b/>
                <w:sz w:val="14"/>
                <w:szCs w:val="36"/>
                <w:lang w:eastAsia="el-GR"/>
              </w:rPr>
            </w:pPr>
            <w:r w:rsidRPr="00CC1F0C">
              <w:rPr>
                <w:rFonts w:ascii="Segoe UI" w:eastAsia="Segoe UI" w:hAnsi="Segoe UI" w:cs="Segoe UI"/>
                <w:b/>
                <w:bCs/>
                <w:color w:val="000000"/>
                <w:kern w:val="24"/>
                <w:sz w:val="14"/>
                <w:szCs w:val="16"/>
                <w:lang w:eastAsia="el-GR"/>
              </w:rPr>
              <w:t>688</w:t>
            </w:r>
          </w:p>
        </w:tc>
        <w:tc>
          <w:tcPr>
            <w:tcW w:w="850" w:type="dxa"/>
            <w:tcBorders>
              <w:top w:val="nil"/>
              <w:left w:val="nil"/>
              <w:bottom w:val="nil"/>
              <w:right w:val="nil"/>
            </w:tcBorders>
            <w:shd w:val="clear" w:color="auto" w:fill="F2F2F2" w:themeFill="background1" w:themeFillShade="F2"/>
            <w:vAlign w:val="center"/>
          </w:tcPr>
          <w:p w:rsidR="00CC1F0C" w:rsidRPr="00CC1F0C" w:rsidRDefault="00CC1F0C" w:rsidP="00CC1F0C">
            <w:pPr>
              <w:spacing w:after="0" w:line="240" w:lineRule="auto"/>
              <w:jc w:val="right"/>
              <w:textAlignment w:val="center"/>
              <w:rPr>
                <w:rFonts w:ascii="Arial" w:eastAsia="Times New Roman" w:hAnsi="Arial" w:cs="Arial"/>
                <w:b/>
                <w:sz w:val="14"/>
                <w:szCs w:val="36"/>
                <w:lang w:eastAsia="el-GR"/>
              </w:rPr>
            </w:pPr>
            <w:r w:rsidRPr="00CC1F0C">
              <w:rPr>
                <w:rFonts w:ascii="Segoe UI" w:eastAsia="Segoe UI" w:hAnsi="Segoe UI" w:cs="Segoe UI"/>
                <w:b/>
                <w:bCs/>
                <w:color w:val="000000"/>
                <w:kern w:val="24"/>
                <w:sz w:val="14"/>
                <w:szCs w:val="16"/>
                <w:lang w:eastAsia="el-GR"/>
              </w:rPr>
              <w:t>298</w:t>
            </w:r>
          </w:p>
        </w:tc>
        <w:tc>
          <w:tcPr>
            <w:tcW w:w="850"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&gt;100%</w:t>
            </w:r>
          </w:p>
        </w:tc>
        <w:tc>
          <w:tcPr>
            <w:tcW w:w="850" w:type="dxa"/>
            <w:tcBorders>
              <w:top w:val="nil"/>
              <w:left w:val="nil"/>
              <w:bottom w:val="nil"/>
              <w:right w:val="nil"/>
            </w:tcBorders>
            <w:shd w:val="clear" w:color="auto" w:fill="F2F2F2" w:themeFill="background1" w:themeFillShade="F2"/>
            <w:vAlign w:val="center"/>
          </w:tcPr>
          <w:p w:rsidR="00CC1F0C" w:rsidRPr="00CC1F0C" w:rsidRDefault="00CC1F0C" w:rsidP="00CC1F0C">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b/>
                <w:bCs/>
                <w:color w:val="000000" w:themeColor="text1"/>
                <w:kern w:val="24"/>
                <w:sz w:val="14"/>
                <w:szCs w:val="16"/>
                <w:lang w:val="en-US"/>
              </w:rPr>
              <w:t>246</w:t>
            </w:r>
          </w:p>
        </w:tc>
        <w:tc>
          <w:tcPr>
            <w:tcW w:w="852" w:type="dxa"/>
            <w:tcBorders>
              <w:top w:val="nil"/>
              <w:left w:val="nil"/>
              <w:bottom w:val="nil"/>
              <w:right w:val="nil"/>
            </w:tcBorders>
            <w:shd w:val="clear" w:color="auto" w:fill="F2F2F2" w:themeFill="background1" w:themeFillShade="F2"/>
            <w:vAlign w:val="center"/>
          </w:tcPr>
          <w:p w:rsidR="00CC1F0C" w:rsidRPr="00CC1F0C" w:rsidRDefault="00CC1F0C" w:rsidP="00CC1F0C">
            <w:pPr>
              <w:spacing w:after="0" w:line="240" w:lineRule="auto"/>
              <w:jc w:val="right"/>
              <w:textAlignment w:val="center"/>
              <w:rPr>
                <w:rFonts w:ascii="Arial" w:eastAsia="Times New Roman" w:hAnsi="Arial" w:cs="Arial"/>
                <w:b/>
                <w:sz w:val="14"/>
                <w:szCs w:val="36"/>
                <w:lang w:eastAsia="el-GR"/>
              </w:rPr>
            </w:pPr>
            <w:r w:rsidRPr="00CC1F0C">
              <w:rPr>
                <w:rFonts w:ascii="Segoe UI" w:eastAsia="Segoe UI" w:hAnsi="Segoe UI" w:cs="Segoe UI"/>
                <w:b/>
                <w:bCs/>
                <w:color w:val="000000"/>
                <w:kern w:val="24"/>
                <w:sz w:val="14"/>
                <w:szCs w:val="16"/>
                <w:lang w:eastAsia="el-GR"/>
              </w:rPr>
              <w:t>206</w:t>
            </w:r>
          </w:p>
        </w:tc>
        <w:tc>
          <w:tcPr>
            <w:tcW w:w="852" w:type="dxa"/>
            <w:tcBorders>
              <w:top w:val="nil"/>
              <w:left w:val="nil"/>
              <w:bottom w:val="nil"/>
              <w:right w:val="nil"/>
            </w:tcBorders>
            <w:shd w:val="clear" w:color="auto" w:fill="F2F2F2" w:themeFill="background1" w:themeFillShade="F2"/>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+20%</w:t>
            </w:r>
          </w:p>
        </w:tc>
      </w:tr>
      <w:tr w:rsidR="00CC1F0C" w:rsidRPr="00C62FEB" w:rsidTr="00546F09">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Προβλέψεις για επισφαλή δάνεια</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kern w:val="24"/>
                <w:sz w:val="14"/>
                <w:szCs w:val="16"/>
                <w:lang w:eastAsia="el-GR"/>
              </w:rPr>
              <w:t>(223)</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val="el-GR" w:eastAsia="el-GR"/>
              </w:rPr>
            </w:pPr>
            <w:r w:rsidRPr="00CC1F0C">
              <w:rPr>
                <w:rFonts w:ascii="Segoe UI" w:eastAsia="Segoe UI" w:hAnsi="Segoe UI" w:cs="Segoe UI"/>
                <w:color w:val="000000"/>
                <w:kern w:val="24"/>
                <w:sz w:val="14"/>
                <w:szCs w:val="16"/>
                <w:lang w:eastAsia="el-GR"/>
              </w:rPr>
              <w:t>(233)</w:t>
            </w:r>
            <w:r w:rsidRPr="00CC1F0C">
              <w:rPr>
                <w:rFonts w:ascii="Segoe UI" w:eastAsia="Segoe UI" w:hAnsi="Segoe UI" w:cs="Segoe UI"/>
                <w:color w:val="000000"/>
                <w:kern w:val="24"/>
                <w:sz w:val="14"/>
                <w:szCs w:val="16"/>
                <w:vertAlign w:val="superscript"/>
                <w:lang w:val="el-GR" w:eastAsia="el-GR"/>
              </w:rPr>
              <w:t>3</w:t>
            </w:r>
          </w:p>
        </w:tc>
        <w:tc>
          <w:tcPr>
            <w:tcW w:w="850" w:type="dxa"/>
            <w:tcBorders>
              <w:top w:val="nil"/>
              <w:left w:val="nil"/>
              <w:bottom w:val="nil"/>
              <w:right w:val="nil"/>
            </w:tcBorders>
            <w:shd w:val="clear" w:color="auto" w:fill="auto"/>
            <w:tcMar>
              <w:top w:w="15" w:type="dxa"/>
              <w:left w:w="15" w:type="dxa"/>
              <w:bottom w:w="0" w:type="dxa"/>
              <w:right w:w="78"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-4%</w:t>
            </w:r>
          </w:p>
        </w:tc>
        <w:tc>
          <w:tcPr>
            <w:tcW w:w="850" w:type="dxa"/>
            <w:tcBorders>
              <w:top w:val="nil"/>
              <w:left w:val="nil"/>
              <w:bottom w:val="nil"/>
              <w:right w:val="nil"/>
            </w:tcBorders>
            <w:shd w:val="clear" w:color="auto" w:fill="auto"/>
            <w:vAlign w:val="center"/>
          </w:tcPr>
          <w:p w:rsidR="00CC1F0C" w:rsidRPr="00CC1F0C" w:rsidRDefault="00CC1F0C" w:rsidP="00CC1F0C">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color w:val="000000" w:themeColor="text1"/>
                <w:kern w:val="24"/>
                <w:sz w:val="14"/>
                <w:szCs w:val="16"/>
                <w:lang w:val="en-US"/>
              </w:rPr>
              <w:t>(23)</w:t>
            </w:r>
          </w:p>
        </w:tc>
        <w:tc>
          <w:tcPr>
            <w:tcW w:w="852" w:type="dxa"/>
            <w:tcBorders>
              <w:top w:val="nil"/>
              <w:left w:val="nil"/>
              <w:bottom w:val="nil"/>
              <w:right w:val="nil"/>
            </w:tcBorders>
            <w:shd w:val="clear" w:color="auto" w:fill="auto"/>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kern w:val="24"/>
                <w:sz w:val="14"/>
                <w:szCs w:val="16"/>
                <w:lang w:eastAsia="el-GR"/>
              </w:rPr>
              <w:t>(100)</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-77%</w:t>
            </w:r>
          </w:p>
        </w:tc>
      </w:tr>
      <w:tr w:rsidR="00CC1F0C" w:rsidRPr="00C62FEB" w:rsidTr="00AF1BA2">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Λειτουργικά κέρδη / (ζημίες)</w:t>
            </w:r>
          </w:p>
        </w:tc>
        <w:tc>
          <w:tcPr>
            <w:tcW w:w="850" w:type="dxa"/>
            <w:tcBorders>
              <w:top w:val="nil"/>
              <w:left w:val="nil"/>
              <w:bottom w:val="nil"/>
              <w:right w:val="nil"/>
            </w:tcBorders>
            <w:shd w:val="clear" w:color="auto" w:fill="F2F2F2"/>
            <w:vAlign w:val="center"/>
          </w:tcPr>
          <w:p w:rsidR="00CC1F0C" w:rsidRPr="00CC1F0C" w:rsidRDefault="00CC1F0C" w:rsidP="00CC1F0C">
            <w:pPr>
              <w:spacing w:after="0" w:line="240" w:lineRule="auto"/>
              <w:jc w:val="right"/>
              <w:textAlignment w:val="center"/>
              <w:rPr>
                <w:rFonts w:ascii="Arial" w:eastAsia="Times New Roman" w:hAnsi="Arial" w:cs="Arial"/>
                <w:b/>
                <w:sz w:val="14"/>
                <w:szCs w:val="36"/>
                <w:lang w:eastAsia="el-GR"/>
              </w:rPr>
            </w:pPr>
            <w:r w:rsidRPr="00CC1F0C">
              <w:rPr>
                <w:rFonts w:ascii="Segoe UI" w:eastAsia="Segoe UI" w:hAnsi="Segoe UI" w:cs="Segoe UI"/>
                <w:b/>
                <w:bCs/>
                <w:color w:val="000000"/>
                <w:kern w:val="24"/>
                <w:sz w:val="14"/>
                <w:szCs w:val="16"/>
                <w:lang w:eastAsia="el-GR"/>
              </w:rPr>
              <w:t>465</w:t>
            </w:r>
          </w:p>
        </w:tc>
        <w:tc>
          <w:tcPr>
            <w:tcW w:w="850" w:type="dxa"/>
            <w:tcBorders>
              <w:top w:val="nil"/>
              <w:left w:val="nil"/>
              <w:bottom w:val="nil"/>
              <w:right w:val="nil"/>
            </w:tcBorders>
            <w:shd w:val="clear" w:color="auto" w:fill="F2F2F2"/>
            <w:vAlign w:val="center"/>
          </w:tcPr>
          <w:p w:rsidR="00CC1F0C" w:rsidRPr="00CC1F0C" w:rsidRDefault="00CC1F0C" w:rsidP="00CC1F0C">
            <w:pPr>
              <w:spacing w:after="0" w:line="240" w:lineRule="auto"/>
              <w:jc w:val="right"/>
              <w:textAlignment w:val="center"/>
              <w:rPr>
                <w:rFonts w:ascii="Arial" w:eastAsia="Times New Roman" w:hAnsi="Arial" w:cs="Arial"/>
                <w:b/>
                <w:sz w:val="14"/>
                <w:szCs w:val="36"/>
                <w:lang w:eastAsia="el-GR"/>
              </w:rPr>
            </w:pPr>
            <w:r w:rsidRPr="00CC1F0C">
              <w:rPr>
                <w:rFonts w:ascii="Segoe UI" w:eastAsia="Segoe UI" w:hAnsi="Segoe UI" w:cs="Segoe UI"/>
                <w:b/>
                <w:bCs/>
                <w:color w:val="000000"/>
                <w:kern w:val="24"/>
                <w:sz w:val="14"/>
                <w:szCs w:val="16"/>
                <w:lang w:eastAsia="el-GR"/>
              </w:rPr>
              <w:t>65</w:t>
            </w:r>
          </w:p>
        </w:tc>
        <w:tc>
          <w:tcPr>
            <w:tcW w:w="850" w:type="dxa"/>
            <w:tcBorders>
              <w:top w:val="nil"/>
              <w:left w:val="nil"/>
              <w:bottom w:val="nil"/>
              <w:right w:val="nil"/>
            </w:tcBorders>
            <w:shd w:val="clear" w:color="auto" w:fill="F2F2F2"/>
            <w:tcMar>
              <w:top w:w="15" w:type="dxa"/>
              <w:left w:w="15" w:type="dxa"/>
              <w:bottom w:w="0" w:type="dxa"/>
              <w:right w:w="78"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&gt;100%</w:t>
            </w:r>
          </w:p>
        </w:tc>
        <w:tc>
          <w:tcPr>
            <w:tcW w:w="850" w:type="dxa"/>
            <w:tcBorders>
              <w:top w:val="nil"/>
              <w:left w:val="nil"/>
              <w:bottom w:val="nil"/>
              <w:right w:val="nil"/>
            </w:tcBorders>
            <w:shd w:val="clear" w:color="auto" w:fill="F2F2F2"/>
            <w:vAlign w:val="center"/>
          </w:tcPr>
          <w:p w:rsidR="00CC1F0C" w:rsidRPr="00CC1F0C" w:rsidRDefault="00CC1F0C" w:rsidP="00CC1F0C">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b/>
                <w:bCs/>
                <w:color w:val="000000" w:themeColor="text1"/>
                <w:kern w:val="24"/>
                <w:sz w:val="14"/>
                <w:szCs w:val="16"/>
                <w:lang w:val="en-US"/>
              </w:rPr>
              <w:t>223</w:t>
            </w:r>
          </w:p>
        </w:tc>
        <w:tc>
          <w:tcPr>
            <w:tcW w:w="852" w:type="dxa"/>
            <w:tcBorders>
              <w:top w:val="nil"/>
              <w:left w:val="nil"/>
              <w:bottom w:val="nil"/>
              <w:right w:val="nil"/>
            </w:tcBorders>
            <w:shd w:val="clear" w:color="auto" w:fill="F2F2F2"/>
            <w:vAlign w:val="center"/>
          </w:tcPr>
          <w:p w:rsidR="00CC1F0C" w:rsidRPr="00CC1F0C" w:rsidRDefault="00CC1F0C" w:rsidP="00CC1F0C">
            <w:pPr>
              <w:spacing w:after="0" w:line="240" w:lineRule="auto"/>
              <w:jc w:val="right"/>
              <w:textAlignment w:val="center"/>
              <w:rPr>
                <w:rFonts w:ascii="Arial" w:eastAsia="Times New Roman" w:hAnsi="Arial" w:cs="Arial"/>
                <w:b/>
                <w:sz w:val="14"/>
                <w:szCs w:val="36"/>
                <w:lang w:eastAsia="el-GR"/>
              </w:rPr>
            </w:pPr>
            <w:r w:rsidRPr="00CC1F0C">
              <w:rPr>
                <w:rFonts w:ascii="Segoe UI" w:eastAsia="Segoe UI" w:hAnsi="Segoe UI" w:cs="Segoe UI"/>
                <w:b/>
                <w:bCs/>
                <w:color w:val="000000"/>
                <w:kern w:val="24"/>
                <w:sz w:val="14"/>
                <w:szCs w:val="16"/>
                <w:lang w:eastAsia="el-GR"/>
              </w:rPr>
              <w:t>105</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&gt;100%</w:t>
            </w:r>
          </w:p>
        </w:tc>
      </w:tr>
      <w:tr w:rsidR="00CC1F0C"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Λοιπές προβλέψεις</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Segoe UI" w:eastAsia="Segoe UI" w:hAnsi="Segoe UI" w:cs="Segoe UI"/>
                <w:color w:val="000000"/>
                <w:kern w:val="24"/>
                <w:sz w:val="14"/>
                <w:szCs w:val="16"/>
                <w:lang w:eastAsia="el-GR"/>
              </w:rPr>
            </w:pPr>
            <w:r w:rsidRPr="00CC1F0C">
              <w:rPr>
                <w:rFonts w:ascii="Segoe UI" w:eastAsia="Segoe UI" w:hAnsi="Segoe UI" w:cs="Segoe UI"/>
                <w:color w:val="000000"/>
                <w:kern w:val="24"/>
                <w:sz w:val="14"/>
                <w:szCs w:val="16"/>
                <w:lang w:eastAsia="el-GR"/>
              </w:rPr>
              <w:t>19</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Segoe UI" w:eastAsia="Segoe UI" w:hAnsi="Segoe UI" w:cs="Segoe UI"/>
                <w:color w:val="000000"/>
                <w:kern w:val="24"/>
                <w:sz w:val="14"/>
                <w:szCs w:val="16"/>
                <w:lang w:eastAsia="el-GR"/>
              </w:rPr>
            </w:pPr>
            <w:r w:rsidRPr="00CC1F0C">
              <w:rPr>
                <w:rFonts w:ascii="Segoe UI" w:eastAsia="Segoe UI" w:hAnsi="Segoe UI" w:cs="Segoe UI"/>
                <w:color w:val="000000"/>
                <w:kern w:val="24"/>
                <w:sz w:val="14"/>
                <w:szCs w:val="16"/>
                <w:lang w:eastAsia="el-GR"/>
              </w:rPr>
              <w:t>(8)</w:t>
            </w:r>
          </w:p>
        </w:tc>
        <w:tc>
          <w:tcPr>
            <w:tcW w:w="850" w:type="dxa"/>
            <w:tcBorders>
              <w:top w:val="nil"/>
              <w:left w:val="nil"/>
              <w:bottom w:val="nil"/>
              <w:right w:val="nil"/>
            </w:tcBorders>
            <w:shd w:val="clear" w:color="auto" w:fill="auto"/>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val="el-GR" w:eastAsia="el-GR"/>
              </w:rPr>
            </w:pPr>
            <w:r>
              <w:rPr>
                <w:rFonts w:ascii="Segoe UI" w:eastAsia="Times New Roman" w:hAnsi="Segoe UI" w:cs="Segoe UI"/>
                <w:i/>
                <w:sz w:val="14"/>
                <w:szCs w:val="16"/>
                <w:lang w:val="el-GR" w:eastAsia="el-GR"/>
              </w:rPr>
              <w:t>--</w:t>
            </w:r>
          </w:p>
        </w:tc>
        <w:tc>
          <w:tcPr>
            <w:tcW w:w="850" w:type="dxa"/>
            <w:tcBorders>
              <w:top w:val="nil"/>
              <w:left w:val="nil"/>
              <w:bottom w:val="nil"/>
              <w:right w:val="nil"/>
            </w:tcBorders>
            <w:shd w:val="clear" w:color="auto" w:fill="auto"/>
            <w:vAlign w:val="center"/>
          </w:tcPr>
          <w:p w:rsidR="00CC1F0C" w:rsidRPr="00CC1F0C" w:rsidRDefault="00CC1F0C" w:rsidP="00CC1F0C">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color w:val="000000" w:themeColor="text1"/>
                <w:kern w:val="24"/>
                <w:sz w:val="14"/>
                <w:szCs w:val="16"/>
                <w:lang w:val="en-US"/>
              </w:rPr>
              <w:t>16</w:t>
            </w:r>
          </w:p>
        </w:tc>
        <w:tc>
          <w:tcPr>
            <w:tcW w:w="852" w:type="dxa"/>
            <w:tcBorders>
              <w:top w:val="nil"/>
              <w:left w:val="nil"/>
              <w:bottom w:val="nil"/>
              <w:right w:val="nil"/>
            </w:tcBorders>
            <w:shd w:val="clear" w:color="auto" w:fill="auto"/>
            <w:vAlign w:val="center"/>
          </w:tcPr>
          <w:p w:rsidR="00CC1F0C" w:rsidRPr="00CC1F0C" w:rsidRDefault="00CC1F0C" w:rsidP="00CC1F0C">
            <w:pPr>
              <w:spacing w:after="0" w:line="240" w:lineRule="auto"/>
              <w:jc w:val="right"/>
              <w:textAlignment w:val="center"/>
              <w:rPr>
                <w:rFonts w:ascii="Segoe UI" w:eastAsia="Segoe UI" w:hAnsi="Segoe UI" w:cs="Segoe UI"/>
                <w:color w:val="000000"/>
                <w:kern w:val="24"/>
                <w:sz w:val="14"/>
                <w:szCs w:val="16"/>
                <w:lang w:eastAsia="el-GR"/>
              </w:rPr>
            </w:pPr>
            <w:r w:rsidRPr="00CC1F0C">
              <w:rPr>
                <w:rFonts w:ascii="Segoe UI" w:eastAsia="Segoe UI" w:hAnsi="Segoe UI" w:cs="Segoe UI"/>
                <w:color w:val="000000"/>
                <w:kern w:val="24"/>
                <w:sz w:val="14"/>
                <w:szCs w:val="16"/>
                <w:lang w:eastAsia="el-GR"/>
              </w:rPr>
              <w:t>11</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+43%</w:t>
            </w:r>
          </w:p>
        </w:tc>
      </w:tr>
      <w:tr w:rsidR="00CC1F0C" w:rsidRPr="00C1153F"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CC1F0C" w:rsidRPr="00C1153F" w:rsidRDefault="00CC1F0C" w:rsidP="00CC1F0C">
            <w:pPr>
              <w:spacing w:after="0" w:line="240" w:lineRule="auto"/>
              <w:textAlignment w:val="center"/>
              <w:rPr>
                <w:rFonts w:ascii="Segoe UI" w:eastAsia="Times New Roman" w:hAnsi="Segoe UI" w:cs="Segoe UI"/>
                <w:b/>
                <w:sz w:val="14"/>
                <w:szCs w:val="14"/>
                <w:lang w:val="el-GR" w:eastAsia="el-GR"/>
              </w:rPr>
            </w:pPr>
            <w:r w:rsidRPr="00C1153F">
              <w:rPr>
                <w:rFonts w:ascii="Segoe UI" w:eastAsia="Segoe UI" w:hAnsi="Segoe UI" w:cs="Segoe UI"/>
                <w:b/>
                <w:color w:val="000000"/>
                <w:kern w:val="24"/>
                <w:sz w:val="14"/>
                <w:szCs w:val="14"/>
                <w:lang w:val="el-GR" w:eastAsia="el-GR"/>
              </w:rPr>
              <w:t>Κέρδη / (ζημίες) προ φόρων</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Segoe UI" w:eastAsia="Segoe UI" w:hAnsi="Segoe UI" w:cs="Segoe UI"/>
                <w:b/>
                <w:color w:val="000000"/>
                <w:kern w:val="24"/>
                <w:sz w:val="14"/>
                <w:szCs w:val="16"/>
                <w:lang w:eastAsia="el-GR"/>
              </w:rPr>
            </w:pPr>
            <w:r w:rsidRPr="00CC1F0C">
              <w:rPr>
                <w:rFonts w:ascii="Segoe UI" w:eastAsia="Segoe UI" w:hAnsi="Segoe UI" w:cs="Segoe UI"/>
                <w:b/>
                <w:color w:val="000000"/>
                <w:kern w:val="24"/>
                <w:sz w:val="14"/>
                <w:szCs w:val="16"/>
                <w:lang w:eastAsia="el-GR"/>
              </w:rPr>
              <w:t>484</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Segoe UI" w:eastAsia="Segoe UI" w:hAnsi="Segoe UI" w:cs="Segoe UI"/>
                <w:b/>
                <w:color w:val="000000"/>
                <w:kern w:val="24"/>
                <w:sz w:val="14"/>
                <w:szCs w:val="16"/>
                <w:lang w:eastAsia="el-GR"/>
              </w:rPr>
            </w:pPr>
            <w:r w:rsidRPr="00CC1F0C">
              <w:rPr>
                <w:rFonts w:ascii="Segoe UI" w:eastAsia="Segoe UI" w:hAnsi="Segoe UI" w:cs="Segoe UI"/>
                <w:b/>
                <w:color w:val="000000"/>
                <w:kern w:val="24"/>
                <w:sz w:val="14"/>
                <w:szCs w:val="16"/>
                <w:lang w:eastAsia="el-GR"/>
              </w:rPr>
              <w:t>56</w:t>
            </w:r>
          </w:p>
        </w:tc>
        <w:tc>
          <w:tcPr>
            <w:tcW w:w="850" w:type="dxa"/>
            <w:tcBorders>
              <w:top w:val="nil"/>
              <w:left w:val="nil"/>
              <w:bottom w:val="nil"/>
              <w:right w:val="nil"/>
            </w:tcBorders>
            <w:shd w:val="clear" w:color="auto" w:fill="auto"/>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&gt;100%</w:t>
            </w:r>
          </w:p>
        </w:tc>
        <w:tc>
          <w:tcPr>
            <w:tcW w:w="850" w:type="dxa"/>
            <w:tcBorders>
              <w:top w:val="nil"/>
              <w:left w:val="nil"/>
              <w:bottom w:val="nil"/>
              <w:right w:val="nil"/>
            </w:tcBorders>
            <w:shd w:val="clear" w:color="auto" w:fill="auto"/>
            <w:vAlign w:val="center"/>
          </w:tcPr>
          <w:p w:rsidR="00CC1F0C" w:rsidRPr="00CC1F0C" w:rsidRDefault="00CC1F0C" w:rsidP="00CC1F0C">
            <w:pPr>
              <w:pStyle w:val="Web"/>
              <w:spacing w:before="0" w:beforeAutospacing="0" w:after="0" w:afterAutospacing="0"/>
              <w:jc w:val="right"/>
              <w:textAlignment w:val="center"/>
              <w:rPr>
                <w:rFonts w:ascii="Arial" w:hAnsi="Arial" w:cs="Arial"/>
                <w:b/>
                <w:sz w:val="14"/>
                <w:szCs w:val="36"/>
              </w:rPr>
            </w:pPr>
            <w:r w:rsidRPr="00CC1F0C">
              <w:rPr>
                <w:rFonts w:ascii="Segoe UI" w:eastAsia="Segoe UI" w:hAnsi="Segoe UI" w:cs="Segoe UI"/>
                <w:b/>
                <w:color w:val="000000" w:themeColor="text1"/>
                <w:kern w:val="24"/>
                <w:sz w:val="14"/>
                <w:szCs w:val="16"/>
                <w:lang w:val="en-US"/>
              </w:rPr>
              <w:t>239</w:t>
            </w:r>
          </w:p>
        </w:tc>
        <w:tc>
          <w:tcPr>
            <w:tcW w:w="852" w:type="dxa"/>
            <w:tcBorders>
              <w:top w:val="nil"/>
              <w:left w:val="nil"/>
              <w:bottom w:val="nil"/>
              <w:right w:val="nil"/>
            </w:tcBorders>
            <w:shd w:val="clear" w:color="auto" w:fill="auto"/>
            <w:vAlign w:val="center"/>
          </w:tcPr>
          <w:p w:rsidR="00CC1F0C" w:rsidRPr="00CC1F0C" w:rsidRDefault="00CC1F0C" w:rsidP="00CC1F0C">
            <w:pPr>
              <w:spacing w:after="0" w:line="240" w:lineRule="auto"/>
              <w:jc w:val="right"/>
              <w:textAlignment w:val="center"/>
              <w:rPr>
                <w:rFonts w:ascii="Segoe UI" w:eastAsia="Segoe UI" w:hAnsi="Segoe UI" w:cs="Segoe UI"/>
                <w:b/>
                <w:color w:val="000000"/>
                <w:kern w:val="24"/>
                <w:sz w:val="14"/>
                <w:szCs w:val="16"/>
                <w:lang w:eastAsia="el-GR"/>
              </w:rPr>
            </w:pPr>
            <w:r w:rsidRPr="00CC1F0C">
              <w:rPr>
                <w:rFonts w:ascii="Segoe UI" w:eastAsia="Segoe UI" w:hAnsi="Segoe UI" w:cs="Segoe UI"/>
                <w:b/>
                <w:color w:val="000000"/>
                <w:kern w:val="24"/>
                <w:sz w:val="14"/>
                <w:szCs w:val="16"/>
                <w:lang w:eastAsia="el-GR"/>
              </w:rPr>
              <w:t>116</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&gt;100%</w:t>
            </w:r>
          </w:p>
        </w:tc>
      </w:tr>
      <w:tr w:rsidR="00CC1F0C"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CC1F0C" w:rsidRPr="00C62FEB" w:rsidRDefault="00CC1F0C" w:rsidP="00CC1F0C">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Φόροι </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themeColor="text1"/>
                <w:kern w:val="24"/>
                <w:sz w:val="14"/>
                <w:szCs w:val="16"/>
                <w:lang w:eastAsia="el-GR"/>
              </w:rPr>
              <w:t>(8)</w:t>
            </w:r>
          </w:p>
        </w:tc>
        <w:tc>
          <w:tcPr>
            <w:tcW w:w="850" w:type="dxa"/>
            <w:tcBorders>
              <w:top w:val="nil"/>
              <w:left w:val="nil"/>
              <w:bottom w:val="nil"/>
              <w:right w:val="nil"/>
            </w:tcBorders>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themeColor="text1"/>
                <w:kern w:val="24"/>
                <w:sz w:val="14"/>
                <w:szCs w:val="16"/>
                <w:lang w:eastAsia="el-GR"/>
              </w:rPr>
              <w:t>(12)</w:t>
            </w:r>
          </w:p>
        </w:tc>
        <w:tc>
          <w:tcPr>
            <w:tcW w:w="850" w:type="dxa"/>
            <w:tcBorders>
              <w:top w:val="nil"/>
              <w:left w:val="nil"/>
              <w:bottom w:val="nil"/>
              <w:right w:val="nil"/>
            </w:tcBorders>
            <w:shd w:val="clear" w:color="auto" w:fill="auto"/>
            <w:tcMar>
              <w:top w:w="15" w:type="dxa"/>
              <w:left w:w="15" w:type="dxa"/>
              <w:bottom w:w="0" w:type="dxa"/>
              <w:right w:w="84" w:type="dxa"/>
            </w:tcMar>
            <w:vAlign w:val="center"/>
            <w:hideMark/>
          </w:tcPr>
          <w:p w:rsidR="00CC1F0C" w:rsidRPr="00CC1F0C" w:rsidRDefault="00CC1F0C" w:rsidP="00CC1F0C">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-34%</w:t>
            </w:r>
          </w:p>
        </w:tc>
        <w:tc>
          <w:tcPr>
            <w:tcW w:w="850" w:type="dxa"/>
            <w:tcBorders>
              <w:top w:val="nil"/>
              <w:left w:val="nil"/>
              <w:bottom w:val="nil"/>
              <w:right w:val="nil"/>
            </w:tcBorders>
            <w:shd w:val="clear" w:color="auto" w:fill="auto"/>
            <w:vAlign w:val="center"/>
          </w:tcPr>
          <w:p w:rsidR="00CC1F0C" w:rsidRPr="00CC1F0C" w:rsidRDefault="00CC1F0C" w:rsidP="00E707A5">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color w:val="000000" w:themeColor="text1"/>
                <w:kern w:val="24"/>
                <w:sz w:val="14"/>
                <w:szCs w:val="16"/>
                <w:lang w:val="en-US"/>
              </w:rPr>
              <w:t>(</w:t>
            </w:r>
            <w:r w:rsidR="00E707A5">
              <w:rPr>
                <w:rFonts w:ascii="Segoe UI" w:eastAsia="Segoe UI" w:hAnsi="Segoe UI" w:cs="Segoe UI"/>
                <w:color w:val="000000" w:themeColor="text1"/>
                <w:kern w:val="24"/>
                <w:sz w:val="14"/>
                <w:szCs w:val="16"/>
                <w:lang w:val="en-US"/>
              </w:rPr>
              <w:t>2</w:t>
            </w:r>
            <w:r w:rsidRPr="00CC1F0C">
              <w:rPr>
                <w:rFonts w:ascii="Segoe UI" w:eastAsia="Segoe UI" w:hAnsi="Segoe UI" w:cs="Segoe UI"/>
                <w:color w:val="000000" w:themeColor="text1"/>
                <w:kern w:val="24"/>
                <w:sz w:val="14"/>
                <w:szCs w:val="16"/>
                <w:lang w:val="en-US"/>
              </w:rPr>
              <w:t>)</w:t>
            </w:r>
          </w:p>
        </w:tc>
        <w:tc>
          <w:tcPr>
            <w:tcW w:w="852" w:type="dxa"/>
            <w:tcBorders>
              <w:top w:val="nil"/>
              <w:left w:val="nil"/>
              <w:bottom w:val="nil"/>
              <w:right w:val="nil"/>
            </w:tcBorders>
            <w:shd w:val="clear" w:color="auto" w:fill="auto"/>
            <w:vAlign w:val="center"/>
          </w:tcPr>
          <w:p w:rsidR="00CC1F0C" w:rsidRPr="00CC1F0C" w:rsidRDefault="00CC1F0C" w:rsidP="00CC1F0C">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themeColor="text1"/>
                <w:kern w:val="24"/>
                <w:sz w:val="14"/>
                <w:szCs w:val="16"/>
                <w:lang w:eastAsia="el-GR"/>
              </w:rPr>
              <w:t>(4)</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CC1F0C" w:rsidRPr="00CC1F0C" w:rsidRDefault="00F33DFF" w:rsidP="00F33DFF">
            <w:pPr>
              <w:spacing w:after="0" w:line="240" w:lineRule="auto"/>
              <w:jc w:val="right"/>
              <w:textAlignment w:val="center"/>
              <w:rPr>
                <w:rFonts w:ascii="Segoe UI" w:eastAsia="Times New Roman" w:hAnsi="Segoe UI" w:cs="Segoe UI"/>
                <w:i/>
                <w:sz w:val="14"/>
                <w:szCs w:val="16"/>
                <w:lang w:eastAsia="el-GR"/>
              </w:rPr>
            </w:pPr>
            <w:r>
              <w:rPr>
                <w:rFonts w:ascii="Segoe UI" w:eastAsia="Times New Roman" w:hAnsi="Segoe UI" w:cs="Segoe UI"/>
                <w:i/>
                <w:sz w:val="14"/>
                <w:szCs w:val="16"/>
                <w:lang w:eastAsia="el-GR"/>
              </w:rPr>
              <w:t>-44</w:t>
            </w:r>
            <w:r w:rsidR="00CC1F0C" w:rsidRPr="00CC1F0C">
              <w:rPr>
                <w:rFonts w:ascii="Segoe UI" w:eastAsia="Times New Roman" w:hAnsi="Segoe UI" w:cs="Segoe UI"/>
                <w:i/>
                <w:sz w:val="14"/>
                <w:szCs w:val="16"/>
                <w:lang w:eastAsia="el-GR"/>
              </w:rPr>
              <w:t>%</w:t>
            </w:r>
          </w:p>
        </w:tc>
      </w:tr>
      <w:tr w:rsidR="00477E70" w:rsidRPr="00C62FEB" w:rsidTr="00546F09">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477E70" w:rsidRDefault="00477E70" w:rsidP="00477E70">
            <w:pPr>
              <w:spacing w:after="0" w:line="240" w:lineRule="auto"/>
              <w:textAlignment w:val="center"/>
              <w:rPr>
                <w:rFonts w:ascii="Segoe UI" w:eastAsia="Segoe UI" w:hAnsi="Segoe UI" w:cs="Segoe UI"/>
                <w:b/>
                <w:bCs/>
                <w:color w:val="000000"/>
                <w:kern w:val="24"/>
                <w:sz w:val="14"/>
                <w:szCs w:val="14"/>
                <w:lang w:val="el-GR" w:eastAsia="el-GR"/>
              </w:rPr>
            </w:pPr>
            <w:r w:rsidRPr="00C62FEB">
              <w:rPr>
                <w:rFonts w:ascii="Segoe UI" w:eastAsia="Segoe UI" w:hAnsi="Segoe UI" w:cs="Segoe UI"/>
                <w:b/>
                <w:bCs/>
                <w:color w:val="000000"/>
                <w:kern w:val="24"/>
                <w:sz w:val="14"/>
                <w:szCs w:val="14"/>
                <w:lang w:val="el-GR" w:eastAsia="el-GR"/>
              </w:rPr>
              <w:t>Κέρδη / (ζημίες)</w:t>
            </w:r>
            <w:r w:rsidRPr="00BA31ED">
              <w:rPr>
                <w:rFonts w:ascii="Segoe UI" w:eastAsia="Segoe UI" w:hAnsi="Segoe UI" w:cs="Segoe UI"/>
                <w:b/>
                <w:bCs/>
                <w:color w:val="000000"/>
                <w:kern w:val="24"/>
                <w:sz w:val="14"/>
                <w:szCs w:val="14"/>
                <w:lang w:val="el-GR" w:eastAsia="el-GR"/>
              </w:rPr>
              <w:t xml:space="preserve"> </w:t>
            </w:r>
            <w:r>
              <w:rPr>
                <w:rFonts w:ascii="Segoe UI" w:eastAsia="Segoe UI" w:hAnsi="Segoe UI" w:cs="Segoe UI"/>
                <w:b/>
                <w:bCs/>
                <w:color w:val="000000"/>
                <w:kern w:val="24"/>
                <w:sz w:val="14"/>
                <w:szCs w:val="14"/>
                <w:lang w:val="el-GR" w:eastAsia="el-GR"/>
              </w:rPr>
              <w:t>μετά φόρων</w:t>
            </w:r>
          </w:p>
          <w:p w:rsidR="00477E70" w:rsidRPr="00C62FEB" w:rsidRDefault="00477E70" w:rsidP="00C038C6">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(συνεχιζόμενες δραστ</w:t>
            </w:r>
            <w:r w:rsidR="00C038C6">
              <w:rPr>
                <w:rFonts w:ascii="Segoe UI" w:eastAsia="Segoe UI" w:hAnsi="Segoe UI" w:cs="Segoe UI"/>
                <w:b/>
                <w:bCs/>
                <w:color w:val="000000"/>
                <w:kern w:val="24"/>
                <w:sz w:val="14"/>
                <w:szCs w:val="14"/>
                <w:lang w:val="el-GR" w:eastAsia="el-GR"/>
              </w:rPr>
              <w:t>ηριό</w:t>
            </w:r>
            <w:r w:rsidRPr="00C62FEB">
              <w:rPr>
                <w:rFonts w:ascii="Segoe UI" w:eastAsia="Segoe UI" w:hAnsi="Segoe UI" w:cs="Segoe UI"/>
                <w:b/>
                <w:bCs/>
                <w:color w:val="000000"/>
                <w:kern w:val="24"/>
                <w:sz w:val="14"/>
                <w:szCs w:val="14"/>
                <w:lang w:val="el-GR" w:eastAsia="el-GR"/>
              </w:rPr>
              <w:t>τητες)</w:t>
            </w:r>
          </w:p>
        </w:tc>
        <w:tc>
          <w:tcPr>
            <w:tcW w:w="850" w:type="dxa"/>
            <w:tcBorders>
              <w:top w:val="nil"/>
              <w:left w:val="nil"/>
              <w:bottom w:val="nil"/>
              <w:right w:val="nil"/>
            </w:tcBorders>
            <w:shd w:val="clear" w:color="auto" w:fill="F2F2F2"/>
            <w:vAlign w:val="center"/>
          </w:tcPr>
          <w:p w:rsidR="00477E70" w:rsidRPr="00CC1F0C" w:rsidRDefault="00477E70" w:rsidP="00477E70">
            <w:pPr>
              <w:spacing w:after="0" w:line="240" w:lineRule="auto"/>
              <w:jc w:val="right"/>
              <w:textAlignment w:val="center"/>
              <w:rPr>
                <w:rFonts w:ascii="Segoe UI" w:eastAsia="Segoe UI" w:hAnsi="Segoe UI" w:cs="Segoe UI"/>
                <w:b/>
                <w:bCs/>
                <w:color w:val="000000" w:themeColor="text1"/>
                <w:kern w:val="24"/>
                <w:sz w:val="14"/>
                <w:szCs w:val="16"/>
                <w:lang w:eastAsia="el-GR"/>
              </w:rPr>
            </w:pPr>
            <w:r w:rsidRPr="00CC1F0C">
              <w:rPr>
                <w:rFonts w:ascii="Segoe UI" w:eastAsia="Segoe UI" w:hAnsi="Segoe UI" w:cs="Segoe UI"/>
                <w:b/>
                <w:bCs/>
                <w:color w:val="000000" w:themeColor="text1"/>
                <w:kern w:val="24"/>
                <w:sz w:val="14"/>
                <w:szCs w:val="16"/>
                <w:lang w:eastAsia="el-GR"/>
              </w:rPr>
              <w:t>476</w:t>
            </w:r>
          </w:p>
        </w:tc>
        <w:tc>
          <w:tcPr>
            <w:tcW w:w="850" w:type="dxa"/>
            <w:tcBorders>
              <w:top w:val="nil"/>
              <w:left w:val="nil"/>
              <w:bottom w:val="nil"/>
              <w:right w:val="nil"/>
            </w:tcBorders>
            <w:shd w:val="clear" w:color="auto" w:fill="F2F2F2"/>
            <w:vAlign w:val="center"/>
          </w:tcPr>
          <w:p w:rsidR="00477E70" w:rsidRPr="00CC1F0C" w:rsidRDefault="00477E70" w:rsidP="00477E70">
            <w:pPr>
              <w:spacing w:after="0" w:line="240" w:lineRule="auto"/>
              <w:jc w:val="right"/>
              <w:textAlignment w:val="center"/>
              <w:rPr>
                <w:rFonts w:ascii="Segoe UI" w:eastAsia="Segoe UI" w:hAnsi="Segoe UI" w:cs="Segoe UI"/>
                <w:b/>
                <w:bCs/>
                <w:color w:val="000000" w:themeColor="text1"/>
                <w:kern w:val="24"/>
                <w:sz w:val="14"/>
                <w:szCs w:val="16"/>
                <w:lang w:eastAsia="el-GR"/>
              </w:rPr>
            </w:pPr>
            <w:r w:rsidRPr="00CC1F0C">
              <w:rPr>
                <w:rFonts w:ascii="Segoe UI" w:eastAsia="Segoe UI" w:hAnsi="Segoe UI" w:cs="Segoe UI"/>
                <w:b/>
                <w:bCs/>
                <w:color w:val="000000" w:themeColor="text1"/>
                <w:kern w:val="24"/>
                <w:sz w:val="14"/>
                <w:szCs w:val="16"/>
                <w:lang w:eastAsia="el-GR"/>
              </w:rPr>
              <w:t>45</w:t>
            </w:r>
          </w:p>
        </w:tc>
        <w:tc>
          <w:tcPr>
            <w:tcW w:w="850" w:type="dxa"/>
            <w:tcBorders>
              <w:top w:val="nil"/>
              <w:left w:val="nil"/>
              <w:bottom w:val="nil"/>
              <w:right w:val="nil"/>
            </w:tcBorders>
            <w:shd w:val="clear" w:color="auto" w:fill="F2F2F2"/>
            <w:tcMar>
              <w:top w:w="15" w:type="dxa"/>
              <w:left w:w="15" w:type="dxa"/>
              <w:bottom w:w="0" w:type="dxa"/>
              <w:right w:w="84" w:type="dxa"/>
            </w:tcMar>
            <w:vAlign w:val="center"/>
            <w:hideMark/>
          </w:tcPr>
          <w:p w:rsidR="00477E70" w:rsidRPr="00CC1F0C" w:rsidRDefault="00477E70" w:rsidP="00477E70">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&gt;100%</w:t>
            </w:r>
          </w:p>
        </w:tc>
        <w:tc>
          <w:tcPr>
            <w:tcW w:w="850" w:type="dxa"/>
            <w:tcBorders>
              <w:top w:val="nil"/>
              <w:left w:val="nil"/>
              <w:bottom w:val="nil"/>
              <w:right w:val="nil"/>
            </w:tcBorders>
            <w:shd w:val="clear" w:color="auto" w:fill="F2F2F2"/>
            <w:vAlign w:val="center"/>
          </w:tcPr>
          <w:p w:rsidR="00477E70" w:rsidRPr="00CC1F0C" w:rsidRDefault="00477E70" w:rsidP="00477E70">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b/>
                <w:bCs/>
                <w:color w:val="000000" w:themeColor="text1"/>
                <w:kern w:val="24"/>
                <w:sz w:val="14"/>
                <w:szCs w:val="16"/>
                <w:lang w:val="en-US"/>
              </w:rPr>
              <w:t>237</w:t>
            </w:r>
          </w:p>
        </w:tc>
        <w:tc>
          <w:tcPr>
            <w:tcW w:w="852" w:type="dxa"/>
            <w:tcBorders>
              <w:top w:val="nil"/>
              <w:left w:val="nil"/>
              <w:bottom w:val="nil"/>
              <w:right w:val="nil"/>
            </w:tcBorders>
            <w:shd w:val="clear" w:color="auto" w:fill="F2F2F2"/>
            <w:vAlign w:val="center"/>
          </w:tcPr>
          <w:p w:rsidR="00477E70" w:rsidRPr="00CC1F0C" w:rsidRDefault="00477E70" w:rsidP="00477E70">
            <w:pPr>
              <w:spacing w:after="0" w:line="240" w:lineRule="auto"/>
              <w:jc w:val="right"/>
              <w:textAlignment w:val="center"/>
              <w:rPr>
                <w:rFonts w:ascii="Segoe UI" w:eastAsia="Segoe UI" w:hAnsi="Segoe UI" w:cs="Segoe UI"/>
                <w:b/>
                <w:bCs/>
                <w:color w:val="000000" w:themeColor="text1"/>
                <w:kern w:val="24"/>
                <w:sz w:val="14"/>
                <w:szCs w:val="16"/>
                <w:lang w:eastAsia="el-GR"/>
              </w:rPr>
            </w:pPr>
            <w:r w:rsidRPr="00CC1F0C">
              <w:rPr>
                <w:rFonts w:ascii="Segoe UI" w:eastAsia="Segoe UI" w:hAnsi="Segoe UI" w:cs="Segoe UI"/>
                <w:b/>
                <w:bCs/>
                <w:color w:val="000000" w:themeColor="text1"/>
                <w:kern w:val="24"/>
                <w:sz w:val="14"/>
                <w:szCs w:val="16"/>
                <w:lang w:eastAsia="el-GR"/>
              </w:rPr>
              <w:t>113</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477E70" w:rsidRPr="00CC1F0C" w:rsidRDefault="000B6973" w:rsidP="00477E70">
            <w:pPr>
              <w:spacing w:after="0" w:line="240" w:lineRule="auto"/>
              <w:jc w:val="right"/>
              <w:textAlignment w:val="center"/>
              <w:rPr>
                <w:rFonts w:ascii="Segoe UI" w:eastAsia="Times New Roman" w:hAnsi="Segoe UI" w:cs="Segoe UI"/>
                <w:b/>
                <w:i/>
                <w:sz w:val="14"/>
                <w:szCs w:val="16"/>
                <w:lang w:eastAsia="el-GR"/>
              </w:rPr>
            </w:pPr>
            <w:r>
              <w:rPr>
                <w:rFonts w:ascii="Segoe UI" w:eastAsia="Times New Roman" w:hAnsi="Segoe UI" w:cs="Segoe UI"/>
                <w:b/>
                <w:i/>
                <w:sz w:val="14"/>
                <w:szCs w:val="16"/>
                <w:lang w:eastAsia="el-GR"/>
              </w:rPr>
              <w:t>&gt;100</w:t>
            </w:r>
            <w:r w:rsidR="00477E70" w:rsidRPr="00CC1F0C">
              <w:rPr>
                <w:rFonts w:ascii="Segoe UI" w:eastAsia="Times New Roman" w:hAnsi="Segoe UI" w:cs="Segoe UI"/>
                <w:b/>
                <w:i/>
                <w:sz w:val="14"/>
                <w:szCs w:val="16"/>
                <w:lang w:eastAsia="el-GR"/>
              </w:rPr>
              <w:t>%</w:t>
            </w:r>
          </w:p>
        </w:tc>
      </w:tr>
      <w:tr w:rsidR="00477E70"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477E70" w:rsidRDefault="00477E70" w:rsidP="00477E70">
            <w:pPr>
              <w:spacing w:after="0" w:line="240" w:lineRule="auto"/>
              <w:textAlignment w:val="center"/>
              <w:rPr>
                <w:rFonts w:ascii="Segoe UI" w:eastAsia="Segoe UI" w:hAnsi="Segoe UI" w:cs="Segoe UI"/>
                <w:bCs/>
                <w:color w:val="000000"/>
                <w:kern w:val="24"/>
                <w:sz w:val="14"/>
                <w:szCs w:val="14"/>
                <w:lang w:val="el-GR" w:eastAsia="el-GR"/>
              </w:rPr>
            </w:pPr>
            <w:r w:rsidRPr="00C62FEB">
              <w:rPr>
                <w:rFonts w:ascii="Segoe UI" w:eastAsia="Segoe UI" w:hAnsi="Segoe UI" w:cs="Segoe UI"/>
                <w:bCs/>
                <w:color w:val="000000"/>
                <w:kern w:val="24"/>
                <w:sz w:val="14"/>
                <w:szCs w:val="14"/>
                <w:lang w:val="el-GR" w:eastAsia="el-GR"/>
              </w:rPr>
              <w:t>Κέρδη / (ζημίες)</w:t>
            </w:r>
            <w:r>
              <w:rPr>
                <w:rFonts w:ascii="Segoe UI" w:eastAsia="Segoe UI" w:hAnsi="Segoe UI" w:cs="Segoe UI"/>
                <w:bCs/>
                <w:color w:val="000000"/>
                <w:kern w:val="24"/>
                <w:sz w:val="14"/>
                <w:szCs w:val="14"/>
                <w:lang w:val="el-GR" w:eastAsia="el-GR"/>
              </w:rPr>
              <w:t xml:space="preserve"> μετά φόρων</w:t>
            </w:r>
          </w:p>
          <w:p w:rsidR="00477E70" w:rsidRPr="00C62FEB" w:rsidRDefault="00477E70" w:rsidP="00477E70">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Cs/>
                <w:color w:val="000000"/>
                <w:kern w:val="24"/>
                <w:sz w:val="14"/>
                <w:szCs w:val="14"/>
                <w:lang w:val="el-GR" w:eastAsia="el-GR"/>
              </w:rPr>
              <w:t>(διακοπείσες δραστηριότητες)</w:t>
            </w:r>
            <w:r>
              <w:rPr>
                <w:rFonts w:ascii="Segoe UI" w:eastAsia="Segoe UI" w:hAnsi="Segoe UI" w:cs="Segoe UI"/>
                <w:bCs/>
                <w:color w:val="000000"/>
                <w:kern w:val="24"/>
                <w:sz w:val="14"/>
                <w:szCs w:val="14"/>
                <w:vertAlign w:val="superscript"/>
                <w:lang w:val="el-GR" w:eastAsia="el-GR"/>
              </w:rPr>
              <w:t>1</w:t>
            </w:r>
          </w:p>
        </w:tc>
        <w:tc>
          <w:tcPr>
            <w:tcW w:w="850" w:type="dxa"/>
            <w:tcBorders>
              <w:top w:val="nil"/>
              <w:left w:val="nil"/>
              <w:bottom w:val="nil"/>
              <w:right w:val="nil"/>
            </w:tcBorders>
            <w:vAlign w:val="center"/>
          </w:tcPr>
          <w:p w:rsidR="00477E70" w:rsidRPr="00CC1F0C" w:rsidRDefault="00477E70" w:rsidP="00477E70">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themeColor="text1"/>
                <w:kern w:val="24"/>
                <w:sz w:val="14"/>
                <w:szCs w:val="16"/>
                <w:lang w:eastAsia="el-GR"/>
              </w:rPr>
              <w:t>105</w:t>
            </w:r>
            <w:r w:rsidRPr="00CC1F0C">
              <w:rPr>
                <w:rFonts w:ascii="Segoe UI" w:eastAsia="Segoe UI" w:hAnsi="Segoe UI" w:cs="Segoe UI"/>
                <w:color w:val="000000" w:themeColor="text1"/>
                <w:kern w:val="24"/>
                <w:sz w:val="14"/>
                <w:szCs w:val="16"/>
                <w:vertAlign w:val="superscript"/>
                <w:lang w:val="el-GR" w:eastAsia="el-GR"/>
              </w:rPr>
              <w:t>4</w:t>
            </w:r>
          </w:p>
        </w:tc>
        <w:tc>
          <w:tcPr>
            <w:tcW w:w="850" w:type="dxa"/>
            <w:tcBorders>
              <w:top w:val="nil"/>
              <w:left w:val="nil"/>
              <w:bottom w:val="nil"/>
              <w:right w:val="nil"/>
            </w:tcBorders>
            <w:vAlign w:val="center"/>
          </w:tcPr>
          <w:p w:rsidR="00477E70" w:rsidRPr="00CC1F0C" w:rsidRDefault="00477E70" w:rsidP="00477E70">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themeColor="text1"/>
                <w:kern w:val="24"/>
                <w:sz w:val="14"/>
                <w:szCs w:val="16"/>
                <w:lang w:eastAsia="el-GR"/>
              </w:rPr>
              <w:t>43</w:t>
            </w:r>
          </w:p>
        </w:tc>
        <w:tc>
          <w:tcPr>
            <w:tcW w:w="850" w:type="dxa"/>
            <w:tcBorders>
              <w:top w:val="nil"/>
              <w:left w:val="nil"/>
              <w:bottom w:val="nil"/>
              <w:right w:val="nil"/>
            </w:tcBorders>
            <w:shd w:val="clear" w:color="auto" w:fill="auto"/>
            <w:tcMar>
              <w:top w:w="15" w:type="dxa"/>
              <w:left w:w="15" w:type="dxa"/>
              <w:bottom w:w="0" w:type="dxa"/>
              <w:right w:w="84" w:type="dxa"/>
            </w:tcMar>
            <w:vAlign w:val="center"/>
            <w:hideMark/>
          </w:tcPr>
          <w:p w:rsidR="00477E70" w:rsidRPr="00CC1F0C" w:rsidRDefault="00477E70" w:rsidP="00477E70">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&gt;100%</w:t>
            </w:r>
          </w:p>
        </w:tc>
        <w:tc>
          <w:tcPr>
            <w:tcW w:w="850" w:type="dxa"/>
            <w:tcBorders>
              <w:top w:val="nil"/>
              <w:left w:val="nil"/>
              <w:bottom w:val="nil"/>
              <w:right w:val="nil"/>
            </w:tcBorders>
            <w:shd w:val="clear" w:color="auto" w:fill="auto"/>
            <w:vAlign w:val="center"/>
          </w:tcPr>
          <w:p w:rsidR="00477E70" w:rsidRPr="00CC1F0C" w:rsidRDefault="00477E70" w:rsidP="00477E70">
            <w:pPr>
              <w:spacing w:after="0" w:line="240" w:lineRule="auto"/>
              <w:jc w:val="right"/>
              <w:textAlignment w:val="center"/>
              <w:rPr>
                <w:rFonts w:ascii="Arial" w:hAnsi="Arial" w:cs="Arial"/>
                <w:sz w:val="14"/>
                <w:szCs w:val="36"/>
                <w:lang w:val="en-US"/>
              </w:rPr>
            </w:pPr>
            <w:r w:rsidRPr="00CC1F0C">
              <w:rPr>
                <w:rFonts w:ascii="Segoe UI" w:eastAsia="Segoe UI" w:hAnsi="Segoe UI" w:cs="Segoe UI"/>
                <w:color w:val="000000" w:themeColor="text1"/>
                <w:kern w:val="24"/>
                <w:sz w:val="14"/>
                <w:szCs w:val="16"/>
                <w:lang w:eastAsia="el-GR"/>
              </w:rPr>
              <w:t>20</w:t>
            </w:r>
          </w:p>
        </w:tc>
        <w:tc>
          <w:tcPr>
            <w:tcW w:w="852" w:type="dxa"/>
            <w:tcBorders>
              <w:top w:val="nil"/>
              <w:left w:val="nil"/>
              <w:bottom w:val="nil"/>
              <w:right w:val="nil"/>
            </w:tcBorders>
            <w:shd w:val="clear" w:color="auto" w:fill="auto"/>
            <w:vAlign w:val="center"/>
          </w:tcPr>
          <w:p w:rsidR="00477E70" w:rsidRPr="00CC1F0C" w:rsidRDefault="00477E70" w:rsidP="00477E70">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themeColor="text1"/>
                <w:kern w:val="24"/>
                <w:sz w:val="14"/>
                <w:szCs w:val="16"/>
                <w:lang w:eastAsia="el-GR"/>
              </w:rPr>
              <w:t>84</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477E70" w:rsidRPr="00CC1F0C" w:rsidRDefault="00477E70" w:rsidP="00477E70">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-76%</w:t>
            </w:r>
          </w:p>
        </w:tc>
      </w:tr>
      <w:tr w:rsidR="00477E70" w:rsidRPr="00C62FEB" w:rsidTr="00AF1BA2">
        <w:trPr>
          <w:trHeight w:val="113"/>
        </w:trPr>
        <w:tc>
          <w:tcPr>
            <w:tcW w:w="3572" w:type="dxa"/>
            <w:tcBorders>
              <w:top w:val="nil"/>
              <w:left w:val="nil"/>
              <w:right w:val="nil"/>
            </w:tcBorders>
            <w:shd w:val="clear" w:color="auto" w:fill="auto"/>
            <w:tcMar>
              <w:top w:w="15" w:type="dxa"/>
              <w:left w:w="42" w:type="dxa"/>
              <w:bottom w:w="0" w:type="dxa"/>
              <w:right w:w="15" w:type="dxa"/>
            </w:tcMar>
            <w:vAlign w:val="center"/>
          </w:tcPr>
          <w:p w:rsidR="00477E70" w:rsidRPr="00C62FEB" w:rsidRDefault="00477E70" w:rsidP="00477E70">
            <w:pPr>
              <w:spacing w:after="0" w:line="240" w:lineRule="auto"/>
              <w:textAlignment w:val="center"/>
              <w:rPr>
                <w:rFonts w:ascii="Segoe UI" w:eastAsia="Segoe UI" w:hAnsi="Segoe UI" w:cs="Segoe UI"/>
                <w:color w:val="000000"/>
                <w:kern w:val="24"/>
                <w:sz w:val="14"/>
                <w:szCs w:val="14"/>
                <w:lang w:val="el-GR" w:eastAsia="el-GR"/>
              </w:rPr>
            </w:pPr>
            <w:r>
              <w:rPr>
                <w:rFonts w:ascii="Segoe UI" w:eastAsia="Segoe UI" w:hAnsi="Segoe UI" w:cs="Segoe UI"/>
                <w:color w:val="000000"/>
                <w:kern w:val="24"/>
                <w:sz w:val="14"/>
                <w:szCs w:val="14"/>
                <w:lang w:val="el-GR" w:eastAsia="el-GR"/>
              </w:rPr>
              <w:t>ΛΕΠΕΤΕ</w:t>
            </w:r>
          </w:p>
        </w:tc>
        <w:tc>
          <w:tcPr>
            <w:tcW w:w="850" w:type="dxa"/>
            <w:tcBorders>
              <w:top w:val="nil"/>
              <w:left w:val="nil"/>
              <w:bottom w:val="nil"/>
              <w:right w:val="nil"/>
            </w:tcBorders>
            <w:vAlign w:val="center"/>
          </w:tcPr>
          <w:p w:rsidR="00477E70" w:rsidRPr="00CC1F0C" w:rsidRDefault="00477E70" w:rsidP="00477E70">
            <w:pPr>
              <w:spacing w:after="0" w:line="240" w:lineRule="auto"/>
              <w:jc w:val="right"/>
              <w:textAlignment w:val="center"/>
              <w:rPr>
                <w:rFonts w:ascii="Segoe UI" w:eastAsia="Segoe UI" w:hAnsi="Segoe UI" w:cs="Segoe UI"/>
                <w:color w:val="000000" w:themeColor="text1"/>
                <w:kern w:val="24"/>
                <w:sz w:val="14"/>
                <w:szCs w:val="16"/>
                <w:lang w:eastAsia="el-GR"/>
              </w:rPr>
            </w:pPr>
            <w:r w:rsidRPr="00CC1F0C">
              <w:rPr>
                <w:rFonts w:ascii="Segoe UI" w:eastAsia="Segoe UI" w:hAnsi="Segoe UI" w:cs="Segoe UI"/>
                <w:color w:val="000000" w:themeColor="text1"/>
                <w:kern w:val="24"/>
                <w:sz w:val="14"/>
                <w:szCs w:val="16"/>
                <w:lang w:eastAsia="el-GR"/>
              </w:rPr>
              <w:t>(36)</w:t>
            </w:r>
          </w:p>
        </w:tc>
        <w:tc>
          <w:tcPr>
            <w:tcW w:w="850" w:type="dxa"/>
            <w:tcBorders>
              <w:top w:val="nil"/>
              <w:left w:val="nil"/>
              <w:bottom w:val="nil"/>
              <w:right w:val="nil"/>
            </w:tcBorders>
            <w:vAlign w:val="center"/>
          </w:tcPr>
          <w:p w:rsidR="00477E70" w:rsidRPr="00CC1F0C" w:rsidRDefault="00477E70" w:rsidP="00477E70">
            <w:pPr>
              <w:spacing w:after="0" w:line="240" w:lineRule="auto"/>
              <w:jc w:val="right"/>
              <w:textAlignment w:val="center"/>
              <w:rPr>
                <w:rFonts w:ascii="Segoe UI" w:eastAsia="Segoe UI" w:hAnsi="Segoe UI" w:cs="Segoe UI"/>
                <w:color w:val="000000" w:themeColor="text1"/>
                <w:kern w:val="24"/>
                <w:sz w:val="14"/>
                <w:szCs w:val="16"/>
                <w:lang w:eastAsia="el-GR"/>
              </w:rPr>
            </w:pPr>
            <w:r w:rsidRPr="00CC1F0C">
              <w:rPr>
                <w:rFonts w:ascii="Segoe UI" w:eastAsia="Segoe UI" w:hAnsi="Segoe UI" w:cs="Segoe UI"/>
                <w:color w:val="000000" w:themeColor="text1"/>
                <w:kern w:val="24"/>
                <w:sz w:val="14"/>
                <w:szCs w:val="16"/>
                <w:lang w:eastAsia="el-GR"/>
              </w:rPr>
              <w:t>-</w:t>
            </w:r>
          </w:p>
        </w:tc>
        <w:tc>
          <w:tcPr>
            <w:tcW w:w="850" w:type="dxa"/>
            <w:tcBorders>
              <w:top w:val="nil"/>
              <w:left w:val="nil"/>
              <w:bottom w:val="nil"/>
              <w:right w:val="nil"/>
            </w:tcBorders>
            <w:shd w:val="clear" w:color="auto" w:fill="auto"/>
            <w:tcMar>
              <w:top w:w="15" w:type="dxa"/>
              <w:left w:w="15" w:type="dxa"/>
              <w:bottom w:w="0" w:type="dxa"/>
              <w:right w:w="84" w:type="dxa"/>
            </w:tcMar>
            <w:vAlign w:val="center"/>
          </w:tcPr>
          <w:p w:rsidR="00477E70" w:rsidRPr="00CC1F0C" w:rsidRDefault="00477E70" w:rsidP="00477E70">
            <w:pPr>
              <w:spacing w:after="0" w:line="240" w:lineRule="auto"/>
              <w:jc w:val="right"/>
              <w:textAlignment w:val="center"/>
              <w:rPr>
                <w:rFonts w:ascii="Segoe UI" w:eastAsia="Times New Roman" w:hAnsi="Segoe UI" w:cs="Segoe UI"/>
                <w:i/>
                <w:sz w:val="14"/>
                <w:szCs w:val="16"/>
                <w:lang w:val="el-GR" w:eastAsia="el-GR"/>
              </w:rPr>
            </w:pPr>
            <w:r>
              <w:rPr>
                <w:rFonts w:ascii="Segoe UI" w:eastAsia="Times New Roman" w:hAnsi="Segoe UI" w:cs="Segoe UI"/>
                <w:i/>
                <w:sz w:val="14"/>
                <w:szCs w:val="16"/>
                <w:lang w:val="el-GR" w:eastAsia="el-GR"/>
              </w:rPr>
              <w:t>--</w:t>
            </w:r>
          </w:p>
        </w:tc>
        <w:tc>
          <w:tcPr>
            <w:tcW w:w="850" w:type="dxa"/>
            <w:tcBorders>
              <w:top w:val="nil"/>
              <w:left w:val="nil"/>
              <w:bottom w:val="nil"/>
              <w:right w:val="nil"/>
            </w:tcBorders>
            <w:shd w:val="clear" w:color="auto" w:fill="auto"/>
            <w:vAlign w:val="center"/>
          </w:tcPr>
          <w:p w:rsidR="00477E70" w:rsidRPr="00CC1F0C" w:rsidRDefault="00477E70" w:rsidP="00477E70">
            <w:pPr>
              <w:pStyle w:val="Web"/>
              <w:spacing w:before="0" w:beforeAutospacing="0" w:after="0" w:afterAutospacing="0"/>
              <w:jc w:val="right"/>
              <w:textAlignment w:val="center"/>
              <w:rPr>
                <w:rFonts w:ascii="Arial" w:hAnsi="Arial" w:cs="Arial"/>
                <w:sz w:val="14"/>
                <w:szCs w:val="36"/>
              </w:rPr>
            </w:pPr>
            <w:r w:rsidRPr="00CC1F0C">
              <w:rPr>
                <w:rFonts w:ascii="Segoe UI" w:eastAsia="Segoe UI" w:hAnsi="Segoe UI" w:cs="Segoe UI"/>
                <w:color w:val="000000" w:themeColor="text1"/>
                <w:kern w:val="24"/>
                <w:sz w:val="14"/>
                <w:szCs w:val="16"/>
                <w:lang w:val="en-US"/>
              </w:rPr>
              <w:t>(36)</w:t>
            </w:r>
          </w:p>
        </w:tc>
        <w:tc>
          <w:tcPr>
            <w:tcW w:w="852" w:type="dxa"/>
            <w:tcBorders>
              <w:top w:val="nil"/>
              <w:left w:val="nil"/>
              <w:bottom w:val="nil"/>
              <w:right w:val="nil"/>
            </w:tcBorders>
            <w:shd w:val="clear" w:color="auto" w:fill="auto"/>
            <w:vAlign w:val="center"/>
          </w:tcPr>
          <w:p w:rsidR="00477E70" w:rsidRPr="00CC1F0C" w:rsidRDefault="00477E70" w:rsidP="00477E70">
            <w:pPr>
              <w:spacing w:after="0" w:line="240" w:lineRule="auto"/>
              <w:jc w:val="right"/>
              <w:textAlignment w:val="center"/>
              <w:rPr>
                <w:rFonts w:ascii="Segoe UI" w:eastAsia="Segoe UI" w:hAnsi="Segoe UI" w:cs="Segoe UI"/>
                <w:color w:val="000000" w:themeColor="text1"/>
                <w:kern w:val="24"/>
                <w:sz w:val="14"/>
                <w:szCs w:val="16"/>
                <w:lang w:eastAsia="el-GR"/>
              </w:rPr>
            </w:pPr>
            <w:r w:rsidRPr="00CC1F0C">
              <w:rPr>
                <w:rFonts w:ascii="Segoe UI" w:eastAsia="Segoe UI" w:hAnsi="Segoe UI" w:cs="Segoe UI"/>
                <w:color w:val="000000" w:themeColor="text1"/>
                <w:kern w:val="24"/>
                <w:sz w:val="14"/>
                <w:szCs w:val="16"/>
                <w:lang w:eastAsia="el-GR"/>
              </w:rPr>
              <w:t>-</w:t>
            </w:r>
          </w:p>
        </w:tc>
        <w:tc>
          <w:tcPr>
            <w:tcW w:w="852" w:type="dxa"/>
            <w:tcBorders>
              <w:top w:val="nil"/>
              <w:left w:val="nil"/>
              <w:bottom w:val="nil"/>
              <w:right w:val="nil"/>
            </w:tcBorders>
            <w:shd w:val="clear" w:color="auto" w:fill="auto"/>
            <w:tcMar>
              <w:top w:w="15" w:type="dxa"/>
              <w:left w:w="15" w:type="dxa"/>
              <w:bottom w:w="0" w:type="dxa"/>
              <w:right w:w="84" w:type="dxa"/>
            </w:tcMar>
            <w:vAlign w:val="center"/>
          </w:tcPr>
          <w:p w:rsidR="00477E70" w:rsidRPr="00CC1F0C" w:rsidRDefault="00477E70" w:rsidP="00477E70">
            <w:pPr>
              <w:spacing w:after="0" w:line="240" w:lineRule="auto"/>
              <w:jc w:val="right"/>
              <w:textAlignment w:val="center"/>
              <w:rPr>
                <w:rFonts w:ascii="Segoe UI" w:eastAsia="Times New Roman" w:hAnsi="Segoe UI" w:cs="Segoe UI"/>
                <w:i/>
                <w:sz w:val="14"/>
                <w:szCs w:val="16"/>
                <w:lang w:val="el-GR" w:eastAsia="el-GR"/>
              </w:rPr>
            </w:pPr>
            <w:r>
              <w:rPr>
                <w:rFonts w:ascii="Segoe UI" w:eastAsia="Times New Roman" w:hAnsi="Segoe UI" w:cs="Segoe UI"/>
                <w:i/>
                <w:sz w:val="14"/>
                <w:szCs w:val="16"/>
                <w:lang w:val="el-GR" w:eastAsia="el-GR"/>
              </w:rPr>
              <w:t>--</w:t>
            </w:r>
          </w:p>
        </w:tc>
      </w:tr>
      <w:tr w:rsidR="00477E70" w:rsidRPr="00C62FEB" w:rsidTr="00AF1BA2">
        <w:trPr>
          <w:trHeight w:val="113"/>
        </w:trPr>
        <w:tc>
          <w:tcPr>
            <w:tcW w:w="3572" w:type="dxa"/>
            <w:tcBorders>
              <w:top w:val="nil"/>
              <w:left w:val="nil"/>
              <w:right w:val="nil"/>
            </w:tcBorders>
            <w:shd w:val="clear" w:color="auto" w:fill="auto"/>
            <w:tcMar>
              <w:top w:w="15" w:type="dxa"/>
              <w:left w:w="42" w:type="dxa"/>
              <w:bottom w:w="0" w:type="dxa"/>
              <w:right w:w="15" w:type="dxa"/>
            </w:tcMar>
            <w:vAlign w:val="center"/>
          </w:tcPr>
          <w:p w:rsidR="00477E70" w:rsidRPr="00C62FEB" w:rsidRDefault="00477E70" w:rsidP="00477E70">
            <w:pPr>
              <w:spacing w:after="0" w:line="240" w:lineRule="auto"/>
              <w:textAlignment w:val="center"/>
              <w:rPr>
                <w:rFonts w:ascii="Segoe UI" w:eastAsia="Segoe UI" w:hAnsi="Segoe UI" w:cs="Segoe UI"/>
                <w:color w:val="000000"/>
                <w:kern w:val="24"/>
                <w:sz w:val="14"/>
                <w:szCs w:val="14"/>
                <w:lang w:val="el-GR" w:eastAsia="el-GR"/>
              </w:rPr>
            </w:pPr>
            <w:r w:rsidRPr="00CB3C31">
              <w:rPr>
                <w:rFonts w:ascii="Segoe UI" w:eastAsia="Segoe UI" w:hAnsi="Segoe UI" w:cs="Segoe UI"/>
                <w:color w:val="000000"/>
                <w:kern w:val="24"/>
                <w:sz w:val="14"/>
                <w:szCs w:val="14"/>
                <w:lang w:val="el-GR" w:eastAsia="el-GR"/>
              </w:rPr>
              <w:t xml:space="preserve">Κόστος </w:t>
            </w:r>
            <w:r>
              <w:rPr>
                <w:rFonts w:ascii="Segoe UI" w:eastAsia="Segoe UI" w:hAnsi="Segoe UI" w:cs="Segoe UI"/>
                <w:color w:val="000000"/>
                <w:kern w:val="24"/>
                <w:sz w:val="14"/>
                <w:szCs w:val="14"/>
                <w:lang w:val="el-GR" w:eastAsia="el-GR"/>
              </w:rPr>
              <w:t xml:space="preserve">Προγράμματος </w:t>
            </w:r>
            <w:r w:rsidRPr="00CB3C31">
              <w:rPr>
                <w:rFonts w:ascii="Segoe UI" w:eastAsia="Segoe UI" w:hAnsi="Segoe UI" w:cs="Segoe UI"/>
                <w:color w:val="000000"/>
                <w:kern w:val="24"/>
                <w:sz w:val="14"/>
                <w:szCs w:val="14"/>
                <w:lang w:val="el-GR" w:eastAsia="el-GR"/>
              </w:rPr>
              <w:t xml:space="preserve">Εθελουσίας και λοιπά </w:t>
            </w:r>
            <w:r>
              <w:rPr>
                <w:rFonts w:ascii="Segoe UI" w:eastAsia="Segoe UI" w:hAnsi="Segoe UI" w:cs="Segoe UI"/>
                <w:color w:val="000000"/>
                <w:kern w:val="24"/>
                <w:sz w:val="14"/>
                <w:szCs w:val="14"/>
                <w:lang w:val="el-GR" w:eastAsia="el-GR"/>
              </w:rPr>
              <w:t>κόστη αναδιάρθρωσης</w:t>
            </w:r>
          </w:p>
        </w:tc>
        <w:tc>
          <w:tcPr>
            <w:tcW w:w="850" w:type="dxa"/>
            <w:tcBorders>
              <w:top w:val="nil"/>
              <w:left w:val="nil"/>
              <w:bottom w:val="nil"/>
              <w:right w:val="nil"/>
            </w:tcBorders>
            <w:vAlign w:val="center"/>
          </w:tcPr>
          <w:p w:rsidR="00477E70" w:rsidRPr="00CC1F0C" w:rsidRDefault="00477E70" w:rsidP="00477E70">
            <w:pPr>
              <w:spacing w:after="0" w:line="240" w:lineRule="auto"/>
              <w:jc w:val="right"/>
              <w:textAlignment w:val="center"/>
              <w:rPr>
                <w:rFonts w:ascii="Arial" w:eastAsia="Times New Roman" w:hAnsi="Arial" w:cs="Arial"/>
                <w:sz w:val="14"/>
                <w:szCs w:val="36"/>
                <w:lang w:val="el-GR" w:eastAsia="el-GR"/>
              </w:rPr>
            </w:pPr>
            <w:r w:rsidRPr="00CC1F0C">
              <w:rPr>
                <w:rFonts w:ascii="Segoe UI" w:eastAsia="Segoe UI" w:hAnsi="Segoe UI" w:cs="Segoe UI"/>
                <w:color w:val="000000" w:themeColor="text1"/>
                <w:kern w:val="24"/>
                <w:sz w:val="14"/>
                <w:szCs w:val="16"/>
                <w:lang w:eastAsia="el-GR"/>
              </w:rPr>
              <w:t>(110)</w:t>
            </w:r>
            <w:r w:rsidRPr="00CC1F0C">
              <w:rPr>
                <w:rFonts w:ascii="Segoe UI" w:eastAsia="Segoe UI" w:hAnsi="Segoe UI" w:cs="Segoe UI"/>
                <w:color w:val="000000" w:themeColor="text1"/>
                <w:kern w:val="24"/>
                <w:sz w:val="14"/>
                <w:szCs w:val="16"/>
                <w:vertAlign w:val="superscript"/>
                <w:lang w:val="el-GR" w:eastAsia="el-GR"/>
              </w:rPr>
              <w:t>5</w:t>
            </w:r>
          </w:p>
        </w:tc>
        <w:tc>
          <w:tcPr>
            <w:tcW w:w="850" w:type="dxa"/>
            <w:tcBorders>
              <w:top w:val="nil"/>
              <w:left w:val="nil"/>
              <w:bottom w:val="nil"/>
              <w:right w:val="nil"/>
            </w:tcBorders>
            <w:vAlign w:val="center"/>
          </w:tcPr>
          <w:p w:rsidR="00477E70" w:rsidRPr="00CC1F0C" w:rsidRDefault="00477E70" w:rsidP="00477E70">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themeColor="text1"/>
                <w:kern w:val="24"/>
                <w:sz w:val="14"/>
                <w:szCs w:val="16"/>
                <w:lang w:eastAsia="el-GR"/>
              </w:rPr>
              <w:t>(40)</w:t>
            </w:r>
          </w:p>
        </w:tc>
        <w:tc>
          <w:tcPr>
            <w:tcW w:w="850" w:type="dxa"/>
            <w:tcBorders>
              <w:top w:val="nil"/>
              <w:left w:val="nil"/>
              <w:bottom w:val="nil"/>
              <w:right w:val="nil"/>
            </w:tcBorders>
            <w:shd w:val="clear" w:color="auto" w:fill="auto"/>
            <w:tcMar>
              <w:top w:w="15" w:type="dxa"/>
              <w:left w:w="15" w:type="dxa"/>
              <w:bottom w:w="0" w:type="dxa"/>
              <w:right w:w="84" w:type="dxa"/>
            </w:tcMar>
            <w:vAlign w:val="center"/>
          </w:tcPr>
          <w:p w:rsidR="00477E70" w:rsidRPr="00CC1F0C" w:rsidRDefault="00477E70" w:rsidP="00477E70">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&gt;100%</w:t>
            </w:r>
          </w:p>
        </w:tc>
        <w:tc>
          <w:tcPr>
            <w:tcW w:w="850" w:type="dxa"/>
            <w:tcBorders>
              <w:top w:val="nil"/>
              <w:left w:val="nil"/>
              <w:bottom w:val="nil"/>
              <w:right w:val="nil"/>
            </w:tcBorders>
            <w:shd w:val="clear" w:color="auto" w:fill="auto"/>
            <w:vAlign w:val="center"/>
          </w:tcPr>
          <w:p w:rsidR="00477E70" w:rsidRPr="00CC1F0C" w:rsidRDefault="00477E70" w:rsidP="00477E70">
            <w:pPr>
              <w:pStyle w:val="Web"/>
              <w:spacing w:before="0" w:beforeAutospacing="0" w:after="0" w:afterAutospacing="0"/>
              <w:jc w:val="right"/>
              <w:textAlignment w:val="center"/>
              <w:rPr>
                <w:rFonts w:ascii="Arial" w:hAnsi="Arial" w:cs="Arial"/>
                <w:sz w:val="14"/>
                <w:szCs w:val="36"/>
                <w:lang w:val="en-US"/>
              </w:rPr>
            </w:pPr>
            <w:r w:rsidRPr="00CC1F0C">
              <w:rPr>
                <w:rFonts w:ascii="Segoe UI" w:eastAsia="Segoe UI" w:hAnsi="Segoe UI" w:cs="Segoe UI"/>
                <w:color w:val="000000" w:themeColor="text1"/>
                <w:kern w:val="24"/>
                <w:sz w:val="14"/>
                <w:szCs w:val="16"/>
                <w:lang w:val="en-US"/>
              </w:rPr>
              <w:t>(5)</w:t>
            </w:r>
          </w:p>
        </w:tc>
        <w:tc>
          <w:tcPr>
            <w:tcW w:w="852" w:type="dxa"/>
            <w:tcBorders>
              <w:top w:val="nil"/>
              <w:left w:val="nil"/>
              <w:bottom w:val="nil"/>
              <w:right w:val="nil"/>
            </w:tcBorders>
            <w:shd w:val="clear" w:color="auto" w:fill="auto"/>
            <w:vAlign w:val="center"/>
          </w:tcPr>
          <w:p w:rsidR="00477E70" w:rsidRPr="00CC1F0C" w:rsidRDefault="00477E70" w:rsidP="00477E70">
            <w:pPr>
              <w:spacing w:after="0" w:line="240" w:lineRule="auto"/>
              <w:jc w:val="right"/>
              <w:textAlignment w:val="center"/>
              <w:rPr>
                <w:rFonts w:ascii="Arial" w:eastAsia="Times New Roman" w:hAnsi="Arial" w:cs="Arial"/>
                <w:sz w:val="14"/>
                <w:szCs w:val="36"/>
                <w:lang w:eastAsia="el-GR"/>
              </w:rPr>
            </w:pPr>
            <w:r w:rsidRPr="00CC1F0C">
              <w:rPr>
                <w:rFonts w:ascii="Segoe UI" w:eastAsia="Segoe UI" w:hAnsi="Segoe UI" w:cs="Segoe UI"/>
                <w:color w:val="000000" w:themeColor="text1"/>
                <w:kern w:val="24"/>
                <w:sz w:val="14"/>
                <w:szCs w:val="16"/>
                <w:lang w:eastAsia="el-GR"/>
              </w:rPr>
              <w:t>(4)</w:t>
            </w:r>
          </w:p>
        </w:tc>
        <w:tc>
          <w:tcPr>
            <w:tcW w:w="852" w:type="dxa"/>
            <w:tcBorders>
              <w:top w:val="nil"/>
              <w:left w:val="nil"/>
              <w:bottom w:val="nil"/>
              <w:right w:val="nil"/>
            </w:tcBorders>
            <w:shd w:val="clear" w:color="auto" w:fill="auto"/>
            <w:tcMar>
              <w:top w:w="15" w:type="dxa"/>
              <w:left w:w="15" w:type="dxa"/>
              <w:bottom w:w="0" w:type="dxa"/>
              <w:right w:w="84" w:type="dxa"/>
            </w:tcMar>
            <w:vAlign w:val="center"/>
          </w:tcPr>
          <w:p w:rsidR="00477E70" w:rsidRPr="00CC1F0C" w:rsidRDefault="00E707A5" w:rsidP="00E707A5">
            <w:pPr>
              <w:spacing w:after="0" w:line="240" w:lineRule="auto"/>
              <w:jc w:val="right"/>
              <w:textAlignment w:val="center"/>
              <w:rPr>
                <w:rFonts w:ascii="Segoe UI" w:eastAsia="Times New Roman" w:hAnsi="Segoe UI" w:cs="Segoe UI"/>
                <w:i/>
                <w:sz w:val="14"/>
                <w:szCs w:val="16"/>
                <w:lang w:eastAsia="el-GR"/>
              </w:rPr>
            </w:pPr>
            <w:r>
              <w:rPr>
                <w:rFonts w:ascii="Segoe UI" w:eastAsia="Times New Roman" w:hAnsi="Segoe UI" w:cs="Segoe UI"/>
                <w:i/>
                <w:sz w:val="14"/>
                <w:szCs w:val="16"/>
                <w:lang w:eastAsia="el-GR"/>
              </w:rPr>
              <w:t>+32</w:t>
            </w:r>
            <w:r w:rsidR="00477E70" w:rsidRPr="00CC1F0C">
              <w:rPr>
                <w:rFonts w:ascii="Segoe UI" w:eastAsia="Times New Roman" w:hAnsi="Segoe UI" w:cs="Segoe UI"/>
                <w:i/>
                <w:sz w:val="14"/>
                <w:szCs w:val="16"/>
                <w:lang w:eastAsia="el-GR"/>
              </w:rPr>
              <w:t>%</w:t>
            </w:r>
          </w:p>
        </w:tc>
      </w:tr>
      <w:tr w:rsidR="00477E70" w:rsidRPr="00C62FEB" w:rsidTr="00AF1BA2">
        <w:trPr>
          <w:trHeight w:val="113"/>
        </w:trPr>
        <w:tc>
          <w:tcPr>
            <w:tcW w:w="3572" w:type="dxa"/>
            <w:tcBorders>
              <w:top w:val="nil"/>
              <w:left w:val="nil"/>
              <w:right w:val="nil"/>
            </w:tcBorders>
            <w:shd w:val="clear" w:color="auto" w:fill="auto"/>
            <w:tcMar>
              <w:top w:w="15" w:type="dxa"/>
              <w:left w:w="42" w:type="dxa"/>
              <w:bottom w:w="0" w:type="dxa"/>
              <w:right w:w="15" w:type="dxa"/>
            </w:tcMar>
            <w:vAlign w:val="center"/>
            <w:hideMark/>
          </w:tcPr>
          <w:p w:rsidR="00477E70" w:rsidRPr="00C62FEB" w:rsidRDefault="00477E70" w:rsidP="00477E70">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Δικαιώματα μειοψηφίας</w:t>
            </w:r>
          </w:p>
        </w:tc>
        <w:tc>
          <w:tcPr>
            <w:tcW w:w="850" w:type="dxa"/>
            <w:tcBorders>
              <w:top w:val="nil"/>
              <w:left w:val="nil"/>
              <w:right w:val="nil"/>
            </w:tcBorders>
            <w:vAlign w:val="center"/>
          </w:tcPr>
          <w:p w:rsidR="00477E70" w:rsidRPr="00CC1F0C" w:rsidRDefault="00477E70" w:rsidP="00477E70">
            <w:pPr>
              <w:spacing w:after="0" w:line="240" w:lineRule="auto"/>
              <w:jc w:val="right"/>
              <w:textAlignment w:val="center"/>
              <w:rPr>
                <w:rFonts w:ascii="Segoe UI" w:eastAsia="Segoe UI" w:hAnsi="Segoe UI" w:cs="Segoe UI"/>
                <w:color w:val="000000" w:themeColor="text1"/>
                <w:kern w:val="24"/>
                <w:sz w:val="14"/>
                <w:szCs w:val="16"/>
                <w:lang w:eastAsia="el-GR"/>
              </w:rPr>
            </w:pPr>
            <w:r w:rsidRPr="00CC1F0C">
              <w:rPr>
                <w:rFonts w:ascii="Segoe UI" w:eastAsia="Segoe UI" w:hAnsi="Segoe UI" w:cs="Segoe UI"/>
                <w:color w:val="000000" w:themeColor="text1"/>
                <w:kern w:val="24"/>
                <w:sz w:val="14"/>
                <w:szCs w:val="16"/>
                <w:lang w:eastAsia="el-GR"/>
              </w:rPr>
              <w:t>(17)</w:t>
            </w:r>
          </w:p>
        </w:tc>
        <w:tc>
          <w:tcPr>
            <w:tcW w:w="850" w:type="dxa"/>
            <w:tcBorders>
              <w:top w:val="nil"/>
              <w:left w:val="nil"/>
              <w:right w:val="nil"/>
            </w:tcBorders>
            <w:vAlign w:val="center"/>
          </w:tcPr>
          <w:p w:rsidR="00477E70" w:rsidRPr="00CC1F0C" w:rsidRDefault="00477E70" w:rsidP="00477E70">
            <w:pPr>
              <w:spacing w:after="0" w:line="240" w:lineRule="auto"/>
              <w:jc w:val="right"/>
              <w:textAlignment w:val="center"/>
              <w:rPr>
                <w:rFonts w:ascii="Segoe UI" w:eastAsia="Segoe UI" w:hAnsi="Segoe UI" w:cs="Segoe UI"/>
                <w:color w:val="000000" w:themeColor="text1"/>
                <w:kern w:val="24"/>
                <w:sz w:val="14"/>
                <w:szCs w:val="16"/>
                <w:lang w:eastAsia="el-GR"/>
              </w:rPr>
            </w:pPr>
            <w:r w:rsidRPr="00CC1F0C">
              <w:rPr>
                <w:rFonts w:ascii="Segoe UI" w:eastAsia="Segoe UI" w:hAnsi="Segoe UI" w:cs="Segoe UI"/>
                <w:color w:val="000000" w:themeColor="text1"/>
                <w:kern w:val="24"/>
                <w:sz w:val="14"/>
                <w:szCs w:val="16"/>
                <w:lang w:eastAsia="el-GR"/>
              </w:rPr>
              <w:t>(26)</w:t>
            </w:r>
          </w:p>
        </w:tc>
        <w:tc>
          <w:tcPr>
            <w:tcW w:w="850" w:type="dxa"/>
            <w:tcBorders>
              <w:top w:val="nil"/>
              <w:left w:val="nil"/>
              <w:right w:val="nil"/>
            </w:tcBorders>
            <w:shd w:val="clear" w:color="auto" w:fill="auto"/>
            <w:tcMar>
              <w:top w:w="15" w:type="dxa"/>
              <w:left w:w="15" w:type="dxa"/>
              <w:bottom w:w="0" w:type="dxa"/>
              <w:right w:w="84" w:type="dxa"/>
            </w:tcMar>
            <w:vAlign w:val="center"/>
            <w:hideMark/>
          </w:tcPr>
          <w:p w:rsidR="00477E70" w:rsidRPr="00CC1F0C" w:rsidRDefault="00477E70" w:rsidP="00477E70">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-35%</w:t>
            </w:r>
          </w:p>
        </w:tc>
        <w:tc>
          <w:tcPr>
            <w:tcW w:w="850" w:type="dxa"/>
            <w:tcBorders>
              <w:top w:val="nil"/>
              <w:left w:val="nil"/>
              <w:bottom w:val="nil"/>
              <w:right w:val="nil"/>
            </w:tcBorders>
            <w:shd w:val="clear" w:color="auto" w:fill="auto"/>
            <w:vAlign w:val="center"/>
          </w:tcPr>
          <w:p w:rsidR="00477E70" w:rsidRPr="00CC1F0C" w:rsidRDefault="00477E70" w:rsidP="00477E70">
            <w:pPr>
              <w:pStyle w:val="Web"/>
              <w:spacing w:before="0" w:beforeAutospacing="0" w:after="0" w:afterAutospacing="0"/>
              <w:jc w:val="right"/>
              <w:textAlignment w:val="center"/>
              <w:rPr>
                <w:rFonts w:ascii="Arial" w:hAnsi="Arial" w:cs="Arial"/>
                <w:sz w:val="14"/>
                <w:szCs w:val="36"/>
                <w:lang w:val="en-US"/>
              </w:rPr>
            </w:pPr>
            <w:r w:rsidRPr="00CC1F0C">
              <w:rPr>
                <w:rFonts w:ascii="Segoe UI" w:eastAsia="Segoe UI" w:hAnsi="Segoe UI" w:cs="Segoe UI"/>
                <w:color w:val="000000" w:themeColor="text1"/>
                <w:kern w:val="24"/>
                <w:sz w:val="14"/>
                <w:szCs w:val="16"/>
                <w:lang w:val="en-US"/>
              </w:rPr>
              <w:t>-</w:t>
            </w:r>
          </w:p>
        </w:tc>
        <w:tc>
          <w:tcPr>
            <w:tcW w:w="852" w:type="dxa"/>
            <w:tcBorders>
              <w:top w:val="nil"/>
              <w:left w:val="nil"/>
              <w:right w:val="nil"/>
            </w:tcBorders>
            <w:shd w:val="clear" w:color="auto" w:fill="auto"/>
            <w:vAlign w:val="center"/>
          </w:tcPr>
          <w:p w:rsidR="00477E70" w:rsidRPr="00CC1F0C" w:rsidRDefault="00477E70" w:rsidP="00477E70">
            <w:pPr>
              <w:spacing w:after="0" w:line="240" w:lineRule="auto"/>
              <w:jc w:val="right"/>
              <w:textAlignment w:val="center"/>
              <w:rPr>
                <w:rFonts w:ascii="Segoe UI" w:eastAsia="Segoe UI" w:hAnsi="Segoe UI" w:cs="Segoe UI"/>
                <w:color w:val="000000" w:themeColor="text1"/>
                <w:kern w:val="24"/>
                <w:sz w:val="14"/>
                <w:szCs w:val="16"/>
                <w:lang w:eastAsia="el-GR"/>
              </w:rPr>
            </w:pPr>
            <w:r w:rsidRPr="00CC1F0C">
              <w:rPr>
                <w:rFonts w:ascii="Segoe UI" w:eastAsia="Segoe UI" w:hAnsi="Segoe UI" w:cs="Segoe UI"/>
                <w:color w:val="000000" w:themeColor="text1"/>
                <w:kern w:val="24"/>
                <w:sz w:val="14"/>
                <w:szCs w:val="16"/>
                <w:lang w:eastAsia="el-GR"/>
              </w:rPr>
              <w:t>(8)</w:t>
            </w:r>
          </w:p>
        </w:tc>
        <w:tc>
          <w:tcPr>
            <w:tcW w:w="852" w:type="dxa"/>
            <w:tcBorders>
              <w:top w:val="nil"/>
              <w:left w:val="nil"/>
              <w:right w:val="nil"/>
            </w:tcBorders>
            <w:shd w:val="clear" w:color="auto" w:fill="auto"/>
            <w:tcMar>
              <w:top w:w="15" w:type="dxa"/>
              <w:left w:w="15" w:type="dxa"/>
              <w:bottom w:w="0" w:type="dxa"/>
              <w:right w:w="84" w:type="dxa"/>
            </w:tcMar>
            <w:vAlign w:val="center"/>
            <w:hideMark/>
          </w:tcPr>
          <w:p w:rsidR="00477E70" w:rsidRPr="00CC1F0C" w:rsidRDefault="00477E70" w:rsidP="00477E70">
            <w:pPr>
              <w:spacing w:after="0" w:line="240" w:lineRule="auto"/>
              <w:jc w:val="right"/>
              <w:textAlignment w:val="center"/>
              <w:rPr>
                <w:rFonts w:ascii="Segoe UI" w:eastAsia="Times New Roman" w:hAnsi="Segoe UI" w:cs="Segoe UI"/>
                <w:i/>
                <w:sz w:val="14"/>
                <w:szCs w:val="16"/>
                <w:lang w:eastAsia="el-GR"/>
              </w:rPr>
            </w:pPr>
            <w:r w:rsidRPr="00CC1F0C">
              <w:rPr>
                <w:rFonts w:ascii="Segoe UI" w:eastAsia="Times New Roman" w:hAnsi="Segoe UI" w:cs="Segoe UI"/>
                <w:i/>
                <w:sz w:val="14"/>
                <w:szCs w:val="16"/>
                <w:lang w:eastAsia="el-GR"/>
              </w:rPr>
              <w:t>-100%</w:t>
            </w:r>
          </w:p>
        </w:tc>
      </w:tr>
      <w:tr w:rsidR="00477E70" w:rsidRPr="00C62FEB" w:rsidTr="00AF1BA2">
        <w:trPr>
          <w:trHeight w:val="113"/>
        </w:trPr>
        <w:tc>
          <w:tcPr>
            <w:tcW w:w="3572" w:type="dxa"/>
            <w:tcBorders>
              <w:top w:val="nil"/>
              <w:left w:val="nil"/>
              <w:bottom w:val="single" w:sz="12" w:space="0" w:color="auto"/>
              <w:right w:val="nil"/>
            </w:tcBorders>
            <w:shd w:val="clear" w:color="auto" w:fill="auto"/>
            <w:tcMar>
              <w:top w:w="15" w:type="dxa"/>
              <w:left w:w="42" w:type="dxa"/>
              <w:bottom w:w="0" w:type="dxa"/>
              <w:right w:w="15" w:type="dxa"/>
            </w:tcMar>
            <w:vAlign w:val="center"/>
          </w:tcPr>
          <w:p w:rsidR="00477E70" w:rsidRPr="000923FC" w:rsidRDefault="00477E70" w:rsidP="00477E70">
            <w:pPr>
              <w:spacing w:after="0" w:line="240" w:lineRule="auto"/>
              <w:jc w:val="both"/>
              <w:textAlignment w:val="center"/>
              <w:rPr>
                <w:rFonts w:ascii="Segoe UI" w:eastAsia="Segoe UI" w:hAnsi="Segoe UI" w:cs="Segoe UI"/>
                <w:color w:val="000000"/>
                <w:kern w:val="24"/>
                <w:sz w:val="14"/>
                <w:szCs w:val="14"/>
                <w:lang w:val="el-GR" w:eastAsia="el-GR"/>
              </w:rPr>
            </w:pPr>
            <w:r w:rsidRPr="000923FC">
              <w:rPr>
                <w:rFonts w:ascii="Segoe UI" w:eastAsia="Segoe UI" w:hAnsi="Segoe UI" w:cs="Segoe UI"/>
                <w:b/>
                <w:color w:val="000000"/>
                <w:kern w:val="24"/>
                <w:sz w:val="14"/>
                <w:szCs w:val="14"/>
                <w:lang w:val="el-GR" w:eastAsia="el-GR"/>
              </w:rPr>
              <w:t xml:space="preserve">Κέρδη / (ζημίες) </w:t>
            </w:r>
            <w:r>
              <w:rPr>
                <w:rFonts w:ascii="Segoe UI" w:eastAsia="Segoe UI" w:hAnsi="Segoe UI" w:cs="Segoe UI"/>
                <w:b/>
                <w:color w:val="000000"/>
                <w:kern w:val="24"/>
                <w:sz w:val="14"/>
                <w:szCs w:val="14"/>
                <w:lang w:val="el-GR" w:eastAsia="el-GR"/>
              </w:rPr>
              <w:t xml:space="preserve">μετά φόρων </w:t>
            </w:r>
            <w:r w:rsidRPr="000923FC">
              <w:rPr>
                <w:rFonts w:ascii="Segoe UI" w:eastAsia="Segoe UI" w:hAnsi="Segoe UI" w:cs="Segoe UI"/>
                <w:b/>
                <w:color w:val="000000"/>
                <w:kern w:val="24"/>
                <w:sz w:val="14"/>
                <w:szCs w:val="14"/>
                <w:lang w:val="el-GR" w:eastAsia="el-GR"/>
              </w:rPr>
              <w:t>περιόδου</w:t>
            </w:r>
          </w:p>
        </w:tc>
        <w:tc>
          <w:tcPr>
            <w:tcW w:w="850" w:type="dxa"/>
            <w:tcBorders>
              <w:top w:val="nil"/>
              <w:left w:val="nil"/>
              <w:bottom w:val="single" w:sz="12" w:space="0" w:color="000000"/>
              <w:right w:val="nil"/>
            </w:tcBorders>
            <w:vAlign w:val="center"/>
          </w:tcPr>
          <w:p w:rsidR="00477E70" w:rsidRPr="00CC1F0C" w:rsidRDefault="00477E70" w:rsidP="00477E70">
            <w:pPr>
              <w:spacing w:after="0" w:line="240" w:lineRule="auto"/>
              <w:jc w:val="right"/>
              <w:textAlignment w:val="center"/>
              <w:rPr>
                <w:rFonts w:ascii="Segoe UI" w:eastAsia="Segoe UI" w:hAnsi="Segoe UI" w:cs="Segoe UI"/>
                <w:b/>
                <w:color w:val="000000" w:themeColor="text1"/>
                <w:kern w:val="24"/>
                <w:sz w:val="14"/>
                <w:szCs w:val="16"/>
                <w:lang w:eastAsia="el-GR"/>
              </w:rPr>
            </w:pPr>
            <w:r w:rsidRPr="00CC1F0C">
              <w:rPr>
                <w:rFonts w:ascii="Segoe UI" w:eastAsia="Segoe UI" w:hAnsi="Segoe UI" w:cs="Segoe UI"/>
                <w:b/>
                <w:color w:val="000000" w:themeColor="text1"/>
                <w:kern w:val="24"/>
                <w:sz w:val="14"/>
                <w:szCs w:val="16"/>
                <w:lang w:eastAsia="el-GR"/>
              </w:rPr>
              <w:t>419</w:t>
            </w:r>
          </w:p>
        </w:tc>
        <w:tc>
          <w:tcPr>
            <w:tcW w:w="850" w:type="dxa"/>
            <w:tcBorders>
              <w:top w:val="nil"/>
              <w:left w:val="nil"/>
              <w:bottom w:val="single" w:sz="12" w:space="0" w:color="000000"/>
              <w:right w:val="nil"/>
            </w:tcBorders>
            <w:vAlign w:val="center"/>
          </w:tcPr>
          <w:p w:rsidR="00477E70" w:rsidRPr="00CC1F0C" w:rsidRDefault="00477E70" w:rsidP="00477E70">
            <w:pPr>
              <w:spacing w:after="0" w:line="240" w:lineRule="auto"/>
              <w:jc w:val="right"/>
              <w:textAlignment w:val="center"/>
              <w:rPr>
                <w:rFonts w:ascii="Segoe UI" w:eastAsia="Segoe UI" w:hAnsi="Segoe UI" w:cs="Segoe UI"/>
                <w:b/>
                <w:color w:val="000000" w:themeColor="text1"/>
                <w:kern w:val="24"/>
                <w:sz w:val="14"/>
                <w:szCs w:val="16"/>
                <w:lang w:eastAsia="el-GR"/>
              </w:rPr>
            </w:pPr>
            <w:r w:rsidRPr="00CC1F0C">
              <w:rPr>
                <w:rFonts w:ascii="Segoe UI" w:eastAsia="Segoe UI" w:hAnsi="Segoe UI" w:cs="Segoe UI"/>
                <w:b/>
                <w:color w:val="000000" w:themeColor="text1"/>
                <w:kern w:val="24"/>
                <w:sz w:val="14"/>
                <w:szCs w:val="16"/>
                <w:lang w:eastAsia="el-GR"/>
              </w:rPr>
              <w:t>22</w:t>
            </w:r>
          </w:p>
        </w:tc>
        <w:tc>
          <w:tcPr>
            <w:tcW w:w="850" w:type="dxa"/>
            <w:tcBorders>
              <w:top w:val="nil"/>
              <w:left w:val="nil"/>
              <w:bottom w:val="single" w:sz="12" w:space="0" w:color="000000"/>
              <w:right w:val="nil"/>
            </w:tcBorders>
            <w:shd w:val="clear" w:color="auto" w:fill="auto"/>
            <w:tcMar>
              <w:top w:w="15" w:type="dxa"/>
              <w:left w:w="15" w:type="dxa"/>
              <w:bottom w:w="0" w:type="dxa"/>
              <w:right w:w="84" w:type="dxa"/>
            </w:tcMar>
            <w:vAlign w:val="center"/>
          </w:tcPr>
          <w:p w:rsidR="00477E70" w:rsidRPr="00CC1F0C" w:rsidRDefault="00477E70" w:rsidP="00477E70">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&gt;100%</w:t>
            </w:r>
          </w:p>
        </w:tc>
        <w:tc>
          <w:tcPr>
            <w:tcW w:w="850" w:type="dxa"/>
            <w:tcBorders>
              <w:top w:val="nil"/>
              <w:left w:val="nil"/>
              <w:bottom w:val="single" w:sz="12" w:space="0" w:color="000000"/>
              <w:right w:val="nil"/>
            </w:tcBorders>
            <w:shd w:val="clear" w:color="auto" w:fill="auto"/>
            <w:vAlign w:val="center"/>
          </w:tcPr>
          <w:p w:rsidR="00477E70" w:rsidRPr="00CC1F0C" w:rsidRDefault="00477E70" w:rsidP="00477E70">
            <w:pPr>
              <w:pStyle w:val="Web"/>
              <w:spacing w:before="0" w:beforeAutospacing="0" w:after="0" w:afterAutospacing="0"/>
              <w:jc w:val="right"/>
              <w:textAlignment w:val="center"/>
              <w:rPr>
                <w:rFonts w:ascii="Arial" w:hAnsi="Arial" w:cs="Arial"/>
                <w:sz w:val="14"/>
                <w:szCs w:val="36"/>
                <w:lang w:val="en-US"/>
              </w:rPr>
            </w:pPr>
            <w:r w:rsidRPr="00CC1F0C">
              <w:rPr>
                <w:rFonts w:ascii="Segoe UI" w:eastAsia="Segoe UI" w:hAnsi="Segoe UI" w:cs="Segoe UI"/>
                <w:b/>
                <w:bCs/>
                <w:color w:val="000000" w:themeColor="text1"/>
                <w:kern w:val="24"/>
                <w:sz w:val="14"/>
                <w:szCs w:val="16"/>
                <w:lang w:val="en-US"/>
              </w:rPr>
              <w:t>216</w:t>
            </w:r>
          </w:p>
        </w:tc>
        <w:tc>
          <w:tcPr>
            <w:tcW w:w="852" w:type="dxa"/>
            <w:tcBorders>
              <w:top w:val="nil"/>
              <w:left w:val="nil"/>
              <w:bottom w:val="single" w:sz="12" w:space="0" w:color="000000"/>
              <w:right w:val="nil"/>
            </w:tcBorders>
            <w:shd w:val="clear" w:color="auto" w:fill="auto"/>
            <w:vAlign w:val="center"/>
          </w:tcPr>
          <w:p w:rsidR="00477E70" w:rsidRPr="00CC1F0C" w:rsidRDefault="00477E70" w:rsidP="00477E70">
            <w:pPr>
              <w:spacing w:after="0" w:line="240" w:lineRule="auto"/>
              <w:jc w:val="right"/>
              <w:textAlignment w:val="center"/>
              <w:rPr>
                <w:rFonts w:ascii="Segoe UI" w:eastAsia="Segoe UI" w:hAnsi="Segoe UI" w:cs="Segoe UI"/>
                <w:b/>
                <w:color w:val="000000" w:themeColor="text1"/>
                <w:kern w:val="24"/>
                <w:sz w:val="14"/>
                <w:szCs w:val="16"/>
                <w:lang w:eastAsia="el-GR"/>
              </w:rPr>
            </w:pPr>
            <w:r w:rsidRPr="00CC1F0C">
              <w:rPr>
                <w:rFonts w:ascii="Segoe UI" w:eastAsia="Segoe UI" w:hAnsi="Segoe UI" w:cs="Segoe UI"/>
                <w:b/>
                <w:color w:val="000000" w:themeColor="text1"/>
                <w:kern w:val="24"/>
                <w:sz w:val="14"/>
                <w:szCs w:val="16"/>
                <w:lang w:eastAsia="el-GR"/>
              </w:rPr>
              <w:t>186</w:t>
            </w:r>
          </w:p>
        </w:tc>
        <w:tc>
          <w:tcPr>
            <w:tcW w:w="852" w:type="dxa"/>
            <w:tcBorders>
              <w:top w:val="nil"/>
              <w:left w:val="nil"/>
              <w:bottom w:val="single" w:sz="12" w:space="0" w:color="000000"/>
              <w:right w:val="nil"/>
            </w:tcBorders>
            <w:shd w:val="clear" w:color="auto" w:fill="auto"/>
            <w:tcMar>
              <w:top w:w="15" w:type="dxa"/>
              <w:left w:w="15" w:type="dxa"/>
              <w:bottom w:w="0" w:type="dxa"/>
              <w:right w:w="84" w:type="dxa"/>
            </w:tcMar>
            <w:vAlign w:val="center"/>
          </w:tcPr>
          <w:p w:rsidR="00477E70" w:rsidRPr="00CC1F0C" w:rsidRDefault="00477E70" w:rsidP="00477E70">
            <w:pPr>
              <w:spacing w:after="0" w:line="240" w:lineRule="auto"/>
              <w:jc w:val="right"/>
              <w:textAlignment w:val="center"/>
              <w:rPr>
                <w:rFonts w:ascii="Segoe UI" w:eastAsia="Times New Roman" w:hAnsi="Segoe UI" w:cs="Segoe UI"/>
                <w:b/>
                <w:i/>
                <w:sz w:val="14"/>
                <w:szCs w:val="16"/>
                <w:lang w:eastAsia="el-GR"/>
              </w:rPr>
            </w:pPr>
            <w:r w:rsidRPr="00CC1F0C">
              <w:rPr>
                <w:rFonts w:ascii="Segoe UI" w:eastAsia="Times New Roman" w:hAnsi="Segoe UI" w:cs="Segoe UI"/>
                <w:b/>
                <w:i/>
                <w:sz w:val="14"/>
                <w:szCs w:val="16"/>
                <w:lang w:eastAsia="el-GR"/>
              </w:rPr>
              <w:t>+16%</w:t>
            </w:r>
          </w:p>
        </w:tc>
      </w:tr>
    </w:tbl>
    <w:p w:rsidR="00CC1F0C" w:rsidRPr="00CC1F0C" w:rsidRDefault="000F0C47" w:rsidP="00CC1F0C">
      <w:pPr>
        <w:spacing w:after="0" w:line="240" w:lineRule="auto"/>
        <w:jc w:val="both"/>
        <w:textAlignment w:val="baseline"/>
        <w:rPr>
          <w:rFonts w:ascii="Segoe UI" w:eastAsia="Times New Roman" w:hAnsi="Segoe UI" w:cs="Segoe UI"/>
          <w:color w:val="000000" w:themeColor="text1"/>
          <w:kern w:val="24"/>
          <w:sz w:val="9"/>
          <w:szCs w:val="9"/>
          <w:lang w:val="el-GR" w:eastAsia="el-GR"/>
        </w:rPr>
      </w:pPr>
      <w:r w:rsidRPr="004C0E3B">
        <w:rPr>
          <w:rFonts w:ascii="Segoe UI" w:eastAsia="Times New Roman" w:hAnsi="Segoe UI" w:cs="Segoe UI"/>
          <w:color w:val="000000" w:themeColor="text1"/>
          <w:kern w:val="24"/>
          <w:sz w:val="9"/>
          <w:szCs w:val="9"/>
          <w:vertAlign w:val="superscript"/>
          <w:lang w:val="el-GR" w:eastAsia="el-GR"/>
        </w:rPr>
        <w:t>1</w:t>
      </w:r>
      <w:r w:rsidR="008510E3" w:rsidRPr="008510E3">
        <w:rPr>
          <w:rFonts w:ascii="Segoe UI" w:eastAsia="Times New Roman" w:hAnsi="Segoe UI" w:cs="Segoe UI"/>
          <w:color w:val="000000" w:themeColor="text1"/>
          <w:kern w:val="24"/>
          <w:sz w:val="9"/>
          <w:szCs w:val="9"/>
          <w:vertAlign w:val="superscript"/>
          <w:lang w:val="el-GR" w:eastAsia="el-GR"/>
        </w:rPr>
        <w:t xml:space="preserve"> </w:t>
      </w:r>
      <w:r w:rsidR="00CC1F0C" w:rsidRPr="00CC1F0C">
        <w:rPr>
          <w:rFonts w:ascii="Segoe UI" w:eastAsia="Times New Roman" w:hAnsi="Segoe UI" w:cs="Segoe UI"/>
          <w:color w:val="000000" w:themeColor="text1"/>
          <w:kern w:val="24"/>
          <w:sz w:val="9"/>
          <w:szCs w:val="9"/>
          <w:lang w:val="el-GR" w:eastAsia="el-GR"/>
        </w:rPr>
        <w:t xml:space="preserve">Περιλαμβάνουν μη επαναλαμβανόμενα κέρδη σχετιζόμενα με </w:t>
      </w:r>
      <w:r w:rsidR="00610DCB" w:rsidRPr="00610DCB">
        <w:rPr>
          <w:rFonts w:ascii="Segoe UI" w:eastAsia="Times New Roman" w:hAnsi="Segoe UI" w:cs="Segoe UI"/>
          <w:color w:val="000000" w:themeColor="text1"/>
          <w:kern w:val="24"/>
          <w:sz w:val="9"/>
          <w:szCs w:val="9"/>
          <w:lang w:val="el-GR" w:eastAsia="el-GR"/>
        </w:rPr>
        <w:t xml:space="preserve">την αντικατάσταση </w:t>
      </w:r>
      <w:r w:rsidR="00610DCB">
        <w:rPr>
          <w:rFonts w:ascii="Segoe UI" w:eastAsia="Times New Roman" w:hAnsi="Segoe UI" w:cs="Segoe UI"/>
          <w:color w:val="000000" w:themeColor="text1"/>
          <w:kern w:val="24"/>
          <w:sz w:val="9"/>
          <w:szCs w:val="9"/>
          <w:lang w:val="el-GR" w:eastAsia="el-GR"/>
        </w:rPr>
        <w:t xml:space="preserve">της </w:t>
      </w:r>
      <w:r w:rsidR="00CC1F0C" w:rsidRPr="00CC1F0C">
        <w:rPr>
          <w:rFonts w:ascii="Segoe UI" w:eastAsia="Times New Roman" w:hAnsi="Segoe UI" w:cs="Segoe UI"/>
          <w:color w:val="000000" w:themeColor="text1"/>
          <w:kern w:val="24"/>
          <w:sz w:val="9"/>
          <w:szCs w:val="9"/>
          <w:lang w:val="el-GR" w:eastAsia="el-GR"/>
        </w:rPr>
        <w:t>Συμφωνίας Ανταλλαγής Επιτοκίων με ΟΕΔ το Α’ τρίμηνο 2019 (€65 εκατ.), την πώληση του ξενοδοχείου “Grand Hotel” το Β’ τρίμηνο 2019 (€30 εκατ.), καθώς και την πώληση κρατικών ομολόγων το Γ’ τρίμηνο 2019 (€118 εκατ.)</w:t>
      </w:r>
    </w:p>
    <w:p w:rsidR="00CC1F0C" w:rsidRDefault="00CC1F0C" w:rsidP="00CC1F0C">
      <w:pPr>
        <w:spacing w:after="0" w:line="240" w:lineRule="auto"/>
        <w:jc w:val="both"/>
        <w:textAlignment w:val="baseline"/>
        <w:rPr>
          <w:rFonts w:ascii="Segoe UI" w:eastAsia="Times New Roman" w:hAnsi="Segoe UI" w:cs="Segoe UI"/>
          <w:color w:val="000000" w:themeColor="text1"/>
          <w:kern w:val="24"/>
          <w:sz w:val="9"/>
          <w:szCs w:val="9"/>
          <w:lang w:val="el-GR" w:eastAsia="el-GR"/>
        </w:rPr>
      </w:pPr>
      <w:r w:rsidRPr="00CC1F0C">
        <w:rPr>
          <w:rFonts w:ascii="Segoe UI" w:eastAsia="Times New Roman" w:hAnsi="Segoe UI" w:cs="Segoe UI"/>
          <w:color w:val="000000" w:themeColor="text1"/>
          <w:kern w:val="24"/>
          <w:sz w:val="9"/>
          <w:szCs w:val="9"/>
          <w:vertAlign w:val="superscript"/>
          <w:lang w:val="el-GR" w:eastAsia="el-GR"/>
        </w:rPr>
        <w:t>2</w:t>
      </w:r>
      <w:r w:rsidRPr="00CC1F0C">
        <w:rPr>
          <w:rFonts w:ascii="Segoe UI" w:eastAsia="Times New Roman" w:hAnsi="Segoe UI" w:cs="Segoe UI"/>
          <w:color w:val="000000" w:themeColor="text1"/>
          <w:kern w:val="24"/>
          <w:sz w:val="9"/>
          <w:szCs w:val="9"/>
          <w:lang w:val="el-GR" w:eastAsia="el-GR"/>
        </w:rPr>
        <w:t xml:space="preserve"> Τα λειτουργικά έξοδα το Γ’ τρίμηνο </w:t>
      </w:r>
      <w:r w:rsidR="006B417E" w:rsidRPr="006B417E">
        <w:rPr>
          <w:rFonts w:ascii="Segoe UI" w:eastAsia="Times New Roman" w:hAnsi="Segoe UI" w:cs="Segoe UI"/>
          <w:color w:val="000000" w:themeColor="text1"/>
          <w:kern w:val="24"/>
          <w:sz w:val="9"/>
          <w:szCs w:val="9"/>
          <w:lang w:val="el-GR" w:eastAsia="el-GR"/>
        </w:rPr>
        <w:t xml:space="preserve">2019 </w:t>
      </w:r>
      <w:r w:rsidRPr="00CC1F0C">
        <w:rPr>
          <w:rFonts w:ascii="Segoe UI" w:eastAsia="Times New Roman" w:hAnsi="Segoe UI" w:cs="Segoe UI"/>
          <w:color w:val="000000" w:themeColor="text1"/>
          <w:kern w:val="24"/>
          <w:sz w:val="9"/>
          <w:szCs w:val="9"/>
          <w:lang w:val="el-GR" w:eastAsia="el-GR"/>
        </w:rPr>
        <w:t xml:space="preserve">(+4% σε τριμηνιαία βάση) ενσωματώνουν την πλήρη επίπτωση στις αποσβέσεις από τη μετάβαση στο ΔΠΧΑ 16, ως αποτέλεσμα της πώλησης της συμμετοχής μας στην ΠΑΝΓΑΙΑ </w:t>
      </w:r>
    </w:p>
    <w:p w:rsidR="00CC1F0C" w:rsidRDefault="00CC1F0C" w:rsidP="00CC1F0C">
      <w:pPr>
        <w:spacing w:after="0" w:line="240" w:lineRule="auto"/>
        <w:jc w:val="both"/>
        <w:textAlignment w:val="baseline"/>
        <w:rPr>
          <w:rFonts w:ascii="Segoe UI" w:eastAsia="Times New Roman" w:hAnsi="Segoe UI" w:cs="Segoe UI"/>
          <w:color w:val="000000" w:themeColor="text1"/>
          <w:kern w:val="24"/>
          <w:sz w:val="9"/>
          <w:szCs w:val="9"/>
          <w:lang w:val="el-GR" w:eastAsia="el-GR"/>
        </w:rPr>
      </w:pPr>
      <w:r w:rsidRPr="00CC1F0C">
        <w:rPr>
          <w:rFonts w:ascii="Segoe UI" w:eastAsia="Times New Roman" w:hAnsi="Segoe UI" w:cs="Segoe UI"/>
          <w:color w:val="000000" w:themeColor="text1"/>
          <w:kern w:val="24"/>
          <w:sz w:val="7"/>
          <w:szCs w:val="9"/>
          <w:lang w:val="el-GR" w:eastAsia="el-GR"/>
        </w:rPr>
        <w:t>3</w:t>
      </w:r>
      <w:r w:rsidRPr="00CC1F0C">
        <w:rPr>
          <w:rFonts w:ascii="Segoe UI" w:eastAsia="Times New Roman" w:hAnsi="Segoe UI" w:cs="Segoe UI"/>
          <w:color w:val="000000" w:themeColor="text1"/>
          <w:kern w:val="24"/>
          <w:sz w:val="9"/>
          <w:szCs w:val="9"/>
          <w:lang w:val="el-GR" w:eastAsia="el-GR"/>
        </w:rPr>
        <w:t xml:space="preserve"> Περιλαμβάνουν ανακτήσεις δανείων ύψους €42 εκατ. σχετιζόμενες με την πώληση ΜΕΑ το Β’ τρίμηνο 2018</w:t>
      </w:r>
    </w:p>
    <w:p w:rsidR="000F0C47" w:rsidRDefault="006F12E1" w:rsidP="00CC1F0C">
      <w:pPr>
        <w:spacing w:after="0" w:line="240" w:lineRule="auto"/>
        <w:jc w:val="both"/>
        <w:textAlignment w:val="baseline"/>
        <w:rPr>
          <w:rFonts w:ascii="Segoe UI" w:eastAsia="Times New Roman" w:hAnsi="Segoe UI" w:cs="Segoe UI"/>
          <w:kern w:val="24"/>
          <w:sz w:val="9"/>
          <w:szCs w:val="9"/>
          <w:lang w:val="el-GR" w:eastAsia="el-GR"/>
        </w:rPr>
      </w:pPr>
      <w:r>
        <w:rPr>
          <w:rFonts w:ascii="Segoe UI" w:eastAsia="Times New Roman" w:hAnsi="Segoe UI" w:cs="Segoe UI"/>
          <w:color w:val="000000" w:themeColor="text1"/>
          <w:kern w:val="24"/>
          <w:sz w:val="9"/>
          <w:szCs w:val="9"/>
          <w:vertAlign w:val="superscript"/>
          <w:lang w:val="el-GR" w:eastAsia="el-GR"/>
        </w:rPr>
        <w:t>4</w:t>
      </w:r>
      <w:r w:rsidR="000F0C47">
        <w:rPr>
          <w:rFonts w:ascii="Segoe UI" w:eastAsia="Times New Roman" w:hAnsi="Segoe UI" w:cs="Segoe UI"/>
          <w:color w:val="000000" w:themeColor="text1"/>
          <w:kern w:val="24"/>
          <w:sz w:val="9"/>
          <w:szCs w:val="9"/>
          <w:lang w:val="el-GR" w:eastAsia="el-GR"/>
        </w:rPr>
        <w:t xml:space="preserve"> Περιλαμβάνουν το κέρδος περιόδου της Εθνικής Ασφαλιστικής (€46 εκατ.)</w:t>
      </w:r>
      <w:r w:rsidR="000F0C47">
        <w:rPr>
          <w:rFonts w:ascii="Segoe UI" w:eastAsia="Times New Roman" w:hAnsi="Segoe UI" w:cs="Segoe UI"/>
          <w:kern w:val="24"/>
          <w:sz w:val="9"/>
          <w:szCs w:val="9"/>
          <w:lang w:val="el-GR" w:eastAsia="el-GR"/>
        </w:rPr>
        <w:t xml:space="preserve"> και το κεφαλαιακό κέρδος από την πώληση της συμμετοχής της ΕΤΕ στην ΠΑΝΓΑΙΑ (€60 εκατ.)</w:t>
      </w:r>
    </w:p>
    <w:p w:rsidR="000F0C47" w:rsidRPr="00DB0F12" w:rsidRDefault="006F12E1" w:rsidP="000F0C47">
      <w:pPr>
        <w:spacing w:after="0" w:line="240" w:lineRule="auto"/>
        <w:jc w:val="both"/>
        <w:textAlignment w:val="baseline"/>
        <w:rPr>
          <w:noProof/>
          <w:lang w:val="el-GR" w:eastAsia="el-GR"/>
        </w:rPr>
      </w:pPr>
      <w:r>
        <w:rPr>
          <w:rFonts w:ascii="Segoe UI" w:eastAsia="Times New Roman" w:hAnsi="Segoe UI" w:cs="Segoe UI"/>
          <w:color w:val="000000" w:themeColor="text1"/>
          <w:kern w:val="24"/>
          <w:sz w:val="9"/>
          <w:szCs w:val="9"/>
          <w:vertAlign w:val="superscript"/>
          <w:lang w:val="el-GR" w:eastAsia="el-GR"/>
        </w:rPr>
        <w:t>5</w:t>
      </w:r>
      <w:r w:rsidR="000F0C47" w:rsidRPr="00DB0F12">
        <w:rPr>
          <w:rFonts w:ascii="Segoe UI" w:eastAsia="Times New Roman" w:hAnsi="Segoe UI" w:cs="Segoe UI"/>
          <w:color w:val="000000" w:themeColor="text1"/>
          <w:kern w:val="24"/>
          <w:sz w:val="9"/>
          <w:szCs w:val="9"/>
          <w:lang w:val="el-GR" w:eastAsia="el-GR"/>
        </w:rPr>
        <w:t xml:space="preserve"> Κ</w:t>
      </w:r>
      <w:r w:rsidR="000F0C47">
        <w:rPr>
          <w:rFonts w:ascii="Segoe UI" w:eastAsia="Times New Roman" w:hAnsi="Segoe UI" w:cs="Segoe UI"/>
          <w:color w:val="000000" w:themeColor="text1"/>
          <w:kern w:val="24"/>
          <w:sz w:val="9"/>
          <w:szCs w:val="9"/>
          <w:lang w:val="el-GR" w:eastAsia="el-GR"/>
        </w:rPr>
        <w:t>όστος</w:t>
      </w:r>
      <w:r w:rsidR="000F0C47" w:rsidRPr="00DB0F12">
        <w:rPr>
          <w:rFonts w:ascii="Segoe UI" w:eastAsia="Times New Roman" w:hAnsi="Segoe UI" w:cs="Segoe UI"/>
          <w:color w:val="000000" w:themeColor="text1"/>
          <w:kern w:val="24"/>
          <w:sz w:val="9"/>
          <w:szCs w:val="9"/>
          <w:lang w:val="el-GR" w:eastAsia="el-GR"/>
        </w:rPr>
        <w:t xml:space="preserve"> </w:t>
      </w:r>
      <w:r w:rsidR="000F0C47">
        <w:rPr>
          <w:rFonts w:ascii="Segoe UI" w:eastAsia="Times New Roman" w:hAnsi="Segoe UI" w:cs="Segoe UI"/>
          <w:color w:val="000000" w:themeColor="text1"/>
          <w:kern w:val="24"/>
          <w:sz w:val="9"/>
          <w:szCs w:val="9"/>
          <w:lang w:val="el-GR" w:eastAsia="el-GR"/>
        </w:rPr>
        <w:t>Εθελουσίας</w:t>
      </w:r>
      <w:r w:rsidR="000F0C47" w:rsidRPr="00DB0F12">
        <w:rPr>
          <w:rFonts w:ascii="Segoe UI" w:eastAsia="Times New Roman" w:hAnsi="Segoe UI" w:cs="Segoe UI"/>
          <w:color w:val="000000" w:themeColor="text1"/>
          <w:kern w:val="24"/>
          <w:sz w:val="9"/>
          <w:szCs w:val="9"/>
          <w:lang w:val="el-GR" w:eastAsia="el-GR"/>
        </w:rPr>
        <w:t xml:space="preserve"> Προσωπικού ύψους €</w:t>
      </w:r>
      <w:r w:rsidR="000F0C47">
        <w:rPr>
          <w:rFonts w:ascii="Segoe UI" w:eastAsia="Times New Roman" w:hAnsi="Segoe UI" w:cs="Segoe UI"/>
          <w:color w:val="000000" w:themeColor="text1"/>
          <w:kern w:val="24"/>
          <w:sz w:val="9"/>
          <w:szCs w:val="9"/>
          <w:lang w:val="el-GR" w:eastAsia="el-GR"/>
        </w:rPr>
        <w:t>94</w:t>
      </w:r>
      <w:r w:rsidR="000F0C47" w:rsidRPr="00DB0F12">
        <w:rPr>
          <w:rFonts w:ascii="Segoe UI" w:eastAsia="Times New Roman" w:hAnsi="Segoe UI" w:cs="Segoe UI"/>
          <w:color w:val="000000" w:themeColor="text1"/>
          <w:kern w:val="24"/>
          <w:sz w:val="9"/>
          <w:szCs w:val="9"/>
          <w:lang w:val="el-GR" w:eastAsia="el-GR"/>
        </w:rPr>
        <w:t xml:space="preserve"> εκατ. και λοιπά κόστη αναδιάρθρωσης €</w:t>
      </w:r>
      <w:r w:rsidR="000F0C47">
        <w:rPr>
          <w:rFonts w:ascii="Segoe UI" w:eastAsia="Times New Roman" w:hAnsi="Segoe UI" w:cs="Segoe UI"/>
          <w:color w:val="000000" w:themeColor="text1"/>
          <w:kern w:val="24"/>
          <w:sz w:val="9"/>
          <w:szCs w:val="9"/>
          <w:lang w:val="el-GR" w:eastAsia="el-GR"/>
        </w:rPr>
        <w:t>7</w:t>
      </w:r>
      <w:r w:rsidR="000F0C47" w:rsidRPr="00DB0F12">
        <w:rPr>
          <w:rFonts w:ascii="Segoe UI" w:eastAsia="Times New Roman" w:hAnsi="Segoe UI" w:cs="Segoe UI"/>
          <w:color w:val="000000" w:themeColor="text1"/>
          <w:kern w:val="24"/>
          <w:sz w:val="9"/>
          <w:szCs w:val="9"/>
          <w:lang w:val="el-GR" w:eastAsia="el-GR"/>
        </w:rPr>
        <w:t xml:space="preserve"> εκατ</w:t>
      </w:r>
      <w:r w:rsidR="00DD22FB">
        <w:rPr>
          <w:rFonts w:ascii="Segoe UI" w:eastAsia="Times New Roman" w:hAnsi="Segoe UI" w:cs="Segoe UI"/>
          <w:color w:val="000000" w:themeColor="text1"/>
          <w:kern w:val="24"/>
          <w:sz w:val="9"/>
          <w:szCs w:val="9"/>
          <w:lang w:val="el-GR" w:eastAsia="el-GR"/>
        </w:rPr>
        <w:t>.</w:t>
      </w:r>
      <w:r w:rsidR="000F0C47">
        <w:rPr>
          <w:rFonts w:ascii="Segoe UI" w:eastAsia="Times New Roman" w:hAnsi="Segoe UI" w:cs="Segoe UI"/>
          <w:color w:val="000000" w:themeColor="text1"/>
          <w:kern w:val="24"/>
          <w:sz w:val="9"/>
          <w:szCs w:val="9"/>
          <w:lang w:val="el-GR" w:eastAsia="el-GR"/>
        </w:rPr>
        <w:t xml:space="preserve"> το Α’ τρίμηνο</w:t>
      </w:r>
      <w:r w:rsidR="007004FC">
        <w:rPr>
          <w:rFonts w:ascii="Segoe UI" w:eastAsia="Times New Roman" w:hAnsi="Segoe UI" w:cs="Segoe UI"/>
          <w:color w:val="000000" w:themeColor="text1"/>
          <w:kern w:val="24"/>
          <w:sz w:val="9"/>
          <w:szCs w:val="9"/>
          <w:lang w:val="el-GR" w:eastAsia="el-GR"/>
        </w:rPr>
        <w:t xml:space="preserve"> 2019</w:t>
      </w:r>
      <w:r w:rsidR="000F0C47">
        <w:rPr>
          <w:rFonts w:ascii="Segoe UI" w:eastAsia="Times New Roman" w:hAnsi="Segoe UI" w:cs="Segoe UI"/>
          <w:color w:val="000000" w:themeColor="text1"/>
          <w:kern w:val="24"/>
          <w:sz w:val="9"/>
          <w:szCs w:val="9"/>
          <w:lang w:val="el-GR" w:eastAsia="el-GR"/>
        </w:rPr>
        <w:t>, €4 εκατ. το Β’ τρίμηνο</w:t>
      </w:r>
      <w:r w:rsidR="007004FC">
        <w:rPr>
          <w:rFonts w:ascii="Segoe UI" w:eastAsia="Times New Roman" w:hAnsi="Segoe UI" w:cs="Segoe UI"/>
          <w:color w:val="000000" w:themeColor="text1"/>
          <w:kern w:val="24"/>
          <w:sz w:val="9"/>
          <w:szCs w:val="9"/>
          <w:lang w:val="el-GR" w:eastAsia="el-GR"/>
        </w:rPr>
        <w:t xml:space="preserve"> 2019</w:t>
      </w:r>
      <w:r w:rsidR="000F0C47">
        <w:rPr>
          <w:rFonts w:ascii="Segoe UI" w:eastAsia="Times New Roman" w:hAnsi="Segoe UI" w:cs="Segoe UI"/>
          <w:color w:val="000000" w:themeColor="text1"/>
          <w:kern w:val="24"/>
          <w:sz w:val="9"/>
          <w:szCs w:val="9"/>
          <w:lang w:val="el-GR" w:eastAsia="el-GR"/>
        </w:rPr>
        <w:t xml:space="preserve"> και €5 εκατ. το Γ’ τρίμηνο </w:t>
      </w:r>
      <w:r w:rsidR="007004FC">
        <w:rPr>
          <w:rFonts w:ascii="Segoe UI" w:eastAsia="Times New Roman" w:hAnsi="Segoe UI" w:cs="Segoe UI"/>
          <w:color w:val="000000" w:themeColor="text1"/>
          <w:kern w:val="24"/>
          <w:sz w:val="9"/>
          <w:szCs w:val="9"/>
          <w:lang w:val="el-GR" w:eastAsia="el-GR"/>
        </w:rPr>
        <w:t>2019</w:t>
      </w:r>
    </w:p>
    <w:p w:rsidR="00D374DD" w:rsidRPr="000851DE" w:rsidRDefault="00486D0B" w:rsidP="00111CB8">
      <w:pPr>
        <w:spacing w:after="0" w:line="240" w:lineRule="auto"/>
        <w:textAlignment w:val="baseline"/>
        <w:rPr>
          <w:rFonts w:ascii="Segoe UI" w:eastAsia="Times New Roman" w:hAnsi="Segoe UI" w:cs="Segoe UI"/>
          <w:color w:val="000000" w:themeColor="text1"/>
          <w:kern w:val="24"/>
          <w:sz w:val="12"/>
          <w:szCs w:val="10"/>
          <w:lang w:val="el-GR" w:eastAsia="el-GR"/>
        </w:rPr>
      </w:pPr>
      <w:r w:rsidRPr="00486D0B">
        <w:rPr>
          <w:noProof/>
          <w:lang w:val="el-GR" w:eastAsia="el-GR"/>
        </w:rPr>
        <w:pict>
          <v:rect id="_x0000_s1032" style="position:absolute;margin-left:-3pt;margin-top:1.85pt;width:282.65pt;height:24.55pt;z-index:251631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" filled="f" stroked="f">
            <v:shadow on="t" type="perspective" color="black" opacity="26214f" origin=",.5" offset="0,1pt" matrix="64881f,,,64881f"/>
            <v:path arrowok="t"/>
            <o:lock v:ext="edit" grouping="t"/>
            <v:textbox inset="1.2699mm,1.2699mm,1.2699mm,1.2699mm">
              <w:txbxContent>
                <w:p w:rsidR="005726A5" w:rsidRPr="0072739D" w:rsidRDefault="005726A5" w:rsidP="000851DE">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26131">
                    <w:rPr>
                      <w:rFonts w:ascii="Segoe UI" w:eastAsia="Segoe UI" w:hAnsi="Segoe UI" w:cs="Segoe UI"/>
                      <w:b/>
                      <w:color w:val="008080"/>
                      <w:kern w:val="24"/>
                      <w:sz w:val="18"/>
                    </w:rPr>
                    <w:t>|</w:t>
                  </w:r>
                  <w:r>
                    <w:rPr>
                      <w:rFonts w:ascii="Segoe UI" w:eastAsia="Segoe UI" w:hAnsi="Segoe UI" w:cs="Segoe UI"/>
                      <w:b/>
                      <w:color w:val="008080"/>
                      <w:kern w:val="24"/>
                      <w:sz w:val="18"/>
                    </w:rPr>
                    <w:t xml:space="preserve"> Λ</w:t>
                  </w:r>
                  <w:r w:rsidRPr="00BD03E4">
                    <w:rPr>
                      <w:rFonts w:ascii="Segoe UI" w:eastAsia="Segoe UI" w:hAnsi="Segoe UI" w:cs="Segoe UI"/>
                      <w:b/>
                      <w:color w:val="008080"/>
                      <w:kern w:val="24"/>
                      <w:sz w:val="18"/>
                    </w:rPr>
                    <w:t>οιπές διεθνείς δραστηριότητες</w:t>
                  </w:r>
                  <w:r w:rsidRPr="0072739D">
                    <w:rPr>
                      <w:rFonts w:ascii="Segoe UI" w:eastAsia="Calibri" w:hAnsi="Segoe UI" w:cs="Arial"/>
                      <w:b/>
                      <w:color w:val="008080"/>
                      <w:vertAlign w:val="superscript"/>
                      <w:lang w:val="en-US"/>
                    </w:rPr>
                    <w:footnoteRef/>
                  </w:r>
                </w:p>
                <w:p w:rsidR="005726A5" w:rsidRPr="00D46FEC" w:rsidRDefault="005726A5" w:rsidP="000851DE">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p>
                <w:p w:rsidR="005726A5" w:rsidRPr="00D46FEC" w:rsidRDefault="005726A5" w:rsidP="000851DE">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D46FEC" w:rsidRDefault="005726A5" w:rsidP="000851DE">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D46FEC" w:rsidRDefault="005726A5" w:rsidP="000851DE">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5726A5" w:rsidRPr="00FE1137" w:rsidRDefault="005726A5" w:rsidP="000851DE">
                  <w:pPr>
                    <w:pStyle w:val="Web"/>
                    <w:kinsoku w:val="0"/>
                    <w:overflowPunct w:val="0"/>
                    <w:spacing w:before="40" w:beforeAutospacing="0" w:after="0" w:afterAutospacing="0"/>
                    <w:ind w:left="547" w:hanging="547"/>
                    <w:textAlignment w:val="baseline"/>
                    <w:rPr>
                      <w:b/>
                      <w:color w:val="008080"/>
                      <w:sz w:val="16"/>
                    </w:rPr>
                  </w:pPr>
                </w:p>
              </w:txbxContent>
            </v:textbox>
          </v:rect>
        </w:pict>
      </w:r>
    </w:p>
    <w:p w:rsidR="00D374DD" w:rsidRPr="000851DE" w:rsidRDefault="00D374DD" w:rsidP="00D374DD">
      <w:pPr>
        <w:spacing w:after="0" w:line="240" w:lineRule="auto"/>
        <w:textAlignment w:val="baseline"/>
        <w:rPr>
          <w:rFonts w:ascii="Segoe UI" w:eastAsia="Times New Roman" w:hAnsi="Segoe UI" w:cs="Segoe UI"/>
          <w:color w:val="000000" w:themeColor="text1"/>
          <w:kern w:val="24"/>
          <w:sz w:val="12"/>
          <w:szCs w:val="10"/>
          <w:lang w:val="el-GR" w:eastAsia="el-GR"/>
        </w:rPr>
      </w:pPr>
    </w:p>
    <w:p w:rsidR="000851DE" w:rsidRPr="000851DE" w:rsidRDefault="00486D0B" w:rsidP="00D374DD">
      <w:pPr>
        <w:spacing w:after="0" w:line="240" w:lineRule="auto"/>
        <w:textAlignment w:val="baseline"/>
        <w:rPr>
          <w:rFonts w:ascii="Segoe UI" w:eastAsia="Times New Roman" w:hAnsi="Segoe UI" w:cs="Segoe UI"/>
          <w:color w:val="000000" w:themeColor="text1"/>
          <w:kern w:val="24"/>
          <w:sz w:val="12"/>
          <w:szCs w:val="10"/>
          <w:lang w:val="el-GR" w:eastAsia="el-GR"/>
        </w:rPr>
      </w:pPr>
      <w:r w:rsidRPr="00486D0B">
        <w:rPr>
          <w:rFonts w:ascii="Segoe UI" w:eastAsia="Times New Roman" w:hAnsi="Segoe UI" w:cs="Segoe UI"/>
          <w:i/>
          <w:noProof/>
          <w:sz w:val="14"/>
          <w:szCs w:val="16"/>
          <w:lang w:val="el-GR" w:eastAsia="el-GR"/>
        </w:rPr>
        <w:pict>
          <v:roundrect id="_x0000_s1052" style="position:absolute;margin-left:306.15pt;margin-top:8.8pt;width:43.1pt;height:210.95pt;z-index:25198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" filled="f" strokecolor="#ff7415"/>
        </w:pict>
      </w:r>
      <w:r w:rsidRPr="00486D0B">
        <w:rPr>
          <w:rFonts w:ascii="Segoe UI" w:eastAsia="Times New Roman" w:hAnsi="Segoe UI" w:cs="Segoe UI"/>
          <w:i/>
          <w:noProof/>
          <w:sz w:val="14"/>
          <w:szCs w:val="16"/>
          <w:lang w:val="el-GR" w:eastAsia="el-GR"/>
        </w:rPr>
        <w:pict>
          <v:roundrect id="_x0000_s1051" style="position:absolute;margin-left:178.35pt;margin-top:8.1pt;width:43.1pt;height:211.7pt;z-index:25198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" filled="f" strokecolor="#ff7415"/>
        </w:pict>
      </w:r>
    </w:p>
    <w:tbl>
      <w:tblPr>
        <w:tblW w:w="8676" w:type="dxa"/>
        <w:tblLayout w:type="fixed"/>
        <w:tblCellMar>
          <w:left w:w="0" w:type="dxa"/>
          <w:right w:w="0" w:type="dxa"/>
        </w:tblCellMar>
        <w:tblLook w:val="0420"/>
      </w:tblPr>
      <w:tblGrid>
        <w:gridCol w:w="3572"/>
        <w:gridCol w:w="850"/>
        <w:gridCol w:w="850"/>
        <w:gridCol w:w="850"/>
        <w:gridCol w:w="850"/>
        <w:gridCol w:w="852"/>
        <w:gridCol w:w="852"/>
      </w:tblGrid>
      <w:tr w:rsidR="00B41128" w:rsidRPr="00C62FEB" w:rsidTr="00546F09">
        <w:trPr>
          <w:trHeight w:val="289"/>
        </w:trPr>
        <w:tc>
          <w:tcPr>
            <w:tcW w:w="3572"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B41128" w:rsidRPr="00C62FEB" w:rsidRDefault="00B41128" w:rsidP="00546F09">
            <w:pPr>
              <w:spacing w:before="38" w:after="0" w:line="240" w:lineRule="auto"/>
              <w:textAlignment w:val="baseline"/>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n-US" w:eastAsia="el-GR"/>
              </w:rPr>
              <w:t>€ εκατ</w:t>
            </w:r>
            <w:r w:rsidRPr="00C62FEB">
              <w:rPr>
                <w:rFonts w:ascii="Segoe UI" w:eastAsia="Segoe UI" w:hAnsi="Segoe UI" w:cs="Segoe UI"/>
                <w:b/>
                <w:bCs/>
                <w:color w:val="000000"/>
                <w:kern w:val="24"/>
                <w:sz w:val="14"/>
                <w:szCs w:val="14"/>
                <w:lang w:val="el-GR" w:eastAsia="el-GR"/>
              </w:rPr>
              <w:t>.</w:t>
            </w:r>
          </w:p>
        </w:tc>
        <w:tc>
          <w:tcPr>
            <w:tcW w:w="850" w:type="dxa"/>
            <w:tcBorders>
              <w:top w:val="single" w:sz="8" w:space="0" w:color="000000"/>
              <w:left w:val="nil"/>
              <w:bottom w:val="single" w:sz="8" w:space="0" w:color="000000"/>
              <w:right w:val="nil"/>
            </w:tcBorders>
            <w:vAlign w:val="center"/>
          </w:tcPr>
          <w:p w:rsidR="00B41128" w:rsidRPr="00CC2C68" w:rsidRDefault="00843553" w:rsidP="00546F09">
            <w:pPr>
              <w:spacing w:after="0" w:line="240" w:lineRule="auto"/>
              <w:jc w:val="right"/>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Εννεάμηνο</w:t>
            </w:r>
            <w:r w:rsidRPr="00C62FEB">
              <w:rPr>
                <w:rFonts w:ascii="Segoe UI" w:eastAsia="Times New Roman" w:hAnsi="Segoe UI" w:cs="Segoe UI"/>
                <w:b/>
                <w:bCs/>
                <w:color w:val="000000" w:themeColor="text1"/>
                <w:kern w:val="24"/>
                <w:sz w:val="14"/>
                <w:szCs w:val="14"/>
                <w:lang w:val="el-GR" w:eastAsia="el-GR"/>
              </w:rPr>
              <w:t xml:space="preserve"> </w:t>
            </w:r>
            <w:r w:rsidRPr="00C62FEB">
              <w:rPr>
                <w:rFonts w:ascii="Segoe UI" w:eastAsia="Times New Roman" w:hAnsi="Segoe UI" w:cs="Segoe UI"/>
                <w:b/>
                <w:bCs/>
                <w:color w:val="000000" w:themeColor="text1"/>
                <w:kern w:val="24"/>
                <w:sz w:val="14"/>
                <w:szCs w:val="14"/>
                <w:lang w:val="en-US" w:eastAsia="el-GR"/>
              </w:rPr>
              <w:t xml:space="preserve"> </w:t>
            </w:r>
            <w:r w:rsidR="00B41128" w:rsidRPr="00C62FEB">
              <w:rPr>
                <w:rFonts w:ascii="Segoe UI" w:eastAsia="Times New Roman" w:hAnsi="Segoe UI" w:cs="Segoe UI"/>
                <w:b/>
                <w:bCs/>
                <w:color w:val="000000" w:themeColor="text1"/>
                <w:kern w:val="24"/>
                <w:sz w:val="14"/>
                <w:szCs w:val="14"/>
                <w:lang w:val="en-US" w:eastAsia="el-GR"/>
              </w:rPr>
              <w:t>201</w:t>
            </w:r>
            <w:r w:rsidR="00B41128">
              <w:rPr>
                <w:rFonts w:ascii="Segoe UI" w:eastAsia="Times New Roman" w:hAnsi="Segoe UI" w:cs="Segoe UI"/>
                <w:b/>
                <w:bCs/>
                <w:color w:val="000000" w:themeColor="text1"/>
                <w:kern w:val="24"/>
                <w:sz w:val="14"/>
                <w:szCs w:val="14"/>
                <w:lang w:val="el-GR" w:eastAsia="el-GR"/>
              </w:rPr>
              <w:t>9</w:t>
            </w:r>
          </w:p>
        </w:tc>
        <w:tc>
          <w:tcPr>
            <w:tcW w:w="850" w:type="dxa"/>
            <w:tcBorders>
              <w:top w:val="single" w:sz="8" w:space="0" w:color="000000"/>
              <w:left w:val="nil"/>
              <w:bottom w:val="single" w:sz="8" w:space="0" w:color="000000"/>
              <w:right w:val="nil"/>
            </w:tcBorders>
            <w:vAlign w:val="center"/>
          </w:tcPr>
          <w:p w:rsidR="00B41128" w:rsidRPr="00C62FEB" w:rsidRDefault="00843553" w:rsidP="00546F09">
            <w:pPr>
              <w:spacing w:after="0" w:line="240" w:lineRule="auto"/>
              <w:jc w:val="right"/>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Εννεάμηνο</w:t>
            </w:r>
            <w:r w:rsidRPr="00C62FEB">
              <w:rPr>
                <w:rFonts w:ascii="Segoe UI" w:eastAsia="Times New Roman" w:hAnsi="Segoe UI" w:cs="Segoe UI"/>
                <w:b/>
                <w:bCs/>
                <w:color w:val="000000" w:themeColor="text1"/>
                <w:kern w:val="24"/>
                <w:sz w:val="14"/>
                <w:szCs w:val="14"/>
                <w:lang w:val="el-GR" w:eastAsia="el-GR"/>
              </w:rPr>
              <w:t xml:space="preserve"> </w:t>
            </w:r>
            <w:r w:rsidRPr="00C62FEB">
              <w:rPr>
                <w:rFonts w:ascii="Segoe UI" w:eastAsia="Times New Roman" w:hAnsi="Segoe UI" w:cs="Segoe UI"/>
                <w:b/>
                <w:bCs/>
                <w:color w:val="000000" w:themeColor="text1"/>
                <w:kern w:val="24"/>
                <w:sz w:val="14"/>
                <w:szCs w:val="14"/>
                <w:lang w:val="en-US" w:eastAsia="el-GR"/>
              </w:rPr>
              <w:t xml:space="preserve"> </w:t>
            </w:r>
            <w:r w:rsidR="00B41128" w:rsidRPr="00C62FEB">
              <w:rPr>
                <w:rFonts w:ascii="Segoe UI" w:eastAsia="Times New Roman" w:hAnsi="Segoe UI" w:cs="Segoe UI"/>
                <w:b/>
                <w:bCs/>
                <w:color w:val="000000" w:themeColor="text1"/>
                <w:kern w:val="24"/>
                <w:sz w:val="14"/>
                <w:szCs w:val="14"/>
                <w:lang w:val="en-US" w:eastAsia="el-GR"/>
              </w:rPr>
              <w:t>2018</w:t>
            </w:r>
          </w:p>
        </w:tc>
        <w:tc>
          <w:tcPr>
            <w:tcW w:w="850"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B41128" w:rsidRPr="00C62FEB" w:rsidRDefault="00B41128" w:rsidP="00546F09">
            <w:pPr>
              <w:spacing w:before="38" w:after="0" w:line="240" w:lineRule="auto"/>
              <w:jc w:val="right"/>
              <w:textAlignment w:val="baseline"/>
              <w:rPr>
                <w:rFonts w:ascii="Segoe UI" w:eastAsia="Times New Roman" w:hAnsi="Segoe UI" w:cs="Segoe UI"/>
                <w:i/>
                <w:sz w:val="14"/>
                <w:szCs w:val="14"/>
                <w:lang w:val="en-US" w:eastAsia="el-GR"/>
              </w:rPr>
            </w:pPr>
            <w:r w:rsidRPr="00C62FEB">
              <w:rPr>
                <w:rFonts w:ascii="Segoe UI" w:eastAsia="Segoe UI" w:hAnsi="Segoe UI" w:cs="Segoe UI"/>
                <w:b/>
                <w:bCs/>
                <w:i/>
                <w:color w:val="000000"/>
                <w:kern w:val="24"/>
                <w:sz w:val="14"/>
                <w:szCs w:val="14"/>
                <w:lang w:val="el-GR" w:eastAsia="el-GR"/>
              </w:rPr>
              <w:t>Δ</w:t>
            </w:r>
            <w:r w:rsidR="00FE6545">
              <w:rPr>
                <w:rFonts w:ascii="Segoe UI" w:eastAsia="Segoe UI" w:hAnsi="Segoe UI" w:cs="Segoe UI"/>
                <w:b/>
                <w:bCs/>
                <w:i/>
                <w:color w:val="000000"/>
                <w:kern w:val="24"/>
                <w:sz w:val="14"/>
                <w:szCs w:val="14"/>
                <w:lang w:val="el-GR" w:eastAsia="el-GR"/>
              </w:rPr>
              <w:t xml:space="preserve"> (%)</w:t>
            </w:r>
          </w:p>
        </w:tc>
        <w:tc>
          <w:tcPr>
            <w:tcW w:w="850" w:type="dxa"/>
            <w:tcBorders>
              <w:top w:val="single" w:sz="8" w:space="0" w:color="000000"/>
              <w:left w:val="nil"/>
              <w:bottom w:val="single" w:sz="8" w:space="0" w:color="000000"/>
              <w:right w:val="nil"/>
            </w:tcBorders>
            <w:vAlign w:val="center"/>
          </w:tcPr>
          <w:p w:rsidR="00B41128" w:rsidRPr="00601A1B" w:rsidRDefault="00843553" w:rsidP="00546F09">
            <w:pPr>
              <w:spacing w:after="0" w:line="240" w:lineRule="auto"/>
              <w:jc w:val="right"/>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Γ</w:t>
            </w:r>
            <w:r w:rsidR="00B41128" w:rsidRPr="00C62FEB">
              <w:rPr>
                <w:rFonts w:ascii="Segoe UI" w:eastAsia="Times New Roman" w:hAnsi="Segoe UI" w:cs="Segoe UI"/>
                <w:b/>
                <w:bCs/>
                <w:color w:val="000000" w:themeColor="text1"/>
                <w:kern w:val="24"/>
                <w:sz w:val="14"/>
                <w:szCs w:val="14"/>
                <w:lang w:val="en-US" w:eastAsia="el-GR"/>
              </w:rPr>
              <w:t xml:space="preserve">‘ </w:t>
            </w:r>
            <w:r w:rsidR="00B41128">
              <w:rPr>
                <w:rFonts w:ascii="Segoe UI" w:eastAsia="Times New Roman" w:hAnsi="Segoe UI" w:cs="Segoe UI"/>
                <w:b/>
                <w:bCs/>
                <w:color w:val="000000" w:themeColor="text1"/>
                <w:kern w:val="24"/>
                <w:sz w:val="14"/>
                <w:szCs w:val="14"/>
                <w:lang w:val="el-GR" w:eastAsia="el-GR"/>
              </w:rPr>
              <w:t>τρίμηνο</w:t>
            </w:r>
            <w:r w:rsidR="00B41128" w:rsidRPr="00C62FEB">
              <w:rPr>
                <w:rFonts w:ascii="Segoe UI" w:eastAsia="Times New Roman" w:hAnsi="Segoe UI" w:cs="Segoe UI"/>
                <w:b/>
                <w:bCs/>
                <w:color w:val="000000" w:themeColor="text1"/>
                <w:kern w:val="24"/>
                <w:sz w:val="14"/>
                <w:szCs w:val="14"/>
                <w:lang w:val="el-GR" w:eastAsia="el-GR"/>
              </w:rPr>
              <w:t xml:space="preserve"> </w:t>
            </w:r>
            <w:r w:rsidR="00B41128" w:rsidRPr="00C62FEB">
              <w:rPr>
                <w:rFonts w:ascii="Segoe UI" w:eastAsia="Times New Roman" w:hAnsi="Segoe UI" w:cs="Segoe UI"/>
                <w:b/>
                <w:bCs/>
                <w:color w:val="000000" w:themeColor="text1"/>
                <w:kern w:val="24"/>
                <w:sz w:val="14"/>
                <w:szCs w:val="14"/>
                <w:lang w:val="en-US" w:eastAsia="el-GR"/>
              </w:rPr>
              <w:t xml:space="preserve"> 201</w:t>
            </w:r>
            <w:r w:rsidR="00B41128">
              <w:rPr>
                <w:rFonts w:ascii="Segoe UI" w:eastAsia="Times New Roman" w:hAnsi="Segoe UI" w:cs="Segoe UI"/>
                <w:b/>
                <w:bCs/>
                <w:color w:val="000000" w:themeColor="text1"/>
                <w:kern w:val="24"/>
                <w:sz w:val="14"/>
                <w:szCs w:val="14"/>
                <w:lang w:val="el-GR" w:eastAsia="el-GR"/>
              </w:rPr>
              <w:t>9</w:t>
            </w:r>
          </w:p>
        </w:tc>
        <w:tc>
          <w:tcPr>
            <w:tcW w:w="852" w:type="dxa"/>
            <w:tcBorders>
              <w:top w:val="single" w:sz="8" w:space="0" w:color="000000"/>
              <w:left w:val="nil"/>
              <w:bottom w:val="single" w:sz="8" w:space="0" w:color="000000"/>
              <w:right w:val="nil"/>
            </w:tcBorders>
            <w:vAlign w:val="center"/>
          </w:tcPr>
          <w:p w:rsidR="00B41128" w:rsidRPr="00C62FEB" w:rsidRDefault="00843553" w:rsidP="00546F09">
            <w:pPr>
              <w:spacing w:after="0" w:line="240" w:lineRule="auto"/>
              <w:jc w:val="right"/>
              <w:rPr>
                <w:rFonts w:ascii="Segoe UI" w:eastAsia="Times New Roman" w:hAnsi="Segoe UI" w:cs="Segoe UI"/>
                <w:b/>
                <w:bCs/>
                <w:color w:val="000000" w:themeColor="text1"/>
                <w:kern w:val="24"/>
                <w:sz w:val="14"/>
                <w:szCs w:val="14"/>
                <w:lang w:val="en-US" w:eastAsia="el-GR"/>
              </w:rPr>
            </w:pPr>
            <w:r>
              <w:rPr>
                <w:rFonts w:ascii="Segoe UI" w:eastAsia="Times New Roman" w:hAnsi="Segoe UI" w:cs="Segoe UI"/>
                <w:b/>
                <w:bCs/>
                <w:color w:val="000000" w:themeColor="text1"/>
                <w:kern w:val="24"/>
                <w:sz w:val="14"/>
                <w:szCs w:val="14"/>
                <w:lang w:val="el-GR" w:eastAsia="el-GR"/>
              </w:rPr>
              <w:t>Β</w:t>
            </w:r>
            <w:r w:rsidR="00B41128" w:rsidRPr="00C62FEB">
              <w:rPr>
                <w:rFonts w:ascii="Segoe UI" w:eastAsia="Times New Roman" w:hAnsi="Segoe UI" w:cs="Segoe UI"/>
                <w:b/>
                <w:bCs/>
                <w:color w:val="000000" w:themeColor="text1"/>
                <w:kern w:val="24"/>
                <w:sz w:val="14"/>
                <w:szCs w:val="14"/>
                <w:lang w:val="en-US" w:eastAsia="el-GR"/>
              </w:rPr>
              <w:t xml:space="preserve">‘ </w:t>
            </w:r>
            <w:r w:rsidR="00B41128">
              <w:rPr>
                <w:rFonts w:ascii="Segoe UI" w:eastAsia="Times New Roman" w:hAnsi="Segoe UI" w:cs="Segoe UI"/>
                <w:b/>
                <w:bCs/>
                <w:color w:val="000000" w:themeColor="text1"/>
                <w:kern w:val="24"/>
                <w:sz w:val="14"/>
                <w:szCs w:val="14"/>
                <w:lang w:val="el-GR" w:eastAsia="el-GR"/>
              </w:rPr>
              <w:t>τρίμηνο</w:t>
            </w:r>
            <w:r w:rsidR="00B41128" w:rsidRPr="00C62FEB">
              <w:rPr>
                <w:rFonts w:ascii="Segoe UI" w:eastAsia="Times New Roman" w:hAnsi="Segoe UI" w:cs="Segoe UI"/>
                <w:b/>
                <w:bCs/>
                <w:color w:val="000000" w:themeColor="text1"/>
                <w:kern w:val="24"/>
                <w:sz w:val="14"/>
                <w:szCs w:val="14"/>
                <w:lang w:val="el-GR" w:eastAsia="el-GR"/>
              </w:rPr>
              <w:t xml:space="preserve"> </w:t>
            </w:r>
            <w:r w:rsidR="00B41128" w:rsidRPr="00C62FEB">
              <w:rPr>
                <w:rFonts w:ascii="Segoe UI" w:eastAsia="Times New Roman" w:hAnsi="Segoe UI" w:cs="Segoe UI"/>
                <w:b/>
                <w:bCs/>
                <w:color w:val="000000" w:themeColor="text1"/>
                <w:kern w:val="24"/>
                <w:sz w:val="14"/>
                <w:szCs w:val="14"/>
                <w:lang w:val="en-US" w:eastAsia="el-GR"/>
              </w:rPr>
              <w:t xml:space="preserve"> 201</w:t>
            </w:r>
            <w:r w:rsidR="00B41128">
              <w:rPr>
                <w:rFonts w:ascii="Segoe UI" w:eastAsia="Times New Roman" w:hAnsi="Segoe UI" w:cs="Segoe UI"/>
                <w:b/>
                <w:bCs/>
                <w:color w:val="000000" w:themeColor="text1"/>
                <w:kern w:val="24"/>
                <w:sz w:val="14"/>
                <w:szCs w:val="14"/>
                <w:lang w:val="el-GR" w:eastAsia="el-GR"/>
              </w:rPr>
              <w:t>9</w:t>
            </w:r>
          </w:p>
        </w:tc>
        <w:tc>
          <w:tcPr>
            <w:tcW w:w="852"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B41128" w:rsidRPr="00C62FEB" w:rsidRDefault="00B41128" w:rsidP="00546F09">
            <w:pPr>
              <w:spacing w:before="38" w:after="0" w:line="240" w:lineRule="auto"/>
              <w:jc w:val="right"/>
              <w:textAlignment w:val="baseline"/>
              <w:rPr>
                <w:rFonts w:ascii="Segoe UI" w:eastAsia="Times New Roman" w:hAnsi="Segoe UI" w:cs="Segoe UI"/>
                <w:i/>
                <w:sz w:val="14"/>
                <w:szCs w:val="14"/>
                <w:lang w:val="el-GR" w:eastAsia="el-GR"/>
              </w:rPr>
            </w:pPr>
            <w:r w:rsidRPr="00C62FEB">
              <w:rPr>
                <w:rFonts w:ascii="Segoe UI" w:eastAsia="Segoe UI" w:hAnsi="Segoe UI" w:cs="Segoe UI"/>
                <w:b/>
                <w:bCs/>
                <w:i/>
                <w:color w:val="000000"/>
                <w:kern w:val="24"/>
                <w:sz w:val="14"/>
                <w:szCs w:val="14"/>
                <w:lang w:val="el-GR" w:eastAsia="el-GR"/>
              </w:rPr>
              <w:t>Δ</w:t>
            </w:r>
            <w:r w:rsidR="00FE6545">
              <w:rPr>
                <w:rFonts w:ascii="Segoe UI" w:eastAsia="Segoe UI" w:hAnsi="Segoe UI" w:cs="Segoe UI"/>
                <w:b/>
                <w:bCs/>
                <w:i/>
                <w:color w:val="000000"/>
                <w:kern w:val="24"/>
                <w:sz w:val="14"/>
                <w:szCs w:val="14"/>
                <w:lang w:val="el-GR" w:eastAsia="el-GR"/>
              </w:rPr>
              <w:t xml:space="preserve"> (%)</w:t>
            </w:r>
          </w:p>
        </w:tc>
      </w:tr>
      <w:tr w:rsidR="00E54AF0" w:rsidRPr="00C62FEB" w:rsidTr="00AF1BA2">
        <w:trPr>
          <w:trHeight w:val="113"/>
        </w:trPr>
        <w:tc>
          <w:tcPr>
            <w:tcW w:w="3572"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Καθαρά έσοδα από τόκους</w:t>
            </w:r>
          </w:p>
        </w:tc>
        <w:tc>
          <w:tcPr>
            <w:tcW w:w="850" w:type="dxa"/>
            <w:tcBorders>
              <w:top w:val="single" w:sz="8" w:space="0" w:color="000000"/>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46</w:t>
            </w:r>
          </w:p>
        </w:tc>
        <w:tc>
          <w:tcPr>
            <w:tcW w:w="850" w:type="dxa"/>
            <w:tcBorders>
              <w:top w:val="single" w:sz="8" w:space="0" w:color="000000"/>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49</w:t>
            </w:r>
          </w:p>
        </w:tc>
        <w:tc>
          <w:tcPr>
            <w:tcW w:w="850" w:type="dxa"/>
            <w:tcBorders>
              <w:top w:val="single" w:sz="8" w:space="0" w:color="000000"/>
              <w:left w:val="nil"/>
              <w:bottom w:val="nil"/>
              <w:right w:val="nil"/>
            </w:tcBorders>
            <w:tcMar>
              <w:top w:w="15" w:type="dxa"/>
              <w:left w:w="15" w:type="dxa"/>
              <w:bottom w:w="0" w:type="dxa"/>
              <w:right w:w="78" w:type="dxa"/>
            </w:tcMar>
            <w:vAlign w:val="center"/>
            <w:hideMark/>
          </w:tcPr>
          <w:p w:rsidR="00E54AF0" w:rsidRPr="00E54AF0" w:rsidRDefault="00E54AF0" w:rsidP="00036348">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w:t>
            </w:r>
            <w:r w:rsidR="00036348">
              <w:rPr>
                <w:rFonts w:ascii="Segoe UI" w:eastAsia="Times New Roman" w:hAnsi="Segoe UI" w:cs="Segoe UI"/>
                <w:i/>
                <w:sz w:val="14"/>
                <w:szCs w:val="16"/>
                <w:lang w:eastAsia="el-GR"/>
              </w:rPr>
              <w:t>5</w:t>
            </w:r>
            <w:r w:rsidRPr="00E54AF0">
              <w:rPr>
                <w:rFonts w:ascii="Segoe UI" w:eastAsia="Times New Roman" w:hAnsi="Segoe UI" w:cs="Segoe UI"/>
                <w:i/>
                <w:sz w:val="14"/>
                <w:szCs w:val="16"/>
                <w:lang w:eastAsia="el-GR"/>
              </w:rPr>
              <w:t>%</w:t>
            </w:r>
          </w:p>
        </w:tc>
        <w:tc>
          <w:tcPr>
            <w:tcW w:w="850" w:type="dxa"/>
            <w:tcBorders>
              <w:top w:val="single" w:sz="8" w:space="0" w:color="000000"/>
              <w:left w:val="nil"/>
              <w:bottom w:val="nil"/>
              <w:right w:val="nil"/>
            </w:tcBorders>
            <w:shd w:val="clear" w:color="auto" w:fill="auto"/>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rPr>
            </w:pPr>
            <w:r w:rsidRPr="00E54AF0">
              <w:rPr>
                <w:rFonts w:ascii="Segoe UI" w:eastAsia="Segoe UI" w:hAnsi="Segoe UI" w:cs="Segoe UI"/>
                <w:color w:val="000000" w:themeColor="text1"/>
                <w:kern w:val="24"/>
                <w:sz w:val="14"/>
                <w:szCs w:val="16"/>
              </w:rPr>
              <w:t>1</w:t>
            </w:r>
            <w:r w:rsidRPr="00E54AF0">
              <w:rPr>
                <w:rFonts w:ascii="Segoe UI" w:eastAsia="Segoe UI" w:hAnsi="Segoe UI" w:cs="Segoe UI"/>
                <w:color w:val="000000" w:themeColor="text1"/>
                <w:kern w:val="24"/>
                <w:sz w:val="14"/>
                <w:szCs w:val="16"/>
                <w:lang w:val="en-US"/>
              </w:rPr>
              <w:t>5</w:t>
            </w:r>
          </w:p>
        </w:tc>
        <w:tc>
          <w:tcPr>
            <w:tcW w:w="852" w:type="dxa"/>
            <w:tcBorders>
              <w:top w:val="single" w:sz="8" w:space="0" w:color="000000"/>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16</w:t>
            </w:r>
          </w:p>
        </w:tc>
        <w:tc>
          <w:tcPr>
            <w:tcW w:w="852" w:type="dxa"/>
            <w:tcBorders>
              <w:top w:val="single" w:sz="8" w:space="0" w:color="000000"/>
              <w:left w:val="nil"/>
              <w:bottom w:val="nil"/>
              <w:right w:val="nil"/>
            </w:tcBorders>
            <w:shd w:val="clear" w:color="auto" w:fill="auto"/>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-3%</w:t>
            </w:r>
          </w:p>
        </w:tc>
      </w:tr>
      <w:tr w:rsidR="00E54AF0"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themeColor="text1"/>
                <w:kern w:val="24"/>
                <w:sz w:val="14"/>
                <w:szCs w:val="14"/>
                <w:lang w:val="el-GR" w:eastAsia="el-GR"/>
              </w:rPr>
              <w:t>Καθαρά έσοδα από προμήθειες</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10</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10</w:t>
            </w:r>
          </w:p>
        </w:tc>
        <w:tc>
          <w:tcPr>
            <w:tcW w:w="850" w:type="dxa"/>
            <w:tcBorders>
              <w:top w:val="nil"/>
              <w:left w:val="nil"/>
              <w:bottom w:val="nil"/>
              <w:right w:val="nil"/>
            </w:tcBorders>
            <w:tcMar>
              <w:top w:w="15" w:type="dxa"/>
              <w:left w:w="15" w:type="dxa"/>
              <w:bottom w:w="0" w:type="dxa"/>
              <w:right w:w="78"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+7%</w:t>
            </w:r>
          </w:p>
        </w:tc>
        <w:tc>
          <w:tcPr>
            <w:tcW w:w="850" w:type="dxa"/>
            <w:tcBorders>
              <w:top w:val="nil"/>
              <w:left w:val="nil"/>
              <w:bottom w:val="nil"/>
              <w:right w:val="nil"/>
            </w:tcBorders>
            <w:shd w:val="clear" w:color="auto" w:fill="auto"/>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rPr>
            </w:pPr>
            <w:r w:rsidRPr="00E54AF0">
              <w:rPr>
                <w:rFonts w:ascii="Segoe UI" w:eastAsia="Segoe UI" w:hAnsi="Segoe UI" w:cs="Segoe UI"/>
                <w:color w:val="000000" w:themeColor="text1"/>
                <w:kern w:val="24"/>
                <w:sz w:val="14"/>
                <w:szCs w:val="16"/>
                <w:lang w:val="en-US"/>
              </w:rPr>
              <w:t>4</w:t>
            </w:r>
          </w:p>
        </w:tc>
        <w:tc>
          <w:tcPr>
            <w:tcW w:w="852"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4</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+9%</w:t>
            </w:r>
          </w:p>
        </w:tc>
      </w:tr>
      <w:tr w:rsidR="00E54AF0" w:rsidRPr="00C62FEB" w:rsidTr="00AF1BA2">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themeColor="text1"/>
                <w:kern w:val="24"/>
                <w:sz w:val="14"/>
                <w:szCs w:val="14"/>
                <w:lang w:val="el-GR" w:eastAsia="el-GR"/>
              </w:rPr>
              <w:t>Οργανικά έσοδα</w:t>
            </w:r>
          </w:p>
        </w:tc>
        <w:tc>
          <w:tcPr>
            <w:tcW w:w="850" w:type="dxa"/>
            <w:tcBorders>
              <w:top w:val="nil"/>
              <w:left w:val="nil"/>
              <w:bottom w:val="nil"/>
              <w:right w:val="nil"/>
            </w:tcBorders>
            <w:shd w:val="clear" w:color="auto" w:fill="F2F2F2" w:themeFill="background1" w:themeFillShade="F2"/>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lang w:val="en-US"/>
              </w:rPr>
            </w:pPr>
            <w:r w:rsidRPr="00E54AF0">
              <w:rPr>
                <w:rFonts w:ascii="Segoe UI" w:eastAsia="Segoe UI" w:hAnsi="Segoe UI" w:cs="Segoe UI"/>
                <w:b/>
                <w:color w:val="000000" w:themeColor="text1"/>
                <w:kern w:val="24"/>
                <w:sz w:val="14"/>
                <w:szCs w:val="16"/>
                <w:lang w:val="en-US"/>
              </w:rPr>
              <w:t>57</w:t>
            </w:r>
          </w:p>
        </w:tc>
        <w:tc>
          <w:tcPr>
            <w:tcW w:w="850" w:type="dxa"/>
            <w:tcBorders>
              <w:top w:val="nil"/>
              <w:left w:val="nil"/>
              <w:bottom w:val="nil"/>
              <w:right w:val="nil"/>
            </w:tcBorders>
            <w:shd w:val="clear" w:color="auto" w:fill="F2F2F2" w:themeFill="background1" w:themeFillShade="F2"/>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lang w:val="en-US"/>
              </w:rPr>
            </w:pPr>
            <w:r w:rsidRPr="00E54AF0">
              <w:rPr>
                <w:rFonts w:ascii="Segoe UI" w:eastAsia="Segoe UI" w:hAnsi="Segoe UI" w:cs="Segoe UI"/>
                <w:b/>
                <w:color w:val="000000" w:themeColor="text1"/>
                <w:kern w:val="24"/>
                <w:sz w:val="14"/>
                <w:szCs w:val="16"/>
                <w:lang w:val="en-US"/>
              </w:rPr>
              <w:t>59</w:t>
            </w:r>
          </w:p>
        </w:tc>
        <w:tc>
          <w:tcPr>
            <w:tcW w:w="850"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eastAsia="el-GR"/>
              </w:rPr>
            </w:pPr>
            <w:r w:rsidRPr="00E54AF0">
              <w:rPr>
                <w:rFonts w:ascii="Segoe UI" w:eastAsia="Times New Roman" w:hAnsi="Segoe UI" w:cs="Segoe UI"/>
                <w:b/>
                <w:i/>
                <w:sz w:val="14"/>
                <w:szCs w:val="16"/>
                <w:lang w:eastAsia="el-GR"/>
              </w:rPr>
              <w:t>-3%</w:t>
            </w:r>
          </w:p>
        </w:tc>
        <w:tc>
          <w:tcPr>
            <w:tcW w:w="850" w:type="dxa"/>
            <w:tcBorders>
              <w:top w:val="nil"/>
              <w:left w:val="nil"/>
              <w:bottom w:val="nil"/>
              <w:right w:val="nil"/>
            </w:tcBorders>
            <w:shd w:val="clear" w:color="auto" w:fill="F2F2F2" w:themeFill="background1" w:themeFillShade="F2"/>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rPr>
            </w:pPr>
            <w:r w:rsidRPr="00E54AF0">
              <w:rPr>
                <w:rFonts w:ascii="Segoe UI" w:eastAsia="Segoe UI" w:hAnsi="Segoe UI" w:cs="Segoe UI"/>
                <w:b/>
                <w:color w:val="000000" w:themeColor="text1"/>
                <w:kern w:val="24"/>
                <w:sz w:val="14"/>
                <w:szCs w:val="16"/>
                <w:lang w:val="en-US"/>
              </w:rPr>
              <w:t>19</w:t>
            </w:r>
          </w:p>
        </w:tc>
        <w:tc>
          <w:tcPr>
            <w:tcW w:w="852" w:type="dxa"/>
            <w:tcBorders>
              <w:top w:val="nil"/>
              <w:left w:val="nil"/>
              <w:bottom w:val="nil"/>
              <w:right w:val="nil"/>
            </w:tcBorders>
            <w:shd w:val="clear" w:color="auto" w:fill="F2F2F2" w:themeFill="background1" w:themeFillShade="F2"/>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lang w:val="en-US"/>
              </w:rPr>
            </w:pPr>
            <w:r w:rsidRPr="00E54AF0">
              <w:rPr>
                <w:rFonts w:ascii="Segoe UI" w:eastAsia="Segoe UI" w:hAnsi="Segoe UI" w:cs="Segoe UI"/>
                <w:b/>
                <w:color w:val="000000" w:themeColor="text1"/>
                <w:kern w:val="24"/>
                <w:sz w:val="14"/>
                <w:szCs w:val="16"/>
                <w:lang w:val="en-US"/>
              </w:rPr>
              <w:t>19</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eastAsia="el-GR"/>
              </w:rPr>
            </w:pPr>
            <w:r w:rsidRPr="00E54AF0">
              <w:rPr>
                <w:rFonts w:ascii="Segoe UI" w:eastAsia="Times New Roman" w:hAnsi="Segoe UI" w:cs="Segoe UI"/>
                <w:b/>
                <w:i/>
                <w:sz w:val="14"/>
                <w:szCs w:val="16"/>
                <w:lang w:eastAsia="el-GR"/>
              </w:rPr>
              <w:t>-1%</w:t>
            </w:r>
          </w:p>
        </w:tc>
      </w:tr>
      <w:tr w:rsidR="00E54AF0"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Έσοδα από χρημ</w:t>
            </w:r>
            <w:r>
              <w:rPr>
                <w:rFonts w:ascii="Segoe UI" w:eastAsia="Segoe UI" w:hAnsi="Segoe UI" w:cs="Segoe UI"/>
                <w:color w:val="000000"/>
                <w:kern w:val="24"/>
                <w:sz w:val="14"/>
                <w:szCs w:val="14"/>
                <w:lang w:val="el-GR" w:eastAsia="el-GR"/>
              </w:rPr>
              <w:t>ατ/μι</w:t>
            </w:r>
            <w:r w:rsidRPr="00C62FEB">
              <w:rPr>
                <w:rFonts w:ascii="Segoe UI" w:eastAsia="Segoe UI" w:hAnsi="Segoe UI" w:cs="Segoe UI"/>
                <w:color w:val="000000"/>
                <w:kern w:val="24"/>
                <w:sz w:val="14"/>
                <w:szCs w:val="14"/>
                <w:lang w:val="el-GR" w:eastAsia="el-GR"/>
              </w:rPr>
              <w:t>κές πράξεις και λοιπά έσοδα</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3</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3</w:t>
            </w:r>
          </w:p>
        </w:tc>
        <w:tc>
          <w:tcPr>
            <w:tcW w:w="850" w:type="dxa"/>
            <w:tcBorders>
              <w:top w:val="nil"/>
              <w:left w:val="nil"/>
              <w:bottom w:val="nil"/>
              <w:right w:val="nil"/>
            </w:tcBorders>
            <w:tcMar>
              <w:top w:w="15" w:type="dxa"/>
              <w:left w:w="15" w:type="dxa"/>
              <w:bottom w:w="0" w:type="dxa"/>
              <w:right w:w="78" w:type="dxa"/>
            </w:tcMar>
            <w:vAlign w:val="center"/>
            <w:hideMark/>
          </w:tcPr>
          <w:p w:rsidR="00E54AF0" w:rsidRPr="00E54AF0" w:rsidRDefault="00E54AF0" w:rsidP="00036348">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w:t>
            </w:r>
            <w:r w:rsidR="00036348">
              <w:rPr>
                <w:rFonts w:ascii="Segoe UI" w:eastAsia="Times New Roman" w:hAnsi="Segoe UI" w:cs="Segoe UI"/>
                <w:i/>
                <w:sz w:val="14"/>
                <w:szCs w:val="16"/>
                <w:lang w:eastAsia="el-GR"/>
              </w:rPr>
              <w:t>7</w:t>
            </w:r>
            <w:r w:rsidRPr="00E54AF0">
              <w:rPr>
                <w:rFonts w:ascii="Segoe UI" w:eastAsia="Times New Roman" w:hAnsi="Segoe UI" w:cs="Segoe UI"/>
                <w:i/>
                <w:sz w:val="14"/>
                <w:szCs w:val="16"/>
                <w:lang w:eastAsia="el-GR"/>
              </w:rPr>
              <w:t>%</w:t>
            </w:r>
          </w:p>
        </w:tc>
        <w:tc>
          <w:tcPr>
            <w:tcW w:w="850" w:type="dxa"/>
            <w:tcBorders>
              <w:top w:val="nil"/>
              <w:left w:val="nil"/>
              <w:bottom w:val="nil"/>
              <w:right w:val="nil"/>
            </w:tcBorders>
            <w:shd w:val="clear" w:color="auto" w:fill="auto"/>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rPr>
            </w:pPr>
            <w:r w:rsidRPr="00E54AF0">
              <w:rPr>
                <w:rFonts w:ascii="Segoe UI" w:eastAsia="Segoe UI" w:hAnsi="Segoe UI" w:cs="Segoe UI"/>
                <w:color w:val="000000" w:themeColor="text1"/>
                <w:kern w:val="24"/>
                <w:sz w:val="14"/>
                <w:szCs w:val="16"/>
                <w:lang w:val="en-US"/>
              </w:rPr>
              <w:t>1</w:t>
            </w:r>
          </w:p>
        </w:tc>
        <w:tc>
          <w:tcPr>
            <w:tcW w:w="852"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2</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-50%</w:t>
            </w:r>
          </w:p>
        </w:tc>
      </w:tr>
      <w:tr w:rsidR="00E54AF0" w:rsidRPr="00C62FEB" w:rsidTr="00546F09">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 xml:space="preserve">Καθαρά λειτουργικά έσοδα </w:t>
            </w:r>
          </w:p>
        </w:tc>
        <w:tc>
          <w:tcPr>
            <w:tcW w:w="850"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60</w:t>
            </w:r>
          </w:p>
        </w:tc>
        <w:tc>
          <w:tcPr>
            <w:tcW w:w="850"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62</w:t>
            </w:r>
          </w:p>
        </w:tc>
        <w:tc>
          <w:tcPr>
            <w:tcW w:w="850" w:type="dxa"/>
            <w:tcBorders>
              <w:top w:val="nil"/>
              <w:left w:val="nil"/>
              <w:bottom w:val="nil"/>
              <w:right w:val="nil"/>
            </w:tcBorders>
            <w:shd w:val="clear" w:color="auto" w:fill="F2F2F2"/>
            <w:tcMar>
              <w:top w:w="15" w:type="dxa"/>
              <w:left w:w="15" w:type="dxa"/>
              <w:bottom w:w="0" w:type="dxa"/>
              <w:right w:w="78"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eastAsia="el-GR"/>
              </w:rPr>
            </w:pPr>
            <w:r w:rsidRPr="00E54AF0">
              <w:rPr>
                <w:rFonts w:ascii="Segoe UI" w:eastAsia="Times New Roman" w:hAnsi="Segoe UI" w:cs="Segoe UI"/>
                <w:b/>
                <w:i/>
                <w:sz w:val="14"/>
                <w:szCs w:val="16"/>
                <w:lang w:eastAsia="el-GR"/>
              </w:rPr>
              <w:t>-3%</w:t>
            </w:r>
          </w:p>
        </w:tc>
        <w:tc>
          <w:tcPr>
            <w:tcW w:w="850"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rPr>
            </w:pPr>
            <w:r w:rsidRPr="00E54AF0">
              <w:rPr>
                <w:rFonts w:ascii="Segoe UI" w:eastAsia="Segoe UI" w:hAnsi="Segoe UI" w:cs="Segoe UI"/>
                <w:b/>
                <w:bCs/>
                <w:color w:val="000000" w:themeColor="text1"/>
                <w:kern w:val="24"/>
                <w:sz w:val="14"/>
                <w:szCs w:val="16"/>
                <w:lang w:val="en-US"/>
              </w:rPr>
              <w:t>20</w:t>
            </w:r>
          </w:p>
        </w:tc>
        <w:tc>
          <w:tcPr>
            <w:tcW w:w="852"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21</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E54AF0" w:rsidRPr="00E54AF0" w:rsidRDefault="00036348" w:rsidP="00036348">
            <w:pPr>
              <w:spacing w:after="0" w:line="240" w:lineRule="auto"/>
              <w:jc w:val="right"/>
              <w:textAlignment w:val="center"/>
              <w:rPr>
                <w:rFonts w:ascii="Segoe UI" w:eastAsia="Times New Roman" w:hAnsi="Segoe UI" w:cs="Segoe UI"/>
                <w:b/>
                <w:i/>
                <w:sz w:val="14"/>
                <w:szCs w:val="16"/>
                <w:lang w:eastAsia="el-GR"/>
              </w:rPr>
            </w:pPr>
            <w:r>
              <w:rPr>
                <w:rFonts w:ascii="Segoe UI" w:eastAsia="Times New Roman" w:hAnsi="Segoe UI" w:cs="Segoe UI"/>
                <w:b/>
                <w:i/>
                <w:sz w:val="14"/>
                <w:szCs w:val="16"/>
                <w:lang w:eastAsia="el-GR"/>
              </w:rPr>
              <w:t>-</w:t>
            </w:r>
            <w:r w:rsidR="00E54AF0" w:rsidRPr="00E54AF0">
              <w:rPr>
                <w:rFonts w:ascii="Segoe UI" w:eastAsia="Times New Roman" w:hAnsi="Segoe UI" w:cs="Segoe UI"/>
                <w:b/>
                <w:i/>
                <w:sz w:val="14"/>
                <w:szCs w:val="16"/>
                <w:lang w:eastAsia="el-GR"/>
              </w:rPr>
              <w:t>6%</w:t>
            </w:r>
          </w:p>
        </w:tc>
      </w:tr>
      <w:tr w:rsidR="00E54AF0"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Λειτουργικές δαπάνες</w:t>
            </w:r>
          </w:p>
        </w:tc>
        <w:tc>
          <w:tcPr>
            <w:tcW w:w="850" w:type="dxa"/>
            <w:tcBorders>
              <w:top w:val="nil"/>
              <w:left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Cs/>
                <w:color w:val="000000" w:themeColor="text1"/>
                <w:kern w:val="24"/>
                <w:sz w:val="14"/>
                <w:szCs w:val="16"/>
                <w:lang w:val="en-US"/>
              </w:rPr>
              <w:t>(29)</w:t>
            </w:r>
          </w:p>
        </w:tc>
        <w:tc>
          <w:tcPr>
            <w:tcW w:w="850" w:type="dxa"/>
            <w:tcBorders>
              <w:top w:val="nil"/>
              <w:left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Cs/>
                <w:color w:val="000000" w:themeColor="text1"/>
                <w:kern w:val="24"/>
                <w:sz w:val="14"/>
                <w:szCs w:val="16"/>
                <w:lang w:val="en-US"/>
              </w:rPr>
              <w:t>(33)</w:t>
            </w:r>
          </w:p>
        </w:tc>
        <w:tc>
          <w:tcPr>
            <w:tcW w:w="850" w:type="dxa"/>
            <w:tcBorders>
              <w:top w:val="nil"/>
              <w:left w:val="nil"/>
              <w:right w:val="nil"/>
            </w:tcBorders>
            <w:tcMar>
              <w:top w:w="15" w:type="dxa"/>
              <w:left w:w="15" w:type="dxa"/>
              <w:bottom w:w="0" w:type="dxa"/>
              <w:right w:w="78"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-12%</w:t>
            </w:r>
          </w:p>
        </w:tc>
        <w:tc>
          <w:tcPr>
            <w:tcW w:w="850" w:type="dxa"/>
            <w:tcBorders>
              <w:top w:val="nil"/>
              <w:left w:val="nil"/>
              <w:bottom w:val="nil"/>
              <w:right w:val="nil"/>
            </w:tcBorders>
            <w:shd w:val="clear" w:color="auto" w:fill="auto"/>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rPr>
            </w:pPr>
            <w:r w:rsidRPr="00E54AF0">
              <w:rPr>
                <w:rFonts w:ascii="Segoe UI" w:eastAsia="Segoe UI" w:hAnsi="Segoe UI" w:cs="Segoe UI"/>
                <w:bCs/>
                <w:color w:val="000000" w:themeColor="text1"/>
                <w:kern w:val="24"/>
                <w:sz w:val="14"/>
                <w:szCs w:val="16"/>
                <w:lang w:val="en-US"/>
              </w:rPr>
              <w:t>(9)</w:t>
            </w:r>
          </w:p>
        </w:tc>
        <w:tc>
          <w:tcPr>
            <w:tcW w:w="852" w:type="dxa"/>
            <w:tcBorders>
              <w:top w:val="nil"/>
              <w:left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Cs/>
                <w:color w:val="000000" w:themeColor="text1"/>
                <w:kern w:val="24"/>
                <w:sz w:val="14"/>
                <w:szCs w:val="16"/>
                <w:lang w:val="en-US"/>
              </w:rPr>
              <w:t>(10)</w:t>
            </w:r>
          </w:p>
        </w:tc>
        <w:tc>
          <w:tcPr>
            <w:tcW w:w="852" w:type="dxa"/>
            <w:tcBorders>
              <w:top w:val="nil"/>
              <w:left w:val="nil"/>
              <w:right w:val="nil"/>
            </w:tcBorders>
            <w:shd w:val="clear" w:color="auto" w:fill="auto"/>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-13%</w:t>
            </w:r>
          </w:p>
        </w:tc>
      </w:tr>
      <w:tr w:rsidR="00E54AF0" w:rsidRPr="00C62FEB" w:rsidTr="00AF1BA2">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 xml:space="preserve">Οργανικά κέρδη / (ζημίες) προ προβλέψεων </w:t>
            </w:r>
          </w:p>
        </w:tc>
        <w:tc>
          <w:tcPr>
            <w:tcW w:w="850" w:type="dxa"/>
            <w:tcBorders>
              <w:top w:val="nil"/>
              <w:left w:val="nil"/>
              <w:bottom w:val="nil"/>
              <w:right w:val="nil"/>
            </w:tcBorders>
            <w:shd w:val="clear" w:color="auto" w:fill="F2F2F2" w:themeFill="background1" w:themeFillShade="F2"/>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lang w:val="en-US"/>
              </w:rPr>
            </w:pPr>
            <w:r w:rsidRPr="00E54AF0">
              <w:rPr>
                <w:rFonts w:ascii="Segoe UI" w:eastAsia="Segoe UI" w:hAnsi="Segoe UI" w:cs="Segoe UI"/>
                <w:b/>
                <w:color w:val="000000" w:themeColor="text1"/>
                <w:kern w:val="24"/>
                <w:sz w:val="14"/>
                <w:szCs w:val="16"/>
                <w:lang w:val="en-US"/>
              </w:rPr>
              <w:t>28</w:t>
            </w:r>
          </w:p>
        </w:tc>
        <w:tc>
          <w:tcPr>
            <w:tcW w:w="850" w:type="dxa"/>
            <w:tcBorders>
              <w:top w:val="nil"/>
              <w:left w:val="nil"/>
              <w:bottom w:val="nil"/>
              <w:right w:val="nil"/>
            </w:tcBorders>
            <w:shd w:val="clear" w:color="auto" w:fill="F2F2F2" w:themeFill="background1" w:themeFillShade="F2"/>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lang w:val="en-US"/>
              </w:rPr>
            </w:pPr>
            <w:r w:rsidRPr="00E54AF0">
              <w:rPr>
                <w:rFonts w:ascii="Segoe UI" w:eastAsia="Segoe UI" w:hAnsi="Segoe UI" w:cs="Segoe UI"/>
                <w:b/>
                <w:color w:val="000000" w:themeColor="text1"/>
                <w:kern w:val="24"/>
                <w:sz w:val="14"/>
                <w:szCs w:val="16"/>
                <w:lang w:val="en-US"/>
              </w:rPr>
              <w:t>26</w:t>
            </w:r>
          </w:p>
        </w:tc>
        <w:tc>
          <w:tcPr>
            <w:tcW w:w="850"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eastAsia="el-GR"/>
              </w:rPr>
            </w:pPr>
            <w:r w:rsidRPr="00E54AF0">
              <w:rPr>
                <w:rFonts w:ascii="Segoe UI" w:eastAsia="Times New Roman" w:hAnsi="Segoe UI" w:cs="Segoe UI"/>
                <w:b/>
                <w:i/>
                <w:sz w:val="14"/>
                <w:szCs w:val="16"/>
                <w:lang w:eastAsia="el-GR"/>
              </w:rPr>
              <w:t>+8%</w:t>
            </w:r>
          </w:p>
        </w:tc>
        <w:tc>
          <w:tcPr>
            <w:tcW w:w="850" w:type="dxa"/>
            <w:tcBorders>
              <w:top w:val="nil"/>
              <w:left w:val="nil"/>
              <w:bottom w:val="nil"/>
              <w:right w:val="nil"/>
            </w:tcBorders>
            <w:shd w:val="clear" w:color="auto" w:fill="F2F2F2" w:themeFill="background1" w:themeFillShade="F2"/>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rPr>
            </w:pPr>
            <w:r w:rsidRPr="00E54AF0">
              <w:rPr>
                <w:rFonts w:ascii="Segoe UI" w:eastAsia="Segoe UI" w:hAnsi="Segoe UI" w:cs="Segoe UI"/>
                <w:b/>
                <w:color w:val="000000" w:themeColor="text1"/>
                <w:kern w:val="24"/>
                <w:sz w:val="14"/>
                <w:szCs w:val="16"/>
                <w:lang w:val="en-US"/>
              </w:rPr>
              <w:t>10</w:t>
            </w:r>
          </w:p>
        </w:tc>
        <w:tc>
          <w:tcPr>
            <w:tcW w:w="852" w:type="dxa"/>
            <w:tcBorders>
              <w:top w:val="nil"/>
              <w:left w:val="nil"/>
              <w:bottom w:val="nil"/>
              <w:right w:val="nil"/>
            </w:tcBorders>
            <w:shd w:val="clear" w:color="auto" w:fill="F2F2F2" w:themeFill="background1" w:themeFillShade="F2"/>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lang w:val="en-US"/>
              </w:rPr>
            </w:pPr>
            <w:r w:rsidRPr="00E54AF0">
              <w:rPr>
                <w:rFonts w:ascii="Segoe UI" w:eastAsia="Segoe UI" w:hAnsi="Segoe UI" w:cs="Segoe UI"/>
                <w:b/>
                <w:color w:val="000000" w:themeColor="text1"/>
                <w:kern w:val="24"/>
                <w:sz w:val="14"/>
                <w:szCs w:val="16"/>
                <w:lang w:val="en-US"/>
              </w:rPr>
              <w:t>9</w:t>
            </w:r>
          </w:p>
        </w:tc>
        <w:tc>
          <w:tcPr>
            <w:tcW w:w="852" w:type="dxa"/>
            <w:tcBorders>
              <w:top w:val="nil"/>
              <w:left w:val="nil"/>
              <w:bottom w:val="nil"/>
              <w:right w:val="nil"/>
            </w:tcBorders>
            <w:shd w:val="clear" w:color="auto" w:fill="F2F2F2" w:themeFill="background1" w:themeFillShade="F2"/>
            <w:tcMar>
              <w:top w:w="15" w:type="dxa"/>
              <w:left w:w="15" w:type="dxa"/>
              <w:bottom w:w="0" w:type="dxa"/>
              <w:right w:w="84" w:type="dxa"/>
            </w:tcMar>
            <w:vAlign w:val="center"/>
            <w:hideMark/>
          </w:tcPr>
          <w:p w:rsidR="00E54AF0" w:rsidRPr="00E54AF0" w:rsidRDefault="00E54AF0" w:rsidP="009169FC">
            <w:pPr>
              <w:spacing w:after="0" w:line="240" w:lineRule="auto"/>
              <w:jc w:val="right"/>
              <w:textAlignment w:val="center"/>
              <w:rPr>
                <w:rFonts w:ascii="Segoe UI" w:eastAsia="Times New Roman" w:hAnsi="Segoe UI" w:cs="Segoe UI"/>
                <w:b/>
                <w:i/>
                <w:sz w:val="14"/>
                <w:szCs w:val="16"/>
                <w:lang w:eastAsia="el-GR"/>
              </w:rPr>
            </w:pPr>
            <w:r w:rsidRPr="00E54AF0">
              <w:rPr>
                <w:rFonts w:ascii="Segoe UI" w:eastAsia="Times New Roman" w:hAnsi="Segoe UI" w:cs="Segoe UI"/>
                <w:b/>
                <w:i/>
                <w:sz w:val="14"/>
                <w:szCs w:val="16"/>
                <w:lang w:eastAsia="el-GR"/>
              </w:rPr>
              <w:t>+1</w:t>
            </w:r>
            <w:r w:rsidR="009169FC">
              <w:rPr>
                <w:rFonts w:ascii="Segoe UI" w:eastAsia="Times New Roman" w:hAnsi="Segoe UI" w:cs="Segoe UI"/>
                <w:b/>
                <w:i/>
                <w:sz w:val="14"/>
                <w:szCs w:val="16"/>
                <w:lang w:eastAsia="el-GR"/>
              </w:rPr>
              <w:t>3</w:t>
            </w:r>
            <w:r w:rsidRPr="00E54AF0">
              <w:rPr>
                <w:rFonts w:ascii="Segoe UI" w:eastAsia="Times New Roman" w:hAnsi="Segoe UI" w:cs="Segoe UI"/>
                <w:b/>
                <w:i/>
                <w:sz w:val="14"/>
                <w:szCs w:val="16"/>
                <w:lang w:eastAsia="el-GR"/>
              </w:rPr>
              <w:t>%</w:t>
            </w:r>
          </w:p>
        </w:tc>
      </w:tr>
      <w:tr w:rsidR="00E54AF0" w:rsidRPr="00C62FEB" w:rsidTr="00AF1BA2">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Κέρδη / (ζημίες) προ προβλέψεων</w:t>
            </w:r>
          </w:p>
        </w:tc>
        <w:tc>
          <w:tcPr>
            <w:tcW w:w="850" w:type="dxa"/>
            <w:tcBorders>
              <w:top w:val="nil"/>
              <w:left w:val="nil"/>
              <w:bottom w:val="nil"/>
              <w:right w:val="nil"/>
            </w:tcBorders>
            <w:shd w:val="clear" w:color="auto" w:fill="F2F2F2" w:themeFill="background1" w:themeFillShade="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31</w:t>
            </w:r>
          </w:p>
        </w:tc>
        <w:tc>
          <w:tcPr>
            <w:tcW w:w="850" w:type="dxa"/>
            <w:tcBorders>
              <w:top w:val="nil"/>
              <w:left w:val="nil"/>
              <w:bottom w:val="nil"/>
              <w:right w:val="nil"/>
            </w:tcBorders>
            <w:shd w:val="clear" w:color="auto" w:fill="F2F2F2" w:themeFill="background1" w:themeFillShade="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29</w:t>
            </w:r>
          </w:p>
        </w:tc>
        <w:tc>
          <w:tcPr>
            <w:tcW w:w="850"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eastAsia="el-GR"/>
              </w:rPr>
            </w:pPr>
            <w:r w:rsidRPr="00E54AF0">
              <w:rPr>
                <w:rFonts w:ascii="Segoe UI" w:eastAsia="Times New Roman" w:hAnsi="Segoe UI" w:cs="Segoe UI"/>
                <w:b/>
                <w:i/>
                <w:sz w:val="14"/>
                <w:szCs w:val="16"/>
                <w:lang w:eastAsia="el-GR"/>
              </w:rPr>
              <w:t>+8%</w:t>
            </w:r>
          </w:p>
        </w:tc>
        <w:tc>
          <w:tcPr>
            <w:tcW w:w="850"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rPr>
            </w:pPr>
            <w:r w:rsidRPr="00E54AF0">
              <w:rPr>
                <w:rFonts w:ascii="Segoe UI" w:eastAsia="Segoe UI" w:hAnsi="Segoe UI" w:cs="Segoe UI"/>
                <w:b/>
                <w:bCs/>
                <w:color w:val="000000" w:themeColor="text1"/>
                <w:kern w:val="24"/>
                <w:sz w:val="14"/>
                <w:szCs w:val="16"/>
                <w:lang w:val="en-US"/>
              </w:rPr>
              <w:t>11</w:t>
            </w:r>
          </w:p>
        </w:tc>
        <w:tc>
          <w:tcPr>
            <w:tcW w:w="852" w:type="dxa"/>
            <w:tcBorders>
              <w:top w:val="nil"/>
              <w:left w:val="nil"/>
              <w:bottom w:val="nil"/>
              <w:right w:val="nil"/>
            </w:tcBorders>
            <w:shd w:val="clear" w:color="auto" w:fill="F2F2F2" w:themeFill="background1" w:themeFillShade="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11</w:t>
            </w:r>
          </w:p>
        </w:tc>
        <w:tc>
          <w:tcPr>
            <w:tcW w:w="852" w:type="dxa"/>
            <w:tcBorders>
              <w:top w:val="nil"/>
              <w:left w:val="nil"/>
              <w:bottom w:val="nil"/>
              <w:right w:val="nil"/>
            </w:tcBorders>
            <w:shd w:val="clear" w:color="auto" w:fill="F2F2F2" w:themeFill="background1" w:themeFillShade="F2"/>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eastAsia="el-GR"/>
              </w:rPr>
            </w:pPr>
            <w:r w:rsidRPr="00E54AF0">
              <w:rPr>
                <w:rFonts w:ascii="Segoe UI" w:eastAsia="Times New Roman" w:hAnsi="Segoe UI" w:cs="Segoe UI"/>
                <w:b/>
                <w:i/>
                <w:sz w:val="14"/>
                <w:szCs w:val="16"/>
                <w:lang w:eastAsia="el-GR"/>
              </w:rPr>
              <w:t>+1%</w:t>
            </w:r>
          </w:p>
        </w:tc>
      </w:tr>
      <w:tr w:rsidR="00E54AF0"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Προβλέψεις για επισφαλή δάνεια</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(80)</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(5)</w:t>
            </w:r>
          </w:p>
        </w:tc>
        <w:tc>
          <w:tcPr>
            <w:tcW w:w="850" w:type="dxa"/>
            <w:tcBorders>
              <w:top w:val="nil"/>
              <w:left w:val="nil"/>
              <w:bottom w:val="nil"/>
              <w:right w:val="nil"/>
            </w:tcBorders>
            <w:tcMar>
              <w:top w:w="15" w:type="dxa"/>
              <w:left w:w="15" w:type="dxa"/>
              <w:bottom w:w="0" w:type="dxa"/>
              <w:right w:w="78"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&gt;100%</w:t>
            </w:r>
          </w:p>
        </w:tc>
        <w:tc>
          <w:tcPr>
            <w:tcW w:w="850" w:type="dxa"/>
            <w:tcBorders>
              <w:top w:val="nil"/>
              <w:left w:val="nil"/>
              <w:bottom w:val="nil"/>
              <w:right w:val="nil"/>
            </w:tcBorders>
            <w:shd w:val="clear" w:color="auto" w:fill="auto"/>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rPr>
            </w:pPr>
            <w:r w:rsidRPr="00E54AF0">
              <w:rPr>
                <w:rFonts w:ascii="Segoe UI" w:eastAsia="Segoe UI" w:hAnsi="Segoe UI" w:cs="Segoe UI"/>
                <w:color w:val="000000" w:themeColor="text1"/>
                <w:kern w:val="24"/>
                <w:sz w:val="14"/>
                <w:szCs w:val="16"/>
                <w:lang w:val="en-US"/>
              </w:rPr>
              <w:t>(77)</w:t>
            </w:r>
          </w:p>
        </w:tc>
        <w:tc>
          <w:tcPr>
            <w:tcW w:w="852"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(1)</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&gt;100%</w:t>
            </w:r>
          </w:p>
        </w:tc>
      </w:tr>
      <w:tr w:rsidR="00E54AF0" w:rsidRPr="00C62FEB" w:rsidTr="00AF1BA2">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Λειτουργικά κέρδη / (ζημίες)</w:t>
            </w:r>
          </w:p>
        </w:tc>
        <w:tc>
          <w:tcPr>
            <w:tcW w:w="850"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(49)</w:t>
            </w:r>
          </w:p>
        </w:tc>
        <w:tc>
          <w:tcPr>
            <w:tcW w:w="850"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24</w:t>
            </w:r>
          </w:p>
        </w:tc>
        <w:tc>
          <w:tcPr>
            <w:tcW w:w="850" w:type="dxa"/>
            <w:tcBorders>
              <w:top w:val="nil"/>
              <w:left w:val="nil"/>
              <w:bottom w:val="nil"/>
              <w:right w:val="nil"/>
            </w:tcBorders>
            <w:shd w:val="clear" w:color="auto" w:fill="F2F2F2"/>
            <w:tcMar>
              <w:top w:w="15" w:type="dxa"/>
              <w:left w:w="15" w:type="dxa"/>
              <w:bottom w:w="0" w:type="dxa"/>
              <w:right w:w="78"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val="el-GR" w:eastAsia="el-GR"/>
              </w:rPr>
            </w:pPr>
            <w:r>
              <w:rPr>
                <w:rFonts w:ascii="Segoe UI" w:eastAsia="Times New Roman" w:hAnsi="Segoe UI" w:cs="Segoe UI"/>
                <w:b/>
                <w:i/>
                <w:sz w:val="14"/>
                <w:szCs w:val="16"/>
                <w:lang w:val="el-GR" w:eastAsia="el-GR"/>
              </w:rPr>
              <w:t>--</w:t>
            </w:r>
          </w:p>
        </w:tc>
        <w:tc>
          <w:tcPr>
            <w:tcW w:w="850"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rPr>
            </w:pPr>
            <w:r w:rsidRPr="00E54AF0">
              <w:rPr>
                <w:rFonts w:ascii="Segoe UI" w:eastAsia="Segoe UI" w:hAnsi="Segoe UI" w:cs="Segoe UI"/>
                <w:b/>
                <w:bCs/>
                <w:color w:val="000000" w:themeColor="text1"/>
                <w:kern w:val="24"/>
                <w:sz w:val="14"/>
                <w:szCs w:val="16"/>
                <w:lang w:val="en-US"/>
              </w:rPr>
              <w:t>(66)</w:t>
            </w:r>
          </w:p>
        </w:tc>
        <w:tc>
          <w:tcPr>
            <w:tcW w:w="852"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10</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val="el-GR" w:eastAsia="el-GR"/>
              </w:rPr>
            </w:pPr>
            <w:r>
              <w:rPr>
                <w:rFonts w:ascii="Segoe UI" w:eastAsia="Times New Roman" w:hAnsi="Segoe UI" w:cs="Segoe UI"/>
                <w:b/>
                <w:i/>
                <w:sz w:val="14"/>
                <w:szCs w:val="16"/>
                <w:lang w:val="el-GR" w:eastAsia="el-GR"/>
              </w:rPr>
              <w:t>--</w:t>
            </w:r>
          </w:p>
        </w:tc>
      </w:tr>
      <w:tr w:rsidR="00E54AF0"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Λοιπές προβλέψεις</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(1)</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(1)</w:t>
            </w:r>
          </w:p>
        </w:tc>
        <w:tc>
          <w:tcPr>
            <w:tcW w:w="850" w:type="dxa"/>
            <w:tcBorders>
              <w:top w:val="nil"/>
              <w:left w:val="nil"/>
              <w:bottom w:val="nil"/>
              <w:right w:val="nil"/>
            </w:tcBorders>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-29%</w:t>
            </w:r>
          </w:p>
        </w:tc>
        <w:tc>
          <w:tcPr>
            <w:tcW w:w="850" w:type="dxa"/>
            <w:tcBorders>
              <w:top w:val="nil"/>
              <w:left w:val="nil"/>
              <w:bottom w:val="nil"/>
              <w:right w:val="nil"/>
            </w:tcBorders>
            <w:shd w:val="clear" w:color="auto" w:fill="auto"/>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rPr>
            </w:pPr>
            <w:r w:rsidRPr="00E54AF0">
              <w:rPr>
                <w:rFonts w:ascii="Segoe UI" w:eastAsia="Segoe UI" w:hAnsi="Segoe UI" w:cs="Segoe UI"/>
                <w:color w:val="000000" w:themeColor="text1"/>
                <w:kern w:val="24"/>
                <w:sz w:val="14"/>
                <w:szCs w:val="16"/>
                <w:lang w:val="en-US"/>
              </w:rPr>
              <w:t>(</w:t>
            </w:r>
            <w:r w:rsidRPr="00E54AF0">
              <w:rPr>
                <w:rFonts w:ascii="Segoe UI" w:eastAsia="Segoe UI" w:hAnsi="Segoe UI" w:cs="Segoe UI"/>
                <w:color w:val="000000" w:themeColor="text1"/>
                <w:kern w:val="24"/>
                <w:sz w:val="14"/>
                <w:szCs w:val="16"/>
              </w:rPr>
              <w:t>0</w:t>
            </w:r>
            <w:r w:rsidRPr="00E54AF0">
              <w:rPr>
                <w:rFonts w:ascii="Segoe UI" w:eastAsia="Segoe UI" w:hAnsi="Segoe UI" w:cs="Segoe UI"/>
                <w:color w:val="000000" w:themeColor="text1"/>
                <w:kern w:val="24"/>
                <w:sz w:val="14"/>
                <w:szCs w:val="16"/>
                <w:lang w:val="en-US"/>
              </w:rPr>
              <w:t>)</w:t>
            </w:r>
          </w:p>
        </w:tc>
        <w:tc>
          <w:tcPr>
            <w:tcW w:w="852"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(0)</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0%</w:t>
            </w:r>
          </w:p>
        </w:tc>
      </w:tr>
      <w:tr w:rsidR="00E54AF0"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54AF0" w:rsidRPr="00C1153F" w:rsidRDefault="00E54AF0" w:rsidP="00891DD7">
            <w:pPr>
              <w:spacing w:after="0" w:line="240" w:lineRule="auto"/>
              <w:textAlignment w:val="center"/>
              <w:rPr>
                <w:rFonts w:ascii="Segoe UI" w:eastAsia="Times New Roman" w:hAnsi="Segoe UI" w:cs="Segoe UI"/>
                <w:b/>
                <w:sz w:val="14"/>
                <w:szCs w:val="14"/>
                <w:lang w:val="el-GR" w:eastAsia="el-GR"/>
              </w:rPr>
            </w:pPr>
            <w:r w:rsidRPr="00C1153F">
              <w:rPr>
                <w:rFonts w:ascii="Segoe UI" w:eastAsia="Segoe UI" w:hAnsi="Segoe UI" w:cs="Segoe UI"/>
                <w:b/>
                <w:color w:val="000000"/>
                <w:kern w:val="24"/>
                <w:sz w:val="14"/>
                <w:szCs w:val="14"/>
                <w:lang w:val="el-GR" w:eastAsia="el-GR"/>
              </w:rPr>
              <w:t>Κέρδη / (ζημίες) προ φόρων</w:t>
            </w:r>
          </w:p>
        </w:tc>
        <w:tc>
          <w:tcPr>
            <w:tcW w:w="850" w:type="dxa"/>
            <w:tcBorders>
              <w:top w:val="nil"/>
              <w:left w:val="nil"/>
              <w:bottom w:val="nil"/>
              <w:right w:val="nil"/>
            </w:tcBorders>
            <w:vAlign w:val="center"/>
          </w:tcPr>
          <w:p w:rsidR="00E54AF0" w:rsidRPr="00C1153F" w:rsidRDefault="00E54AF0" w:rsidP="005D39C6">
            <w:pPr>
              <w:pStyle w:val="Web"/>
              <w:spacing w:before="0" w:beforeAutospacing="0" w:after="0" w:afterAutospacing="0"/>
              <w:jc w:val="right"/>
              <w:textAlignment w:val="center"/>
              <w:rPr>
                <w:rFonts w:ascii="Arial" w:hAnsi="Arial" w:cs="Arial"/>
                <w:b/>
                <w:sz w:val="14"/>
                <w:szCs w:val="36"/>
                <w:lang w:val="en-US"/>
              </w:rPr>
            </w:pPr>
            <w:r w:rsidRPr="00C1153F">
              <w:rPr>
                <w:rFonts w:ascii="Segoe UI" w:eastAsia="Segoe UI" w:hAnsi="Segoe UI" w:cs="Segoe UI"/>
                <w:b/>
                <w:color w:val="000000" w:themeColor="text1"/>
                <w:kern w:val="24"/>
                <w:sz w:val="14"/>
                <w:szCs w:val="16"/>
                <w:lang w:val="en-US"/>
              </w:rPr>
              <w:t>(50)</w:t>
            </w:r>
          </w:p>
        </w:tc>
        <w:tc>
          <w:tcPr>
            <w:tcW w:w="850" w:type="dxa"/>
            <w:tcBorders>
              <w:top w:val="nil"/>
              <w:left w:val="nil"/>
              <w:bottom w:val="nil"/>
              <w:right w:val="nil"/>
            </w:tcBorders>
            <w:vAlign w:val="center"/>
          </w:tcPr>
          <w:p w:rsidR="00E54AF0" w:rsidRPr="00C1153F" w:rsidRDefault="00E54AF0" w:rsidP="005D39C6">
            <w:pPr>
              <w:pStyle w:val="Web"/>
              <w:spacing w:before="0" w:beforeAutospacing="0" w:after="0" w:afterAutospacing="0"/>
              <w:jc w:val="right"/>
              <w:textAlignment w:val="center"/>
              <w:rPr>
                <w:rFonts w:ascii="Arial" w:hAnsi="Arial" w:cs="Arial"/>
                <w:b/>
                <w:sz w:val="14"/>
                <w:szCs w:val="36"/>
                <w:lang w:val="en-US"/>
              </w:rPr>
            </w:pPr>
            <w:r w:rsidRPr="00C1153F">
              <w:rPr>
                <w:rFonts w:ascii="Segoe UI" w:eastAsia="Segoe UI" w:hAnsi="Segoe UI" w:cs="Segoe UI"/>
                <w:b/>
                <w:color w:val="000000" w:themeColor="text1"/>
                <w:kern w:val="24"/>
                <w:sz w:val="14"/>
                <w:szCs w:val="16"/>
                <w:lang w:val="en-US"/>
              </w:rPr>
              <w:t>23</w:t>
            </w:r>
          </w:p>
        </w:tc>
        <w:tc>
          <w:tcPr>
            <w:tcW w:w="850" w:type="dxa"/>
            <w:tcBorders>
              <w:top w:val="nil"/>
              <w:left w:val="nil"/>
              <w:bottom w:val="nil"/>
              <w:right w:val="nil"/>
            </w:tcBorders>
            <w:tcMar>
              <w:top w:w="15" w:type="dxa"/>
              <w:left w:w="15" w:type="dxa"/>
              <w:bottom w:w="0" w:type="dxa"/>
              <w:right w:w="84" w:type="dxa"/>
            </w:tcMar>
            <w:vAlign w:val="center"/>
            <w:hideMark/>
          </w:tcPr>
          <w:p w:rsidR="00E54AF0" w:rsidRPr="00C1153F" w:rsidRDefault="00E54AF0" w:rsidP="005D39C6">
            <w:pPr>
              <w:spacing w:after="0" w:line="240" w:lineRule="auto"/>
              <w:jc w:val="right"/>
              <w:textAlignment w:val="center"/>
              <w:rPr>
                <w:rFonts w:ascii="Segoe UI" w:eastAsia="Times New Roman" w:hAnsi="Segoe UI" w:cs="Segoe UI"/>
                <w:b/>
                <w:i/>
                <w:sz w:val="14"/>
                <w:szCs w:val="16"/>
                <w:lang w:val="el-GR" w:eastAsia="el-GR"/>
              </w:rPr>
            </w:pPr>
            <w:r w:rsidRPr="00C1153F">
              <w:rPr>
                <w:rFonts w:ascii="Segoe UI" w:eastAsia="Times New Roman" w:hAnsi="Segoe UI" w:cs="Segoe UI"/>
                <w:b/>
                <w:i/>
                <w:sz w:val="14"/>
                <w:szCs w:val="16"/>
                <w:lang w:val="el-GR" w:eastAsia="el-GR"/>
              </w:rPr>
              <w:t>--</w:t>
            </w:r>
          </w:p>
        </w:tc>
        <w:tc>
          <w:tcPr>
            <w:tcW w:w="850" w:type="dxa"/>
            <w:tcBorders>
              <w:top w:val="nil"/>
              <w:left w:val="nil"/>
              <w:bottom w:val="nil"/>
              <w:right w:val="nil"/>
            </w:tcBorders>
            <w:shd w:val="clear" w:color="auto" w:fill="auto"/>
            <w:vAlign w:val="center"/>
          </w:tcPr>
          <w:p w:rsidR="00E54AF0" w:rsidRPr="00C1153F" w:rsidRDefault="00E54AF0" w:rsidP="005D39C6">
            <w:pPr>
              <w:pStyle w:val="Web"/>
              <w:spacing w:before="0" w:beforeAutospacing="0" w:after="0" w:afterAutospacing="0"/>
              <w:jc w:val="right"/>
              <w:textAlignment w:val="center"/>
              <w:rPr>
                <w:rFonts w:ascii="Arial" w:hAnsi="Arial" w:cs="Arial"/>
                <w:b/>
                <w:sz w:val="14"/>
                <w:szCs w:val="36"/>
              </w:rPr>
            </w:pPr>
            <w:r w:rsidRPr="00C1153F">
              <w:rPr>
                <w:rFonts w:ascii="Segoe UI" w:eastAsia="Segoe UI" w:hAnsi="Segoe UI" w:cs="Segoe UI"/>
                <w:b/>
                <w:color w:val="000000" w:themeColor="text1"/>
                <w:kern w:val="24"/>
                <w:sz w:val="14"/>
                <w:szCs w:val="16"/>
                <w:lang w:val="en-US"/>
              </w:rPr>
              <w:t>(66)</w:t>
            </w:r>
          </w:p>
        </w:tc>
        <w:tc>
          <w:tcPr>
            <w:tcW w:w="852" w:type="dxa"/>
            <w:tcBorders>
              <w:top w:val="nil"/>
              <w:left w:val="nil"/>
              <w:bottom w:val="nil"/>
              <w:right w:val="nil"/>
            </w:tcBorders>
            <w:vAlign w:val="center"/>
          </w:tcPr>
          <w:p w:rsidR="00E54AF0" w:rsidRPr="00C1153F" w:rsidRDefault="00E54AF0" w:rsidP="005D39C6">
            <w:pPr>
              <w:pStyle w:val="Web"/>
              <w:spacing w:before="0" w:beforeAutospacing="0" w:after="0" w:afterAutospacing="0"/>
              <w:jc w:val="right"/>
              <w:textAlignment w:val="center"/>
              <w:rPr>
                <w:rFonts w:ascii="Arial" w:hAnsi="Arial" w:cs="Arial"/>
                <w:b/>
                <w:sz w:val="14"/>
                <w:szCs w:val="36"/>
                <w:lang w:val="en-US"/>
              </w:rPr>
            </w:pPr>
            <w:r w:rsidRPr="00C1153F">
              <w:rPr>
                <w:rFonts w:ascii="Segoe UI" w:eastAsia="Segoe UI" w:hAnsi="Segoe UI" w:cs="Segoe UI"/>
                <w:b/>
                <w:color w:val="000000" w:themeColor="text1"/>
                <w:kern w:val="24"/>
                <w:sz w:val="14"/>
                <w:szCs w:val="16"/>
                <w:lang w:val="en-US"/>
              </w:rPr>
              <w:t>10</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54AF0" w:rsidRPr="00C1153F" w:rsidRDefault="00E54AF0" w:rsidP="005D39C6">
            <w:pPr>
              <w:spacing w:after="0" w:line="240" w:lineRule="auto"/>
              <w:jc w:val="right"/>
              <w:textAlignment w:val="center"/>
              <w:rPr>
                <w:rFonts w:ascii="Segoe UI" w:eastAsia="Times New Roman" w:hAnsi="Segoe UI" w:cs="Segoe UI"/>
                <w:b/>
                <w:i/>
                <w:sz w:val="14"/>
                <w:szCs w:val="16"/>
                <w:lang w:val="el-GR" w:eastAsia="el-GR"/>
              </w:rPr>
            </w:pPr>
            <w:r w:rsidRPr="00C1153F">
              <w:rPr>
                <w:rFonts w:ascii="Segoe UI" w:eastAsia="Times New Roman" w:hAnsi="Segoe UI" w:cs="Segoe UI"/>
                <w:b/>
                <w:i/>
                <w:sz w:val="14"/>
                <w:szCs w:val="16"/>
                <w:lang w:val="el-GR" w:eastAsia="el-GR"/>
              </w:rPr>
              <w:t>--</w:t>
            </w:r>
          </w:p>
        </w:tc>
      </w:tr>
      <w:tr w:rsidR="00E54AF0" w:rsidRPr="00C62FEB" w:rsidTr="00AF1BA2">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Φόροι </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(3)</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(6)</w:t>
            </w:r>
          </w:p>
        </w:tc>
        <w:tc>
          <w:tcPr>
            <w:tcW w:w="850" w:type="dxa"/>
            <w:tcBorders>
              <w:top w:val="nil"/>
              <w:left w:val="nil"/>
              <w:bottom w:val="nil"/>
              <w:right w:val="nil"/>
            </w:tcBorders>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-48%</w:t>
            </w:r>
          </w:p>
        </w:tc>
        <w:tc>
          <w:tcPr>
            <w:tcW w:w="850" w:type="dxa"/>
            <w:tcBorders>
              <w:top w:val="nil"/>
              <w:left w:val="nil"/>
              <w:bottom w:val="nil"/>
              <w:right w:val="nil"/>
            </w:tcBorders>
            <w:shd w:val="clear" w:color="auto" w:fill="auto"/>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rPr>
            </w:pPr>
            <w:r w:rsidRPr="00E54AF0">
              <w:rPr>
                <w:rFonts w:ascii="Segoe UI" w:eastAsia="Segoe UI" w:hAnsi="Segoe UI" w:cs="Segoe UI"/>
                <w:color w:val="000000" w:themeColor="text1"/>
                <w:kern w:val="24"/>
                <w:sz w:val="14"/>
                <w:szCs w:val="16"/>
                <w:lang w:val="en-US"/>
              </w:rPr>
              <w:t>(</w:t>
            </w:r>
            <w:r w:rsidRPr="00E54AF0">
              <w:rPr>
                <w:rFonts w:ascii="Segoe UI" w:eastAsia="Segoe UI" w:hAnsi="Segoe UI" w:cs="Segoe UI"/>
                <w:color w:val="000000" w:themeColor="text1"/>
                <w:kern w:val="24"/>
                <w:sz w:val="14"/>
                <w:szCs w:val="16"/>
              </w:rPr>
              <w:t>1</w:t>
            </w:r>
            <w:r w:rsidRPr="00E54AF0">
              <w:rPr>
                <w:rFonts w:ascii="Segoe UI" w:eastAsia="Segoe UI" w:hAnsi="Segoe UI" w:cs="Segoe UI"/>
                <w:color w:val="000000" w:themeColor="text1"/>
                <w:kern w:val="24"/>
                <w:sz w:val="14"/>
                <w:szCs w:val="16"/>
                <w:lang w:val="en-US"/>
              </w:rPr>
              <w:t>)</w:t>
            </w:r>
          </w:p>
        </w:tc>
        <w:tc>
          <w:tcPr>
            <w:tcW w:w="852"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(1)</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-36%</w:t>
            </w:r>
          </w:p>
        </w:tc>
      </w:tr>
      <w:tr w:rsidR="00E54AF0" w:rsidRPr="00C62FEB" w:rsidTr="00546F09">
        <w:trPr>
          <w:trHeight w:val="113"/>
        </w:trPr>
        <w:tc>
          <w:tcPr>
            <w:tcW w:w="3572" w:type="dxa"/>
            <w:tcBorders>
              <w:top w:val="nil"/>
              <w:left w:val="nil"/>
              <w:bottom w:val="nil"/>
              <w:right w:val="nil"/>
            </w:tcBorders>
            <w:shd w:val="clear" w:color="auto" w:fill="F2F2F2"/>
            <w:tcMar>
              <w:top w:w="15" w:type="dxa"/>
              <w:left w:w="42" w:type="dxa"/>
              <w:bottom w:w="0" w:type="dxa"/>
              <w:right w:w="15" w:type="dxa"/>
            </w:tcMar>
            <w:vAlign w:val="center"/>
            <w:hideMark/>
          </w:tcPr>
          <w:p w:rsidR="00477E70" w:rsidRDefault="00E54AF0" w:rsidP="00891DD7">
            <w:pPr>
              <w:spacing w:after="0" w:line="240" w:lineRule="auto"/>
              <w:textAlignment w:val="center"/>
              <w:rPr>
                <w:rFonts w:ascii="Segoe UI" w:eastAsia="Segoe UI" w:hAnsi="Segoe UI" w:cs="Segoe UI"/>
                <w:b/>
                <w:bCs/>
                <w:color w:val="000000"/>
                <w:kern w:val="24"/>
                <w:sz w:val="14"/>
                <w:szCs w:val="14"/>
                <w:lang w:val="el-GR" w:eastAsia="el-GR"/>
              </w:rPr>
            </w:pPr>
            <w:r w:rsidRPr="00C62FEB">
              <w:rPr>
                <w:rFonts w:ascii="Segoe UI" w:eastAsia="Segoe UI" w:hAnsi="Segoe UI" w:cs="Segoe UI"/>
                <w:b/>
                <w:bCs/>
                <w:color w:val="000000"/>
                <w:kern w:val="24"/>
                <w:sz w:val="14"/>
                <w:szCs w:val="14"/>
                <w:lang w:val="el-GR" w:eastAsia="el-GR"/>
              </w:rPr>
              <w:t xml:space="preserve">Κέρδη / (ζημίες) </w:t>
            </w:r>
            <w:r w:rsidR="00477E70">
              <w:rPr>
                <w:rFonts w:ascii="Segoe UI" w:eastAsia="Segoe UI" w:hAnsi="Segoe UI" w:cs="Segoe UI"/>
                <w:b/>
                <w:bCs/>
                <w:color w:val="000000"/>
                <w:kern w:val="24"/>
                <w:sz w:val="14"/>
                <w:szCs w:val="14"/>
                <w:lang w:val="el-GR" w:eastAsia="el-GR"/>
              </w:rPr>
              <w:t xml:space="preserve">μετά φόρων </w:t>
            </w:r>
          </w:p>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(συνεχιζόμενες δραστ/τητες)</w:t>
            </w:r>
          </w:p>
        </w:tc>
        <w:tc>
          <w:tcPr>
            <w:tcW w:w="850"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(53)</w:t>
            </w:r>
          </w:p>
        </w:tc>
        <w:tc>
          <w:tcPr>
            <w:tcW w:w="850"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17</w:t>
            </w:r>
          </w:p>
        </w:tc>
        <w:tc>
          <w:tcPr>
            <w:tcW w:w="850" w:type="dxa"/>
            <w:tcBorders>
              <w:top w:val="nil"/>
              <w:left w:val="nil"/>
              <w:bottom w:val="nil"/>
              <w:right w:val="nil"/>
            </w:tcBorders>
            <w:shd w:val="clear" w:color="auto" w:fill="F2F2F2"/>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val="el-GR" w:eastAsia="el-GR"/>
              </w:rPr>
            </w:pPr>
            <w:r>
              <w:rPr>
                <w:rFonts w:ascii="Segoe UI" w:eastAsia="Times New Roman" w:hAnsi="Segoe UI" w:cs="Segoe UI"/>
                <w:b/>
                <w:i/>
                <w:sz w:val="14"/>
                <w:szCs w:val="16"/>
                <w:lang w:val="el-GR" w:eastAsia="el-GR"/>
              </w:rPr>
              <w:t>--</w:t>
            </w:r>
          </w:p>
        </w:tc>
        <w:tc>
          <w:tcPr>
            <w:tcW w:w="850"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rPr>
            </w:pPr>
            <w:r w:rsidRPr="00E54AF0">
              <w:rPr>
                <w:rFonts w:ascii="Segoe UI" w:eastAsia="Segoe UI" w:hAnsi="Segoe UI" w:cs="Segoe UI"/>
                <w:b/>
                <w:bCs/>
                <w:color w:val="000000" w:themeColor="text1"/>
                <w:kern w:val="24"/>
                <w:sz w:val="14"/>
                <w:szCs w:val="16"/>
                <w:lang w:val="en-US"/>
              </w:rPr>
              <w:t>(66)</w:t>
            </w:r>
          </w:p>
        </w:tc>
        <w:tc>
          <w:tcPr>
            <w:tcW w:w="852" w:type="dxa"/>
            <w:tcBorders>
              <w:top w:val="nil"/>
              <w:left w:val="nil"/>
              <w:bottom w:val="nil"/>
              <w:right w:val="nil"/>
            </w:tcBorders>
            <w:shd w:val="clear" w:color="auto" w:fill="F2F2F2"/>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b/>
                <w:bCs/>
                <w:color w:val="000000" w:themeColor="text1"/>
                <w:kern w:val="24"/>
                <w:sz w:val="14"/>
                <w:szCs w:val="16"/>
                <w:lang w:val="en-US"/>
              </w:rPr>
              <w:t>9</w:t>
            </w:r>
          </w:p>
        </w:tc>
        <w:tc>
          <w:tcPr>
            <w:tcW w:w="852" w:type="dxa"/>
            <w:tcBorders>
              <w:top w:val="nil"/>
              <w:left w:val="nil"/>
              <w:bottom w:val="nil"/>
              <w:right w:val="nil"/>
            </w:tcBorders>
            <w:shd w:val="clear" w:color="auto" w:fill="F2F2F2"/>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val="el-GR" w:eastAsia="el-GR"/>
              </w:rPr>
            </w:pPr>
            <w:r>
              <w:rPr>
                <w:rFonts w:ascii="Segoe UI" w:eastAsia="Times New Roman" w:hAnsi="Segoe UI" w:cs="Segoe UI"/>
                <w:b/>
                <w:i/>
                <w:sz w:val="14"/>
                <w:szCs w:val="16"/>
                <w:lang w:val="el-GR" w:eastAsia="el-GR"/>
              </w:rPr>
              <w:t>--</w:t>
            </w:r>
          </w:p>
        </w:tc>
      </w:tr>
      <w:tr w:rsidR="00E54AF0" w:rsidRPr="00C62FEB" w:rsidTr="00546F09">
        <w:trPr>
          <w:trHeight w:val="113"/>
        </w:trPr>
        <w:tc>
          <w:tcPr>
            <w:tcW w:w="3572" w:type="dxa"/>
            <w:tcBorders>
              <w:top w:val="nil"/>
              <w:left w:val="nil"/>
              <w:bottom w:val="nil"/>
              <w:right w:val="nil"/>
            </w:tcBorders>
            <w:shd w:val="clear" w:color="auto" w:fill="auto"/>
            <w:tcMar>
              <w:top w:w="15" w:type="dxa"/>
              <w:left w:w="42" w:type="dxa"/>
              <w:bottom w:w="0" w:type="dxa"/>
              <w:right w:w="15" w:type="dxa"/>
            </w:tcMar>
            <w:vAlign w:val="center"/>
            <w:hideMark/>
          </w:tcPr>
          <w:p w:rsidR="00477E70" w:rsidRDefault="00E54AF0" w:rsidP="00891DD7">
            <w:pPr>
              <w:spacing w:after="0" w:line="240" w:lineRule="auto"/>
              <w:textAlignment w:val="center"/>
              <w:rPr>
                <w:rFonts w:ascii="Segoe UI" w:eastAsia="Segoe UI" w:hAnsi="Segoe UI" w:cs="Segoe UI"/>
                <w:bCs/>
                <w:color w:val="000000"/>
                <w:kern w:val="24"/>
                <w:sz w:val="14"/>
                <w:szCs w:val="14"/>
                <w:lang w:val="el-GR" w:eastAsia="el-GR"/>
              </w:rPr>
            </w:pPr>
            <w:r w:rsidRPr="00C62FEB">
              <w:rPr>
                <w:rFonts w:ascii="Segoe UI" w:eastAsia="Segoe UI" w:hAnsi="Segoe UI" w:cs="Segoe UI"/>
                <w:bCs/>
                <w:color w:val="000000"/>
                <w:kern w:val="24"/>
                <w:sz w:val="14"/>
                <w:szCs w:val="14"/>
                <w:lang w:val="el-GR" w:eastAsia="el-GR"/>
              </w:rPr>
              <w:t xml:space="preserve">Κέρδη / (ζημίες) </w:t>
            </w:r>
            <w:r w:rsidR="00477E70">
              <w:rPr>
                <w:rFonts w:ascii="Segoe UI" w:eastAsia="Segoe UI" w:hAnsi="Segoe UI" w:cs="Segoe UI"/>
                <w:bCs/>
                <w:color w:val="000000"/>
                <w:kern w:val="24"/>
                <w:sz w:val="14"/>
                <w:szCs w:val="14"/>
                <w:lang w:val="el-GR" w:eastAsia="el-GR"/>
              </w:rPr>
              <w:t xml:space="preserve">μετά φόρων </w:t>
            </w:r>
          </w:p>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Cs/>
                <w:color w:val="000000"/>
                <w:kern w:val="24"/>
                <w:sz w:val="14"/>
                <w:szCs w:val="14"/>
                <w:lang w:val="el-GR" w:eastAsia="el-GR"/>
              </w:rPr>
              <w:t>(διακοπείσες δραστηριότητες)</w:t>
            </w:r>
            <w:r>
              <w:rPr>
                <w:rFonts w:ascii="Segoe UI" w:eastAsia="Segoe UI" w:hAnsi="Segoe UI" w:cs="Segoe UI"/>
                <w:bCs/>
                <w:color w:val="000000"/>
                <w:kern w:val="24"/>
                <w:sz w:val="14"/>
                <w:szCs w:val="14"/>
                <w:vertAlign w:val="superscript"/>
                <w:lang w:val="el-GR" w:eastAsia="el-GR"/>
              </w:rPr>
              <w:t>1</w:t>
            </w:r>
          </w:p>
        </w:tc>
        <w:tc>
          <w:tcPr>
            <w:tcW w:w="850" w:type="dxa"/>
            <w:tcBorders>
              <w:top w:val="nil"/>
              <w:left w:val="nil"/>
              <w:bottom w:val="nil"/>
              <w:right w:val="nil"/>
            </w:tcBorders>
            <w:vAlign w:val="center"/>
          </w:tcPr>
          <w:p w:rsidR="00E54AF0" w:rsidRPr="00E54AF0" w:rsidRDefault="00E54AF0" w:rsidP="003D6360">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14</w:t>
            </w:r>
            <w:r w:rsidR="003D6360">
              <w:rPr>
                <w:rFonts w:ascii="Segoe UI" w:eastAsia="Segoe UI" w:hAnsi="Segoe UI" w:cs="Segoe UI"/>
                <w:bCs/>
                <w:color w:val="000000"/>
                <w:kern w:val="24"/>
                <w:sz w:val="14"/>
                <w:szCs w:val="16"/>
                <w:vertAlign w:val="superscript"/>
                <w:lang w:val="en-US"/>
              </w:rPr>
              <w:t>2</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(0)</w:t>
            </w:r>
          </w:p>
        </w:tc>
        <w:tc>
          <w:tcPr>
            <w:tcW w:w="850" w:type="dxa"/>
            <w:tcBorders>
              <w:top w:val="nil"/>
              <w:left w:val="nil"/>
              <w:bottom w:val="nil"/>
              <w:right w:val="nil"/>
            </w:tcBorders>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val="el-GR" w:eastAsia="el-GR"/>
              </w:rPr>
            </w:pPr>
            <w:r>
              <w:rPr>
                <w:rFonts w:ascii="Segoe UI" w:eastAsia="Times New Roman" w:hAnsi="Segoe UI" w:cs="Segoe UI"/>
                <w:i/>
                <w:sz w:val="14"/>
                <w:szCs w:val="16"/>
                <w:lang w:val="el-GR" w:eastAsia="el-GR"/>
              </w:rPr>
              <w:t>--</w:t>
            </w:r>
          </w:p>
        </w:tc>
        <w:tc>
          <w:tcPr>
            <w:tcW w:w="850"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(4)</w:t>
            </w:r>
          </w:p>
        </w:tc>
        <w:tc>
          <w:tcPr>
            <w:tcW w:w="852" w:type="dxa"/>
            <w:tcBorders>
              <w:top w:val="nil"/>
              <w:left w:val="nil"/>
              <w:bottom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(2)</w:t>
            </w:r>
          </w:p>
        </w:tc>
        <w:tc>
          <w:tcPr>
            <w:tcW w:w="852" w:type="dxa"/>
            <w:tcBorders>
              <w:top w:val="nil"/>
              <w:left w:val="nil"/>
              <w:bottom w:val="nil"/>
              <w:right w:val="nil"/>
            </w:tcBorders>
            <w:shd w:val="clear" w:color="auto" w:fill="auto"/>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+71%</w:t>
            </w:r>
          </w:p>
        </w:tc>
      </w:tr>
      <w:tr w:rsidR="00E54AF0" w:rsidRPr="00C62FEB" w:rsidTr="00AF1BA2">
        <w:trPr>
          <w:trHeight w:val="113"/>
        </w:trPr>
        <w:tc>
          <w:tcPr>
            <w:tcW w:w="3572" w:type="dxa"/>
            <w:tcBorders>
              <w:top w:val="nil"/>
              <w:left w:val="nil"/>
              <w:right w:val="nil"/>
            </w:tcBorders>
            <w:shd w:val="clear" w:color="auto" w:fill="auto"/>
            <w:tcMar>
              <w:top w:w="15" w:type="dxa"/>
              <w:left w:w="42" w:type="dxa"/>
              <w:bottom w:w="0" w:type="dxa"/>
              <w:right w:w="15" w:type="dxa"/>
            </w:tcMar>
            <w:vAlign w:val="center"/>
            <w:hideMark/>
          </w:tcPr>
          <w:p w:rsidR="00E54AF0" w:rsidRPr="00C62FEB" w:rsidRDefault="00E54AF0" w:rsidP="00891DD7">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Δικαιώματα μειοψηφίας</w:t>
            </w:r>
          </w:p>
        </w:tc>
        <w:tc>
          <w:tcPr>
            <w:tcW w:w="850" w:type="dxa"/>
            <w:tcBorders>
              <w:top w:val="nil"/>
              <w:left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(2)</w:t>
            </w:r>
          </w:p>
        </w:tc>
        <w:tc>
          <w:tcPr>
            <w:tcW w:w="850" w:type="dxa"/>
            <w:tcBorders>
              <w:top w:val="nil"/>
              <w:left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(2)</w:t>
            </w:r>
          </w:p>
        </w:tc>
        <w:tc>
          <w:tcPr>
            <w:tcW w:w="850" w:type="dxa"/>
            <w:tcBorders>
              <w:top w:val="nil"/>
              <w:left w:val="nil"/>
              <w:right w:val="nil"/>
            </w:tcBorders>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-17%</w:t>
            </w:r>
          </w:p>
        </w:tc>
        <w:tc>
          <w:tcPr>
            <w:tcW w:w="850" w:type="dxa"/>
            <w:tcBorders>
              <w:top w:val="nil"/>
              <w:left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(1)</w:t>
            </w:r>
          </w:p>
        </w:tc>
        <w:tc>
          <w:tcPr>
            <w:tcW w:w="852" w:type="dxa"/>
            <w:tcBorders>
              <w:top w:val="nil"/>
              <w:left w:val="nil"/>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sz w:val="14"/>
                <w:szCs w:val="36"/>
                <w:lang w:val="en-US"/>
              </w:rPr>
            </w:pPr>
            <w:r w:rsidRPr="00E54AF0">
              <w:rPr>
                <w:rFonts w:ascii="Segoe UI" w:eastAsia="Segoe UI" w:hAnsi="Segoe UI" w:cs="Segoe UI"/>
                <w:color w:val="000000" w:themeColor="text1"/>
                <w:kern w:val="24"/>
                <w:sz w:val="14"/>
                <w:szCs w:val="16"/>
                <w:lang w:val="en-US"/>
              </w:rPr>
              <w:t>(1)</w:t>
            </w:r>
          </w:p>
        </w:tc>
        <w:tc>
          <w:tcPr>
            <w:tcW w:w="852" w:type="dxa"/>
            <w:tcBorders>
              <w:top w:val="nil"/>
              <w:left w:val="nil"/>
              <w:right w:val="nil"/>
            </w:tcBorders>
            <w:shd w:val="clear" w:color="auto" w:fill="auto"/>
            <w:tcMar>
              <w:top w:w="15" w:type="dxa"/>
              <w:left w:w="15" w:type="dxa"/>
              <w:bottom w:w="0" w:type="dxa"/>
              <w:right w:w="84" w:type="dxa"/>
            </w:tcMar>
            <w:vAlign w:val="center"/>
            <w:hideMark/>
          </w:tcPr>
          <w:p w:rsidR="00E54AF0" w:rsidRPr="00E54AF0" w:rsidRDefault="00E54AF0" w:rsidP="005D39C6">
            <w:pPr>
              <w:spacing w:after="0" w:line="240" w:lineRule="auto"/>
              <w:jc w:val="right"/>
              <w:textAlignment w:val="center"/>
              <w:rPr>
                <w:rFonts w:ascii="Segoe UI" w:eastAsia="Times New Roman" w:hAnsi="Segoe UI" w:cs="Segoe UI"/>
                <w:i/>
                <w:sz w:val="14"/>
                <w:szCs w:val="16"/>
                <w:lang w:eastAsia="el-GR"/>
              </w:rPr>
            </w:pPr>
            <w:r w:rsidRPr="00E54AF0">
              <w:rPr>
                <w:rFonts w:ascii="Segoe UI" w:eastAsia="Times New Roman" w:hAnsi="Segoe UI" w:cs="Segoe UI"/>
                <w:i/>
                <w:sz w:val="14"/>
                <w:szCs w:val="16"/>
                <w:lang w:eastAsia="el-GR"/>
              </w:rPr>
              <w:t>+0%</w:t>
            </w:r>
          </w:p>
        </w:tc>
      </w:tr>
      <w:tr w:rsidR="00E54AF0" w:rsidRPr="00C62FEB" w:rsidTr="00AF1BA2">
        <w:trPr>
          <w:trHeight w:val="113"/>
        </w:trPr>
        <w:tc>
          <w:tcPr>
            <w:tcW w:w="3572" w:type="dxa"/>
            <w:tcBorders>
              <w:top w:val="nil"/>
              <w:left w:val="nil"/>
              <w:bottom w:val="single" w:sz="12" w:space="0" w:color="auto"/>
              <w:right w:val="nil"/>
            </w:tcBorders>
            <w:shd w:val="clear" w:color="auto" w:fill="auto"/>
            <w:tcMar>
              <w:top w:w="15" w:type="dxa"/>
              <w:left w:w="42" w:type="dxa"/>
              <w:bottom w:w="0" w:type="dxa"/>
              <w:right w:w="15" w:type="dxa"/>
            </w:tcMar>
            <w:vAlign w:val="center"/>
          </w:tcPr>
          <w:p w:rsidR="00E54AF0" w:rsidRPr="00AB591B" w:rsidRDefault="00E54AF0" w:rsidP="00891DD7">
            <w:pPr>
              <w:spacing w:after="0" w:line="240" w:lineRule="auto"/>
              <w:jc w:val="both"/>
              <w:textAlignment w:val="center"/>
              <w:rPr>
                <w:rFonts w:ascii="Segoe UI" w:eastAsia="Segoe UI" w:hAnsi="Segoe UI" w:cs="Segoe UI"/>
                <w:color w:val="000000"/>
                <w:kern w:val="24"/>
                <w:sz w:val="14"/>
                <w:szCs w:val="14"/>
                <w:lang w:val="el-GR" w:eastAsia="el-GR"/>
              </w:rPr>
            </w:pPr>
            <w:r w:rsidRPr="00AB591B">
              <w:rPr>
                <w:rFonts w:ascii="Segoe UI" w:eastAsia="Segoe UI" w:hAnsi="Segoe UI" w:cs="Segoe UI"/>
                <w:b/>
                <w:color w:val="000000"/>
                <w:kern w:val="24"/>
                <w:sz w:val="14"/>
                <w:szCs w:val="14"/>
                <w:lang w:val="el-GR" w:eastAsia="el-GR"/>
              </w:rPr>
              <w:t xml:space="preserve">Κέρδη / (ζημίες) </w:t>
            </w:r>
            <w:r w:rsidR="00477E70">
              <w:rPr>
                <w:rFonts w:ascii="Segoe UI" w:eastAsia="Segoe UI" w:hAnsi="Segoe UI" w:cs="Segoe UI"/>
                <w:b/>
                <w:color w:val="000000"/>
                <w:kern w:val="24"/>
                <w:sz w:val="14"/>
                <w:szCs w:val="14"/>
                <w:lang w:val="el-GR" w:eastAsia="el-GR"/>
              </w:rPr>
              <w:t xml:space="preserve">μετά φόρων </w:t>
            </w:r>
            <w:r w:rsidRPr="00AB591B">
              <w:rPr>
                <w:rFonts w:ascii="Segoe UI" w:eastAsia="Segoe UI" w:hAnsi="Segoe UI" w:cs="Segoe UI"/>
                <w:b/>
                <w:color w:val="000000"/>
                <w:kern w:val="24"/>
                <w:sz w:val="14"/>
                <w:szCs w:val="14"/>
                <w:lang w:val="el-GR" w:eastAsia="el-GR"/>
              </w:rPr>
              <w:t>περιόδου</w:t>
            </w:r>
          </w:p>
        </w:tc>
        <w:tc>
          <w:tcPr>
            <w:tcW w:w="850" w:type="dxa"/>
            <w:tcBorders>
              <w:top w:val="nil"/>
              <w:left w:val="nil"/>
              <w:bottom w:val="single" w:sz="12" w:space="0" w:color="auto"/>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lang w:val="en-US"/>
              </w:rPr>
            </w:pPr>
            <w:r w:rsidRPr="00E54AF0">
              <w:rPr>
                <w:rFonts w:ascii="Segoe UI" w:eastAsia="Segoe UI" w:hAnsi="Segoe UI" w:cs="Segoe UI"/>
                <w:b/>
                <w:color w:val="000000" w:themeColor="text1"/>
                <w:kern w:val="24"/>
                <w:sz w:val="14"/>
                <w:szCs w:val="16"/>
                <w:lang w:val="en-US"/>
              </w:rPr>
              <w:t>(40)</w:t>
            </w:r>
          </w:p>
        </w:tc>
        <w:tc>
          <w:tcPr>
            <w:tcW w:w="850" w:type="dxa"/>
            <w:tcBorders>
              <w:top w:val="nil"/>
              <w:left w:val="nil"/>
              <w:bottom w:val="single" w:sz="12" w:space="0" w:color="auto"/>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lang w:val="en-US"/>
              </w:rPr>
            </w:pPr>
            <w:r w:rsidRPr="00E54AF0">
              <w:rPr>
                <w:rFonts w:ascii="Segoe UI" w:eastAsia="Segoe UI" w:hAnsi="Segoe UI" w:cs="Segoe UI"/>
                <w:b/>
                <w:color w:val="000000" w:themeColor="text1"/>
                <w:kern w:val="24"/>
                <w:sz w:val="14"/>
                <w:szCs w:val="16"/>
                <w:lang w:val="en-US"/>
              </w:rPr>
              <w:t>15</w:t>
            </w:r>
          </w:p>
        </w:tc>
        <w:tc>
          <w:tcPr>
            <w:tcW w:w="850" w:type="dxa"/>
            <w:tcBorders>
              <w:top w:val="nil"/>
              <w:left w:val="nil"/>
              <w:bottom w:val="single" w:sz="12" w:space="0" w:color="auto"/>
              <w:right w:val="nil"/>
            </w:tcBorders>
            <w:tcMar>
              <w:top w:w="15" w:type="dxa"/>
              <w:left w:w="15" w:type="dxa"/>
              <w:bottom w:w="0" w:type="dxa"/>
              <w:right w:w="84" w:type="dxa"/>
            </w:tcMar>
            <w:vAlign w:val="center"/>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val="el-GR" w:eastAsia="el-GR"/>
              </w:rPr>
            </w:pPr>
            <w:r>
              <w:rPr>
                <w:rFonts w:ascii="Segoe UI" w:eastAsia="Times New Roman" w:hAnsi="Segoe UI" w:cs="Segoe UI"/>
                <w:b/>
                <w:i/>
                <w:sz w:val="14"/>
                <w:szCs w:val="16"/>
                <w:lang w:val="el-GR" w:eastAsia="el-GR"/>
              </w:rPr>
              <w:t>--</w:t>
            </w:r>
          </w:p>
        </w:tc>
        <w:tc>
          <w:tcPr>
            <w:tcW w:w="850" w:type="dxa"/>
            <w:tcBorders>
              <w:top w:val="nil"/>
              <w:left w:val="nil"/>
              <w:bottom w:val="single" w:sz="12" w:space="0" w:color="auto"/>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lang w:val="en-US"/>
              </w:rPr>
            </w:pPr>
            <w:r w:rsidRPr="00E54AF0">
              <w:rPr>
                <w:rFonts w:ascii="Segoe UI" w:eastAsia="Segoe UI" w:hAnsi="Segoe UI" w:cs="Segoe UI"/>
                <w:b/>
                <w:color w:val="000000" w:themeColor="text1"/>
                <w:kern w:val="24"/>
                <w:sz w:val="14"/>
                <w:szCs w:val="16"/>
                <w:lang w:val="en-US"/>
              </w:rPr>
              <w:t>(71)</w:t>
            </w:r>
          </w:p>
        </w:tc>
        <w:tc>
          <w:tcPr>
            <w:tcW w:w="852" w:type="dxa"/>
            <w:tcBorders>
              <w:top w:val="nil"/>
              <w:left w:val="nil"/>
              <w:bottom w:val="single" w:sz="12" w:space="0" w:color="auto"/>
              <w:right w:val="nil"/>
            </w:tcBorders>
            <w:vAlign w:val="center"/>
          </w:tcPr>
          <w:p w:rsidR="00E54AF0" w:rsidRPr="00E54AF0" w:rsidRDefault="00E54AF0" w:rsidP="005D39C6">
            <w:pPr>
              <w:pStyle w:val="Web"/>
              <w:spacing w:before="0" w:beforeAutospacing="0" w:after="0" w:afterAutospacing="0"/>
              <w:jc w:val="right"/>
              <w:textAlignment w:val="center"/>
              <w:rPr>
                <w:rFonts w:ascii="Arial" w:hAnsi="Arial" w:cs="Arial"/>
                <w:b/>
                <w:sz w:val="14"/>
                <w:szCs w:val="36"/>
                <w:lang w:val="en-US"/>
              </w:rPr>
            </w:pPr>
            <w:r w:rsidRPr="00E54AF0">
              <w:rPr>
                <w:rFonts w:ascii="Segoe UI" w:eastAsia="Segoe UI" w:hAnsi="Segoe UI" w:cs="Segoe UI"/>
                <w:b/>
                <w:color w:val="000000" w:themeColor="text1"/>
                <w:kern w:val="24"/>
                <w:sz w:val="14"/>
                <w:szCs w:val="16"/>
                <w:lang w:val="en-US"/>
              </w:rPr>
              <w:t>7</w:t>
            </w:r>
          </w:p>
        </w:tc>
        <w:tc>
          <w:tcPr>
            <w:tcW w:w="852" w:type="dxa"/>
            <w:tcBorders>
              <w:top w:val="nil"/>
              <w:left w:val="nil"/>
              <w:bottom w:val="single" w:sz="12" w:space="0" w:color="auto"/>
              <w:right w:val="nil"/>
            </w:tcBorders>
            <w:shd w:val="clear" w:color="auto" w:fill="auto"/>
            <w:tcMar>
              <w:top w:w="15" w:type="dxa"/>
              <w:left w:w="15" w:type="dxa"/>
              <w:bottom w:w="0" w:type="dxa"/>
              <w:right w:w="84" w:type="dxa"/>
            </w:tcMar>
            <w:vAlign w:val="center"/>
          </w:tcPr>
          <w:p w:rsidR="00E54AF0" w:rsidRPr="00E54AF0" w:rsidRDefault="00E54AF0" w:rsidP="005D39C6">
            <w:pPr>
              <w:spacing w:after="0" w:line="240" w:lineRule="auto"/>
              <w:jc w:val="right"/>
              <w:textAlignment w:val="center"/>
              <w:rPr>
                <w:rFonts w:ascii="Segoe UI" w:eastAsia="Times New Roman" w:hAnsi="Segoe UI" w:cs="Segoe UI"/>
                <w:b/>
                <w:i/>
                <w:sz w:val="14"/>
                <w:szCs w:val="16"/>
                <w:lang w:val="el-GR" w:eastAsia="el-GR"/>
              </w:rPr>
            </w:pPr>
            <w:r>
              <w:rPr>
                <w:rFonts w:ascii="Segoe UI" w:eastAsia="Times New Roman" w:hAnsi="Segoe UI" w:cs="Segoe UI"/>
                <w:b/>
                <w:i/>
                <w:sz w:val="14"/>
                <w:szCs w:val="16"/>
                <w:lang w:val="el-GR" w:eastAsia="el-GR"/>
              </w:rPr>
              <w:t>--</w:t>
            </w:r>
          </w:p>
        </w:tc>
      </w:tr>
    </w:tbl>
    <w:p w:rsidR="008510E3" w:rsidRPr="008510E3" w:rsidRDefault="008510E3" w:rsidP="008510E3">
      <w:pPr>
        <w:spacing w:after="0" w:line="240" w:lineRule="auto"/>
        <w:jc w:val="both"/>
        <w:textAlignment w:val="baseline"/>
        <w:rPr>
          <w:rFonts w:ascii="Segoe UI" w:eastAsia="Times New Roman" w:hAnsi="Segoe UI" w:cs="Segoe UI"/>
          <w:color w:val="000000" w:themeColor="text1"/>
          <w:kern w:val="24"/>
          <w:sz w:val="9"/>
          <w:szCs w:val="9"/>
          <w:lang w:val="el-GR" w:eastAsia="el-GR"/>
        </w:rPr>
      </w:pPr>
      <w:r w:rsidRPr="008510E3">
        <w:rPr>
          <w:rFonts w:ascii="Segoe UI" w:eastAsia="Times New Roman" w:hAnsi="Segoe UI" w:cs="Segoe UI"/>
          <w:kern w:val="24"/>
          <w:sz w:val="9"/>
          <w:szCs w:val="9"/>
          <w:vertAlign w:val="superscript"/>
          <w:lang w:val="el-GR" w:eastAsia="el-GR"/>
        </w:rPr>
        <w:t>1</w:t>
      </w:r>
      <w:r w:rsidRPr="008510E3">
        <w:rPr>
          <w:rFonts w:ascii="Segoe UI" w:eastAsia="Times New Roman" w:hAnsi="Segoe UI" w:cs="Segoe UI"/>
          <w:kern w:val="24"/>
          <w:sz w:val="9"/>
          <w:szCs w:val="9"/>
          <w:lang w:val="el-GR" w:eastAsia="el-GR"/>
        </w:rPr>
        <w:t xml:space="preserve"> Περιλαμβάνουν τις δραστηριότητες του Ομίλου στη Βόρεια Μακεδονία (Stopanska), Μάλτα (NBG Malta) και Κύπρο (CAC Coral)</w:t>
      </w:r>
    </w:p>
    <w:p w:rsidR="008510E3" w:rsidRPr="008510E3" w:rsidRDefault="008510E3" w:rsidP="008510E3">
      <w:pPr>
        <w:spacing w:after="0" w:line="240" w:lineRule="auto"/>
        <w:jc w:val="both"/>
        <w:textAlignment w:val="baseline"/>
        <w:rPr>
          <w:rFonts w:ascii="Segoe UI" w:eastAsia="Times New Roman" w:hAnsi="Segoe UI" w:cs="Segoe UI"/>
          <w:kern w:val="24"/>
          <w:sz w:val="9"/>
          <w:szCs w:val="9"/>
          <w:lang w:val="el-GR" w:eastAsia="el-GR"/>
        </w:rPr>
      </w:pPr>
      <w:r w:rsidRPr="008510E3">
        <w:rPr>
          <w:rFonts w:ascii="Segoe UI" w:eastAsia="Times New Roman" w:hAnsi="Segoe UI" w:cs="Segoe UI"/>
          <w:color w:val="000000" w:themeColor="text1"/>
          <w:kern w:val="24"/>
          <w:sz w:val="9"/>
          <w:szCs w:val="9"/>
          <w:vertAlign w:val="superscript"/>
          <w:lang w:val="el-GR" w:eastAsia="el-GR"/>
        </w:rPr>
        <w:t>2</w:t>
      </w:r>
      <w:r w:rsidRPr="008510E3">
        <w:rPr>
          <w:rFonts w:ascii="Segoe UI" w:eastAsia="Times New Roman" w:hAnsi="Segoe UI" w:cs="Segoe UI"/>
          <w:color w:val="000000" w:themeColor="text1"/>
          <w:kern w:val="24"/>
          <w:sz w:val="9"/>
          <w:szCs w:val="9"/>
          <w:lang w:val="el-GR" w:eastAsia="el-GR"/>
        </w:rPr>
        <w:t xml:space="preserve"> </w:t>
      </w:r>
      <w:r w:rsidR="00AD5797" w:rsidRPr="008510E3">
        <w:rPr>
          <w:rFonts w:ascii="Segoe UI" w:eastAsia="Times New Roman" w:hAnsi="Segoe UI" w:cs="Segoe UI"/>
          <w:color w:val="000000" w:themeColor="text1"/>
          <w:kern w:val="24"/>
          <w:sz w:val="9"/>
          <w:szCs w:val="9"/>
          <w:lang w:val="el-GR" w:eastAsia="el-GR"/>
        </w:rPr>
        <w:t>Περιλαμβάν</w:t>
      </w:r>
      <w:r w:rsidR="008B5C68" w:rsidRPr="008510E3">
        <w:rPr>
          <w:rFonts w:ascii="Segoe UI" w:eastAsia="Times New Roman" w:hAnsi="Segoe UI" w:cs="Segoe UI"/>
          <w:color w:val="000000" w:themeColor="text1"/>
          <w:kern w:val="24"/>
          <w:sz w:val="9"/>
          <w:szCs w:val="9"/>
          <w:lang w:val="el-GR" w:eastAsia="el-GR"/>
        </w:rPr>
        <w:t xml:space="preserve">ουν την απομείωση της αξίας </w:t>
      </w:r>
      <w:r w:rsidR="00AB591B" w:rsidRPr="008510E3">
        <w:rPr>
          <w:rFonts w:ascii="Segoe UI" w:eastAsia="Times New Roman" w:hAnsi="Segoe UI" w:cs="Segoe UI"/>
          <w:color w:val="000000" w:themeColor="text1"/>
          <w:kern w:val="24"/>
          <w:sz w:val="9"/>
          <w:szCs w:val="9"/>
          <w:lang w:val="el-GR" w:eastAsia="el-GR"/>
        </w:rPr>
        <w:t xml:space="preserve">του καταστήματος της </w:t>
      </w:r>
      <w:r w:rsidR="008B5C68" w:rsidRPr="008510E3">
        <w:rPr>
          <w:rFonts w:ascii="Segoe UI" w:eastAsia="Times New Roman" w:hAnsi="Segoe UI" w:cs="Segoe UI"/>
          <w:color w:val="000000" w:themeColor="text1"/>
          <w:kern w:val="24"/>
          <w:sz w:val="9"/>
          <w:szCs w:val="9"/>
          <w:lang w:val="el-GR" w:eastAsia="el-GR"/>
        </w:rPr>
        <w:t>ΕΤΕ σ</w:t>
      </w:r>
      <w:r w:rsidR="00AB591B" w:rsidRPr="008510E3">
        <w:rPr>
          <w:rFonts w:ascii="Segoe UI" w:eastAsia="Times New Roman" w:hAnsi="Segoe UI" w:cs="Segoe UI"/>
          <w:color w:val="000000" w:themeColor="text1"/>
          <w:kern w:val="24"/>
          <w:sz w:val="9"/>
          <w:szCs w:val="9"/>
          <w:lang w:val="el-GR" w:eastAsia="el-GR"/>
        </w:rPr>
        <w:t>την</w:t>
      </w:r>
      <w:r w:rsidR="008B5C68" w:rsidRPr="008510E3">
        <w:rPr>
          <w:rFonts w:ascii="Segoe UI" w:eastAsia="Times New Roman" w:hAnsi="Segoe UI" w:cs="Segoe UI"/>
          <w:color w:val="000000" w:themeColor="text1"/>
          <w:kern w:val="24"/>
          <w:sz w:val="9"/>
          <w:szCs w:val="9"/>
          <w:lang w:val="el-GR" w:eastAsia="el-GR"/>
        </w:rPr>
        <w:t xml:space="preserve"> Αίγυπτο (€</w:t>
      </w:r>
      <w:r w:rsidR="00CD1746" w:rsidRPr="008510E3">
        <w:rPr>
          <w:rFonts w:ascii="Segoe UI" w:eastAsia="Times New Roman" w:hAnsi="Segoe UI" w:cs="Segoe UI"/>
          <w:color w:val="000000" w:themeColor="text1"/>
          <w:kern w:val="24"/>
          <w:sz w:val="9"/>
          <w:szCs w:val="9"/>
          <w:lang w:val="el-GR" w:eastAsia="el-GR"/>
        </w:rPr>
        <w:t>1</w:t>
      </w:r>
      <w:r w:rsidR="00AD5797" w:rsidRPr="008510E3">
        <w:rPr>
          <w:rFonts w:ascii="Segoe UI" w:eastAsia="Times New Roman" w:hAnsi="Segoe UI" w:cs="Segoe UI"/>
          <w:color w:val="000000" w:themeColor="text1"/>
          <w:kern w:val="24"/>
          <w:sz w:val="9"/>
          <w:szCs w:val="9"/>
          <w:lang w:val="el-GR" w:eastAsia="el-GR"/>
        </w:rPr>
        <w:t>3</w:t>
      </w:r>
      <w:r w:rsidR="008B5C68" w:rsidRPr="008510E3">
        <w:rPr>
          <w:rFonts w:ascii="Segoe UI" w:eastAsia="Times New Roman" w:hAnsi="Segoe UI" w:cs="Segoe UI"/>
          <w:color w:val="000000" w:themeColor="text1"/>
          <w:kern w:val="24"/>
          <w:sz w:val="9"/>
          <w:szCs w:val="9"/>
          <w:lang w:val="el-GR" w:eastAsia="el-GR"/>
        </w:rPr>
        <w:t xml:space="preserve"> </w:t>
      </w:r>
      <w:r w:rsidR="008B5C68" w:rsidRPr="008510E3">
        <w:rPr>
          <w:rFonts w:ascii="Segoe UI" w:eastAsia="Times New Roman" w:hAnsi="Segoe UI" w:cs="Segoe UI"/>
          <w:kern w:val="24"/>
          <w:sz w:val="9"/>
          <w:szCs w:val="9"/>
          <w:lang w:val="el-GR" w:eastAsia="el-GR"/>
        </w:rPr>
        <w:t>εκατ.), η οποία αντισταθμίστηκε πλήρως από την ανάκτηση της πρόβλεψης για τη θυγατρική της ΕΤΕ στη Ρουμανία (€</w:t>
      </w:r>
      <w:r w:rsidR="00E71230" w:rsidRPr="008510E3">
        <w:rPr>
          <w:rFonts w:ascii="Segoe UI" w:eastAsia="Times New Roman" w:hAnsi="Segoe UI" w:cs="Segoe UI"/>
          <w:kern w:val="24"/>
          <w:sz w:val="9"/>
          <w:szCs w:val="9"/>
          <w:lang w:val="el-GR" w:eastAsia="el-GR"/>
        </w:rPr>
        <w:t>25</w:t>
      </w:r>
      <w:r w:rsidR="008B5C68" w:rsidRPr="008510E3">
        <w:rPr>
          <w:rFonts w:ascii="Segoe UI" w:eastAsia="Times New Roman" w:hAnsi="Segoe UI" w:cs="Segoe UI"/>
          <w:kern w:val="24"/>
          <w:sz w:val="9"/>
          <w:szCs w:val="9"/>
          <w:lang w:val="el-GR" w:eastAsia="el-GR"/>
        </w:rPr>
        <w:t xml:space="preserve"> εκατ.)</w:t>
      </w:r>
      <w:r w:rsidRPr="008510E3">
        <w:rPr>
          <w:rFonts w:ascii="Segoe UI" w:eastAsia="Times New Roman" w:hAnsi="Segoe UI" w:cs="Segoe UI"/>
          <w:kern w:val="24"/>
          <w:sz w:val="9"/>
          <w:szCs w:val="9"/>
          <w:lang w:val="el-GR" w:eastAsia="el-GR"/>
        </w:rPr>
        <w:t xml:space="preserve"> </w:t>
      </w:r>
    </w:p>
    <w:p w:rsidR="00D374DD" w:rsidRDefault="00D374DD" w:rsidP="008B5C68">
      <w:pPr>
        <w:autoSpaceDE w:val="0"/>
        <w:autoSpaceDN w:val="0"/>
        <w:adjustRightInd w:val="0"/>
        <w:spacing w:after="160" w:line="320" w:lineRule="atLeast"/>
        <w:jc w:val="both"/>
        <w:rPr>
          <w:rFonts w:ascii="Segoe UI" w:eastAsia="Times New Roman" w:hAnsi="Segoe UI" w:cs="Segoe UI"/>
          <w:color w:val="000000" w:themeColor="text1"/>
          <w:kern w:val="24"/>
          <w:sz w:val="12"/>
          <w:szCs w:val="10"/>
          <w:lang w:val="el-GR" w:eastAsia="el-GR"/>
        </w:rPr>
      </w:pPr>
      <w:r w:rsidRPr="003E4DDE">
        <w:rPr>
          <w:rFonts w:ascii="Segoe UI" w:eastAsia="Times New Roman" w:hAnsi="Segoe UI" w:cs="Segoe UI"/>
          <w:color w:val="000000" w:themeColor="text1"/>
          <w:kern w:val="24"/>
          <w:sz w:val="12"/>
          <w:szCs w:val="10"/>
          <w:lang w:val="el-GR" w:eastAsia="el-GR"/>
        </w:rPr>
        <w:br w:type="page"/>
      </w:r>
    </w:p>
    <w:tbl>
      <w:tblPr>
        <w:tblStyle w:val="aa"/>
        <w:tblW w:w="86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8642"/>
      </w:tblGrid>
      <w:tr w:rsidR="00AB37C9" w:rsidRPr="00AB591B" w:rsidTr="00AF1BA2">
        <w:trPr>
          <w:trHeight w:val="567"/>
        </w:trPr>
        <w:tc>
          <w:tcPr>
            <w:tcW w:w="8642" w:type="dxa"/>
            <w:shd w:val="clear" w:color="auto" w:fill="D9D9D9" w:themeFill="background1" w:themeFillShade="D9"/>
            <w:vAlign w:val="bottom"/>
          </w:tcPr>
          <w:p w:rsidR="00AB37C9" w:rsidRPr="00F215BB" w:rsidRDefault="00AB37C9" w:rsidP="00AF1BA2">
            <w:pPr>
              <w:pStyle w:val="Default"/>
              <w:tabs>
                <w:tab w:val="left" w:pos="1816"/>
              </w:tabs>
              <w:spacing w:after="160" w:line="320" w:lineRule="atLeast"/>
              <w:jc w:val="center"/>
              <w:rPr>
                <w:rFonts w:ascii="Segoe UI" w:hAnsi="Segoe UI" w:cs="Segoe UI"/>
                <w:b/>
                <w:color w:val="auto"/>
                <w:sz w:val="22"/>
              </w:rPr>
            </w:pPr>
            <w:r>
              <w:rPr>
                <w:rFonts w:ascii="Segoe UI" w:hAnsi="Segoe UI" w:cs="Segoe UI"/>
                <w:b/>
                <w:color w:val="auto"/>
              </w:rPr>
              <w:t xml:space="preserve">Κερδοφορία </w:t>
            </w:r>
          </w:p>
        </w:tc>
      </w:tr>
    </w:tbl>
    <w:p w:rsidR="00AB37C9" w:rsidRPr="002347A9" w:rsidRDefault="00AB37C9" w:rsidP="00AB37C9">
      <w:pPr>
        <w:autoSpaceDE w:val="0"/>
        <w:autoSpaceDN w:val="0"/>
        <w:adjustRightInd w:val="0"/>
        <w:spacing w:before="240" w:after="160" w:line="320" w:lineRule="atLeast"/>
        <w:jc w:val="both"/>
        <w:rPr>
          <w:rFonts w:ascii="Segoe UI" w:hAnsi="Segoe UI" w:cs="Segoe UI"/>
          <w:sz w:val="20"/>
          <w:u w:val="single"/>
          <w:lang w:val="el-GR" w:eastAsia="el-GR" w:bidi="el-GR"/>
        </w:rPr>
      </w:pPr>
      <w:r w:rsidRPr="00BD4F18">
        <w:rPr>
          <w:rFonts w:ascii="Segoe UI" w:eastAsia="Calibri" w:hAnsi="Segoe UI" w:cs="Arial"/>
          <w:b/>
          <w:color w:val="008080"/>
          <w:sz w:val="24"/>
          <w:u w:val="single"/>
          <w:lang w:val="el-GR"/>
        </w:rPr>
        <w:t>Ελλάδα</w:t>
      </w:r>
      <w:r>
        <w:rPr>
          <w:rFonts w:ascii="Segoe UI" w:eastAsia="Calibri" w:hAnsi="Segoe UI" w:cs="Arial"/>
          <w:b/>
          <w:color w:val="008080"/>
          <w:sz w:val="24"/>
          <w:u w:val="single"/>
          <w:lang w:val="el-GR"/>
        </w:rPr>
        <w:t>:</w:t>
      </w:r>
      <w:r w:rsidRPr="00BD4F18">
        <w:rPr>
          <w:rFonts w:ascii="Segoe UI" w:hAnsi="Segoe UI"/>
          <w:noProof/>
          <w:sz w:val="20"/>
          <w:lang w:val="el-GR" w:eastAsia="el-GR"/>
        </w:rPr>
        <w:t xml:space="preserve"> </w:t>
      </w:r>
    </w:p>
    <w:p w:rsidR="00AB37C9" w:rsidRDefault="00AB37C9" w:rsidP="00AB37C9">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rPr>
        <w:t xml:space="preserve">Τα </w:t>
      </w:r>
      <w:r>
        <w:rPr>
          <w:rFonts w:ascii="Segoe UI" w:hAnsi="Segoe UI" w:cs="Segoe UI"/>
          <w:b/>
          <w:sz w:val="20"/>
          <w:lang w:val="el-GR" w:eastAsia="el-GR" w:bidi="el-GR"/>
        </w:rPr>
        <w:t>λειτουργικά κέρδη</w:t>
      </w:r>
      <w:r w:rsidRPr="002309E9">
        <w:rPr>
          <w:rFonts w:ascii="Segoe UI" w:hAnsi="Segoe UI" w:cs="Segoe UI"/>
          <w:sz w:val="20"/>
          <w:lang w:val="el-GR" w:eastAsia="el-GR" w:bidi="el-GR"/>
        </w:rPr>
        <w:t xml:space="preserve"> </w:t>
      </w:r>
      <w:r>
        <w:rPr>
          <w:rFonts w:ascii="Segoe UI" w:hAnsi="Segoe UI" w:cs="Segoe UI"/>
          <w:sz w:val="20"/>
          <w:lang w:val="el-GR" w:eastAsia="el-GR" w:bidi="el-GR"/>
        </w:rPr>
        <w:t>ανήλθαν σε €465 εκατ. το εννεάμηνο 2019 από €65 εκατ. το εννεάμηνο 2018</w:t>
      </w:r>
      <w:r w:rsidRPr="002309E9">
        <w:rPr>
          <w:rFonts w:ascii="Segoe UI" w:hAnsi="Segoe UI" w:cs="Segoe UI"/>
          <w:sz w:val="20"/>
          <w:lang w:val="el-GR" w:eastAsia="el-GR" w:bidi="el-GR"/>
        </w:rPr>
        <w:t xml:space="preserve">, </w:t>
      </w:r>
      <w:r>
        <w:rPr>
          <w:rFonts w:ascii="Segoe UI" w:hAnsi="Segoe UI" w:cs="Segoe UI"/>
          <w:sz w:val="20"/>
          <w:lang w:val="el-GR" w:eastAsia="el-GR" w:bidi="el-GR"/>
        </w:rPr>
        <w:t xml:space="preserve">αντικατοπτρίζοντας τη σημαντική αύξηση των οργανικών εσόδων, τα υψηλά </w:t>
      </w:r>
      <w:r w:rsidRPr="00AB37C9">
        <w:rPr>
          <w:rFonts w:ascii="Segoe UI" w:hAnsi="Segoe UI" w:cs="Segoe UI"/>
          <w:sz w:val="20"/>
          <w:lang w:val="el-GR" w:eastAsia="el-GR" w:bidi="el-GR"/>
        </w:rPr>
        <w:t>κέρδη από χρηματοοικονομικές πράξεις και λοιπά έσοδα</w:t>
      </w:r>
      <w:r>
        <w:rPr>
          <w:rFonts w:ascii="Segoe UI" w:hAnsi="Segoe UI" w:cs="Segoe UI"/>
          <w:sz w:val="20"/>
          <w:lang w:val="el-GR" w:eastAsia="el-GR" w:bidi="el-GR"/>
        </w:rPr>
        <w:t xml:space="preserve"> επωφελούμενα από μη επαναλαμβανόμενα κέρδη, την περιστολή του λειτουργικού κόστους, καθώς και τη </w:t>
      </w:r>
      <w:r w:rsidRPr="00AB37C9">
        <w:rPr>
          <w:rFonts w:ascii="Segoe UI" w:hAnsi="Segoe UI" w:cs="Segoe UI"/>
          <w:sz w:val="20"/>
          <w:lang w:val="el-GR" w:eastAsia="el-GR" w:bidi="el-GR"/>
        </w:rPr>
        <w:t xml:space="preserve">διατήρηση του κόστους πιστωτικού κινδύνου σε </w:t>
      </w:r>
      <w:r w:rsidR="00D506A2">
        <w:rPr>
          <w:rFonts w:ascii="Segoe UI" w:hAnsi="Segoe UI" w:cs="Segoe UI"/>
          <w:sz w:val="20"/>
          <w:lang w:val="el-GR" w:eastAsia="el-GR" w:bidi="el-GR"/>
        </w:rPr>
        <w:t>σχετικά</w:t>
      </w:r>
      <w:r w:rsidRPr="00AB37C9">
        <w:rPr>
          <w:rFonts w:ascii="Segoe UI" w:hAnsi="Segoe UI" w:cs="Segoe UI"/>
          <w:sz w:val="20"/>
          <w:lang w:val="el-GR" w:eastAsia="el-GR" w:bidi="el-GR"/>
        </w:rPr>
        <w:t xml:space="preserve"> χαμηλά επίπεδα, παρά τη σημαντική αποκλιμάκωση </w:t>
      </w:r>
      <w:r>
        <w:rPr>
          <w:rFonts w:ascii="Segoe UI" w:hAnsi="Segoe UI" w:cs="Segoe UI"/>
          <w:sz w:val="20"/>
          <w:lang w:val="el-GR" w:eastAsia="el-GR" w:bidi="el-GR"/>
        </w:rPr>
        <w:t xml:space="preserve">ΜΕΑ. </w:t>
      </w:r>
      <w:r w:rsidRPr="00C925B1">
        <w:rPr>
          <w:rFonts w:ascii="Segoe UI" w:hAnsi="Segoe UI" w:cs="Segoe UI"/>
          <w:sz w:val="20"/>
          <w:lang w:val="el-GR" w:eastAsia="el-GR" w:bidi="el-GR"/>
        </w:rPr>
        <w:t xml:space="preserve">Τα </w:t>
      </w:r>
      <w:r w:rsidRPr="00C925B1">
        <w:rPr>
          <w:rFonts w:ascii="Segoe UI" w:hAnsi="Segoe UI" w:cs="Segoe UI"/>
          <w:b/>
          <w:sz w:val="20"/>
          <w:lang w:val="el-GR" w:eastAsia="el-GR" w:bidi="el-GR"/>
        </w:rPr>
        <w:t>κέρδη μετά από φόρους από συνεχιζόμενες δραστηριότητες</w:t>
      </w:r>
      <w:r w:rsidRPr="00C925B1">
        <w:rPr>
          <w:rFonts w:ascii="Segoe UI" w:hAnsi="Segoe UI" w:cs="Segoe UI"/>
          <w:sz w:val="20"/>
          <w:lang w:val="el-GR" w:eastAsia="el-GR" w:bidi="el-GR"/>
        </w:rPr>
        <w:t xml:space="preserve"> ανήλθαν σε €</w:t>
      </w:r>
      <w:r w:rsidR="0068607A">
        <w:rPr>
          <w:rFonts w:ascii="Segoe UI" w:hAnsi="Segoe UI" w:cs="Segoe UI"/>
          <w:sz w:val="20"/>
          <w:lang w:val="el-GR" w:eastAsia="el-GR" w:bidi="el-GR"/>
        </w:rPr>
        <w:t>476</w:t>
      </w:r>
      <w:r w:rsidRPr="00C925B1">
        <w:rPr>
          <w:rFonts w:ascii="Segoe UI" w:hAnsi="Segoe UI" w:cs="Segoe UI"/>
          <w:sz w:val="20"/>
          <w:lang w:val="el-GR" w:eastAsia="el-GR" w:bidi="el-GR"/>
        </w:rPr>
        <w:t xml:space="preserve"> εκατ. το </w:t>
      </w:r>
      <w:r w:rsidR="0068607A" w:rsidRPr="0068607A">
        <w:rPr>
          <w:rFonts w:ascii="Segoe UI" w:hAnsi="Segoe UI" w:cs="Segoe UI"/>
          <w:sz w:val="20"/>
          <w:lang w:val="el-GR" w:eastAsia="el-GR" w:bidi="el-GR"/>
        </w:rPr>
        <w:t>εννεάμηνο</w:t>
      </w:r>
      <w:r w:rsidRPr="00C925B1">
        <w:rPr>
          <w:rFonts w:ascii="Segoe UI" w:hAnsi="Segoe UI" w:cs="Segoe UI"/>
          <w:sz w:val="20"/>
          <w:lang w:val="el-GR" w:eastAsia="el-GR" w:bidi="el-GR"/>
        </w:rPr>
        <w:t xml:space="preserve"> 2019 από €</w:t>
      </w:r>
      <w:r w:rsidR="0068607A">
        <w:rPr>
          <w:rFonts w:ascii="Segoe UI" w:hAnsi="Segoe UI" w:cs="Segoe UI"/>
          <w:sz w:val="20"/>
          <w:lang w:val="el-GR" w:eastAsia="el-GR" w:bidi="el-GR"/>
        </w:rPr>
        <w:t>45</w:t>
      </w:r>
      <w:r w:rsidRPr="00C925B1">
        <w:rPr>
          <w:rFonts w:ascii="Segoe UI" w:hAnsi="Segoe UI" w:cs="Segoe UI"/>
          <w:sz w:val="20"/>
          <w:lang w:val="el-GR" w:eastAsia="el-GR" w:bidi="el-GR"/>
        </w:rPr>
        <w:t xml:space="preserve"> εκατ. το </w:t>
      </w:r>
      <w:r w:rsidR="0068607A" w:rsidRPr="0068607A">
        <w:rPr>
          <w:rFonts w:ascii="Segoe UI" w:hAnsi="Segoe UI" w:cs="Segoe UI"/>
          <w:sz w:val="20"/>
          <w:lang w:val="el-GR" w:eastAsia="el-GR" w:bidi="el-GR"/>
        </w:rPr>
        <w:t xml:space="preserve">εννεάμηνο </w:t>
      </w:r>
      <w:r w:rsidRPr="00C925B1">
        <w:rPr>
          <w:rFonts w:ascii="Segoe UI" w:hAnsi="Segoe UI" w:cs="Segoe UI"/>
          <w:sz w:val="20"/>
          <w:lang w:val="el-GR" w:eastAsia="el-GR" w:bidi="el-GR"/>
        </w:rPr>
        <w:t>201</w:t>
      </w:r>
      <w:r>
        <w:rPr>
          <w:rFonts w:ascii="Segoe UI" w:hAnsi="Segoe UI" w:cs="Segoe UI"/>
          <w:sz w:val="20"/>
          <w:lang w:val="el-GR" w:eastAsia="el-GR" w:bidi="el-GR"/>
        </w:rPr>
        <w:t xml:space="preserve">8, </w:t>
      </w:r>
      <w:r w:rsidR="000945FD">
        <w:rPr>
          <w:rFonts w:ascii="Segoe UI" w:hAnsi="Segoe UI" w:cs="Segoe UI"/>
          <w:sz w:val="20"/>
          <w:lang w:val="el-GR" w:eastAsia="el-GR" w:bidi="el-GR"/>
        </w:rPr>
        <w:t>εξαιρουμένου του</w:t>
      </w:r>
      <w:r>
        <w:rPr>
          <w:rFonts w:ascii="Segoe UI" w:hAnsi="Segoe UI" w:cs="Segoe UI"/>
          <w:sz w:val="20"/>
          <w:lang w:val="el-GR" w:eastAsia="el-GR" w:bidi="el-GR"/>
        </w:rPr>
        <w:t xml:space="preserve"> κ</w:t>
      </w:r>
      <w:r w:rsidRPr="000342C5">
        <w:rPr>
          <w:rFonts w:ascii="Segoe UI" w:hAnsi="Segoe UI" w:cs="Segoe UI"/>
          <w:sz w:val="20"/>
          <w:lang w:val="el-GR" w:eastAsia="el-GR" w:bidi="el-GR"/>
        </w:rPr>
        <w:t>όστο</w:t>
      </w:r>
      <w:r w:rsidR="000945FD">
        <w:rPr>
          <w:rFonts w:ascii="Segoe UI" w:hAnsi="Segoe UI" w:cs="Segoe UI"/>
          <w:sz w:val="20"/>
          <w:lang w:val="el-GR" w:eastAsia="el-GR" w:bidi="el-GR"/>
        </w:rPr>
        <w:t>υ</w:t>
      </w:r>
      <w:r w:rsidRPr="000342C5">
        <w:rPr>
          <w:rFonts w:ascii="Segoe UI" w:hAnsi="Segoe UI" w:cs="Segoe UI"/>
          <w:sz w:val="20"/>
          <w:lang w:val="el-GR" w:eastAsia="el-GR" w:bidi="el-GR"/>
        </w:rPr>
        <w:t xml:space="preserve">ς Εθελουσίας Εξόδου Προσωπικού </w:t>
      </w:r>
      <w:r>
        <w:rPr>
          <w:rFonts w:ascii="Segoe UI" w:hAnsi="Segoe UI" w:cs="Segoe UI"/>
          <w:sz w:val="20"/>
          <w:lang w:val="el-GR" w:eastAsia="el-GR" w:bidi="el-GR"/>
        </w:rPr>
        <w:t xml:space="preserve">(€94 εκατ. το </w:t>
      </w:r>
      <w:r w:rsidR="0068607A" w:rsidRPr="0068607A">
        <w:rPr>
          <w:rFonts w:ascii="Segoe UI" w:hAnsi="Segoe UI" w:cs="Segoe UI"/>
          <w:sz w:val="20"/>
          <w:lang w:val="el-GR" w:eastAsia="el-GR" w:bidi="el-GR"/>
        </w:rPr>
        <w:t xml:space="preserve">εννεάμηνο </w:t>
      </w:r>
      <w:r>
        <w:rPr>
          <w:rFonts w:ascii="Segoe UI" w:hAnsi="Segoe UI" w:cs="Segoe UI"/>
          <w:sz w:val="20"/>
          <w:lang w:val="el-GR" w:eastAsia="el-GR" w:bidi="el-GR"/>
        </w:rPr>
        <w:t>201</w:t>
      </w:r>
      <w:r w:rsidR="0068607A">
        <w:rPr>
          <w:rFonts w:ascii="Segoe UI" w:hAnsi="Segoe UI" w:cs="Segoe UI"/>
          <w:sz w:val="20"/>
          <w:lang w:val="el-GR" w:eastAsia="el-GR" w:bidi="el-GR"/>
        </w:rPr>
        <w:t>9</w:t>
      </w:r>
      <w:r>
        <w:rPr>
          <w:rFonts w:ascii="Segoe UI" w:hAnsi="Segoe UI" w:cs="Segoe UI"/>
          <w:sz w:val="20"/>
          <w:lang w:val="el-GR" w:eastAsia="el-GR" w:bidi="el-GR"/>
        </w:rPr>
        <w:t>)</w:t>
      </w:r>
      <w:r w:rsidR="00091289">
        <w:rPr>
          <w:rFonts w:ascii="Segoe UI" w:hAnsi="Segoe UI" w:cs="Segoe UI"/>
          <w:sz w:val="20"/>
          <w:lang w:val="el-GR" w:eastAsia="el-GR" w:bidi="el-GR"/>
        </w:rPr>
        <w:t xml:space="preserve"> και </w:t>
      </w:r>
      <w:r w:rsidR="000945FD">
        <w:rPr>
          <w:rFonts w:ascii="Segoe UI" w:hAnsi="Segoe UI" w:cs="Segoe UI"/>
          <w:sz w:val="20"/>
          <w:lang w:val="el-GR" w:eastAsia="el-GR" w:bidi="el-GR"/>
        </w:rPr>
        <w:t>των</w:t>
      </w:r>
      <w:r w:rsidR="001D7DE9">
        <w:rPr>
          <w:rFonts w:ascii="Segoe UI" w:hAnsi="Segoe UI" w:cs="Segoe UI"/>
          <w:sz w:val="20"/>
          <w:lang w:val="el-GR" w:eastAsia="el-GR" w:bidi="el-GR"/>
        </w:rPr>
        <w:t xml:space="preserve"> λοιπ</w:t>
      </w:r>
      <w:r w:rsidR="000945FD">
        <w:rPr>
          <w:rFonts w:ascii="Segoe UI" w:hAnsi="Segoe UI" w:cs="Segoe UI"/>
          <w:sz w:val="20"/>
          <w:lang w:val="el-GR" w:eastAsia="el-GR" w:bidi="el-GR"/>
        </w:rPr>
        <w:t xml:space="preserve">ών εξόδων </w:t>
      </w:r>
      <w:r>
        <w:rPr>
          <w:rFonts w:ascii="Segoe UI" w:hAnsi="Segoe UI" w:cs="Segoe UI"/>
          <w:sz w:val="20"/>
          <w:lang w:val="el-GR" w:eastAsia="el-GR" w:bidi="el-GR"/>
        </w:rPr>
        <w:t>αναδιάρθρωσης (€1</w:t>
      </w:r>
      <w:r w:rsidR="0068607A">
        <w:rPr>
          <w:rFonts w:ascii="Segoe UI" w:hAnsi="Segoe UI" w:cs="Segoe UI"/>
          <w:sz w:val="20"/>
          <w:lang w:val="el-GR" w:eastAsia="el-GR" w:bidi="el-GR"/>
        </w:rPr>
        <w:t>6</w:t>
      </w:r>
      <w:r>
        <w:rPr>
          <w:rFonts w:ascii="Segoe UI" w:hAnsi="Segoe UI" w:cs="Segoe UI"/>
          <w:sz w:val="20"/>
          <w:lang w:val="el-GR" w:eastAsia="el-GR" w:bidi="el-GR"/>
        </w:rPr>
        <w:t xml:space="preserve"> εκατ.</w:t>
      </w:r>
      <w:r w:rsidRPr="00C925B1">
        <w:rPr>
          <w:lang w:val="el-GR"/>
        </w:rPr>
        <w:t xml:space="preserve"> </w:t>
      </w:r>
      <w:r w:rsidRPr="00C925B1">
        <w:rPr>
          <w:rFonts w:ascii="Segoe UI" w:hAnsi="Segoe UI" w:cs="Segoe UI"/>
          <w:sz w:val="20"/>
          <w:lang w:val="el-GR" w:eastAsia="el-GR" w:bidi="el-GR"/>
        </w:rPr>
        <w:t xml:space="preserve">το </w:t>
      </w:r>
      <w:r w:rsidR="0068607A" w:rsidRPr="0068607A">
        <w:rPr>
          <w:rFonts w:ascii="Segoe UI" w:hAnsi="Segoe UI" w:cs="Segoe UI"/>
          <w:sz w:val="20"/>
          <w:lang w:val="el-GR" w:eastAsia="el-GR" w:bidi="el-GR"/>
        </w:rPr>
        <w:t xml:space="preserve">εννεάμηνο </w:t>
      </w:r>
      <w:r w:rsidRPr="00C925B1">
        <w:rPr>
          <w:rFonts w:ascii="Segoe UI" w:hAnsi="Segoe UI" w:cs="Segoe UI"/>
          <w:sz w:val="20"/>
          <w:lang w:val="el-GR" w:eastAsia="el-GR" w:bidi="el-GR"/>
        </w:rPr>
        <w:t>201</w:t>
      </w:r>
      <w:r>
        <w:rPr>
          <w:rFonts w:ascii="Segoe UI" w:hAnsi="Segoe UI" w:cs="Segoe UI"/>
          <w:sz w:val="20"/>
          <w:lang w:val="el-GR" w:eastAsia="el-GR" w:bidi="el-GR"/>
        </w:rPr>
        <w:t xml:space="preserve">9). </w:t>
      </w:r>
      <w:r w:rsidR="00171809">
        <w:rPr>
          <w:rFonts w:ascii="Segoe UI" w:hAnsi="Segoe UI" w:cs="Segoe UI"/>
          <w:sz w:val="20"/>
          <w:lang w:val="el-GR" w:eastAsia="el-GR" w:bidi="el-GR"/>
        </w:rPr>
        <w:t>Τ</w:t>
      </w:r>
      <w:r w:rsidR="00171809" w:rsidRPr="004F5B3F">
        <w:rPr>
          <w:rFonts w:ascii="Segoe UI" w:hAnsi="Segoe UI" w:cs="Segoe UI"/>
          <w:sz w:val="20"/>
          <w:lang w:val="el-GR" w:eastAsia="el-GR" w:bidi="el-GR"/>
        </w:rPr>
        <w:t xml:space="preserve">α </w:t>
      </w:r>
      <w:r w:rsidR="00171809" w:rsidRPr="00966BE7">
        <w:rPr>
          <w:rFonts w:ascii="Segoe UI" w:hAnsi="Segoe UI" w:cs="Segoe UI"/>
          <w:b/>
          <w:sz w:val="20"/>
          <w:lang w:val="el-GR" w:eastAsia="el-GR" w:bidi="el-GR"/>
        </w:rPr>
        <w:t>κέρδη μετά φόρων από διακοπείσες δραστηριότητες</w:t>
      </w:r>
      <w:r w:rsidR="00171809" w:rsidRPr="004F5B3F">
        <w:rPr>
          <w:rFonts w:ascii="Segoe UI" w:hAnsi="Segoe UI" w:cs="Segoe UI"/>
          <w:sz w:val="20"/>
          <w:lang w:val="el-GR" w:eastAsia="el-GR" w:bidi="el-GR"/>
        </w:rPr>
        <w:t xml:space="preserve"> το </w:t>
      </w:r>
      <w:r w:rsidR="00171809">
        <w:rPr>
          <w:rFonts w:ascii="Segoe UI" w:hAnsi="Segoe UI" w:cs="Segoe UI"/>
          <w:sz w:val="20"/>
          <w:lang w:val="el-GR" w:eastAsia="el-GR" w:bidi="el-GR"/>
        </w:rPr>
        <w:t xml:space="preserve">εννεάμηνο </w:t>
      </w:r>
      <w:r w:rsidR="00171809" w:rsidRPr="004F5B3F">
        <w:rPr>
          <w:rFonts w:ascii="Segoe UI" w:hAnsi="Segoe UI" w:cs="Segoe UI"/>
          <w:sz w:val="20"/>
          <w:lang w:val="el-GR" w:eastAsia="el-GR" w:bidi="el-GR"/>
        </w:rPr>
        <w:t xml:space="preserve">2019 </w:t>
      </w:r>
      <w:r w:rsidR="00171809">
        <w:rPr>
          <w:rFonts w:ascii="Segoe UI" w:hAnsi="Segoe UI" w:cs="Segoe UI"/>
          <w:sz w:val="20"/>
          <w:lang w:val="el-GR" w:eastAsia="el-GR" w:bidi="el-GR"/>
        </w:rPr>
        <w:t>ανήλθαν σε €105 εκατ.</w:t>
      </w:r>
      <w:r w:rsidR="005363A1">
        <w:rPr>
          <w:rFonts w:ascii="Segoe UI" w:hAnsi="Segoe UI" w:cs="Segoe UI"/>
          <w:sz w:val="20"/>
          <w:lang w:val="el-GR" w:eastAsia="el-GR" w:bidi="el-GR"/>
        </w:rPr>
        <w:t xml:space="preserve"> και ενσωματώνουν </w:t>
      </w:r>
      <w:r w:rsidR="00171809" w:rsidRPr="004F5B3F">
        <w:rPr>
          <w:rFonts w:ascii="Segoe UI" w:hAnsi="Segoe UI" w:cs="Segoe UI"/>
          <w:sz w:val="20"/>
          <w:lang w:val="el-GR" w:eastAsia="el-GR" w:bidi="el-GR"/>
        </w:rPr>
        <w:t>το κεφαλαιακό κέρδος από την πώληση της συμμετοχής μας στην ΠΑΝΓΑΙΑ</w:t>
      </w:r>
      <w:r w:rsidR="00171809">
        <w:rPr>
          <w:rFonts w:ascii="Segoe UI" w:hAnsi="Segoe UI" w:cs="Segoe UI"/>
          <w:sz w:val="20"/>
          <w:lang w:val="el-GR" w:eastAsia="el-GR" w:bidi="el-GR"/>
        </w:rPr>
        <w:t xml:space="preserve"> το Β’ τρίμηνο 2019 (€60 εκατ.), απορροφώντας το </w:t>
      </w:r>
      <w:r w:rsidR="00171809" w:rsidRPr="00966BE7">
        <w:rPr>
          <w:rFonts w:ascii="Segoe UI" w:hAnsi="Segoe UI" w:cs="Segoe UI"/>
          <w:sz w:val="20"/>
          <w:lang w:val="el-GR" w:eastAsia="el-GR" w:bidi="el-GR"/>
        </w:rPr>
        <w:t>κόστος Εθελουσίας Εξόδου Προσωπικού</w:t>
      </w:r>
      <w:r w:rsidR="005363A1">
        <w:rPr>
          <w:rFonts w:ascii="Segoe UI" w:hAnsi="Segoe UI" w:cs="Segoe UI"/>
          <w:sz w:val="20"/>
          <w:lang w:val="el-GR" w:eastAsia="el-GR" w:bidi="el-GR"/>
        </w:rPr>
        <w:t xml:space="preserve">, καθώς και τα </w:t>
      </w:r>
      <w:r w:rsidR="00091289" w:rsidRPr="00091289">
        <w:rPr>
          <w:rFonts w:ascii="Segoe UI" w:hAnsi="Segoe UI" w:cs="Segoe UI"/>
          <w:sz w:val="20"/>
          <w:lang w:val="el-GR" w:eastAsia="el-GR" w:bidi="el-GR"/>
        </w:rPr>
        <w:t>μη επαναλαμβανόμενα έξοδα και λοιπά κόστη αναδιάρθρωσης</w:t>
      </w:r>
      <w:r w:rsidR="005363A1">
        <w:rPr>
          <w:rFonts w:ascii="Segoe UI" w:hAnsi="Segoe UI" w:cs="Segoe UI"/>
          <w:sz w:val="20"/>
          <w:lang w:val="el-GR" w:eastAsia="el-GR" w:bidi="el-GR"/>
        </w:rPr>
        <w:t>.</w:t>
      </w:r>
    </w:p>
    <w:p w:rsidR="00966BE7" w:rsidRDefault="00AB37C9" w:rsidP="00AB37C9">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rPr>
        <w:t xml:space="preserve">Σε επίπεδο τριμήνου, τα </w:t>
      </w:r>
      <w:r w:rsidRPr="002347A9">
        <w:rPr>
          <w:rFonts w:ascii="Segoe UI" w:hAnsi="Segoe UI" w:cs="Segoe UI"/>
          <w:b/>
          <w:sz w:val="20"/>
          <w:lang w:val="el-GR" w:eastAsia="el-GR" w:bidi="el-GR"/>
        </w:rPr>
        <w:t>κέρδη μετά από φόρους από συνεχιζόμενες δραστηριότητες</w:t>
      </w:r>
      <w:r w:rsidRPr="002309E9">
        <w:rPr>
          <w:rFonts w:ascii="Segoe UI" w:hAnsi="Segoe UI" w:cs="Segoe UI"/>
          <w:sz w:val="20"/>
          <w:lang w:val="el-GR" w:eastAsia="el-GR" w:bidi="el-GR"/>
        </w:rPr>
        <w:t xml:space="preserve"> </w:t>
      </w:r>
      <w:r>
        <w:rPr>
          <w:rFonts w:ascii="Segoe UI" w:hAnsi="Segoe UI" w:cs="Segoe UI"/>
          <w:sz w:val="20"/>
          <w:lang w:val="el-GR" w:eastAsia="el-GR" w:bidi="el-GR"/>
        </w:rPr>
        <w:t>ανήλθαν σε €</w:t>
      </w:r>
      <w:r w:rsidR="003853AD">
        <w:rPr>
          <w:rFonts w:ascii="Segoe UI" w:hAnsi="Segoe UI" w:cs="Segoe UI"/>
          <w:sz w:val="20"/>
          <w:lang w:val="el-GR" w:eastAsia="el-GR" w:bidi="el-GR"/>
        </w:rPr>
        <w:t>237</w:t>
      </w:r>
      <w:r>
        <w:rPr>
          <w:rFonts w:ascii="Segoe UI" w:hAnsi="Segoe UI" w:cs="Segoe UI"/>
          <w:sz w:val="20"/>
          <w:lang w:val="el-GR" w:eastAsia="el-GR" w:bidi="el-GR"/>
        </w:rPr>
        <w:t xml:space="preserve"> εκατ. το </w:t>
      </w:r>
      <w:r w:rsidR="003853AD">
        <w:rPr>
          <w:rFonts w:ascii="Segoe UI" w:hAnsi="Segoe UI" w:cs="Segoe UI"/>
          <w:sz w:val="20"/>
          <w:lang w:val="el-GR" w:eastAsia="el-GR" w:bidi="el-GR"/>
        </w:rPr>
        <w:t>Γ</w:t>
      </w:r>
      <w:r w:rsidRPr="00C16367">
        <w:rPr>
          <w:rFonts w:ascii="Segoe UI" w:hAnsi="Segoe UI" w:cs="Segoe UI"/>
          <w:sz w:val="20"/>
          <w:lang w:val="el-GR" w:eastAsia="el-GR" w:bidi="el-GR"/>
        </w:rPr>
        <w:t xml:space="preserve">’ </w:t>
      </w:r>
      <w:r>
        <w:rPr>
          <w:rFonts w:ascii="Segoe UI" w:hAnsi="Segoe UI" w:cs="Segoe UI"/>
          <w:sz w:val="20"/>
          <w:lang w:val="el-GR" w:eastAsia="el-GR" w:bidi="el-GR"/>
        </w:rPr>
        <w:t>τρίμηνο 2019 από €</w:t>
      </w:r>
      <w:r w:rsidR="003853AD">
        <w:rPr>
          <w:rFonts w:ascii="Segoe UI" w:hAnsi="Segoe UI" w:cs="Segoe UI"/>
          <w:sz w:val="20"/>
          <w:lang w:val="el-GR" w:eastAsia="el-GR" w:bidi="el-GR"/>
        </w:rPr>
        <w:t>113</w:t>
      </w:r>
      <w:r>
        <w:rPr>
          <w:rFonts w:ascii="Segoe UI" w:hAnsi="Segoe UI" w:cs="Segoe UI"/>
          <w:sz w:val="20"/>
          <w:lang w:val="el-GR" w:eastAsia="el-GR" w:bidi="el-GR"/>
        </w:rPr>
        <w:t xml:space="preserve"> εκατ. το προηγούμενο τρίμηνο</w:t>
      </w:r>
      <w:r w:rsidRPr="002309E9">
        <w:rPr>
          <w:rFonts w:ascii="Segoe UI" w:hAnsi="Segoe UI" w:cs="Segoe UI"/>
          <w:sz w:val="20"/>
          <w:lang w:val="el-GR" w:eastAsia="el-GR" w:bidi="el-GR"/>
        </w:rPr>
        <w:t xml:space="preserve">, </w:t>
      </w:r>
      <w:r>
        <w:rPr>
          <w:rFonts w:ascii="Segoe UI" w:hAnsi="Segoe UI" w:cs="Segoe UI"/>
          <w:sz w:val="20"/>
          <w:lang w:val="el-GR" w:eastAsia="el-GR" w:bidi="el-GR"/>
        </w:rPr>
        <w:t>εξαιρουμέν</w:t>
      </w:r>
      <w:r w:rsidR="003853AD">
        <w:rPr>
          <w:rFonts w:ascii="Segoe UI" w:hAnsi="Segoe UI" w:cs="Segoe UI"/>
          <w:sz w:val="20"/>
          <w:lang w:val="el-GR" w:eastAsia="el-GR" w:bidi="el-GR"/>
        </w:rPr>
        <w:t>ων</w:t>
      </w:r>
      <w:r>
        <w:rPr>
          <w:rFonts w:ascii="Segoe UI" w:hAnsi="Segoe UI" w:cs="Segoe UI"/>
          <w:sz w:val="20"/>
          <w:lang w:val="el-GR" w:eastAsia="el-GR" w:bidi="el-GR"/>
        </w:rPr>
        <w:t xml:space="preserve"> </w:t>
      </w:r>
      <w:r w:rsidR="003853AD">
        <w:rPr>
          <w:rFonts w:ascii="Segoe UI" w:hAnsi="Segoe UI" w:cs="Segoe UI"/>
          <w:sz w:val="20"/>
          <w:lang w:val="el-GR" w:eastAsia="el-GR" w:bidi="el-GR"/>
        </w:rPr>
        <w:t>των</w:t>
      </w:r>
      <w:r w:rsidRPr="000342C5">
        <w:rPr>
          <w:rFonts w:ascii="Segoe UI" w:hAnsi="Segoe UI" w:cs="Segoe UI"/>
          <w:sz w:val="20"/>
          <w:lang w:val="el-GR" w:eastAsia="el-GR" w:bidi="el-GR"/>
        </w:rPr>
        <w:t xml:space="preserve"> μη επαναλαμβανόμεν</w:t>
      </w:r>
      <w:r>
        <w:rPr>
          <w:rFonts w:ascii="Segoe UI" w:hAnsi="Segoe UI" w:cs="Segoe UI"/>
          <w:sz w:val="20"/>
          <w:lang w:val="el-GR" w:eastAsia="el-GR" w:bidi="el-GR"/>
        </w:rPr>
        <w:t>ων εξόδων αναδιάρθρωσης (€</w:t>
      </w:r>
      <w:r w:rsidR="003853AD">
        <w:rPr>
          <w:rFonts w:ascii="Segoe UI" w:hAnsi="Segoe UI" w:cs="Segoe UI"/>
          <w:sz w:val="20"/>
          <w:lang w:val="el-GR" w:eastAsia="el-GR" w:bidi="el-GR"/>
        </w:rPr>
        <w:t>5</w:t>
      </w:r>
      <w:r>
        <w:rPr>
          <w:rFonts w:ascii="Segoe UI" w:hAnsi="Segoe UI" w:cs="Segoe UI"/>
          <w:sz w:val="20"/>
          <w:lang w:val="el-GR" w:eastAsia="el-GR" w:bidi="el-GR"/>
        </w:rPr>
        <w:t xml:space="preserve"> εκατ.</w:t>
      </w:r>
      <w:r w:rsidRPr="00523A5A">
        <w:rPr>
          <w:lang w:val="el-GR"/>
        </w:rPr>
        <w:t xml:space="preserve"> </w:t>
      </w:r>
      <w:r w:rsidRPr="00523A5A">
        <w:rPr>
          <w:rFonts w:ascii="Segoe UI" w:hAnsi="Segoe UI" w:cs="Segoe UI"/>
          <w:sz w:val="20"/>
          <w:lang w:val="el-GR" w:eastAsia="el-GR" w:bidi="el-GR"/>
        </w:rPr>
        <w:t xml:space="preserve">το </w:t>
      </w:r>
      <w:r w:rsidR="001D7DE9">
        <w:rPr>
          <w:rFonts w:ascii="Segoe UI" w:hAnsi="Segoe UI" w:cs="Segoe UI"/>
          <w:sz w:val="20"/>
          <w:lang w:val="el-GR" w:eastAsia="el-GR" w:bidi="el-GR"/>
        </w:rPr>
        <w:t>Γ</w:t>
      </w:r>
      <w:r w:rsidRPr="00523A5A">
        <w:rPr>
          <w:rFonts w:ascii="Segoe UI" w:hAnsi="Segoe UI" w:cs="Segoe UI"/>
          <w:sz w:val="20"/>
          <w:lang w:val="el-GR" w:eastAsia="el-GR" w:bidi="el-GR"/>
        </w:rPr>
        <w:t>’ τρίμηνο 2019 &amp; €</w:t>
      </w:r>
      <w:r w:rsidR="003853AD">
        <w:rPr>
          <w:rFonts w:ascii="Segoe UI" w:hAnsi="Segoe UI" w:cs="Segoe UI"/>
          <w:sz w:val="20"/>
          <w:lang w:val="el-GR" w:eastAsia="el-GR" w:bidi="el-GR"/>
        </w:rPr>
        <w:t>4</w:t>
      </w:r>
      <w:r w:rsidRPr="00523A5A">
        <w:rPr>
          <w:rFonts w:ascii="Segoe UI" w:hAnsi="Segoe UI" w:cs="Segoe UI"/>
          <w:sz w:val="20"/>
          <w:lang w:val="el-GR" w:eastAsia="el-GR" w:bidi="el-GR"/>
        </w:rPr>
        <w:t xml:space="preserve"> εκατ. το </w:t>
      </w:r>
      <w:r w:rsidR="003853AD">
        <w:rPr>
          <w:rFonts w:ascii="Segoe UI" w:hAnsi="Segoe UI" w:cs="Segoe UI"/>
          <w:sz w:val="20"/>
          <w:lang w:val="el-GR" w:eastAsia="el-GR" w:bidi="el-GR"/>
        </w:rPr>
        <w:t>Β</w:t>
      </w:r>
      <w:r w:rsidRPr="00523A5A">
        <w:rPr>
          <w:rFonts w:ascii="Segoe UI" w:hAnsi="Segoe UI" w:cs="Segoe UI"/>
          <w:sz w:val="20"/>
          <w:lang w:val="el-GR" w:eastAsia="el-GR" w:bidi="el-GR"/>
        </w:rPr>
        <w:t>’ τρίμηνο 2019</w:t>
      </w:r>
      <w:r>
        <w:rPr>
          <w:rFonts w:ascii="Segoe UI" w:hAnsi="Segoe UI" w:cs="Segoe UI"/>
          <w:sz w:val="20"/>
          <w:lang w:val="el-GR" w:eastAsia="el-GR" w:bidi="el-GR"/>
        </w:rPr>
        <w:t xml:space="preserve">). </w:t>
      </w:r>
    </w:p>
    <w:p w:rsidR="00AB37C9" w:rsidRDefault="00AB37C9" w:rsidP="00AB37C9">
      <w:pPr>
        <w:autoSpaceDE w:val="0"/>
        <w:autoSpaceDN w:val="0"/>
        <w:adjustRightInd w:val="0"/>
        <w:spacing w:after="160" w:line="320" w:lineRule="atLeast"/>
        <w:jc w:val="both"/>
        <w:rPr>
          <w:rFonts w:ascii="Segoe UI" w:hAnsi="Segoe UI" w:cs="Segoe UI"/>
          <w:sz w:val="20"/>
          <w:lang w:val="el-GR" w:eastAsia="el-GR" w:bidi="el-GR"/>
        </w:rPr>
      </w:pPr>
      <w:r w:rsidRPr="00567B66">
        <w:rPr>
          <w:rFonts w:ascii="Segoe UI" w:hAnsi="Segoe UI" w:cs="Segoe UI"/>
          <w:sz w:val="20"/>
          <w:lang w:val="el-GR" w:eastAsia="el-GR" w:bidi="el-GR"/>
        </w:rPr>
        <w:t xml:space="preserve">Τα </w:t>
      </w:r>
      <w:r w:rsidRPr="00A8420F">
        <w:rPr>
          <w:rFonts w:ascii="Segoe UI" w:hAnsi="Segoe UI" w:cs="Segoe UI"/>
          <w:b/>
          <w:sz w:val="20"/>
          <w:lang w:val="el-GR" w:eastAsia="el-GR" w:bidi="el-GR"/>
        </w:rPr>
        <w:t xml:space="preserve">καθαρά έσοδα από τόκους </w:t>
      </w:r>
      <w:r w:rsidR="00BB2C1E">
        <w:rPr>
          <w:rFonts w:ascii="Segoe UI" w:hAnsi="Segoe UI" w:cs="Segoe UI"/>
          <w:sz w:val="20"/>
          <w:lang w:val="el-GR" w:eastAsia="el-GR" w:bidi="el-GR"/>
        </w:rPr>
        <w:t xml:space="preserve">διαμορφώθηκαν σε €284 εκατ. το Γ’ τρίμηνο </w:t>
      </w:r>
      <w:r>
        <w:rPr>
          <w:rFonts w:ascii="Segoe UI" w:hAnsi="Segoe UI" w:cs="Segoe UI"/>
          <w:sz w:val="20"/>
          <w:lang w:val="el-GR" w:eastAsia="el-GR" w:bidi="el-GR"/>
        </w:rPr>
        <w:t>2019</w:t>
      </w:r>
      <w:r w:rsidR="00BB2C1E">
        <w:rPr>
          <w:rFonts w:ascii="Segoe UI" w:hAnsi="Segoe UI" w:cs="Segoe UI"/>
          <w:sz w:val="20"/>
          <w:lang w:val="el-GR" w:eastAsia="el-GR" w:bidi="el-GR"/>
        </w:rPr>
        <w:t xml:space="preserve"> από €293 εκατ. το προηγούμενο τρίμηνο</w:t>
      </w:r>
      <w:r w:rsidR="00A27E47">
        <w:rPr>
          <w:rFonts w:ascii="Segoe UI" w:hAnsi="Segoe UI" w:cs="Segoe UI"/>
          <w:sz w:val="20"/>
          <w:lang w:val="el-GR" w:eastAsia="el-GR" w:bidi="el-GR"/>
        </w:rPr>
        <w:t xml:space="preserve">, </w:t>
      </w:r>
      <w:r w:rsidR="00876975">
        <w:rPr>
          <w:rFonts w:ascii="Segoe UI" w:hAnsi="Segoe UI" w:cs="Segoe UI"/>
          <w:sz w:val="20"/>
          <w:lang w:val="el-GR" w:eastAsia="el-GR" w:bidi="el-GR"/>
        </w:rPr>
        <w:t xml:space="preserve">αρνητικά </w:t>
      </w:r>
      <w:r w:rsidR="00A27E47">
        <w:rPr>
          <w:rFonts w:ascii="Segoe UI" w:hAnsi="Segoe UI" w:cs="Segoe UI"/>
          <w:sz w:val="20"/>
          <w:lang w:val="el-GR" w:eastAsia="el-GR" w:bidi="el-GR"/>
        </w:rPr>
        <w:t>επηρεαζόμεν</w:t>
      </w:r>
      <w:r w:rsidR="00C30135">
        <w:rPr>
          <w:rFonts w:ascii="Segoe UI" w:hAnsi="Segoe UI" w:cs="Segoe UI"/>
          <w:sz w:val="20"/>
          <w:lang w:val="el-GR" w:eastAsia="el-GR" w:bidi="el-GR"/>
        </w:rPr>
        <w:t>α</w:t>
      </w:r>
      <w:r w:rsidR="00A27E47">
        <w:rPr>
          <w:rFonts w:ascii="Segoe UI" w:hAnsi="Segoe UI" w:cs="Segoe UI"/>
          <w:sz w:val="20"/>
          <w:lang w:val="el-GR" w:eastAsia="el-GR" w:bidi="el-GR"/>
        </w:rPr>
        <w:t xml:space="preserve"> από το κόστος των </w:t>
      </w:r>
      <w:r w:rsidR="00A27E47" w:rsidRPr="00A27E47">
        <w:rPr>
          <w:rFonts w:ascii="Segoe UI" w:hAnsi="Segoe UI" w:cs="Segoe UI"/>
          <w:sz w:val="20"/>
          <w:lang w:val="el-GR" w:eastAsia="el-GR" w:bidi="el-GR"/>
        </w:rPr>
        <w:t>τίτλων μειωμένης εξασφάλισης Tier II</w:t>
      </w:r>
      <w:r w:rsidRPr="0035317C">
        <w:rPr>
          <w:rFonts w:ascii="Segoe UI" w:hAnsi="Segoe UI" w:cs="Segoe UI"/>
          <w:sz w:val="20"/>
          <w:lang w:val="el-GR" w:eastAsia="el-GR" w:bidi="el-GR"/>
        </w:rPr>
        <w:t xml:space="preserve">. </w:t>
      </w:r>
      <w:r w:rsidR="00B622CD">
        <w:rPr>
          <w:rFonts w:ascii="Segoe UI" w:hAnsi="Segoe UI" w:cs="Segoe UI"/>
          <w:sz w:val="20"/>
          <w:lang w:val="el-GR" w:eastAsia="el-GR" w:bidi="el-GR"/>
        </w:rPr>
        <w:t xml:space="preserve">Ως αποτέλεσμα, το </w:t>
      </w:r>
      <w:r w:rsidR="00B622CD">
        <w:rPr>
          <w:rFonts w:ascii="Segoe UI" w:hAnsi="Segoe UI" w:cs="Segoe UI"/>
          <w:b/>
          <w:sz w:val="20"/>
          <w:lang w:val="el-GR" w:eastAsia="el-GR" w:bidi="el-GR"/>
        </w:rPr>
        <w:t xml:space="preserve">καθαρό επιτοκιακό περιθώριο </w:t>
      </w:r>
      <w:r w:rsidR="00B622CD">
        <w:rPr>
          <w:rFonts w:ascii="Segoe UI" w:hAnsi="Segoe UI" w:cs="Segoe UI"/>
          <w:sz w:val="20"/>
          <w:lang w:val="el-GR" w:eastAsia="el-GR" w:bidi="el-GR"/>
        </w:rPr>
        <w:t>μειώθηκε κατά 6</w:t>
      </w:r>
      <w:r w:rsidR="00B622CD" w:rsidRPr="00727CE8">
        <w:rPr>
          <w:rFonts w:ascii="Segoe UI" w:hAnsi="Segoe UI" w:cs="Segoe UI"/>
          <w:sz w:val="20"/>
          <w:lang w:val="el-GR" w:eastAsia="el-GR" w:bidi="el-GR"/>
        </w:rPr>
        <w:t>μ.β. σε τριμηνιαία βάση</w:t>
      </w:r>
      <w:r w:rsidR="00C633AE" w:rsidRPr="00C633AE">
        <w:rPr>
          <w:rFonts w:ascii="Segoe UI" w:hAnsi="Segoe UI" w:cs="Segoe UI"/>
          <w:sz w:val="20"/>
          <w:lang w:val="el-GR" w:eastAsia="el-GR" w:bidi="el-GR"/>
        </w:rPr>
        <w:t>,</w:t>
      </w:r>
      <w:r w:rsidR="00B622CD" w:rsidRPr="00727CE8">
        <w:rPr>
          <w:rFonts w:ascii="Segoe UI" w:hAnsi="Segoe UI" w:cs="Segoe UI"/>
          <w:sz w:val="20"/>
          <w:lang w:val="el-GR" w:eastAsia="el-GR" w:bidi="el-GR"/>
        </w:rPr>
        <w:t xml:space="preserve"> σε </w:t>
      </w:r>
      <w:r w:rsidR="00B622CD">
        <w:rPr>
          <w:rFonts w:ascii="Segoe UI" w:hAnsi="Segoe UI" w:cs="Segoe UI"/>
          <w:sz w:val="20"/>
          <w:lang w:val="el-GR" w:eastAsia="el-GR" w:bidi="el-GR"/>
        </w:rPr>
        <w:t>269</w:t>
      </w:r>
      <w:r w:rsidR="00B622CD" w:rsidRPr="00727CE8">
        <w:rPr>
          <w:rFonts w:ascii="Segoe UI" w:hAnsi="Segoe UI" w:cs="Segoe UI"/>
          <w:sz w:val="20"/>
          <w:lang w:val="el-GR" w:eastAsia="el-GR" w:bidi="el-GR"/>
        </w:rPr>
        <w:t>μ.β.</w:t>
      </w:r>
      <w:r w:rsidR="00B622CD">
        <w:rPr>
          <w:rFonts w:ascii="Segoe UI" w:hAnsi="Segoe UI" w:cs="Segoe UI"/>
          <w:sz w:val="20"/>
          <w:lang w:val="el-GR" w:eastAsia="el-GR" w:bidi="el-GR"/>
        </w:rPr>
        <w:t xml:space="preserve"> Το εννεάμηνο 2019, τα </w:t>
      </w:r>
      <w:r w:rsidR="00B622CD" w:rsidRPr="000C55E5">
        <w:rPr>
          <w:rFonts w:ascii="Segoe UI" w:hAnsi="Segoe UI" w:cs="Segoe UI"/>
          <w:sz w:val="20"/>
          <w:lang w:val="el-GR" w:eastAsia="el-GR" w:bidi="el-GR"/>
        </w:rPr>
        <w:t xml:space="preserve">καθαρά έσοδα από τόκους </w:t>
      </w:r>
      <w:r w:rsidR="00B622CD">
        <w:rPr>
          <w:rFonts w:ascii="Segoe UI" w:hAnsi="Segoe UI" w:cs="Segoe UI"/>
          <w:sz w:val="20"/>
          <w:lang w:val="el-GR" w:eastAsia="el-GR" w:bidi="el-GR"/>
        </w:rPr>
        <w:t>αυξήθηκαν κατά 7,6</w:t>
      </w:r>
      <w:r w:rsidR="00B622CD" w:rsidRPr="000C55E5">
        <w:rPr>
          <w:rFonts w:ascii="Segoe UI" w:hAnsi="Segoe UI" w:cs="Segoe UI"/>
          <w:sz w:val="20"/>
          <w:lang w:val="el-GR" w:eastAsia="el-GR" w:bidi="el-GR"/>
        </w:rPr>
        <w:t>%</w:t>
      </w:r>
      <w:r w:rsidR="001C549E">
        <w:rPr>
          <w:rFonts w:ascii="Segoe UI" w:hAnsi="Segoe UI" w:cs="Segoe UI"/>
          <w:sz w:val="20"/>
          <w:lang w:val="el-GR" w:eastAsia="el-GR" w:bidi="el-GR"/>
        </w:rPr>
        <w:t>,</w:t>
      </w:r>
      <w:r w:rsidR="00B622CD" w:rsidRPr="000C55E5">
        <w:rPr>
          <w:rFonts w:ascii="Segoe UI" w:hAnsi="Segoe UI" w:cs="Segoe UI"/>
          <w:sz w:val="20"/>
          <w:lang w:val="el-GR" w:eastAsia="el-GR" w:bidi="el-GR"/>
        </w:rPr>
        <w:t xml:space="preserve"> σε </w:t>
      </w:r>
      <w:r w:rsidR="00B622CD">
        <w:rPr>
          <w:rFonts w:ascii="Segoe UI" w:hAnsi="Segoe UI" w:cs="Segoe UI"/>
          <w:sz w:val="20"/>
          <w:lang w:val="el-GR" w:eastAsia="el-GR" w:bidi="el-GR"/>
        </w:rPr>
        <w:t>ετήσια</w:t>
      </w:r>
      <w:r w:rsidR="00B622CD" w:rsidRPr="000C55E5">
        <w:rPr>
          <w:rFonts w:ascii="Segoe UI" w:hAnsi="Segoe UI" w:cs="Segoe UI"/>
          <w:sz w:val="20"/>
          <w:lang w:val="el-GR" w:eastAsia="el-GR" w:bidi="el-GR"/>
        </w:rPr>
        <w:t xml:space="preserve"> βάση</w:t>
      </w:r>
      <w:r w:rsidR="001C549E">
        <w:rPr>
          <w:rFonts w:ascii="Segoe UI" w:hAnsi="Segoe UI" w:cs="Segoe UI"/>
          <w:sz w:val="20"/>
          <w:lang w:val="el-GR" w:eastAsia="el-GR" w:bidi="el-GR"/>
        </w:rPr>
        <w:t>,</w:t>
      </w:r>
      <w:r w:rsidR="00B622CD" w:rsidRPr="000C55E5">
        <w:rPr>
          <w:rFonts w:ascii="Segoe UI" w:hAnsi="Segoe UI" w:cs="Segoe UI"/>
          <w:sz w:val="20"/>
          <w:lang w:val="el-GR" w:eastAsia="el-GR" w:bidi="el-GR"/>
        </w:rPr>
        <w:t xml:space="preserve"> σε €</w:t>
      </w:r>
      <w:r w:rsidR="00B622CD">
        <w:rPr>
          <w:rFonts w:ascii="Segoe UI" w:hAnsi="Segoe UI" w:cs="Segoe UI"/>
          <w:sz w:val="20"/>
          <w:lang w:val="el-GR" w:eastAsia="el-GR" w:bidi="el-GR"/>
        </w:rPr>
        <w:t>852 εκατ</w:t>
      </w:r>
      <w:r w:rsidR="00B622CD" w:rsidRPr="000C55E5">
        <w:rPr>
          <w:rFonts w:ascii="Segoe UI" w:hAnsi="Segoe UI" w:cs="Segoe UI"/>
          <w:sz w:val="20"/>
          <w:lang w:val="el-GR" w:eastAsia="el-GR" w:bidi="el-GR"/>
        </w:rPr>
        <w:t>.</w:t>
      </w:r>
      <w:r w:rsidR="00B622CD">
        <w:rPr>
          <w:rFonts w:ascii="Segoe UI" w:hAnsi="Segoe UI" w:cs="Segoe UI"/>
          <w:sz w:val="20"/>
          <w:lang w:val="el-GR" w:eastAsia="el-GR" w:bidi="el-GR"/>
        </w:rPr>
        <w:t xml:space="preserve">, αντανακλώντας </w:t>
      </w:r>
      <w:r>
        <w:rPr>
          <w:rFonts w:ascii="Segoe UI" w:hAnsi="Segoe UI" w:cs="Segoe UI"/>
          <w:sz w:val="20"/>
          <w:lang w:val="el-GR" w:eastAsia="el-GR" w:bidi="el-GR"/>
        </w:rPr>
        <w:t xml:space="preserve">τη σημαντική αύξηση των επιτοκιακών εσόδων από χρεόγραφα, μετά </w:t>
      </w:r>
      <w:r w:rsidRPr="0035317C">
        <w:rPr>
          <w:rFonts w:ascii="Segoe UI" w:hAnsi="Segoe UI" w:cs="Segoe UI"/>
          <w:sz w:val="20"/>
          <w:lang w:val="el-GR" w:eastAsia="el-GR" w:bidi="el-GR"/>
        </w:rPr>
        <w:t xml:space="preserve">την </w:t>
      </w:r>
      <w:r w:rsidR="001D16D7" w:rsidRPr="001D16D7">
        <w:rPr>
          <w:rFonts w:ascii="Segoe UI" w:hAnsi="Segoe UI" w:cs="Segoe UI"/>
          <w:sz w:val="20"/>
          <w:lang w:val="el-GR" w:eastAsia="el-GR" w:bidi="el-GR"/>
        </w:rPr>
        <w:t xml:space="preserve">αντικατάσταση της Συμφωνίας Ανταλλαγής Επιτοκίων με ΟΕΔ </w:t>
      </w:r>
      <w:r w:rsidRPr="0035317C">
        <w:rPr>
          <w:rFonts w:ascii="Segoe UI" w:hAnsi="Segoe UI" w:cs="Segoe UI"/>
          <w:sz w:val="20"/>
          <w:lang w:val="el-GR" w:eastAsia="el-GR" w:bidi="el-GR"/>
        </w:rPr>
        <w:t>στα μέσα Φεβρουαρίου</w:t>
      </w:r>
      <w:r w:rsidR="00B622CD">
        <w:rPr>
          <w:rFonts w:ascii="Segoe UI" w:hAnsi="Segoe UI" w:cs="Segoe UI"/>
          <w:sz w:val="20"/>
          <w:lang w:val="el-GR" w:eastAsia="el-GR" w:bidi="el-GR"/>
        </w:rPr>
        <w:t xml:space="preserve">, καθώς </w:t>
      </w:r>
      <w:r w:rsidR="00A93D15">
        <w:rPr>
          <w:rFonts w:ascii="Segoe UI" w:hAnsi="Segoe UI" w:cs="Segoe UI"/>
          <w:sz w:val="20"/>
          <w:lang w:val="el-GR" w:eastAsia="el-GR" w:bidi="el-GR"/>
        </w:rPr>
        <w:t xml:space="preserve">και τη </w:t>
      </w:r>
      <w:r w:rsidR="00D506A2">
        <w:rPr>
          <w:rFonts w:ascii="Segoe UI" w:hAnsi="Segoe UI" w:cs="Segoe UI"/>
          <w:sz w:val="20"/>
          <w:lang w:val="el-GR" w:eastAsia="el-GR" w:bidi="el-GR"/>
        </w:rPr>
        <w:t xml:space="preserve">σταθεροποίηση </w:t>
      </w:r>
      <w:r w:rsidR="00A93D15">
        <w:rPr>
          <w:rFonts w:ascii="Segoe UI" w:hAnsi="Segoe UI" w:cs="Segoe UI"/>
          <w:sz w:val="20"/>
          <w:lang w:val="el-GR" w:eastAsia="el-GR" w:bidi="el-GR"/>
        </w:rPr>
        <w:t xml:space="preserve">των </w:t>
      </w:r>
      <w:r w:rsidR="00A93D15" w:rsidRPr="00A93D15">
        <w:rPr>
          <w:rFonts w:ascii="Segoe UI" w:hAnsi="Segoe UI" w:cs="Segoe UI"/>
          <w:sz w:val="20"/>
          <w:lang w:val="el-GR" w:eastAsia="el-GR" w:bidi="el-GR"/>
        </w:rPr>
        <w:t>επιτοκιακ</w:t>
      </w:r>
      <w:r w:rsidR="00A93D15">
        <w:rPr>
          <w:rFonts w:ascii="Segoe UI" w:hAnsi="Segoe UI" w:cs="Segoe UI"/>
          <w:sz w:val="20"/>
          <w:lang w:val="el-GR" w:eastAsia="el-GR" w:bidi="el-GR"/>
        </w:rPr>
        <w:t xml:space="preserve">ών εσόδων </w:t>
      </w:r>
      <w:r w:rsidR="00A93D15" w:rsidRPr="00A93D15">
        <w:rPr>
          <w:rFonts w:ascii="Segoe UI" w:hAnsi="Segoe UI" w:cs="Segoe UI"/>
          <w:sz w:val="20"/>
          <w:lang w:val="el-GR" w:eastAsia="el-GR" w:bidi="el-GR"/>
        </w:rPr>
        <w:t>από δάνεια</w:t>
      </w:r>
      <w:r w:rsidR="00A93D15">
        <w:rPr>
          <w:rFonts w:ascii="Segoe UI" w:hAnsi="Segoe UI" w:cs="Segoe UI"/>
          <w:sz w:val="20"/>
          <w:lang w:val="el-GR" w:eastAsia="el-GR" w:bidi="el-GR"/>
        </w:rPr>
        <w:t>.</w:t>
      </w:r>
    </w:p>
    <w:p w:rsidR="00AB37C9" w:rsidRDefault="00AB37C9" w:rsidP="00AB37C9">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Τ</w:t>
      </w:r>
      <w:r w:rsidRPr="00567B66">
        <w:rPr>
          <w:rFonts w:ascii="Segoe UI" w:hAnsi="Segoe UI" w:cs="Segoe UI"/>
          <w:sz w:val="20"/>
          <w:lang w:val="el-GR" w:eastAsia="el-GR" w:bidi="el-GR"/>
        </w:rPr>
        <w:t xml:space="preserve">α </w:t>
      </w:r>
      <w:r w:rsidRPr="005C5BAD">
        <w:rPr>
          <w:rFonts w:ascii="Segoe UI" w:hAnsi="Segoe UI" w:cs="Segoe UI"/>
          <w:b/>
          <w:sz w:val="20"/>
          <w:lang w:val="el-GR" w:eastAsia="el-GR" w:bidi="el-GR"/>
        </w:rPr>
        <w:t>καθαρά έσοδα από προμήθειες</w:t>
      </w:r>
      <w:r w:rsidRPr="00567B66">
        <w:rPr>
          <w:rFonts w:ascii="Segoe UI" w:hAnsi="Segoe UI" w:cs="Segoe UI"/>
          <w:sz w:val="20"/>
          <w:lang w:val="el-GR" w:eastAsia="el-GR" w:bidi="el-GR"/>
        </w:rPr>
        <w:t xml:space="preserve"> </w:t>
      </w:r>
      <w:r w:rsidR="007E1176">
        <w:rPr>
          <w:rFonts w:ascii="Segoe UI" w:hAnsi="Segoe UI" w:cs="Segoe UI"/>
          <w:sz w:val="20"/>
          <w:lang w:val="el-GR" w:eastAsia="el-GR" w:bidi="el-GR"/>
        </w:rPr>
        <w:t xml:space="preserve">αυξήθηκαν κατά 4,9% σε τριμηνιαία βάση, ανερχόμενα </w:t>
      </w:r>
      <w:r>
        <w:rPr>
          <w:rFonts w:ascii="Segoe UI" w:hAnsi="Segoe UI" w:cs="Segoe UI"/>
          <w:sz w:val="20"/>
          <w:lang w:val="el-GR" w:eastAsia="el-GR" w:bidi="el-GR"/>
        </w:rPr>
        <w:t>€</w:t>
      </w:r>
      <w:r w:rsidR="007E1176">
        <w:rPr>
          <w:rFonts w:ascii="Segoe UI" w:hAnsi="Segoe UI" w:cs="Segoe UI"/>
          <w:sz w:val="20"/>
          <w:lang w:val="el-GR" w:eastAsia="el-GR" w:bidi="el-GR"/>
        </w:rPr>
        <w:t>60</w:t>
      </w:r>
      <w:r>
        <w:rPr>
          <w:rFonts w:ascii="Segoe UI" w:hAnsi="Segoe UI" w:cs="Segoe UI"/>
          <w:sz w:val="20"/>
          <w:lang w:val="el-GR" w:eastAsia="el-GR" w:bidi="el-GR"/>
        </w:rPr>
        <w:t xml:space="preserve"> εκατ. το </w:t>
      </w:r>
      <w:r w:rsidR="007E1176">
        <w:rPr>
          <w:rFonts w:ascii="Segoe UI" w:hAnsi="Segoe UI" w:cs="Segoe UI"/>
          <w:sz w:val="20"/>
          <w:lang w:val="el-GR" w:eastAsia="el-GR" w:bidi="el-GR"/>
        </w:rPr>
        <w:t>Γ</w:t>
      </w:r>
      <w:r>
        <w:rPr>
          <w:rFonts w:ascii="Segoe UI" w:hAnsi="Segoe UI" w:cs="Segoe UI"/>
          <w:sz w:val="20"/>
          <w:lang w:val="el-GR" w:eastAsia="el-GR" w:bidi="el-GR"/>
        </w:rPr>
        <w:t xml:space="preserve">’ τρίμηνο 2019, </w:t>
      </w:r>
      <w:r w:rsidR="00C633AE">
        <w:rPr>
          <w:rFonts w:ascii="Segoe UI" w:hAnsi="Segoe UI" w:cs="Segoe UI"/>
          <w:sz w:val="20"/>
          <w:lang w:val="el-GR" w:eastAsia="el-GR" w:bidi="el-GR"/>
        </w:rPr>
        <w:t>λόγω</w:t>
      </w:r>
      <w:r>
        <w:rPr>
          <w:rFonts w:ascii="Segoe UI" w:hAnsi="Segoe UI" w:cs="Segoe UI"/>
          <w:sz w:val="20"/>
          <w:lang w:val="el-GR" w:eastAsia="el-GR" w:bidi="el-GR"/>
        </w:rPr>
        <w:t xml:space="preserve"> τη</w:t>
      </w:r>
      <w:r w:rsidR="00C633AE">
        <w:rPr>
          <w:rFonts w:ascii="Segoe UI" w:hAnsi="Segoe UI" w:cs="Segoe UI"/>
          <w:sz w:val="20"/>
          <w:lang w:val="el-GR" w:eastAsia="el-GR" w:bidi="el-GR"/>
        </w:rPr>
        <w:t>ς</w:t>
      </w:r>
      <w:r>
        <w:rPr>
          <w:rFonts w:ascii="Segoe UI" w:hAnsi="Segoe UI" w:cs="Segoe UI"/>
          <w:sz w:val="20"/>
          <w:lang w:val="el-GR" w:eastAsia="el-GR" w:bidi="el-GR"/>
        </w:rPr>
        <w:t xml:space="preserve"> αύξηση</w:t>
      </w:r>
      <w:r w:rsidR="00C633AE">
        <w:rPr>
          <w:rFonts w:ascii="Segoe UI" w:hAnsi="Segoe UI" w:cs="Segoe UI"/>
          <w:sz w:val="20"/>
          <w:lang w:val="el-GR" w:eastAsia="el-GR" w:bidi="el-GR"/>
        </w:rPr>
        <w:t>ς</w:t>
      </w:r>
      <w:r>
        <w:rPr>
          <w:rFonts w:ascii="Segoe UI" w:hAnsi="Segoe UI" w:cs="Segoe UI"/>
          <w:sz w:val="20"/>
          <w:lang w:val="el-GR" w:eastAsia="el-GR" w:bidi="el-GR"/>
        </w:rPr>
        <w:t xml:space="preserve"> των εσόδων από προμήθειες Λιανικής Τραπεζικής </w:t>
      </w:r>
      <w:r w:rsidRPr="00D533FA">
        <w:rPr>
          <w:rFonts w:ascii="Segoe UI" w:hAnsi="Segoe UI" w:cs="Segoe UI"/>
          <w:sz w:val="20"/>
          <w:lang w:val="el-GR" w:eastAsia="el-GR" w:bidi="el-GR"/>
        </w:rPr>
        <w:t>σχετιζόμεν</w:t>
      </w:r>
      <w:r w:rsidR="00C633AE">
        <w:rPr>
          <w:rFonts w:ascii="Segoe UI" w:hAnsi="Segoe UI" w:cs="Segoe UI"/>
          <w:sz w:val="20"/>
          <w:lang w:val="el-GR" w:eastAsia="el-GR" w:bidi="el-GR"/>
        </w:rPr>
        <w:t>ες</w:t>
      </w:r>
      <w:r w:rsidRPr="00D533FA">
        <w:rPr>
          <w:rFonts w:ascii="Segoe UI" w:hAnsi="Segoe UI" w:cs="Segoe UI"/>
          <w:sz w:val="20"/>
          <w:lang w:val="el-GR" w:eastAsia="el-GR" w:bidi="el-GR"/>
        </w:rPr>
        <w:t xml:space="preserve"> με </w:t>
      </w:r>
      <w:r w:rsidR="00C633AE">
        <w:rPr>
          <w:rFonts w:ascii="Segoe UI" w:hAnsi="Segoe UI" w:cs="Segoe UI"/>
          <w:sz w:val="20"/>
          <w:lang w:val="el-GR" w:eastAsia="el-GR" w:bidi="el-GR"/>
        </w:rPr>
        <w:t>Δάνεια</w:t>
      </w:r>
      <w:r w:rsidR="00BB7108" w:rsidRPr="00BB7108">
        <w:rPr>
          <w:rFonts w:ascii="Segoe UI" w:hAnsi="Segoe UI" w:cs="Segoe UI"/>
          <w:sz w:val="20"/>
          <w:lang w:val="el-GR" w:eastAsia="el-GR" w:bidi="el-GR"/>
        </w:rPr>
        <w:t xml:space="preserve"> </w:t>
      </w:r>
      <w:r w:rsidR="00BB7108">
        <w:rPr>
          <w:rFonts w:ascii="Segoe UI" w:hAnsi="Segoe UI" w:cs="Segoe UI"/>
          <w:sz w:val="20"/>
          <w:lang w:val="el-GR" w:eastAsia="el-GR" w:bidi="el-GR"/>
        </w:rPr>
        <w:t xml:space="preserve">και </w:t>
      </w:r>
      <w:r w:rsidR="00C633AE">
        <w:rPr>
          <w:rFonts w:ascii="Segoe UI" w:hAnsi="Segoe UI" w:cs="Segoe UI"/>
          <w:sz w:val="20"/>
          <w:lang w:val="el-GR" w:eastAsia="el-GR" w:bidi="el-GR"/>
        </w:rPr>
        <w:t>ψηφιακά</w:t>
      </w:r>
      <w:r w:rsidR="00BB7108">
        <w:rPr>
          <w:rFonts w:ascii="Segoe UI" w:hAnsi="Segoe UI" w:cs="Segoe UI"/>
          <w:sz w:val="20"/>
          <w:lang w:val="el-GR" w:eastAsia="el-GR" w:bidi="el-GR"/>
        </w:rPr>
        <w:t xml:space="preserve"> δίκτυα</w:t>
      </w:r>
      <w:r w:rsidRPr="00D533FA">
        <w:rPr>
          <w:rFonts w:ascii="Segoe UI" w:hAnsi="Segoe UI" w:cs="Segoe UI"/>
          <w:sz w:val="20"/>
          <w:lang w:val="el-GR" w:eastAsia="el-GR" w:bidi="el-GR"/>
        </w:rPr>
        <w:t xml:space="preserve">. Σε σχέση με το </w:t>
      </w:r>
      <w:r w:rsidR="00A617E6">
        <w:rPr>
          <w:rFonts w:ascii="Segoe UI" w:hAnsi="Segoe UI" w:cs="Segoe UI"/>
          <w:sz w:val="20"/>
          <w:lang w:val="el-GR" w:eastAsia="el-GR" w:bidi="el-GR"/>
        </w:rPr>
        <w:t>εννεάμηνο</w:t>
      </w:r>
      <w:r w:rsidRPr="00D533FA">
        <w:rPr>
          <w:rFonts w:ascii="Segoe UI" w:hAnsi="Segoe UI" w:cs="Segoe UI"/>
          <w:sz w:val="20"/>
          <w:lang w:val="el-GR" w:eastAsia="el-GR" w:bidi="el-GR"/>
        </w:rPr>
        <w:t xml:space="preserve"> 2018, τα καθαρά έσοδα από προμήθειες αυξήθηκαν κατά </w:t>
      </w:r>
      <w:r w:rsidR="00A617E6">
        <w:rPr>
          <w:rFonts w:ascii="Segoe UI" w:hAnsi="Segoe UI" w:cs="Segoe UI"/>
          <w:sz w:val="20"/>
          <w:lang w:val="el-GR" w:eastAsia="el-GR" w:bidi="el-GR"/>
        </w:rPr>
        <w:t>5,4</w:t>
      </w:r>
      <w:r w:rsidRPr="00D533FA">
        <w:rPr>
          <w:rFonts w:ascii="Segoe UI" w:hAnsi="Segoe UI" w:cs="Segoe UI"/>
          <w:sz w:val="20"/>
          <w:lang w:val="el-GR" w:eastAsia="el-GR" w:bidi="el-GR"/>
        </w:rPr>
        <w:t>%</w:t>
      </w:r>
      <w:r w:rsidR="00A617E6">
        <w:rPr>
          <w:rFonts w:ascii="Segoe UI" w:hAnsi="Segoe UI" w:cs="Segoe UI"/>
          <w:sz w:val="20"/>
          <w:lang w:val="el-GR" w:eastAsia="el-GR" w:bidi="el-GR"/>
        </w:rPr>
        <w:t xml:space="preserve"> και διαμορφώθηκαν </w:t>
      </w:r>
      <w:r>
        <w:rPr>
          <w:rFonts w:ascii="Segoe UI" w:hAnsi="Segoe UI" w:cs="Segoe UI"/>
          <w:sz w:val="20"/>
          <w:lang w:val="el-GR" w:eastAsia="el-GR" w:bidi="el-GR"/>
        </w:rPr>
        <w:t>σε €</w:t>
      </w:r>
      <w:r w:rsidR="00A617E6">
        <w:rPr>
          <w:rFonts w:ascii="Segoe UI" w:hAnsi="Segoe UI" w:cs="Segoe UI"/>
          <w:sz w:val="20"/>
          <w:lang w:val="el-GR" w:eastAsia="el-GR" w:bidi="el-GR"/>
        </w:rPr>
        <w:t>174</w:t>
      </w:r>
      <w:r>
        <w:rPr>
          <w:rFonts w:ascii="Segoe UI" w:hAnsi="Segoe UI" w:cs="Segoe UI"/>
          <w:sz w:val="20"/>
          <w:lang w:val="el-GR" w:eastAsia="el-GR" w:bidi="el-GR"/>
        </w:rPr>
        <w:t xml:space="preserve"> εκατ. το </w:t>
      </w:r>
      <w:r w:rsidR="00A617E6">
        <w:rPr>
          <w:rFonts w:ascii="Segoe UI" w:hAnsi="Segoe UI" w:cs="Segoe UI"/>
          <w:sz w:val="20"/>
          <w:lang w:val="el-GR" w:eastAsia="el-GR" w:bidi="el-GR"/>
        </w:rPr>
        <w:t>εννεάμηνο</w:t>
      </w:r>
      <w:r>
        <w:rPr>
          <w:rFonts w:ascii="Segoe UI" w:hAnsi="Segoe UI" w:cs="Segoe UI"/>
          <w:sz w:val="20"/>
          <w:lang w:val="el-GR" w:eastAsia="el-GR" w:bidi="el-GR"/>
        </w:rPr>
        <w:t xml:space="preserve"> 2019. </w:t>
      </w:r>
    </w:p>
    <w:p w:rsidR="00AB37C9" w:rsidRPr="00921170" w:rsidRDefault="00002C80" w:rsidP="00AB37C9">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Αντανακλώντας τα </w:t>
      </w:r>
      <w:r w:rsidR="00942462">
        <w:rPr>
          <w:rFonts w:ascii="Segoe UI" w:hAnsi="Segoe UI" w:cs="Segoe UI"/>
          <w:sz w:val="20"/>
          <w:lang w:val="el-GR" w:eastAsia="el-GR" w:bidi="el-GR"/>
        </w:rPr>
        <w:t xml:space="preserve">υψηλά κέρδη </w:t>
      </w:r>
      <w:r w:rsidR="00774C10">
        <w:rPr>
          <w:rFonts w:ascii="Segoe UI" w:hAnsi="Segoe UI" w:cs="Segoe UI"/>
          <w:sz w:val="20"/>
          <w:lang w:val="el-GR" w:eastAsia="el-GR" w:bidi="el-GR"/>
        </w:rPr>
        <w:t>από</w:t>
      </w:r>
      <w:r w:rsidR="00942462">
        <w:rPr>
          <w:rFonts w:ascii="Segoe UI" w:hAnsi="Segoe UI" w:cs="Segoe UI"/>
          <w:sz w:val="20"/>
          <w:lang w:val="el-GR" w:eastAsia="el-GR" w:bidi="el-GR"/>
        </w:rPr>
        <w:t xml:space="preserve"> την πώληση </w:t>
      </w:r>
      <w:r w:rsidR="00EA712D">
        <w:rPr>
          <w:rFonts w:ascii="Segoe UI" w:hAnsi="Segoe UI" w:cs="Segoe UI"/>
          <w:sz w:val="20"/>
          <w:lang w:val="el-GR" w:eastAsia="el-GR" w:bidi="el-GR"/>
        </w:rPr>
        <w:t>κρατικών</w:t>
      </w:r>
      <w:r w:rsidR="00942462">
        <w:rPr>
          <w:rFonts w:ascii="Segoe UI" w:hAnsi="Segoe UI" w:cs="Segoe UI"/>
          <w:sz w:val="20"/>
          <w:lang w:val="el-GR" w:eastAsia="el-GR" w:bidi="el-GR"/>
        </w:rPr>
        <w:t xml:space="preserve"> ομολόγων, </w:t>
      </w:r>
      <w:r w:rsidR="00AB37C9" w:rsidRPr="00921170">
        <w:rPr>
          <w:rFonts w:ascii="Segoe UI" w:hAnsi="Segoe UI" w:cs="Segoe UI"/>
          <w:sz w:val="20"/>
          <w:lang w:val="el-GR" w:eastAsia="el-GR" w:bidi="el-GR"/>
        </w:rPr>
        <w:t xml:space="preserve">τα </w:t>
      </w:r>
      <w:r w:rsidR="00AB37C9" w:rsidRPr="00921170">
        <w:rPr>
          <w:rFonts w:ascii="Segoe UI" w:hAnsi="Segoe UI" w:cs="Segoe UI"/>
          <w:b/>
          <w:sz w:val="20"/>
          <w:lang w:val="el-GR" w:eastAsia="el-GR" w:bidi="el-GR"/>
        </w:rPr>
        <w:t>κέρδη από χρηματοοικονομικές πράξεις</w:t>
      </w:r>
      <w:r w:rsidR="00AB37C9" w:rsidRPr="00921170">
        <w:rPr>
          <w:rFonts w:ascii="Segoe UI" w:hAnsi="Segoe UI" w:cs="Segoe UI"/>
          <w:sz w:val="20"/>
          <w:lang w:val="el-GR" w:eastAsia="el-GR" w:bidi="el-GR"/>
        </w:rPr>
        <w:t xml:space="preserve"> </w:t>
      </w:r>
      <w:r w:rsidR="00AB37C9" w:rsidRPr="00C63949">
        <w:rPr>
          <w:rFonts w:ascii="Segoe UI" w:hAnsi="Segoe UI" w:cs="Segoe UI"/>
          <w:b/>
          <w:sz w:val="20"/>
          <w:lang w:val="el-GR" w:eastAsia="el-GR" w:bidi="el-GR"/>
        </w:rPr>
        <w:t>και λοιπά έσοδα</w:t>
      </w:r>
      <w:r w:rsidR="00AB37C9">
        <w:rPr>
          <w:rFonts w:ascii="Segoe UI" w:hAnsi="Segoe UI" w:cs="Segoe UI"/>
          <w:sz w:val="20"/>
          <w:lang w:val="el-GR" w:eastAsia="el-GR" w:bidi="el-GR"/>
        </w:rPr>
        <w:t xml:space="preserve"> </w:t>
      </w:r>
      <w:r w:rsidR="00AB37C9" w:rsidRPr="00921170">
        <w:rPr>
          <w:rFonts w:ascii="Segoe UI" w:hAnsi="Segoe UI" w:cs="Segoe UI"/>
          <w:sz w:val="20"/>
          <w:lang w:val="el-GR" w:eastAsia="el-GR" w:bidi="el-GR"/>
        </w:rPr>
        <w:t>διαμορφώ</w:t>
      </w:r>
      <w:r w:rsidR="00AB37C9">
        <w:rPr>
          <w:rFonts w:ascii="Segoe UI" w:hAnsi="Segoe UI" w:cs="Segoe UI"/>
          <w:sz w:val="20"/>
          <w:lang w:val="el-GR" w:eastAsia="el-GR" w:bidi="el-GR"/>
        </w:rPr>
        <w:t>θηκαν</w:t>
      </w:r>
      <w:r w:rsidR="00AB37C9" w:rsidRPr="00921170">
        <w:rPr>
          <w:rFonts w:ascii="Segoe UI" w:hAnsi="Segoe UI" w:cs="Segoe UI"/>
          <w:sz w:val="20"/>
          <w:lang w:val="el-GR" w:eastAsia="el-GR" w:bidi="el-GR"/>
        </w:rPr>
        <w:t xml:space="preserve"> σε €</w:t>
      </w:r>
      <w:r w:rsidR="00942462">
        <w:rPr>
          <w:rFonts w:ascii="Segoe UI" w:hAnsi="Segoe UI" w:cs="Segoe UI"/>
          <w:sz w:val="20"/>
          <w:lang w:val="el-GR" w:eastAsia="el-GR" w:bidi="el-GR"/>
        </w:rPr>
        <w:t>105</w:t>
      </w:r>
      <w:r w:rsidR="00AB37C9" w:rsidRPr="00921170">
        <w:rPr>
          <w:rFonts w:ascii="Segoe UI" w:hAnsi="Segoe UI" w:cs="Segoe UI"/>
          <w:sz w:val="20"/>
          <w:lang w:val="el-GR" w:eastAsia="el-GR" w:bidi="el-GR"/>
        </w:rPr>
        <w:t xml:space="preserve"> εκατ. </w:t>
      </w:r>
      <w:r w:rsidR="00AB37C9">
        <w:rPr>
          <w:rFonts w:ascii="Segoe UI" w:hAnsi="Segoe UI" w:cs="Segoe UI"/>
          <w:sz w:val="20"/>
          <w:lang w:val="el-GR" w:eastAsia="el-GR" w:bidi="el-GR"/>
        </w:rPr>
        <w:t xml:space="preserve">το </w:t>
      </w:r>
      <w:r w:rsidR="00942462">
        <w:rPr>
          <w:rFonts w:ascii="Segoe UI" w:hAnsi="Segoe UI" w:cs="Segoe UI"/>
          <w:sz w:val="20"/>
          <w:lang w:val="el-GR" w:eastAsia="el-GR" w:bidi="el-GR"/>
        </w:rPr>
        <w:t>Γ</w:t>
      </w:r>
      <w:r w:rsidR="00AB37C9">
        <w:rPr>
          <w:rFonts w:ascii="Segoe UI" w:hAnsi="Segoe UI" w:cs="Segoe UI"/>
          <w:sz w:val="20"/>
          <w:lang w:val="el-GR" w:eastAsia="el-GR" w:bidi="el-GR"/>
        </w:rPr>
        <w:t>’ τρίμηνο 2019 από</w:t>
      </w:r>
      <w:r w:rsidR="00AB37C9" w:rsidRPr="00921170">
        <w:rPr>
          <w:rFonts w:ascii="Segoe UI" w:hAnsi="Segoe UI" w:cs="Segoe UI"/>
          <w:sz w:val="20"/>
          <w:lang w:val="el-GR" w:eastAsia="el-GR" w:bidi="el-GR"/>
        </w:rPr>
        <w:t xml:space="preserve"> €</w:t>
      </w:r>
      <w:r w:rsidR="00942462">
        <w:rPr>
          <w:rFonts w:ascii="Segoe UI" w:hAnsi="Segoe UI" w:cs="Segoe UI"/>
          <w:sz w:val="20"/>
          <w:lang w:val="el-GR" w:eastAsia="el-GR" w:bidi="el-GR"/>
        </w:rPr>
        <w:t>49</w:t>
      </w:r>
      <w:r w:rsidR="00AB37C9" w:rsidRPr="00921170">
        <w:rPr>
          <w:rFonts w:ascii="Segoe UI" w:hAnsi="Segoe UI" w:cs="Segoe UI"/>
          <w:sz w:val="20"/>
          <w:lang w:val="el-GR" w:eastAsia="el-GR" w:bidi="el-GR"/>
        </w:rPr>
        <w:t xml:space="preserve"> εκατ. το προηγούμενο τρίμηνο.</w:t>
      </w:r>
      <w:r w:rsidR="006F31B2">
        <w:rPr>
          <w:rFonts w:ascii="Segoe UI" w:hAnsi="Segoe UI" w:cs="Segoe UI"/>
          <w:sz w:val="20"/>
          <w:lang w:val="el-GR" w:eastAsia="el-GR" w:bidi="el-GR"/>
        </w:rPr>
        <w:t xml:space="preserve"> Σε επίπεδο εννεαμήνου</w:t>
      </w:r>
      <w:r w:rsidR="00AB37C9">
        <w:rPr>
          <w:rFonts w:ascii="Segoe UI" w:hAnsi="Segoe UI" w:cs="Segoe UI"/>
          <w:sz w:val="20"/>
          <w:lang w:val="el-GR" w:eastAsia="el-GR" w:bidi="el-GR"/>
        </w:rPr>
        <w:t xml:space="preserve">, </w:t>
      </w:r>
      <w:r w:rsidR="00AB37C9" w:rsidRPr="000E3A61">
        <w:rPr>
          <w:rFonts w:ascii="Segoe UI" w:hAnsi="Segoe UI" w:cs="Segoe UI"/>
          <w:sz w:val="20"/>
          <w:lang w:val="el-GR" w:eastAsia="el-GR" w:bidi="el-GR"/>
        </w:rPr>
        <w:t xml:space="preserve">τα κέρδη από χρηματοοικονομικές πράξεις και λοιπά έσοδα </w:t>
      </w:r>
      <w:r w:rsidR="00AB37C9">
        <w:rPr>
          <w:rFonts w:ascii="Segoe UI" w:hAnsi="Segoe UI" w:cs="Segoe UI"/>
          <w:sz w:val="20"/>
          <w:lang w:val="el-GR" w:eastAsia="el-GR" w:bidi="el-GR"/>
        </w:rPr>
        <w:t>ανήλθαν σε €</w:t>
      </w:r>
      <w:r w:rsidR="006F31B2">
        <w:rPr>
          <w:rFonts w:ascii="Segoe UI" w:hAnsi="Segoe UI" w:cs="Segoe UI"/>
          <w:sz w:val="20"/>
          <w:lang w:val="el-GR" w:eastAsia="el-GR" w:bidi="el-GR"/>
        </w:rPr>
        <w:t>254</w:t>
      </w:r>
      <w:r w:rsidR="00AB37C9" w:rsidRPr="000E3A61">
        <w:rPr>
          <w:rFonts w:ascii="Segoe UI" w:hAnsi="Segoe UI" w:cs="Segoe UI"/>
          <w:sz w:val="20"/>
          <w:lang w:val="el-GR" w:eastAsia="el-GR" w:bidi="el-GR"/>
        </w:rPr>
        <w:t xml:space="preserve"> εκατ. </w:t>
      </w:r>
      <w:r w:rsidR="00AB37C9">
        <w:rPr>
          <w:rFonts w:ascii="Segoe UI" w:hAnsi="Segoe UI" w:cs="Segoe UI"/>
          <w:sz w:val="20"/>
          <w:lang w:val="el-GR" w:eastAsia="el-GR" w:bidi="el-GR"/>
        </w:rPr>
        <w:t xml:space="preserve">έναντι ζημιών ύψους </w:t>
      </w:r>
      <w:r w:rsidR="00AB37C9" w:rsidRPr="000E3A61">
        <w:rPr>
          <w:rFonts w:ascii="Segoe UI" w:hAnsi="Segoe UI" w:cs="Segoe UI"/>
          <w:sz w:val="20"/>
          <w:lang w:val="el-GR" w:eastAsia="el-GR" w:bidi="el-GR"/>
        </w:rPr>
        <w:t>€</w:t>
      </w:r>
      <w:r w:rsidR="00AB37C9">
        <w:rPr>
          <w:rFonts w:ascii="Segoe UI" w:hAnsi="Segoe UI" w:cs="Segoe UI"/>
          <w:sz w:val="20"/>
          <w:lang w:val="el-GR" w:eastAsia="el-GR" w:bidi="el-GR"/>
        </w:rPr>
        <w:t>2</w:t>
      </w:r>
      <w:r>
        <w:rPr>
          <w:rFonts w:ascii="Segoe UI" w:hAnsi="Segoe UI" w:cs="Segoe UI"/>
          <w:sz w:val="20"/>
          <w:lang w:val="el-GR" w:eastAsia="el-GR" w:bidi="el-GR"/>
        </w:rPr>
        <w:t>7</w:t>
      </w:r>
      <w:r w:rsidR="00AB37C9" w:rsidRPr="000E3A61">
        <w:rPr>
          <w:rFonts w:ascii="Segoe UI" w:hAnsi="Segoe UI" w:cs="Segoe UI"/>
          <w:sz w:val="20"/>
          <w:lang w:val="el-GR" w:eastAsia="el-GR" w:bidi="el-GR"/>
        </w:rPr>
        <w:t xml:space="preserve"> εκατ. το </w:t>
      </w:r>
      <w:r w:rsidR="006F31B2">
        <w:rPr>
          <w:rFonts w:ascii="Segoe UI" w:hAnsi="Segoe UI" w:cs="Segoe UI"/>
          <w:sz w:val="20"/>
          <w:lang w:val="el-GR" w:eastAsia="el-GR" w:bidi="el-GR"/>
        </w:rPr>
        <w:t>εννεάμηνο</w:t>
      </w:r>
      <w:r w:rsidR="00AB37C9">
        <w:rPr>
          <w:rFonts w:ascii="Segoe UI" w:hAnsi="Segoe UI" w:cs="Segoe UI"/>
          <w:sz w:val="20"/>
          <w:lang w:val="el-GR" w:eastAsia="el-GR" w:bidi="el-GR"/>
        </w:rPr>
        <w:t xml:space="preserve"> 2018, ενισχύοντας περαιτέρω την κερδοφορία της Τράπεζας</w:t>
      </w:r>
      <w:r w:rsidR="00AB37C9" w:rsidRPr="000E3A61">
        <w:rPr>
          <w:rFonts w:ascii="Segoe UI" w:hAnsi="Segoe UI" w:cs="Segoe UI"/>
          <w:sz w:val="20"/>
          <w:lang w:val="el-GR" w:eastAsia="el-GR" w:bidi="el-GR"/>
        </w:rPr>
        <w:t>.</w:t>
      </w:r>
      <w:r w:rsidR="00942462" w:rsidRPr="00942462">
        <w:rPr>
          <w:rFonts w:ascii="Segoe UI" w:hAnsi="Segoe UI" w:cs="Segoe UI"/>
          <w:sz w:val="20"/>
          <w:lang w:val="el-GR" w:eastAsia="el-GR" w:bidi="el-GR"/>
        </w:rPr>
        <w:t xml:space="preserve"> </w:t>
      </w:r>
      <w:r w:rsidR="00286A1B">
        <w:rPr>
          <w:rFonts w:ascii="Segoe UI" w:hAnsi="Segoe UI" w:cs="Segoe UI"/>
          <w:sz w:val="20"/>
          <w:lang w:val="el-GR" w:eastAsia="el-GR" w:bidi="el-GR"/>
        </w:rPr>
        <w:t xml:space="preserve">Τα μη οργανικά </w:t>
      </w:r>
      <w:r w:rsidR="006B3014">
        <w:rPr>
          <w:rFonts w:ascii="Segoe UI" w:hAnsi="Segoe UI" w:cs="Segoe UI"/>
          <w:sz w:val="20"/>
          <w:lang w:val="el-GR" w:eastAsia="el-GR" w:bidi="el-GR"/>
        </w:rPr>
        <w:t>έσοδα</w:t>
      </w:r>
      <w:r w:rsidR="00286A1B">
        <w:rPr>
          <w:rFonts w:ascii="Segoe UI" w:hAnsi="Segoe UI" w:cs="Segoe UI"/>
          <w:sz w:val="20"/>
          <w:lang w:val="el-GR" w:eastAsia="el-GR" w:bidi="el-GR"/>
        </w:rPr>
        <w:t xml:space="preserve"> του εννεαμήνου </w:t>
      </w:r>
      <w:r w:rsidR="006B3014">
        <w:rPr>
          <w:rFonts w:ascii="Segoe UI" w:hAnsi="Segoe UI" w:cs="Segoe UI"/>
          <w:sz w:val="20"/>
          <w:lang w:val="el-GR" w:eastAsia="el-GR" w:bidi="el-GR"/>
        </w:rPr>
        <w:t>2019</w:t>
      </w:r>
      <w:r w:rsidR="000A736F">
        <w:rPr>
          <w:rFonts w:ascii="Segoe UI" w:hAnsi="Segoe UI" w:cs="Segoe UI"/>
          <w:sz w:val="20"/>
          <w:lang w:val="el-GR" w:eastAsia="el-GR" w:bidi="el-GR"/>
        </w:rPr>
        <w:t>,</w:t>
      </w:r>
      <w:r w:rsidR="00155A6B">
        <w:rPr>
          <w:rFonts w:ascii="Segoe UI" w:hAnsi="Segoe UI" w:cs="Segoe UI"/>
          <w:sz w:val="20"/>
          <w:lang w:val="el-GR" w:eastAsia="el-GR" w:bidi="el-GR"/>
        </w:rPr>
        <w:t xml:space="preserve"> πλέον των κερδών από την πώληση ομολόγων</w:t>
      </w:r>
      <w:r w:rsidR="000A736F">
        <w:rPr>
          <w:rFonts w:ascii="Segoe UI" w:hAnsi="Segoe UI" w:cs="Segoe UI"/>
          <w:sz w:val="20"/>
          <w:lang w:val="el-GR" w:eastAsia="el-GR" w:bidi="el-GR"/>
        </w:rPr>
        <w:t>,</w:t>
      </w:r>
      <w:r w:rsidR="00155A6B">
        <w:rPr>
          <w:rFonts w:ascii="Segoe UI" w:hAnsi="Segoe UI" w:cs="Segoe UI"/>
          <w:sz w:val="20"/>
          <w:lang w:val="el-GR" w:eastAsia="el-GR" w:bidi="el-GR"/>
        </w:rPr>
        <w:t xml:space="preserve"> </w:t>
      </w:r>
      <w:r w:rsidR="00286A1B">
        <w:rPr>
          <w:rFonts w:ascii="Segoe UI" w:hAnsi="Segoe UI" w:cs="Segoe UI"/>
          <w:sz w:val="20"/>
          <w:lang w:val="el-GR" w:eastAsia="el-GR" w:bidi="el-GR"/>
        </w:rPr>
        <w:t>ε</w:t>
      </w:r>
      <w:r w:rsidR="00942462" w:rsidRPr="00942462">
        <w:rPr>
          <w:rFonts w:ascii="Segoe UI" w:hAnsi="Segoe UI" w:cs="Segoe UI"/>
          <w:sz w:val="20"/>
          <w:lang w:val="el-GR" w:eastAsia="el-GR" w:bidi="el-GR"/>
        </w:rPr>
        <w:t>νσωματώνο</w:t>
      </w:r>
      <w:r w:rsidR="00286A1B">
        <w:rPr>
          <w:rFonts w:ascii="Segoe UI" w:hAnsi="Segoe UI" w:cs="Segoe UI"/>
          <w:sz w:val="20"/>
          <w:lang w:val="el-GR" w:eastAsia="el-GR" w:bidi="el-GR"/>
        </w:rPr>
        <w:t xml:space="preserve">υν </w:t>
      </w:r>
      <w:r w:rsidR="00942462">
        <w:rPr>
          <w:rFonts w:ascii="Segoe UI" w:hAnsi="Segoe UI" w:cs="Segoe UI"/>
          <w:sz w:val="20"/>
          <w:lang w:val="el-GR" w:eastAsia="el-GR" w:bidi="el-GR"/>
        </w:rPr>
        <w:t>μ</w:t>
      </w:r>
      <w:r w:rsidR="00942462" w:rsidRPr="0008600B">
        <w:rPr>
          <w:rFonts w:ascii="Segoe UI" w:hAnsi="Segoe UI" w:cs="Segoe UI"/>
          <w:sz w:val="20"/>
          <w:lang w:val="el-GR" w:eastAsia="el-GR" w:bidi="el-GR"/>
        </w:rPr>
        <w:t>η επαναλαμβανόμεν</w:t>
      </w:r>
      <w:r w:rsidR="00942462">
        <w:rPr>
          <w:rFonts w:ascii="Segoe UI" w:hAnsi="Segoe UI" w:cs="Segoe UI"/>
          <w:sz w:val="20"/>
          <w:lang w:val="el-GR" w:eastAsia="el-GR" w:bidi="el-GR"/>
        </w:rPr>
        <w:t>α</w:t>
      </w:r>
      <w:r w:rsidR="00942462" w:rsidRPr="0008600B">
        <w:rPr>
          <w:rFonts w:ascii="Segoe UI" w:hAnsi="Segoe UI" w:cs="Segoe UI"/>
          <w:sz w:val="20"/>
          <w:lang w:val="el-GR" w:eastAsia="el-GR" w:bidi="el-GR"/>
        </w:rPr>
        <w:t xml:space="preserve"> κέρδ</w:t>
      </w:r>
      <w:r w:rsidR="00942462">
        <w:rPr>
          <w:rFonts w:ascii="Segoe UI" w:hAnsi="Segoe UI" w:cs="Segoe UI"/>
          <w:sz w:val="20"/>
          <w:lang w:val="el-GR" w:eastAsia="el-GR" w:bidi="el-GR"/>
        </w:rPr>
        <w:t>η</w:t>
      </w:r>
      <w:r w:rsidR="00942462" w:rsidRPr="0008600B">
        <w:rPr>
          <w:rFonts w:ascii="Segoe UI" w:hAnsi="Segoe UI" w:cs="Segoe UI"/>
          <w:sz w:val="20"/>
          <w:lang w:val="el-GR" w:eastAsia="el-GR" w:bidi="el-GR"/>
        </w:rPr>
        <w:t xml:space="preserve"> από </w:t>
      </w:r>
      <w:r w:rsidR="001E705B">
        <w:rPr>
          <w:rFonts w:ascii="Segoe UI" w:hAnsi="Segoe UI" w:cs="Segoe UI"/>
          <w:sz w:val="20"/>
          <w:lang w:val="el-GR" w:eastAsia="el-GR" w:bidi="el-GR"/>
        </w:rPr>
        <w:t xml:space="preserve">την </w:t>
      </w:r>
      <w:r w:rsidR="001E705B" w:rsidRPr="001E705B">
        <w:rPr>
          <w:rFonts w:ascii="Segoe UI" w:hAnsi="Segoe UI" w:cs="Segoe UI"/>
          <w:sz w:val="20"/>
          <w:lang w:val="el-GR" w:eastAsia="el-GR" w:bidi="el-GR"/>
        </w:rPr>
        <w:t>αντικατάσταση της Συμφωνίας Ανταλλαγής Επιτοκίων με ΟΕΔ</w:t>
      </w:r>
      <w:r w:rsidR="00DD2739">
        <w:rPr>
          <w:rFonts w:ascii="Segoe UI" w:hAnsi="Segoe UI" w:cs="Segoe UI"/>
          <w:sz w:val="20"/>
          <w:lang w:val="el-GR" w:eastAsia="el-GR" w:bidi="el-GR"/>
        </w:rPr>
        <w:t xml:space="preserve"> </w:t>
      </w:r>
      <w:r w:rsidR="00942462">
        <w:rPr>
          <w:rFonts w:ascii="Segoe UI" w:hAnsi="Segoe UI" w:cs="Segoe UI"/>
          <w:sz w:val="20"/>
          <w:lang w:val="el-GR" w:eastAsia="el-GR" w:bidi="el-GR"/>
        </w:rPr>
        <w:t>(</w:t>
      </w:r>
      <w:r w:rsidR="00942462" w:rsidRPr="0008600B">
        <w:rPr>
          <w:rFonts w:ascii="Segoe UI" w:hAnsi="Segoe UI" w:cs="Segoe UI"/>
          <w:sz w:val="20"/>
          <w:lang w:val="el-GR" w:eastAsia="el-GR" w:bidi="el-GR"/>
        </w:rPr>
        <w:t>€</w:t>
      </w:r>
      <w:r w:rsidR="00F627EA">
        <w:rPr>
          <w:rFonts w:ascii="Segoe UI" w:hAnsi="Segoe UI" w:cs="Segoe UI"/>
          <w:sz w:val="20"/>
          <w:lang w:val="el-GR" w:eastAsia="el-GR" w:bidi="el-GR"/>
        </w:rPr>
        <w:t>65</w:t>
      </w:r>
      <w:r w:rsidR="00942462" w:rsidRPr="0008600B">
        <w:rPr>
          <w:rFonts w:ascii="Segoe UI" w:hAnsi="Segoe UI" w:cs="Segoe UI"/>
          <w:sz w:val="20"/>
          <w:lang w:val="el-GR" w:eastAsia="el-GR" w:bidi="el-GR"/>
        </w:rPr>
        <w:t xml:space="preserve"> εκατ.</w:t>
      </w:r>
      <w:r w:rsidR="00942462">
        <w:rPr>
          <w:rFonts w:ascii="Segoe UI" w:hAnsi="Segoe UI" w:cs="Segoe UI"/>
          <w:sz w:val="20"/>
          <w:lang w:val="el-GR" w:eastAsia="el-GR" w:bidi="el-GR"/>
        </w:rPr>
        <w:t xml:space="preserve">) και από την πώληση του </w:t>
      </w:r>
      <w:r w:rsidR="00942462" w:rsidRPr="00754736">
        <w:rPr>
          <w:rFonts w:ascii="Segoe UI" w:hAnsi="Segoe UI" w:cs="Segoe UI"/>
          <w:sz w:val="20"/>
          <w:lang w:val="el-GR" w:eastAsia="el-GR" w:bidi="el-GR"/>
        </w:rPr>
        <w:t>ξενοδοχείου “</w:t>
      </w:r>
      <w:r w:rsidR="00942462">
        <w:rPr>
          <w:rFonts w:ascii="Segoe UI" w:hAnsi="Segoe UI" w:cs="Segoe UI"/>
          <w:sz w:val="20"/>
          <w:lang w:val="en-US" w:eastAsia="el-GR" w:bidi="el-GR"/>
        </w:rPr>
        <w:t>Grand</w:t>
      </w:r>
      <w:r w:rsidR="00942462" w:rsidRPr="00754736">
        <w:rPr>
          <w:rFonts w:ascii="Segoe UI" w:hAnsi="Segoe UI" w:cs="Segoe UI"/>
          <w:sz w:val="20"/>
          <w:lang w:val="el-GR" w:eastAsia="el-GR" w:bidi="el-GR"/>
        </w:rPr>
        <w:t xml:space="preserve"> </w:t>
      </w:r>
      <w:r w:rsidR="00942462">
        <w:rPr>
          <w:rFonts w:ascii="Segoe UI" w:hAnsi="Segoe UI" w:cs="Segoe UI"/>
          <w:sz w:val="20"/>
          <w:lang w:val="en-US" w:eastAsia="el-GR" w:bidi="el-GR"/>
        </w:rPr>
        <w:t>Hotel</w:t>
      </w:r>
      <w:r w:rsidR="00942462" w:rsidRPr="00754736">
        <w:rPr>
          <w:rFonts w:ascii="Segoe UI" w:hAnsi="Segoe UI" w:cs="Segoe UI"/>
          <w:sz w:val="20"/>
          <w:lang w:val="el-GR" w:eastAsia="el-GR" w:bidi="el-GR"/>
        </w:rPr>
        <w:t>” (€30 εκατ.)</w:t>
      </w:r>
      <w:r w:rsidR="00286A1B">
        <w:rPr>
          <w:rFonts w:ascii="Segoe UI" w:hAnsi="Segoe UI" w:cs="Segoe UI"/>
          <w:sz w:val="20"/>
          <w:lang w:val="el-GR" w:eastAsia="el-GR" w:bidi="el-GR"/>
        </w:rPr>
        <w:t xml:space="preserve">. </w:t>
      </w:r>
    </w:p>
    <w:p w:rsidR="00CE7B54" w:rsidRDefault="00AB37C9" w:rsidP="00CE7B54">
      <w:pPr>
        <w:autoSpaceDE w:val="0"/>
        <w:autoSpaceDN w:val="0"/>
        <w:adjustRightInd w:val="0"/>
        <w:spacing w:after="160" w:line="320" w:lineRule="atLeast"/>
        <w:jc w:val="both"/>
        <w:rPr>
          <w:rFonts w:ascii="Segoe UI" w:hAnsi="Segoe UI" w:cs="Segoe UI"/>
          <w:sz w:val="20"/>
          <w:lang w:val="el-GR" w:eastAsia="el-GR" w:bidi="el-GR"/>
        </w:rPr>
      </w:pPr>
      <w:r w:rsidRPr="009C75EB">
        <w:rPr>
          <w:rFonts w:ascii="Segoe UI" w:hAnsi="Segoe UI" w:cs="Segoe UI"/>
          <w:sz w:val="20"/>
          <w:lang w:val="el-GR" w:eastAsia="el-GR" w:bidi="el-GR"/>
        </w:rPr>
        <w:t xml:space="preserve">Οι </w:t>
      </w:r>
      <w:r w:rsidRPr="00177B04">
        <w:rPr>
          <w:rFonts w:ascii="Segoe UI" w:hAnsi="Segoe UI" w:cs="Segoe UI"/>
          <w:b/>
          <w:sz w:val="20"/>
          <w:lang w:val="el-GR" w:eastAsia="el-GR" w:bidi="el-GR"/>
        </w:rPr>
        <w:t>λειτουργικές δαπάνες</w:t>
      </w:r>
      <w:r w:rsidRPr="009C75EB">
        <w:rPr>
          <w:rFonts w:ascii="Segoe UI" w:hAnsi="Segoe UI" w:cs="Segoe UI"/>
          <w:sz w:val="20"/>
          <w:lang w:val="el-GR" w:eastAsia="el-GR" w:bidi="el-GR"/>
        </w:rPr>
        <w:t xml:space="preserve"> </w:t>
      </w:r>
      <w:r w:rsidR="00796106">
        <w:rPr>
          <w:rFonts w:ascii="Segoe UI" w:hAnsi="Segoe UI" w:cs="Segoe UI"/>
          <w:sz w:val="20"/>
          <w:lang w:val="el-GR" w:eastAsia="el-GR" w:bidi="el-GR"/>
        </w:rPr>
        <w:t xml:space="preserve">ανήλθαν σε €204 εκατ. το Γ’ τρίμηνο 2019 από €194 εκατ. το προηγούμενο τρίμηνο, ενσωματώνοντας την πλήρη επίπτωση στις αποσβέσεις </w:t>
      </w:r>
      <w:r w:rsidR="00796106" w:rsidRPr="00796106">
        <w:rPr>
          <w:rFonts w:ascii="Segoe UI" w:hAnsi="Segoe UI" w:cs="Segoe UI"/>
          <w:sz w:val="20"/>
          <w:lang w:val="el-GR" w:eastAsia="el-GR" w:bidi="el-GR"/>
        </w:rPr>
        <w:t>από τη μετάβαση στο ΔΠΧΑ 16</w:t>
      </w:r>
      <w:r w:rsidR="00796106" w:rsidRPr="00C64B6B">
        <w:rPr>
          <w:rFonts w:ascii="Segoe UI" w:hAnsi="Segoe UI" w:cs="Segoe UI"/>
          <w:sz w:val="20"/>
          <w:lang w:val="el-GR" w:eastAsia="el-GR" w:bidi="el-GR"/>
        </w:rPr>
        <w:t xml:space="preserve">, </w:t>
      </w:r>
      <w:r w:rsidR="00CE7B54" w:rsidRPr="00C64B6B">
        <w:rPr>
          <w:rFonts w:ascii="Segoe UI" w:hAnsi="Segoe UI" w:cs="Segoe UI"/>
          <w:sz w:val="20"/>
          <w:lang w:val="el-GR" w:eastAsia="el-GR" w:bidi="el-GR"/>
        </w:rPr>
        <w:t>ως αποτέλεσμα της πώληση</w:t>
      </w:r>
      <w:r w:rsidR="000A736F">
        <w:rPr>
          <w:rFonts w:ascii="Segoe UI" w:hAnsi="Segoe UI" w:cs="Segoe UI"/>
          <w:sz w:val="20"/>
          <w:lang w:val="el-GR" w:eastAsia="el-GR" w:bidi="el-GR"/>
        </w:rPr>
        <w:t>ς</w:t>
      </w:r>
      <w:r w:rsidR="00CE7B54" w:rsidRPr="00C64B6B">
        <w:rPr>
          <w:rFonts w:ascii="Segoe UI" w:hAnsi="Segoe UI" w:cs="Segoe UI"/>
          <w:sz w:val="20"/>
          <w:lang w:val="el-GR" w:eastAsia="el-GR" w:bidi="el-GR"/>
        </w:rPr>
        <w:t xml:space="preserve"> της συμμετοχής μας στην ΠΑΝΓΑΙΑ.</w:t>
      </w:r>
      <w:r w:rsidR="00CE7B54" w:rsidRPr="00CE7B54">
        <w:rPr>
          <w:rFonts w:ascii="Segoe UI" w:hAnsi="Segoe UI" w:cs="Segoe UI"/>
          <w:sz w:val="20"/>
          <w:lang w:val="el-GR" w:eastAsia="el-GR" w:bidi="el-GR"/>
        </w:rPr>
        <w:t xml:space="preserve"> </w:t>
      </w:r>
      <w:r w:rsidR="00CE7B54">
        <w:rPr>
          <w:rFonts w:ascii="Segoe UI" w:hAnsi="Segoe UI" w:cs="Segoe UI"/>
          <w:sz w:val="20"/>
          <w:lang w:val="el-GR" w:eastAsia="el-GR" w:bidi="el-GR"/>
        </w:rPr>
        <w:t>Τ</w:t>
      </w:r>
      <w:r w:rsidR="00CE7B54" w:rsidRPr="009C75EB">
        <w:rPr>
          <w:rFonts w:ascii="Segoe UI" w:hAnsi="Segoe UI" w:cs="Segoe UI"/>
          <w:sz w:val="20"/>
          <w:lang w:val="el-GR" w:eastAsia="el-GR" w:bidi="el-GR"/>
        </w:rPr>
        <w:t xml:space="preserve">ο </w:t>
      </w:r>
      <w:r w:rsidR="00CE7B54">
        <w:rPr>
          <w:rFonts w:ascii="Segoe UI" w:hAnsi="Segoe UI" w:cs="Segoe UI"/>
          <w:sz w:val="20"/>
          <w:lang w:val="el-GR" w:eastAsia="el-GR" w:bidi="el-GR"/>
        </w:rPr>
        <w:t xml:space="preserve">εννεάμηνο </w:t>
      </w:r>
      <w:r w:rsidR="00CE7B54" w:rsidRPr="009C75EB">
        <w:rPr>
          <w:rFonts w:ascii="Segoe UI" w:hAnsi="Segoe UI" w:cs="Segoe UI"/>
          <w:sz w:val="20"/>
          <w:lang w:val="el-GR" w:eastAsia="el-GR" w:bidi="el-GR"/>
        </w:rPr>
        <w:t>201</w:t>
      </w:r>
      <w:r w:rsidR="00CE7B54">
        <w:rPr>
          <w:rFonts w:ascii="Segoe UI" w:hAnsi="Segoe UI" w:cs="Segoe UI"/>
          <w:sz w:val="20"/>
          <w:lang w:val="el-GR" w:eastAsia="el-GR" w:bidi="el-GR"/>
        </w:rPr>
        <w:t>9, οι λειτουργικές δαπάνες μειώθηκαν κατά 6,3%</w:t>
      </w:r>
      <w:r w:rsidR="00FA67C6">
        <w:rPr>
          <w:rFonts w:ascii="Segoe UI" w:hAnsi="Segoe UI" w:cs="Segoe UI"/>
          <w:sz w:val="20"/>
          <w:lang w:val="el-GR" w:eastAsia="el-GR" w:bidi="el-GR"/>
        </w:rPr>
        <w:t>,</w:t>
      </w:r>
      <w:r w:rsidR="00CE7B54">
        <w:rPr>
          <w:rFonts w:ascii="Segoe UI" w:hAnsi="Segoe UI" w:cs="Segoe UI"/>
          <w:sz w:val="20"/>
          <w:lang w:val="el-GR" w:eastAsia="el-GR" w:bidi="el-GR"/>
        </w:rPr>
        <w:t xml:space="preserve"> σε ετήσια βάση και διαμορφώθηκαν </w:t>
      </w:r>
      <w:r w:rsidR="00CE7B54" w:rsidRPr="009C75EB">
        <w:rPr>
          <w:rFonts w:ascii="Segoe UI" w:hAnsi="Segoe UI" w:cs="Segoe UI"/>
          <w:sz w:val="20"/>
          <w:lang w:val="el-GR" w:eastAsia="el-GR" w:bidi="el-GR"/>
        </w:rPr>
        <w:t>σε €</w:t>
      </w:r>
      <w:r w:rsidR="00CE7B54">
        <w:rPr>
          <w:rFonts w:ascii="Segoe UI" w:hAnsi="Segoe UI" w:cs="Segoe UI"/>
          <w:sz w:val="20"/>
          <w:lang w:val="el-GR" w:eastAsia="el-GR" w:bidi="el-GR"/>
        </w:rPr>
        <w:t>592</w:t>
      </w:r>
      <w:r w:rsidR="00CE7B54" w:rsidRPr="009C75EB">
        <w:rPr>
          <w:rFonts w:ascii="Segoe UI" w:hAnsi="Segoe UI" w:cs="Segoe UI"/>
          <w:sz w:val="20"/>
          <w:lang w:val="el-GR" w:eastAsia="el-GR" w:bidi="el-GR"/>
        </w:rPr>
        <w:t xml:space="preserve"> εκατ.</w:t>
      </w:r>
      <w:r w:rsidR="00CE7B54">
        <w:rPr>
          <w:rFonts w:ascii="Segoe UI" w:hAnsi="Segoe UI" w:cs="Segoe UI"/>
          <w:sz w:val="20"/>
          <w:lang w:val="el-GR" w:eastAsia="el-GR" w:bidi="el-GR"/>
        </w:rPr>
        <w:t xml:space="preserve">, </w:t>
      </w:r>
      <w:r w:rsidR="00C11BE9">
        <w:rPr>
          <w:rFonts w:ascii="Segoe UI" w:hAnsi="Segoe UI" w:cs="Segoe UI"/>
          <w:sz w:val="20"/>
          <w:lang w:val="el-GR" w:eastAsia="el-GR" w:bidi="el-GR"/>
        </w:rPr>
        <w:t xml:space="preserve">λόγω </w:t>
      </w:r>
      <w:r w:rsidR="00CE7B54">
        <w:rPr>
          <w:rFonts w:ascii="Segoe UI" w:hAnsi="Segoe UI" w:cs="Segoe UI"/>
          <w:sz w:val="20"/>
          <w:lang w:val="el-GR" w:eastAsia="el-GR" w:bidi="el-GR"/>
        </w:rPr>
        <w:t>τη</w:t>
      </w:r>
      <w:r w:rsidR="00C11BE9">
        <w:rPr>
          <w:rFonts w:ascii="Segoe UI" w:hAnsi="Segoe UI" w:cs="Segoe UI"/>
          <w:sz w:val="20"/>
          <w:lang w:val="el-GR" w:eastAsia="el-GR" w:bidi="el-GR"/>
        </w:rPr>
        <w:t>ς</w:t>
      </w:r>
      <w:r w:rsidR="00CE7B54">
        <w:rPr>
          <w:rFonts w:ascii="Segoe UI" w:hAnsi="Segoe UI" w:cs="Segoe UI"/>
          <w:sz w:val="20"/>
          <w:lang w:val="el-GR" w:eastAsia="el-GR" w:bidi="el-GR"/>
        </w:rPr>
        <w:t xml:space="preserve"> σημαντική</w:t>
      </w:r>
      <w:r w:rsidR="00C11BE9">
        <w:rPr>
          <w:rFonts w:ascii="Segoe UI" w:hAnsi="Segoe UI" w:cs="Segoe UI"/>
          <w:sz w:val="20"/>
          <w:lang w:val="el-GR" w:eastAsia="el-GR" w:bidi="el-GR"/>
        </w:rPr>
        <w:t>ς</w:t>
      </w:r>
      <w:r w:rsidR="00CE7B54">
        <w:rPr>
          <w:rFonts w:ascii="Segoe UI" w:hAnsi="Segoe UI" w:cs="Segoe UI"/>
          <w:sz w:val="20"/>
          <w:lang w:val="el-GR" w:eastAsia="el-GR" w:bidi="el-GR"/>
        </w:rPr>
        <w:t xml:space="preserve"> αποκλιμάκωση</w:t>
      </w:r>
      <w:r w:rsidR="002F16BA">
        <w:rPr>
          <w:rFonts w:ascii="Segoe UI" w:hAnsi="Segoe UI" w:cs="Segoe UI"/>
          <w:sz w:val="20"/>
          <w:lang w:val="el-GR" w:eastAsia="el-GR" w:bidi="el-GR"/>
        </w:rPr>
        <w:t>ς</w:t>
      </w:r>
      <w:r w:rsidR="00CE7B54">
        <w:rPr>
          <w:rFonts w:ascii="Segoe UI" w:hAnsi="Segoe UI" w:cs="Segoe UI"/>
          <w:sz w:val="20"/>
          <w:lang w:val="el-GR" w:eastAsia="el-GR" w:bidi="el-GR"/>
        </w:rPr>
        <w:t xml:space="preserve"> των δαπανών </w:t>
      </w:r>
      <w:r w:rsidR="00CE7B54" w:rsidRPr="005A724D">
        <w:rPr>
          <w:rFonts w:ascii="Segoe UI" w:hAnsi="Segoe UI" w:cs="Segoe UI"/>
          <w:sz w:val="20"/>
          <w:lang w:val="el-GR" w:eastAsia="el-GR" w:bidi="el-GR"/>
        </w:rPr>
        <w:t>προσωπικού</w:t>
      </w:r>
      <w:r w:rsidR="00CE7B54">
        <w:rPr>
          <w:rFonts w:ascii="Segoe UI" w:hAnsi="Segoe UI" w:cs="Segoe UI"/>
          <w:sz w:val="20"/>
          <w:lang w:val="el-GR" w:eastAsia="el-GR" w:bidi="el-GR"/>
        </w:rPr>
        <w:t xml:space="preserve"> κατά 8,4%</w:t>
      </w:r>
      <w:r w:rsidR="00FA67C6">
        <w:rPr>
          <w:rFonts w:ascii="Segoe UI" w:hAnsi="Segoe UI" w:cs="Segoe UI"/>
          <w:sz w:val="20"/>
          <w:lang w:val="el-GR" w:eastAsia="el-GR" w:bidi="el-GR"/>
        </w:rPr>
        <w:t>,</w:t>
      </w:r>
      <w:r w:rsidR="00CE7B54">
        <w:rPr>
          <w:rFonts w:ascii="Segoe UI" w:hAnsi="Segoe UI" w:cs="Segoe UI"/>
          <w:sz w:val="20"/>
          <w:lang w:val="el-GR" w:eastAsia="el-GR" w:bidi="el-GR"/>
        </w:rPr>
        <w:t xml:space="preserve"> σε ετήσια βάση</w:t>
      </w:r>
      <w:r w:rsidR="00FA67C6">
        <w:rPr>
          <w:rFonts w:ascii="Segoe UI" w:hAnsi="Segoe UI" w:cs="Segoe UI"/>
          <w:sz w:val="20"/>
          <w:lang w:val="el-GR" w:eastAsia="el-GR" w:bidi="el-GR"/>
        </w:rPr>
        <w:t>,</w:t>
      </w:r>
      <w:r w:rsidR="00CE7B54">
        <w:rPr>
          <w:rFonts w:ascii="Segoe UI" w:hAnsi="Segoe UI" w:cs="Segoe UI"/>
          <w:sz w:val="20"/>
          <w:lang w:val="el-GR" w:eastAsia="el-GR" w:bidi="el-GR"/>
        </w:rPr>
        <w:t xml:space="preserve"> σε €371 εκατ.</w:t>
      </w:r>
      <w:r w:rsidR="00C50273">
        <w:rPr>
          <w:rFonts w:ascii="Segoe UI" w:hAnsi="Segoe UI" w:cs="Segoe UI"/>
          <w:sz w:val="20"/>
          <w:lang w:val="el-GR" w:eastAsia="el-GR" w:bidi="el-GR"/>
        </w:rPr>
        <w:t xml:space="preserve"> Η περιστολή </w:t>
      </w:r>
      <w:r w:rsidR="00C50273" w:rsidRPr="00C50273">
        <w:rPr>
          <w:rFonts w:ascii="Segoe UI" w:hAnsi="Segoe UI" w:cs="Segoe UI"/>
          <w:sz w:val="20"/>
          <w:lang w:val="el-GR" w:eastAsia="el-GR" w:bidi="el-GR"/>
        </w:rPr>
        <w:t>των δαπανών προσωπικού</w:t>
      </w:r>
      <w:r w:rsidR="00C50273">
        <w:rPr>
          <w:rFonts w:ascii="Segoe UI" w:hAnsi="Segoe UI" w:cs="Segoe UI"/>
          <w:sz w:val="20"/>
          <w:lang w:val="el-GR" w:eastAsia="el-GR" w:bidi="el-GR"/>
        </w:rPr>
        <w:t xml:space="preserve"> </w:t>
      </w:r>
      <w:r w:rsidR="003D6ADE">
        <w:rPr>
          <w:rFonts w:ascii="Segoe UI" w:hAnsi="Segoe UI" w:cs="Segoe UI"/>
          <w:sz w:val="20"/>
          <w:lang w:val="el-GR" w:eastAsia="el-GR" w:bidi="el-GR"/>
        </w:rPr>
        <w:t>αντικατοπτρίζει</w:t>
      </w:r>
      <w:r w:rsidR="00C50273">
        <w:rPr>
          <w:rFonts w:ascii="Segoe UI" w:hAnsi="Segoe UI" w:cs="Segoe UI"/>
          <w:sz w:val="20"/>
          <w:lang w:val="el-GR" w:eastAsia="el-GR" w:bidi="el-GR"/>
        </w:rPr>
        <w:t xml:space="preserve"> </w:t>
      </w:r>
      <w:r w:rsidR="006826F2">
        <w:rPr>
          <w:rFonts w:ascii="Segoe UI" w:hAnsi="Segoe UI" w:cs="Segoe UI"/>
          <w:sz w:val="20"/>
          <w:lang w:val="el-GR" w:eastAsia="el-GR" w:bidi="el-GR"/>
        </w:rPr>
        <w:t xml:space="preserve">μέρος της </w:t>
      </w:r>
      <w:r w:rsidR="00CE7B54">
        <w:rPr>
          <w:rFonts w:ascii="Segoe UI" w:hAnsi="Segoe UI" w:cs="Segoe UI"/>
          <w:sz w:val="20"/>
          <w:lang w:val="el-GR" w:eastAsia="el-GR" w:bidi="el-GR"/>
        </w:rPr>
        <w:t>θετική</w:t>
      </w:r>
      <w:r w:rsidR="006826F2">
        <w:rPr>
          <w:rFonts w:ascii="Segoe UI" w:hAnsi="Segoe UI" w:cs="Segoe UI"/>
          <w:sz w:val="20"/>
          <w:lang w:val="el-GR" w:eastAsia="el-GR" w:bidi="el-GR"/>
        </w:rPr>
        <w:t>ς</w:t>
      </w:r>
      <w:r w:rsidR="00CE7B54">
        <w:rPr>
          <w:rFonts w:ascii="Segoe UI" w:hAnsi="Segoe UI" w:cs="Segoe UI"/>
          <w:sz w:val="20"/>
          <w:lang w:val="el-GR" w:eastAsia="el-GR" w:bidi="el-GR"/>
        </w:rPr>
        <w:t xml:space="preserve"> επίπτωση</w:t>
      </w:r>
      <w:r w:rsidR="006826F2">
        <w:rPr>
          <w:rFonts w:ascii="Segoe UI" w:hAnsi="Segoe UI" w:cs="Segoe UI"/>
          <w:sz w:val="20"/>
          <w:lang w:val="el-GR" w:eastAsia="el-GR" w:bidi="el-GR"/>
        </w:rPr>
        <w:t>ς</w:t>
      </w:r>
      <w:r w:rsidR="00CE7B54">
        <w:rPr>
          <w:rFonts w:ascii="Segoe UI" w:hAnsi="Segoe UI" w:cs="Segoe UI"/>
          <w:sz w:val="20"/>
          <w:lang w:val="el-GR" w:eastAsia="el-GR" w:bidi="el-GR"/>
        </w:rPr>
        <w:t xml:space="preserve"> των</w:t>
      </w:r>
      <w:r w:rsidR="00CE7B54" w:rsidRPr="003C7CF4">
        <w:rPr>
          <w:rFonts w:ascii="Segoe UI" w:hAnsi="Segoe UI" w:cs="Segoe UI"/>
          <w:sz w:val="20"/>
          <w:lang w:val="el-GR" w:eastAsia="el-GR" w:bidi="el-GR"/>
        </w:rPr>
        <w:t xml:space="preserve"> Πρ</w:t>
      </w:r>
      <w:r w:rsidR="00CE7B54">
        <w:rPr>
          <w:rFonts w:ascii="Segoe UI" w:hAnsi="Segoe UI" w:cs="Segoe UI"/>
          <w:sz w:val="20"/>
          <w:lang w:val="el-GR" w:eastAsia="el-GR" w:bidi="el-GR"/>
        </w:rPr>
        <w:t>ο</w:t>
      </w:r>
      <w:r w:rsidR="00CE7B54" w:rsidRPr="003C7CF4">
        <w:rPr>
          <w:rFonts w:ascii="Segoe UI" w:hAnsi="Segoe UI" w:cs="Segoe UI"/>
          <w:sz w:val="20"/>
          <w:lang w:val="el-GR" w:eastAsia="el-GR" w:bidi="el-GR"/>
        </w:rPr>
        <w:t>γρ</w:t>
      </w:r>
      <w:r w:rsidR="00CE7B54">
        <w:rPr>
          <w:rFonts w:ascii="Segoe UI" w:hAnsi="Segoe UI" w:cs="Segoe UI"/>
          <w:sz w:val="20"/>
          <w:lang w:val="el-GR" w:eastAsia="el-GR" w:bidi="el-GR"/>
        </w:rPr>
        <w:t>α</w:t>
      </w:r>
      <w:r w:rsidR="00CE7B54" w:rsidRPr="003C7CF4">
        <w:rPr>
          <w:rFonts w:ascii="Segoe UI" w:hAnsi="Segoe UI" w:cs="Segoe UI"/>
          <w:sz w:val="20"/>
          <w:lang w:val="el-GR" w:eastAsia="el-GR" w:bidi="el-GR"/>
        </w:rPr>
        <w:t>μμά</w:t>
      </w:r>
      <w:r w:rsidR="00CE7B54">
        <w:rPr>
          <w:rFonts w:ascii="Segoe UI" w:hAnsi="Segoe UI" w:cs="Segoe UI"/>
          <w:sz w:val="20"/>
          <w:lang w:val="el-GR" w:eastAsia="el-GR" w:bidi="el-GR"/>
        </w:rPr>
        <w:t>των</w:t>
      </w:r>
      <w:r w:rsidR="00CE7B54" w:rsidRPr="003C7CF4">
        <w:rPr>
          <w:rFonts w:ascii="Segoe UI" w:hAnsi="Segoe UI" w:cs="Segoe UI"/>
          <w:sz w:val="20"/>
          <w:lang w:val="el-GR" w:eastAsia="el-GR" w:bidi="el-GR"/>
        </w:rPr>
        <w:t xml:space="preserve"> Εθελουσίας Εξόδου Προσωπικού</w:t>
      </w:r>
      <w:r w:rsidR="00C50273">
        <w:rPr>
          <w:rFonts w:ascii="Segoe UI" w:hAnsi="Segoe UI" w:cs="Segoe UI"/>
          <w:sz w:val="20"/>
          <w:lang w:val="el-GR" w:eastAsia="el-GR" w:bidi="el-GR"/>
        </w:rPr>
        <w:t>, με τη</w:t>
      </w:r>
      <w:r w:rsidR="00392F13">
        <w:rPr>
          <w:rFonts w:ascii="Segoe UI" w:hAnsi="Segoe UI" w:cs="Segoe UI"/>
          <w:sz w:val="20"/>
          <w:lang w:val="el-GR" w:eastAsia="el-GR" w:bidi="el-GR"/>
        </w:rPr>
        <w:t>ν</w:t>
      </w:r>
      <w:r w:rsidR="00C50273">
        <w:rPr>
          <w:rFonts w:ascii="Segoe UI" w:hAnsi="Segoe UI" w:cs="Segoe UI"/>
          <w:sz w:val="20"/>
          <w:lang w:val="el-GR" w:eastAsia="el-GR" w:bidi="el-GR"/>
        </w:rPr>
        <w:t xml:space="preserve"> </w:t>
      </w:r>
      <w:r w:rsidR="006826F2">
        <w:rPr>
          <w:rFonts w:ascii="Segoe UI" w:hAnsi="Segoe UI" w:cs="Segoe UI"/>
          <w:sz w:val="20"/>
          <w:lang w:val="el-GR" w:eastAsia="el-GR" w:bidi="el-GR"/>
        </w:rPr>
        <w:t xml:space="preserve">τρέχουσα </w:t>
      </w:r>
      <w:r w:rsidR="00CE7B54">
        <w:rPr>
          <w:rFonts w:ascii="Segoe UI" w:hAnsi="Segoe UI" w:cs="Segoe UI"/>
          <w:sz w:val="20"/>
          <w:lang w:val="el-GR" w:eastAsia="el-GR" w:bidi="el-GR"/>
        </w:rPr>
        <w:t xml:space="preserve">συμμετοχή </w:t>
      </w:r>
      <w:r w:rsidR="00C50273">
        <w:rPr>
          <w:rFonts w:ascii="Segoe UI" w:hAnsi="Segoe UI" w:cs="Segoe UI"/>
          <w:sz w:val="20"/>
          <w:lang w:val="el-GR" w:eastAsia="el-GR" w:bidi="el-GR"/>
        </w:rPr>
        <w:t xml:space="preserve">να ανέρχεται σε </w:t>
      </w:r>
      <w:r w:rsidR="006826F2">
        <w:rPr>
          <w:rFonts w:ascii="Segoe UI" w:hAnsi="Segoe UI" w:cs="Segoe UI"/>
          <w:sz w:val="20"/>
          <w:lang w:val="el-GR" w:eastAsia="el-GR" w:bidi="el-GR"/>
        </w:rPr>
        <w:t>περίπου 700</w:t>
      </w:r>
      <w:r w:rsidR="00C50273">
        <w:rPr>
          <w:rFonts w:ascii="Segoe UI" w:hAnsi="Segoe UI" w:cs="Segoe UI"/>
          <w:sz w:val="20"/>
          <w:lang w:val="el-GR" w:eastAsia="el-GR" w:bidi="el-GR"/>
        </w:rPr>
        <w:t xml:space="preserve"> εργαζομένους </w:t>
      </w:r>
      <w:r w:rsidR="00CE7B54">
        <w:rPr>
          <w:rFonts w:ascii="Segoe UI" w:hAnsi="Segoe UI" w:cs="Segoe UI"/>
          <w:sz w:val="20"/>
          <w:lang w:val="el-GR" w:eastAsia="el-GR" w:bidi="el-GR"/>
        </w:rPr>
        <w:t>από την αρχή του έτους. Αντανακλώντας τη συνεχή προσπάθεια της Τράπεζας για περιστολή του λειτουργικού της κόστους</w:t>
      </w:r>
      <w:r w:rsidR="00CA2A80" w:rsidRPr="00CA2A80">
        <w:rPr>
          <w:rFonts w:ascii="Segoe UI" w:hAnsi="Segoe UI" w:cs="Segoe UI"/>
          <w:sz w:val="20"/>
          <w:lang w:val="el-GR" w:eastAsia="el-GR" w:bidi="el-GR"/>
        </w:rPr>
        <w:t xml:space="preserve"> </w:t>
      </w:r>
      <w:r w:rsidR="00CA2A80">
        <w:rPr>
          <w:rFonts w:ascii="Segoe UI" w:hAnsi="Segoe UI" w:cs="Segoe UI"/>
          <w:sz w:val="20"/>
          <w:lang w:val="el-GR" w:eastAsia="el-GR" w:bidi="el-GR"/>
        </w:rPr>
        <w:t>και εξαιρουμένης της</w:t>
      </w:r>
      <w:r w:rsidR="00CA2A80" w:rsidRPr="00CA2A80">
        <w:rPr>
          <w:rFonts w:ascii="Segoe UI" w:hAnsi="Segoe UI" w:cs="Segoe UI"/>
          <w:sz w:val="20"/>
          <w:lang w:val="el-GR" w:eastAsia="el-GR" w:bidi="el-GR"/>
        </w:rPr>
        <w:t xml:space="preserve"> </w:t>
      </w:r>
      <w:r w:rsidR="00CA2A80">
        <w:rPr>
          <w:rFonts w:ascii="Segoe UI" w:hAnsi="Segoe UI" w:cs="Segoe UI"/>
          <w:sz w:val="20"/>
          <w:lang w:val="el-GR" w:eastAsia="el-GR" w:bidi="el-GR"/>
        </w:rPr>
        <w:t>επίπτωσης από τη μετάβαση στο ΔΠΧΑ 16</w:t>
      </w:r>
      <w:r w:rsidR="00CE7B54">
        <w:rPr>
          <w:rFonts w:ascii="Segoe UI" w:hAnsi="Segoe UI" w:cs="Segoe UI"/>
          <w:sz w:val="20"/>
          <w:lang w:val="el-GR" w:eastAsia="el-GR" w:bidi="el-GR"/>
        </w:rPr>
        <w:t xml:space="preserve">, </w:t>
      </w:r>
      <w:r w:rsidR="003D6ADE" w:rsidRPr="00796106">
        <w:rPr>
          <w:rFonts w:ascii="Segoe UI" w:hAnsi="Segoe UI" w:cs="Segoe UI"/>
          <w:sz w:val="20"/>
          <w:lang w:val="el-GR" w:eastAsia="el-GR" w:bidi="el-GR"/>
        </w:rPr>
        <w:t>τα γενικά διοικητικά και λοιπά λειτουργικά έξοδα μειώθηκαν κατά 13% σε ετήσια βάση το εννεάμηνο του 2019.</w:t>
      </w:r>
    </w:p>
    <w:p w:rsidR="00AB37C9" w:rsidRDefault="00AB37C9" w:rsidP="00AB37C9">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Οι </w:t>
      </w:r>
      <w:r w:rsidRPr="00C82453">
        <w:rPr>
          <w:rFonts w:ascii="Segoe UI" w:hAnsi="Segoe UI" w:cs="Segoe UI"/>
          <w:b/>
          <w:sz w:val="20"/>
          <w:lang w:val="el-GR" w:eastAsia="el-GR" w:bidi="el-GR"/>
        </w:rPr>
        <w:t>προβλέψεις για επισφαλείς απαιτήσεις</w:t>
      </w:r>
      <w:r>
        <w:rPr>
          <w:rFonts w:ascii="Segoe UI" w:hAnsi="Segoe UI" w:cs="Segoe UI"/>
          <w:sz w:val="20"/>
          <w:lang w:val="el-GR" w:eastAsia="el-GR" w:bidi="el-GR"/>
        </w:rPr>
        <w:t xml:space="preserve"> </w:t>
      </w:r>
      <w:r w:rsidR="00386BCB">
        <w:rPr>
          <w:rFonts w:ascii="Segoe UI" w:hAnsi="Segoe UI" w:cs="Segoe UI"/>
          <w:sz w:val="20"/>
          <w:lang w:val="el-GR" w:eastAsia="el-GR" w:bidi="el-GR"/>
        </w:rPr>
        <w:t xml:space="preserve">διαμορφώθηκαν σε μόλις €23 εκατ το </w:t>
      </w:r>
      <w:r w:rsidR="002F16BA">
        <w:rPr>
          <w:rFonts w:ascii="Segoe UI" w:hAnsi="Segoe UI" w:cs="Segoe UI"/>
          <w:sz w:val="20"/>
          <w:lang w:val="el-GR" w:eastAsia="el-GR" w:bidi="el-GR"/>
        </w:rPr>
        <w:t xml:space="preserve">Γ΄ </w:t>
      </w:r>
      <w:r w:rsidR="00386BCB">
        <w:rPr>
          <w:rFonts w:ascii="Segoe UI" w:hAnsi="Segoe UI" w:cs="Segoe UI"/>
          <w:sz w:val="20"/>
          <w:lang w:val="el-GR" w:eastAsia="el-GR" w:bidi="el-GR"/>
        </w:rPr>
        <w:t>τρίμηνο</w:t>
      </w:r>
      <w:r w:rsidR="002F16BA">
        <w:rPr>
          <w:rFonts w:ascii="Segoe UI" w:hAnsi="Segoe UI" w:cs="Segoe UI"/>
          <w:sz w:val="20"/>
          <w:lang w:val="el-GR" w:eastAsia="el-GR" w:bidi="el-GR"/>
        </w:rPr>
        <w:t xml:space="preserve"> 2019</w:t>
      </w:r>
      <w:r w:rsidR="00386BCB">
        <w:rPr>
          <w:rFonts w:ascii="Segoe UI" w:hAnsi="Segoe UI" w:cs="Segoe UI"/>
          <w:sz w:val="20"/>
          <w:lang w:val="el-GR" w:eastAsia="el-GR" w:bidi="el-GR"/>
        </w:rPr>
        <w:t xml:space="preserve"> από</w:t>
      </w:r>
      <w:r>
        <w:rPr>
          <w:rFonts w:ascii="Segoe UI" w:hAnsi="Segoe UI" w:cs="Segoe UI"/>
          <w:sz w:val="20"/>
          <w:lang w:val="el-GR" w:eastAsia="el-GR" w:bidi="el-GR"/>
        </w:rPr>
        <w:t xml:space="preserve"> €</w:t>
      </w:r>
      <w:r w:rsidRPr="00F634E1">
        <w:rPr>
          <w:rFonts w:ascii="Segoe UI" w:hAnsi="Segoe UI" w:cs="Segoe UI"/>
          <w:sz w:val="20"/>
          <w:lang w:val="el-GR" w:eastAsia="el-GR" w:bidi="el-GR"/>
        </w:rPr>
        <w:t>100</w:t>
      </w:r>
      <w:r w:rsidR="00386BCB">
        <w:rPr>
          <w:rFonts w:ascii="Segoe UI" w:hAnsi="Segoe UI" w:cs="Segoe UI"/>
          <w:sz w:val="20"/>
          <w:lang w:val="el-GR" w:eastAsia="el-GR" w:bidi="el-GR"/>
        </w:rPr>
        <w:t xml:space="preserve"> εκατ. το Β’ τρίμηνο 2019 (32</w:t>
      </w:r>
      <w:r w:rsidRPr="004E5639">
        <w:rPr>
          <w:rFonts w:ascii="Segoe UI" w:hAnsi="Segoe UI" w:cs="Segoe UI"/>
          <w:sz w:val="20"/>
          <w:lang w:val="el-GR" w:eastAsia="el-GR" w:bidi="el-GR"/>
        </w:rPr>
        <w:t>μ.β.</w:t>
      </w:r>
      <w:r>
        <w:rPr>
          <w:rFonts w:ascii="Segoe UI" w:hAnsi="Segoe UI" w:cs="Segoe UI"/>
          <w:sz w:val="20"/>
          <w:lang w:val="el-GR" w:eastAsia="el-GR" w:bidi="el-GR"/>
        </w:rPr>
        <w:t xml:space="preserve"> </w:t>
      </w:r>
      <w:r w:rsidRPr="004E5639">
        <w:rPr>
          <w:rFonts w:ascii="Segoe UI" w:hAnsi="Segoe UI" w:cs="Segoe UI"/>
          <w:sz w:val="20"/>
          <w:lang w:val="el-GR" w:eastAsia="el-GR" w:bidi="el-GR"/>
        </w:rPr>
        <w:t>κόστος πιστωτικού κινδύνου</w:t>
      </w:r>
      <w:r>
        <w:rPr>
          <w:rFonts w:ascii="Segoe UI" w:hAnsi="Segoe UI" w:cs="Segoe UI"/>
          <w:sz w:val="20"/>
          <w:lang w:val="el-GR" w:eastAsia="el-GR" w:bidi="el-GR"/>
        </w:rPr>
        <w:t>)</w:t>
      </w:r>
      <w:r w:rsidR="00386BCB">
        <w:rPr>
          <w:rFonts w:ascii="Segoe UI" w:hAnsi="Segoe UI" w:cs="Segoe UI"/>
          <w:sz w:val="20"/>
          <w:lang w:val="el-GR" w:eastAsia="el-GR" w:bidi="el-GR"/>
        </w:rPr>
        <w:t xml:space="preserve">, θετικά επηρεαζόμενες από την </w:t>
      </w:r>
      <w:r w:rsidR="00A35636">
        <w:rPr>
          <w:rFonts w:ascii="Segoe UI" w:hAnsi="Segoe UI" w:cs="Segoe UI"/>
          <w:sz w:val="20"/>
          <w:lang w:val="el-GR" w:eastAsia="el-GR" w:bidi="el-GR"/>
        </w:rPr>
        <w:t xml:space="preserve">μεγαλύτερη από το προσδοκώμενο αύξηση των τιμών </w:t>
      </w:r>
      <w:r w:rsidR="00062069">
        <w:rPr>
          <w:rFonts w:ascii="Segoe UI" w:hAnsi="Segoe UI" w:cs="Segoe UI"/>
          <w:sz w:val="20"/>
          <w:lang w:val="el-GR" w:eastAsia="el-GR" w:bidi="el-GR"/>
        </w:rPr>
        <w:t>κατοικιών</w:t>
      </w:r>
      <w:r>
        <w:rPr>
          <w:rFonts w:ascii="Segoe UI" w:hAnsi="Segoe UI" w:cs="Segoe UI"/>
          <w:sz w:val="20"/>
          <w:lang w:val="el-GR" w:eastAsia="el-GR" w:bidi="el-GR"/>
        </w:rPr>
        <w:t xml:space="preserve">. Σε επίπεδο </w:t>
      </w:r>
      <w:r w:rsidR="00C95898">
        <w:rPr>
          <w:rFonts w:ascii="Segoe UI" w:hAnsi="Segoe UI" w:cs="Segoe UI"/>
          <w:sz w:val="20"/>
          <w:lang w:val="el-GR" w:eastAsia="el-GR" w:bidi="el-GR"/>
        </w:rPr>
        <w:t>εννεαμήνου</w:t>
      </w:r>
      <w:r>
        <w:rPr>
          <w:rFonts w:ascii="Segoe UI" w:hAnsi="Segoe UI" w:cs="Segoe UI"/>
          <w:sz w:val="20"/>
          <w:lang w:val="el-GR" w:eastAsia="el-GR" w:bidi="el-GR"/>
        </w:rPr>
        <w:t xml:space="preserve">, οι </w:t>
      </w:r>
      <w:r w:rsidRPr="00392BB6">
        <w:rPr>
          <w:rFonts w:ascii="Segoe UI" w:hAnsi="Segoe UI" w:cs="Segoe UI"/>
          <w:sz w:val="20"/>
          <w:lang w:val="el-GR" w:eastAsia="el-GR" w:bidi="el-GR"/>
        </w:rPr>
        <w:t xml:space="preserve">προβλέψεις για επισφαλείς απαιτήσεις </w:t>
      </w:r>
      <w:r>
        <w:rPr>
          <w:rFonts w:ascii="Segoe UI" w:hAnsi="Segoe UI" w:cs="Segoe UI"/>
          <w:sz w:val="20"/>
          <w:lang w:val="el-GR" w:eastAsia="el-GR" w:bidi="el-GR"/>
        </w:rPr>
        <w:t>ανήλθαν</w:t>
      </w:r>
      <w:r w:rsidRPr="00392BB6">
        <w:rPr>
          <w:rFonts w:ascii="Segoe UI" w:hAnsi="Segoe UI" w:cs="Segoe UI"/>
          <w:sz w:val="20"/>
          <w:lang w:val="el-GR" w:eastAsia="el-GR" w:bidi="el-GR"/>
        </w:rPr>
        <w:t xml:space="preserve"> σε €</w:t>
      </w:r>
      <w:r w:rsidR="00C95898">
        <w:rPr>
          <w:rFonts w:ascii="Segoe UI" w:hAnsi="Segoe UI" w:cs="Segoe UI"/>
          <w:sz w:val="20"/>
          <w:lang w:val="el-GR" w:eastAsia="el-GR" w:bidi="el-GR"/>
        </w:rPr>
        <w:t>223</w:t>
      </w:r>
      <w:r>
        <w:rPr>
          <w:rFonts w:ascii="Segoe UI" w:hAnsi="Segoe UI" w:cs="Segoe UI"/>
          <w:sz w:val="20"/>
          <w:lang w:val="el-GR" w:eastAsia="el-GR" w:bidi="el-GR"/>
        </w:rPr>
        <w:t xml:space="preserve"> εκατ., με το</w:t>
      </w:r>
      <w:r w:rsidRPr="00DE7287">
        <w:rPr>
          <w:rFonts w:ascii="Segoe UI" w:hAnsi="Segoe UI" w:cs="Segoe UI"/>
          <w:sz w:val="20"/>
          <w:lang w:val="el-GR" w:eastAsia="el-GR" w:bidi="el-GR"/>
        </w:rPr>
        <w:t xml:space="preserve"> κόστος πιστωτικού κινδύνου </w:t>
      </w:r>
      <w:r>
        <w:rPr>
          <w:rFonts w:ascii="Segoe UI" w:hAnsi="Segoe UI" w:cs="Segoe UI"/>
          <w:sz w:val="20"/>
          <w:lang w:val="el-GR" w:eastAsia="el-GR" w:bidi="el-GR"/>
        </w:rPr>
        <w:t xml:space="preserve">να </w:t>
      </w:r>
      <w:r w:rsidRPr="00DE7287">
        <w:rPr>
          <w:rFonts w:ascii="Segoe UI" w:hAnsi="Segoe UI" w:cs="Segoe UI"/>
          <w:sz w:val="20"/>
          <w:lang w:val="el-GR" w:eastAsia="el-GR" w:bidi="el-GR"/>
        </w:rPr>
        <w:t>διαμορφώ</w:t>
      </w:r>
      <w:r>
        <w:rPr>
          <w:rFonts w:ascii="Segoe UI" w:hAnsi="Segoe UI" w:cs="Segoe UI"/>
          <w:sz w:val="20"/>
          <w:lang w:val="el-GR" w:eastAsia="el-GR" w:bidi="el-GR"/>
        </w:rPr>
        <w:t xml:space="preserve">νεται </w:t>
      </w:r>
      <w:r w:rsidRPr="00DE7287">
        <w:rPr>
          <w:rFonts w:ascii="Segoe UI" w:hAnsi="Segoe UI" w:cs="Segoe UI"/>
          <w:sz w:val="20"/>
          <w:lang w:val="el-GR" w:eastAsia="el-GR" w:bidi="el-GR"/>
        </w:rPr>
        <w:t xml:space="preserve">σε </w:t>
      </w:r>
      <w:r w:rsidR="00C95898">
        <w:rPr>
          <w:rFonts w:ascii="Segoe UI" w:hAnsi="Segoe UI" w:cs="Segoe UI"/>
          <w:sz w:val="20"/>
          <w:lang w:val="el-GR" w:eastAsia="el-GR" w:bidi="el-GR"/>
        </w:rPr>
        <w:t>105</w:t>
      </w:r>
      <w:r>
        <w:rPr>
          <w:rFonts w:ascii="Segoe UI" w:hAnsi="Segoe UI" w:cs="Segoe UI"/>
          <w:sz w:val="20"/>
          <w:lang w:val="el-GR" w:eastAsia="el-GR" w:bidi="el-GR"/>
        </w:rPr>
        <w:t xml:space="preserve">μ.β. </w:t>
      </w:r>
      <w:r w:rsidRPr="00392BB6">
        <w:rPr>
          <w:rFonts w:ascii="Segoe UI" w:hAnsi="Segoe UI" w:cs="Segoe UI"/>
          <w:sz w:val="20"/>
          <w:lang w:val="el-GR" w:eastAsia="el-GR" w:bidi="el-GR"/>
        </w:rPr>
        <w:t xml:space="preserve">το </w:t>
      </w:r>
      <w:r w:rsidR="00C95898">
        <w:rPr>
          <w:rFonts w:ascii="Segoe UI" w:hAnsi="Segoe UI" w:cs="Segoe UI"/>
          <w:sz w:val="20"/>
          <w:lang w:val="el-GR" w:eastAsia="el-GR" w:bidi="el-GR"/>
        </w:rPr>
        <w:t xml:space="preserve">εννεάμηνο </w:t>
      </w:r>
      <w:r w:rsidRPr="00392BB6">
        <w:rPr>
          <w:rFonts w:ascii="Segoe UI" w:hAnsi="Segoe UI" w:cs="Segoe UI"/>
          <w:sz w:val="20"/>
          <w:lang w:val="el-GR" w:eastAsia="el-GR" w:bidi="el-GR"/>
        </w:rPr>
        <w:t>2019</w:t>
      </w:r>
      <w:r>
        <w:rPr>
          <w:rFonts w:ascii="Segoe UI" w:hAnsi="Segoe UI" w:cs="Segoe UI"/>
          <w:sz w:val="20"/>
          <w:lang w:val="el-GR" w:eastAsia="el-GR" w:bidi="el-GR"/>
        </w:rPr>
        <w:t xml:space="preserve">. </w:t>
      </w:r>
    </w:p>
    <w:p w:rsidR="00AB37C9" w:rsidRPr="001863AA" w:rsidRDefault="00DE26B1" w:rsidP="002E0E3E">
      <w:pPr>
        <w:autoSpaceDE w:val="0"/>
        <w:autoSpaceDN w:val="0"/>
        <w:adjustRightInd w:val="0"/>
        <w:spacing w:before="360" w:after="160" w:line="320" w:lineRule="atLeast"/>
        <w:jc w:val="both"/>
        <w:rPr>
          <w:rFonts w:ascii="Segoe UI" w:eastAsia="Calibri" w:hAnsi="Segoe UI" w:cs="Arial"/>
          <w:b/>
          <w:color w:val="008080"/>
          <w:sz w:val="24"/>
          <w:u w:val="single"/>
          <w:lang w:val="el-GR"/>
        </w:rPr>
      </w:pPr>
      <w:r>
        <w:rPr>
          <w:rFonts w:ascii="Segoe UI" w:eastAsia="Calibri" w:hAnsi="Segoe UI" w:cs="Arial"/>
          <w:b/>
          <w:color w:val="008080"/>
          <w:sz w:val="24"/>
          <w:u w:val="single"/>
          <w:lang w:val="el-GR"/>
        </w:rPr>
        <w:t>Λοιπές διεθνείς δραστηριότητες</w:t>
      </w:r>
      <w:r w:rsidR="00AB37C9" w:rsidRPr="001863AA">
        <w:rPr>
          <w:rFonts w:ascii="Segoe UI" w:eastAsia="Calibri" w:hAnsi="Segoe UI" w:cs="Arial"/>
          <w:b/>
          <w:color w:val="008080"/>
          <w:sz w:val="24"/>
          <w:u w:val="single"/>
          <w:vertAlign w:val="superscript"/>
          <w:lang w:val="en-US"/>
        </w:rPr>
        <w:footnoteReference w:id="1"/>
      </w:r>
      <w:r>
        <w:rPr>
          <w:rFonts w:ascii="Segoe UI" w:eastAsia="Calibri" w:hAnsi="Segoe UI" w:cs="Arial"/>
          <w:b/>
          <w:color w:val="008080"/>
          <w:sz w:val="24"/>
          <w:u w:val="single"/>
          <w:lang w:val="el-GR"/>
        </w:rPr>
        <w:t>:</w:t>
      </w:r>
      <w:r w:rsidR="00AB37C9" w:rsidRPr="001863AA">
        <w:rPr>
          <w:rFonts w:ascii="Segoe UI" w:eastAsia="Calibri" w:hAnsi="Segoe UI" w:cs="Arial"/>
          <w:b/>
          <w:color w:val="008080"/>
          <w:sz w:val="24"/>
          <w:u w:val="single"/>
          <w:lang w:val="el-GR"/>
        </w:rPr>
        <w:t xml:space="preserve"> </w:t>
      </w:r>
    </w:p>
    <w:p w:rsidR="00AB37C9" w:rsidRDefault="00DE26B1" w:rsidP="008B5C68">
      <w:pPr>
        <w:autoSpaceDE w:val="0"/>
        <w:autoSpaceDN w:val="0"/>
        <w:adjustRightInd w:val="0"/>
        <w:spacing w:after="160" w:line="320" w:lineRule="atLeast"/>
        <w:jc w:val="both"/>
        <w:rPr>
          <w:rFonts w:ascii="Segoe UI" w:hAnsi="Segoe UI" w:cs="Segoe UI"/>
          <w:b/>
          <w:sz w:val="20"/>
          <w:lang w:val="el-GR" w:eastAsia="el-GR" w:bidi="el-GR"/>
        </w:rPr>
      </w:pPr>
      <w:r>
        <w:rPr>
          <w:rFonts w:ascii="Segoe UI" w:hAnsi="Segoe UI" w:cs="Segoe UI"/>
          <w:sz w:val="20"/>
          <w:lang w:val="el-GR" w:eastAsia="el-GR" w:bidi="el-GR"/>
        </w:rPr>
        <w:t>Στις λοιπές διεθνείς δραστηριότητες</w:t>
      </w:r>
      <w:r w:rsidRPr="009837D8">
        <w:rPr>
          <w:rFonts w:ascii="Segoe UI" w:hAnsi="Segoe UI" w:cs="Segoe UI"/>
          <w:sz w:val="20"/>
          <w:vertAlign w:val="superscript"/>
          <w:lang w:val="el-GR" w:eastAsia="el-GR" w:bidi="el-GR"/>
        </w:rPr>
        <w:t>1</w:t>
      </w:r>
      <w:r>
        <w:rPr>
          <w:rFonts w:ascii="Segoe UI" w:hAnsi="Segoe UI" w:cs="Segoe UI"/>
          <w:sz w:val="20"/>
          <w:lang w:val="el-GR" w:eastAsia="el-GR" w:bidi="el-GR"/>
        </w:rPr>
        <w:t xml:space="preserve">, ο </w:t>
      </w:r>
      <w:r w:rsidR="00AB37C9" w:rsidRPr="009837D8">
        <w:rPr>
          <w:rFonts w:ascii="Segoe UI" w:hAnsi="Segoe UI" w:cs="Segoe UI"/>
          <w:sz w:val="20"/>
          <w:lang w:val="el-GR" w:eastAsia="el-GR" w:bidi="el-GR"/>
        </w:rPr>
        <w:t xml:space="preserve">Όμιλος </w:t>
      </w:r>
      <w:r>
        <w:rPr>
          <w:rFonts w:ascii="Segoe UI" w:hAnsi="Segoe UI" w:cs="Segoe UI"/>
          <w:sz w:val="20"/>
          <w:lang w:val="el-GR" w:eastAsia="el-GR" w:bidi="el-GR"/>
        </w:rPr>
        <w:t xml:space="preserve">παρουσίασε </w:t>
      </w:r>
      <w:r w:rsidR="00B15A01">
        <w:rPr>
          <w:rFonts w:ascii="Segoe UI" w:hAnsi="Segoe UI" w:cs="Segoe UI"/>
          <w:b/>
          <w:sz w:val="20"/>
          <w:lang w:val="el-GR" w:eastAsia="el-GR" w:bidi="el-GR"/>
        </w:rPr>
        <w:t>ζημ</w:t>
      </w:r>
      <w:r w:rsidR="00DD520B">
        <w:rPr>
          <w:rFonts w:ascii="Segoe UI" w:hAnsi="Segoe UI" w:cs="Segoe UI"/>
          <w:b/>
          <w:sz w:val="20"/>
          <w:lang w:val="el-GR" w:eastAsia="el-GR" w:bidi="el-GR"/>
        </w:rPr>
        <w:t>ιέ</w:t>
      </w:r>
      <w:r w:rsidR="00B15A01">
        <w:rPr>
          <w:rFonts w:ascii="Segoe UI" w:hAnsi="Segoe UI" w:cs="Segoe UI"/>
          <w:b/>
          <w:sz w:val="20"/>
          <w:lang w:val="el-GR" w:eastAsia="el-GR" w:bidi="el-GR"/>
        </w:rPr>
        <w:t xml:space="preserve">ς </w:t>
      </w:r>
      <w:r w:rsidR="00AB37C9" w:rsidRPr="003D74CB">
        <w:rPr>
          <w:rFonts w:ascii="Segoe UI" w:hAnsi="Segoe UI" w:cs="Segoe UI"/>
          <w:b/>
          <w:sz w:val="20"/>
          <w:lang w:val="el-GR" w:eastAsia="el-GR" w:bidi="el-GR"/>
        </w:rPr>
        <w:t>μετά από φόρους</w:t>
      </w:r>
      <w:r w:rsidRPr="00DE26B1">
        <w:rPr>
          <w:rFonts w:ascii="Segoe UI" w:hAnsi="Segoe UI" w:cs="Segoe UI"/>
          <w:sz w:val="20"/>
          <w:lang w:val="el-GR" w:eastAsia="el-GR" w:bidi="el-GR"/>
        </w:rPr>
        <w:t>,</w:t>
      </w:r>
      <w:r w:rsidR="00AB37C9" w:rsidRPr="00DE26B1">
        <w:rPr>
          <w:rFonts w:ascii="Segoe UI" w:hAnsi="Segoe UI" w:cs="Segoe UI"/>
          <w:sz w:val="20"/>
          <w:lang w:val="el-GR" w:eastAsia="el-GR" w:bidi="el-GR"/>
        </w:rPr>
        <w:t xml:space="preserve"> </w:t>
      </w:r>
      <w:r w:rsidR="00AB37C9" w:rsidRPr="003D74CB">
        <w:rPr>
          <w:rFonts w:ascii="Segoe UI" w:hAnsi="Segoe UI" w:cs="Segoe UI"/>
          <w:b/>
          <w:sz w:val="20"/>
          <w:lang w:val="el-GR" w:eastAsia="el-GR" w:bidi="el-GR"/>
        </w:rPr>
        <w:t>από συνεχιζόμενες δραστηριότητες</w:t>
      </w:r>
      <w:r w:rsidRPr="00DE26B1">
        <w:rPr>
          <w:rFonts w:ascii="Segoe UI" w:hAnsi="Segoe UI" w:cs="Segoe UI"/>
          <w:sz w:val="20"/>
          <w:lang w:val="el-GR" w:eastAsia="el-GR" w:bidi="el-GR"/>
        </w:rPr>
        <w:t xml:space="preserve">, </w:t>
      </w:r>
      <w:r w:rsidR="00AB37C9" w:rsidRPr="009837D8">
        <w:rPr>
          <w:rFonts w:ascii="Segoe UI" w:hAnsi="Segoe UI" w:cs="Segoe UI"/>
          <w:sz w:val="20"/>
          <w:lang w:val="el-GR" w:eastAsia="el-GR" w:bidi="el-GR"/>
        </w:rPr>
        <w:t>ύψους €</w:t>
      </w:r>
      <w:r w:rsidR="00B15A01">
        <w:rPr>
          <w:rFonts w:ascii="Segoe UI" w:hAnsi="Segoe UI" w:cs="Segoe UI"/>
          <w:sz w:val="20"/>
          <w:lang w:val="el-GR" w:eastAsia="el-GR" w:bidi="el-GR"/>
        </w:rPr>
        <w:t>66</w:t>
      </w:r>
      <w:r w:rsidR="00AB37C9" w:rsidRPr="009837D8">
        <w:rPr>
          <w:rFonts w:ascii="Segoe UI" w:hAnsi="Segoe UI" w:cs="Segoe UI"/>
          <w:sz w:val="20"/>
          <w:lang w:val="el-GR" w:eastAsia="el-GR" w:bidi="el-GR"/>
        </w:rPr>
        <w:t xml:space="preserve"> εκατ. </w:t>
      </w:r>
      <w:r w:rsidR="00B15A01">
        <w:rPr>
          <w:rFonts w:ascii="Segoe UI" w:hAnsi="Segoe UI" w:cs="Segoe UI"/>
          <w:sz w:val="20"/>
          <w:lang w:val="el-GR" w:eastAsia="el-GR" w:bidi="el-GR"/>
        </w:rPr>
        <w:t>το Γ</w:t>
      </w:r>
      <w:r w:rsidR="00B15A01" w:rsidRPr="009837D8">
        <w:rPr>
          <w:rFonts w:ascii="Segoe UI" w:hAnsi="Segoe UI" w:cs="Segoe UI"/>
          <w:sz w:val="20"/>
          <w:lang w:val="el-GR" w:eastAsia="el-GR" w:bidi="el-GR"/>
        </w:rPr>
        <w:t xml:space="preserve">’ </w:t>
      </w:r>
      <w:r w:rsidR="00B15A01">
        <w:rPr>
          <w:rFonts w:ascii="Segoe UI" w:hAnsi="Segoe UI" w:cs="Segoe UI"/>
          <w:sz w:val="20"/>
          <w:lang w:val="el-GR" w:eastAsia="el-GR" w:bidi="el-GR"/>
        </w:rPr>
        <w:t>τ</w:t>
      </w:r>
      <w:r w:rsidR="00B15A01" w:rsidRPr="009837D8">
        <w:rPr>
          <w:rFonts w:ascii="Segoe UI" w:hAnsi="Segoe UI" w:cs="Segoe UI"/>
          <w:sz w:val="20"/>
          <w:lang w:val="el-GR" w:eastAsia="el-GR" w:bidi="el-GR"/>
        </w:rPr>
        <w:t>ρίμηνο 201</w:t>
      </w:r>
      <w:r w:rsidR="00B15A01">
        <w:rPr>
          <w:rFonts w:ascii="Segoe UI" w:hAnsi="Segoe UI" w:cs="Segoe UI"/>
          <w:sz w:val="20"/>
          <w:lang w:val="el-GR" w:eastAsia="el-GR" w:bidi="el-GR"/>
        </w:rPr>
        <w:t>9</w:t>
      </w:r>
      <w:r w:rsidR="00B15A01" w:rsidRPr="009837D8">
        <w:rPr>
          <w:rFonts w:ascii="Segoe UI" w:hAnsi="Segoe UI" w:cs="Segoe UI"/>
          <w:sz w:val="20"/>
          <w:lang w:val="el-GR" w:eastAsia="el-GR" w:bidi="el-GR"/>
        </w:rPr>
        <w:t xml:space="preserve"> </w:t>
      </w:r>
      <w:r w:rsidR="00B15A01">
        <w:rPr>
          <w:rFonts w:ascii="Segoe UI" w:hAnsi="Segoe UI" w:cs="Segoe UI"/>
          <w:sz w:val="20"/>
          <w:lang w:val="el-GR" w:eastAsia="el-GR" w:bidi="el-GR"/>
        </w:rPr>
        <w:t xml:space="preserve">έναντι κερδών ύψους </w:t>
      </w:r>
      <w:r w:rsidR="00B15A01" w:rsidRPr="009837D8">
        <w:rPr>
          <w:rFonts w:ascii="Segoe UI" w:hAnsi="Segoe UI" w:cs="Segoe UI"/>
          <w:sz w:val="20"/>
          <w:lang w:val="el-GR" w:eastAsia="el-GR" w:bidi="el-GR"/>
        </w:rPr>
        <w:t>€</w:t>
      </w:r>
      <w:r w:rsidR="00B15A01">
        <w:rPr>
          <w:rFonts w:ascii="Segoe UI" w:hAnsi="Segoe UI" w:cs="Segoe UI"/>
          <w:sz w:val="20"/>
          <w:lang w:val="el-GR" w:eastAsia="el-GR" w:bidi="el-GR"/>
        </w:rPr>
        <w:t xml:space="preserve">9 εκατ. </w:t>
      </w:r>
      <w:r w:rsidR="00AB37C9">
        <w:rPr>
          <w:rFonts w:ascii="Segoe UI" w:hAnsi="Segoe UI" w:cs="Segoe UI"/>
          <w:sz w:val="20"/>
          <w:lang w:val="el-GR" w:eastAsia="el-GR" w:bidi="el-GR"/>
        </w:rPr>
        <w:t xml:space="preserve">το προηγούμενο τρίμηνο, ως αποτέλεσμα της </w:t>
      </w:r>
      <w:r w:rsidR="00B15A01">
        <w:rPr>
          <w:rFonts w:ascii="Segoe UI" w:hAnsi="Segoe UI" w:cs="Segoe UI"/>
          <w:sz w:val="20"/>
          <w:lang w:val="el-GR" w:eastAsia="el-GR" w:bidi="el-GR"/>
        </w:rPr>
        <w:t xml:space="preserve">σημαντικής αύξησης των </w:t>
      </w:r>
      <w:r w:rsidR="00B15A01" w:rsidRPr="00B15A01">
        <w:rPr>
          <w:rFonts w:ascii="Segoe UI" w:hAnsi="Segoe UI" w:cs="Segoe UI"/>
          <w:sz w:val="20"/>
          <w:lang w:val="el-GR" w:eastAsia="el-GR" w:bidi="el-GR"/>
        </w:rPr>
        <w:t>προβλέψε</w:t>
      </w:r>
      <w:r w:rsidR="00B15A01">
        <w:rPr>
          <w:rFonts w:ascii="Segoe UI" w:hAnsi="Segoe UI" w:cs="Segoe UI"/>
          <w:sz w:val="20"/>
          <w:lang w:val="el-GR" w:eastAsia="el-GR" w:bidi="el-GR"/>
        </w:rPr>
        <w:t>ων</w:t>
      </w:r>
      <w:r w:rsidR="00B15A01" w:rsidRPr="00B15A01">
        <w:rPr>
          <w:rFonts w:ascii="Segoe UI" w:hAnsi="Segoe UI" w:cs="Segoe UI"/>
          <w:sz w:val="20"/>
          <w:lang w:val="el-GR" w:eastAsia="el-GR" w:bidi="el-GR"/>
        </w:rPr>
        <w:t xml:space="preserve"> για επισφαλείς απαιτήσεις</w:t>
      </w:r>
      <w:r w:rsidR="00AB37C9">
        <w:rPr>
          <w:rFonts w:ascii="Segoe UI" w:hAnsi="Segoe UI" w:cs="Segoe UI"/>
          <w:sz w:val="20"/>
          <w:lang w:val="el-GR" w:eastAsia="el-GR" w:bidi="el-GR"/>
        </w:rPr>
        <w:t xml:space="preserve"> </w:t>
      </w:r>
      <w:r w:rsidR="00B15A01">
        <w:rPr>
          <w:rFonts w:ascii="Segoe UI" w:hAnsi="Segoe UI" w:cs="Segoe UI"/>
          <w:sz w:val="20"/>
          <w:lang w:val="el-GR" w:eastAsia="el-GR" w:bidi="el-GR"/>
        </w:rPr>
        <w:t xml:space="preserve">(€77 εκατ. από €1 εκατ το Β’ τρίμηνο 2019) σχετιζόμενες με τις </w:t>
      </w:r>
      <w:r w:rsidR="006F2606">
        <w:rPr>
          <w:rFonts w:ascii="Segoe UI" w:hAnsi="Segoe UI" w:cs="Segoe UI"/>
          <w:sz w:val="20"/>
          <w:lang w:val="el-GR" w:eastAsia="el-GR" w:bidi="el-GR"/>
        </w:rPr>
        <w:t xml:space="preserve">επικείμενες </w:t>
      </w:r>
      <w:r w:rsidR="00B15A01">
        <w:rPr>
          <w:rFonts w:ascii="Segoe UI" w:hAnsi="Segoe UI" w:cs="Segoe UI"/>
          <w:sz w:val="20"/>
          <w:lang w:val="el-GR" w:eastAsia="el-GR" w:bidi="el-GR"/>
        </w:rPr>
        <w:t>πωλήσεις ΜΕΑ σε Ρουμανία και Κύπρο</w:t>
      </w:r>
      <w:r w:rsidR="00AB37C9" w:rsidRPr="009837D8">
        <w:rPr>
          <w:rFonts w:ascii="Segoe UI" w:hAnsi="Segoe UI" w:cs="Segoe UI"/>
          <w:sz w:val="20"/>
          <w:lang w:val="el-GR" w:eastAsia="el-GR" w:bidi="el-GR"/>
        </w:rPr>
        <w:t>.</w:t>
      </w:r>
      <w:r w:rsidR="00FC6603">
        <w:rPr>
          <w:rFonts w:ascii="Segoe UI" w:hAnsi="Segoe UI" w:cs="Segoe UI"/>
          <w:sz w:val="20"/>
          <w:lang w:val="el-GR" w:eastAsia="el-GR" w:bidi="el-GR"/>
        </w:rPr>
        <w:t xml:space="preserve"> Ως αποτέλεσμα, τ</w:t>
      </w:r>
      <w:r w:rsidR="00AB37C9" w:rsidRPr="009837D8">
        <w:rPr>
          <w:rFonts w:ascii="Segoe UI" w:hAnsi="Segoe UI" w:cs="Segoe UI"/>
          <w:sz w:val="20"/>
          <w:lang w:val="el-GR" w:eastAsia="el-GR" w:bidi="el-GR"/>
        </w:rPr>
        <w:t xml:space="preserve">ο </w:t>
      </w:r>
      <w:r w:rsidR="0024127D">
        <w:rPr>
          <w:rFonts w:ascii="Segoe UI" w:hAnsi="Segoe UI" w:cs="Segoe UI"/>
          <w:sz w:val="20"/>
          <w:lang w:val="el-GR" w:eastAsia="el-GR" w:bidi="el-GR"/>
        </w:rPr>
        <w:t>εννεάμηνο</w:t>
      </w:r>
      <w:r w:rsidR="00AB37C9">
        <w:rPr>
          <w:rFonts w:ascii="Segoe UI" w:hAnsi="Segoe UI" w:cs="Segoe UI"/>
          <w:sz w:val="20"/>
          <w:lang w:val="el-GR" w:eastAsia="el-GR" w:bidi="el-GR"/>
        </w:rPr>
        <w:t xml:space="preserve"> </w:t>
      </w:r>
      <w:r w:rsidR="00AB37C9" w:rsidRPr="009837D8">
        <w:rPr>
          <w:rFonts w:ascii="Segoe UI" w:hAnsi="Segoe UI" w:cs="Segoe UI"/>
          <w:sz w:val="20"/>
          <w:lang w:val="el-GR" w:eastAsia="el-GR" w:bidi="el-GR"/>
        </w:rPr>
        <w:t>201</w:t>
      </w:r>
      <w:r w:rsidR="00AB37C9">
        <w:rPr>
          <w:rFonts w:ascii="Segoe UI" w:hAnsi="Segoe UI" w:cs="Segoe UI"/>
          <w:sz w:val="20"/>
          <w:lang w:val="el-GR" w:eastAsia="el-GR" w:bidi="el-GR"/>
        </w:rPr>
        <w:t xml:space="preserve">9 ο </w:t>
      </w:r>
      <w:r w:rsidR="00AB37C9" w:rsidRPr="009837D8">
        <w:rPr>
          <w:rFonts w:ascii="Segoe UI" w:hAnsi="Segoe UI" w:cs="Segoe UI"/>
          <w:sz w:val="20"/>
          <w:lang w:val="el-GR" w:eastAsia="el-GR" w:bidi="el-GR"/>
        </w:rPr>
        <w:t xml:space="preserve">Όμιλος σημείωσε </w:t>
      </w:r>
      <w:r w:rsidR="0024127D">
        <w:rPr>
          <w:rFonts w:ascii="Segoe UI" w:hAnsi="Segoe UI" w:cs="Segoe UI"/>
          <w:b/>
          <w:sz w:val="20"/>
          <w:lang w:val="el-GR" w:eastAsia="el-GR" w:bidi="el-GR"/>
        </w:rPr>
        <w:t>ζημ</w:t>
      </w:r>
      <w:r>
        <w:rPr>
          <w:rFonts w:ascii="Segoe UI" w:hAnsi="Segoe UI" w:cs="Segoe UI"/>
          <w:b/>
          <w:sz w:val="20"/>
          <w:lang w:val="el-GR" w:eastAsia="el-GR" w:bidi="el-GR"/>
        </w:rPr>
        <w:t>ιές</w:t>
      </w:r>
      <w:r w:rsidR="00AB37C9" w:rsidRPr="003D74CB">
        <w:rPr>
          <w:rFonts w:ascii="Segoe UI" w:hAnsi="Segoe UI" w:cs="Segoe UI"/>
          <w:b/>
          <w:sz w:val="20"/>
          <w:lang w:val="el-GR" w:eastAsia="el-GR" w:bidi="el-GR"/>
        </w:rPr>
        <w:t xml:space="preserve"> μετά από φόρους</w:t>
      </w:r>
      <w:r w:rsidRPr="00DE26B1">
        <w:rPr>
          <w:rFonts w:ascii="Segoe UI" w:hAnsi="Segoe UI" w:cs="Segoe UI"/>
          <w:sz w:val="20"/>
          <w:lang w:val="el-GR" w:eastAsia="el-GR" w:bidi="el-GR"/>
        </w:rPr>
        <w:t>,</w:t>
      </w:r>
      <w:r w:rsidR="00AB37C9" w:rsidRPr="00DE26B1">
        <w:rPr>
          <w:rFonts w:ascii="Segoe UI" w:hAnsi="Segoe UI" w:cs="Segoe UI"/>
          <w:sz w:val="20"/>
          <w:lang w:val="el-GR" w:eastAsia="el-GR" w:bidi="el-GR"/>
        </w:rPr>
        <w:t xml:space="preserve"> </w:t>
      </w:r>
      <w:r w:rsidR="00AB37C9" w:rsidRPr="003D74CB">
        <w:rPr>
          <w:rFonts w:ascii="Segoe UI" w:hAnsi="Segoe UI" w:cs="Segoe UI"/>
          <w:b/>
          <w:sz w:val="20"/>
          <w:lang w:val="el-GR" w:eastAsia="el-GR" w:bidi="el-GR"/>
        </w:rPr>
        <w:t>από συνεχιζόμενες δραστηριότητες</w:t>
      </w:r>
      <w:r w:rsidRPr="00DE26B1">
        <w:rPr>
          <w:rFonts w:ascii="Segoe UI" w:hAnsi="Segoe UI" w:cs="Segoe UI"/>
          <w:sz w:val="20"/>
          <w:lang w:val="el-GR" w:eastAsia="el-GR" w:bidi="el-GR"/>
        </w:rPr>
        <w:t>,</w:t>
      </w:r>
      <w:r w:rsidR="00AB37C9" w:rsidRPr="00DE26B1">
        <w:rPr>
          <w:rFonts w:ascii="Segoe UI" w:hAnsi="Segoe UI" w:cs="Segoe UI"/>
          <w:sz w:val="20"/>
          <w:lang w:val="el-GR" w:eastAsia="el-GR" w:bidi="el-GR"/>
        </w:rPr>
        <w:t xml:space="preserve"> ύ</w:t>
      </w:r>
      <w:r w:rsidR="00AB37C9" w:rsidRPr="009837D8">
        <w:rPr>
          <w:rFonts w:ascii="Segoe UI" w:hAnsi="Segoe UI" w:cs="Segoe UI"/>
          <w:sz w:val="20"/>
          <w:lang w:val="el-GR" w:eastAsia="el-GR" w:bidi="el-GR"/>
        </w:rPr>
        <w:t>ψους €</w:t>
      </w:r>
      <w:r w:rsidR="0024127D">
        <w:rPr>
          <w:rFonts w:ascii="Segoe UI" w:hAnsi="Segoe UI" w:cs="Segoe UI"/>
          <w:sz w:val="20"/>
          <w:lang w:val="el-GR" w:eastAsia="el-GR" w:bidi="el-GR"/>
        </w:rPr>
        <w:t>53</w:t>
      </w:r>
      <w:r w:rsidR="00AB37C9" w:rsidRPr="009837D8">
        <w:rPr>
          <w:rFonts w:ascii="Segoe UI" w:hAnsi="Segoe UI" w:cs="Segoe UI"/>
          <w:sz w:val="20"/>
          <w:lang w:val="el-GR" w:eastAsia="el-GR" w:bidi="el-GR"/>
        </w:rPr>
        <w:t xml:space="preserve"> εκατ.</w:t>
      </w:r>
      <w:r w:rsidR="0024127D">
        <w:rPr>
          <w:rFonts w:ascii="Segoe UI" w:hAnsi="Segoe UI" w:cs="Segoe UI"/>
          <w:sz w:val="20"/>
          <w:lang w:val="el-GR" w:eastAsia="el-GR" w:bidi="el-GR"/>
        </w:rPr>
        <w:t xml:space="preserve"> έναντι κερδών €17 εκατ. το προηγούμενο έτος. </w:t>
      </w:r>
    </w:p>
    <w:p w:rsidR="00AB37C9" w:rsidRDefault="00AB37C9" w:rsidP="008B5C68">
      <w:pPr>
        <w:autoSpaceDE w:val="0"/>
        <w:autoSpaceDN w:val="0"/>
        <w:adjustRightInd w:val="0"/>
        <w:spacing w:after="160" w:line="320" w:lineRule="atLeast"/>
        <w:jc w:val="both"/>
        <w:rPr>
          <w:rFonts w:ascii="Segoe UI" w:hAnsi="Segoe UI" w:cs="Segoe UI"/>
          <w:b/>
          <w:sz w:val="20"/>
          <w:lang w:val="el-GR" w:eastAsia="el-GR" w:bidi="el-GR"/>
        </w:rPr>
      </w:pPr>
    </w:p>
    <w:tbl>
      <w:tblPr>
        <w:tblStyle w:val="aa"/>
        <w:tblW w:w="86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8642"/>
      </w:tblGrid>
      <w:tr w:rsidR="005E0DDF" w:rsidRPr="00AD5797" w:rsidTr="005E0DDF">
        <w:trPr>
          <w:trHeight w:val="567"/>
        </w:trPr>
        <w:tc>
          <w:tcPr>
            <w:tcW w:w="8642" w:type="dxa"/>
            <w:shd w:val="clear" w:color="auto" w:fill="D9D9D9" w:themeFill="background1" w:themeFillShade="D9"/>
            <w:vAlign w:val="bottom"/>
          </w:tcPr>
          <w:p w:rsidR="005E0DDF" w:rsidRPr="005E0DDF" w:rsidRDefault="00163FB9" w:rsidP="00163FB9">
            <w:pPr>
              <w:pStyle w:val="Default"/>
              <w:tabs>
                <w:tab w:val="left" w:pos="1816"/>
              </w:tabs>
              <w:spacing w:after="160" w:line="320" w:lineRule="atLeast"/>
              <w:jc w:val="center"/>
              <w:rPr>
                <w:rFonts w:ascii="Segoe UI" w:hAnsi="Segoe UI" w:cs="Segoe UI"/>
                <w:b/>
                <w:color w:val="auto"/>
                <w:sz w:val="22"/>
              </w:rPr>
            </w:pPr>
            <w:r>
              <w:rPr>
                <w:rFonts w:ascii="Segoe UI" w:hAnsi="Segoe UI" w:cs="Segoe UI"/>
                <w:b/>
                <w:color w:val="auto"/>
              </w:rPr>
              <w:t>Ποιότητα Δανειακού Χαρτοφυλακίου</w:t>
            </w:r>
          </w:p>
        </w:tc>
      </w:tr>
    </w:tbl>
    <w:p w:rsidR="0080627D" w:rsidRDefault="0080627D" w:rsidP="005F31F2">
      <w:pPr>
        <w:autoSpaceDE w:val="0"/>
        <w:autoSpaceDN w:val="0"/>
        <w:adjustRightInd w:val="0"/>
        <w:spacing w:before="240"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Η μείωση των </w:t>
      </w:r>
      <w:r w:rsidRPr="00AE57C9">
        <w:rPr>
          <w:rFonts w:ascii="Segoe UI" w:hAnsi="Segoe UI" w:cs="Segoe UI"/>
          <w:b/>
          <w:sz w:val="20"/>
          <w:lang w:val="el-GR" w:eastAsia="el-GR" w:bidi="el-GR"/>
        </w:rPr>
        <w:t>Μ</w:t>
      </w:r>
      <w:r>
        <w:rPr>
          <w:rFonts w:ascii="Segoe UI" w:hAnsi="Segoe UI" w:cs="Segoe UI"/>
          <w:b/>
          <w:sz w:val="20"/>
          <w:lang w:val="el-GR" w:eastAsia="el-GR" w:bidi="el-GR"/>
        </w:rPr>
        <w:t>Ε</w:t>
      </w:r>
      <w:r w:rsidRPr="00AE57C9">
        <w:rPr>
          <w:rFonts w:ascii="Segoe UI" w:hAnsi="Segoe UI" w:cs="Segoe UI"/>
          <w:b/>
          <w:sz w:val="20"/>
          <w:lang w:val="el-GR" w:eastAsia="el-GR" w:bidi="el-GR"/>
        </w:rPr>
        <w:t>Α</w:t>
      </w:r>
      <w:r w:rsidRPr="00291873">
        <w:rPr>
          <w:rFonts w:ascii="Segoe UI" w:hAnsi="Segoe UI" w:cs="Segoe UI"/>
          <w:sz w:val="20"/>
          <w:lang w:val="el-GR" w:eastAsia="el-GR" w:bidi="el-GR"/>
        </w:rPr>
        <w:t xml:space="preserve"> </w:t>
      </w:r>
      <w:r w:rsidR="00E51049" w:rsidRPr="00E51049">
        <w:rPr>
          <w:rFonts w:ascii="Segoe UI" w:hAnsi="Segoe UI" w:cs="Segoe UI"/>
          <w:sz w:val="20"/>
          <w:lang w:val="el-GR" w:eastAsia="el-GR" w:bidi="el-GR"/>
        </w:rPr>
        <w:t xml:space="preserve">επιταχύνθηκε στο </w:t>
      </w:r>
      <w:r w:rsidR="00176350">
        <w:rPr>
          <w:rFonts w:ascii="Segoe UI" w:hAnsi="Segoe UI" w:cs="Segoe UI"/>
          <w:sz w:val="20"/>
          <w:lang w:val="el-GR" w:eastAsia="el-GR" w:bidi="el-GR"/>
        </w:rPr>
        <w:t>Γ</w:t>
      </w:r>
      <w:r w:rsidR="00E51049" w:rsidRPr="00E51049">
        <w:rPr>
          <w:rFonts w:ascii="Segoe UI" w:hAnsi="Segoe UI" w:cs="Segoe UI"/>
          <w:sz w:val="20"/>
          <w:lang w:val="el-GR" w:eastAsia="el-GR" w:bidi="el-GR"/>
        </w:rPr>
        <w:t xml:space="preserve">’ τρίμηνο 2019 και διαμορφώθηκε </w:t>
      </w:r>
      <w:r>
        <w:rPr>
          <w:rFonts w:ascii="Segoe UI" w:hAnsi="Segoe UI" w:cs="Segoe UI"/>
          <w:sz w:val="20"/>
          <w:lang w:val="el-GR" w:eastAsia="el-GR" w:bidi="el-GR"/>
        </w:rPr>
        <w:t xml:space="preserve">σε </w:t>
      </w:r>
      <w:r w:rsidRPr="00291873">
        <w:rPr>
          <w:rFonts w:ascii="Segoe UI" w:hAnsi="Segoe UI" w:cs="Segoe UI"/>
          <w:sz w:val="20"/>
          <w:lang w:val="el-GR" w:eastAsia="el-GR" w:bidi="el-GR"/>
        </w:rPr>
        <w:t>€</w:t>
      </w:r>
      <w:r>
        <w:rPr>
          <w:rFonts w:ascii="Segoe UI" w:hAnsi="Segoe UI" w:cs="Segoe UI"/>
          <w:sz w:val="20"/>
          <w:lang w:val="el-GR" w:eastAsia="el-GR" w:bidi="el-GR"/>
        </w:rPr>
        <w:t>1</w:t>
      </w:r>
      <w:r w:rsidRPr="00291873">
        <w:rPr>
          <w:rFonts w:ascii="Segoe UI" w:hAnsi="Segoe UI" w:cs="Segoe UI"/>
          <w:sz w:val="20"/>
          <w:lang w:val="el-GR" w:eastAsia="el-GR" w:bidi="el-GR"/>
        </w:rPr>
        <w:t>,</w:t>
      </w:r>
      <w:r w:rsidR="00176350">
        <w:rPr>
          <w:rFonts w:ascii="Segoe UI" w:hAnsi="Segoe UI" w:cs="Segoe UI"/>
          <w:sz w:val="20"/>
          <w:lang w:val="el-GR" w:eastAsia="el-GR" w:bidi="el-GR"/>
        </w:rPr>
        <w:t>5</w:t>
      </w:r>
      <w:r w:rsidRPr="00291873">
        <w:rPr>
          <w:rFonts w:ascii="Segoe UI" w:hAnsi="Segoe UI" w:cs="Segoe UI"/>
          <w:sz w:val="20"/>
          <w:lang w:val="el-GR" w:eastAsia="el-GR" w:bidi="el-GR"/>
        </w:rPr>
        <w:t xml:space="preserve"> δισ. </w:t>
      </w:r>
      <w:r w:rsidR="00074B97">
        <w:rPr>
          <w:rFonts w:ascii="Segoe UI" w:hAnsi="Segoe UI" w:cs="Segoe UI"/>
          <w:sz w:val="20"/>
          <w:lang w:val="el-GR" w:eastAsia="el-GR" w:bidi="el-GR"/>
        </w:rPr>
        <w:t>(-€1,</w:t>
      </w:r>
      <w:r w:rsidR="00176350">
        <w:rPr>
          <w:rFonts w:ascii="Segoe UI" w:hAnsi="Segoe UI" w:cs="Segoe UI"/>
          <w:sz w:val="20"/>
          <w:lang w:val="el-GR" w:eastAsia="el-GR" w:bidi="el-GR"/>
        </w:rPr>
        <w:t>4</w:t>
      </w:r>
      <w:r w:rsidR="00074B97">
        <w:rPr>
          <w:rFonts w:ascii="Segoe UI" w:hAnsi="Segoe UI" w:cs="Segoe UI"/>
          <w:sz w:val="20"/>
          <w:lang w:val="el-GR" w:eastAsia="el-GR" w:bidi="el-GR"/>
        </w:rPr>
        <w:t xml:space="preserve"> δισ. το </w:t>
      </w:r>
      <w:r w:rsidR="00176350">
        <w:rPr>
          <w:rFonts w:ascii="Segoe UI" w:hAnsi="Segoe UI" w:cs="Segoe UI"/>
          <w:sz w:val="20"/>
          <w:lang w:val="el-GR" w:eastAsia="el-GR" w:bidi="el-GR"/>
        </w:rPr>
        <w:t>Β</w:t>
      </w:r>
      <w:r w:rsidR="00074B97">
        <w:rPr>
          <w:rFonts w:ascii="Segoe UI" w:hAnsi="Segoe UI" w:cs="Segoe UI"/>
          <w:sz w:val="20"/>
          <w:lang w:val="el-GR" w:eastAsia="el-GR" w:bidi="el-GR"/>
        </w:rPr>
        <w:t>’ τρίμηνο 2019)</w:t>
      </w:r>
      <w:r w:rsidRPr="00291873">
        <w:rPr>
          <w:rFonts w:ascii="Segoe UI" w:hAnsi="Segoe UI" w:cs="Segoe UI"/>
          <w:sz w:val="20"/>
          <w:lang w:val="el-GR" w:eastAsia="el-GR" w:bidi="el-GR"/>
        </w:rPr>
        <w:t xml:space="preserve">, </w:t>
      </w:r>
      <w:r w:rsidR="00EE55E6" w:rsidRPr="00EE55E6">
        <w:rPr>
          <w:rFonts w:ascii="Segoe UI" w:hAnsi="Segoe UI" w:cs="Segoe UI"/>
          <w:sz w:val="20"/>
          <w:lang w:val="el-GR" w:eastAsia="el-GR" w:bidi="el-GR"/>
        </w:rPr>
        <w:t xml:space="preserve">αντανακλώντας κυρίως </w:t>
      </w:r>
      <w:r w:rsidR="00176350">
        <w:rPr>
          <w:rFonts w:ascii="Segoe UI" w:hAnsi="Segoe UI" w:cs="Segoe UI"/>
          <w:sz w:val="20"/>
          <w:lang w:val="el-GR" w:eastAsia="el-GR" w:bidi="el-GR"/>
        </w:rPr>
        <w:t xml:space="preserve">τις </w:t>
      </w:r>
      <w:r w:rsidR="00176350" w:rsidRPr="00176350">
        <w:rPr>
          <w:rFonts w:ascii="Segoe UI" w:hAnsi="Segoe UI" w:cs="Segoe UI"/>
          <w:sz w:val="20"/>
          <w:lang w:val="el-GR" w:eastAsia="el-GR" w:bidi="el-GR"/>
        </w:rPr>
        <w:t xml:space="preserve">πωλήσεις εξασφαλισμένου χαρτοφυλακίου </w:t>
      </w:r>
      <w:r w:rsidR="00DE720E">
        <w:rPr>
          <w:rFonts w:ascii="Segoe UI" w:hAnsi="Segoe UI" w:cs="Segoe UI"/>
          <w:sz w:val="20"/>
          <w:lang w:val="el-GR" w:eastAsia="el-GR" w:bidi="el-GR"/>
        </w:rPr>
        <w:t>δ</w:t>
      </w:r>
      <w:r w:rsidR="00DE720E" w:rsidRPr="00176350">
        <w:rPr>
          <w:rFonts w:ascii="Segoe UI" w:hAnsi="Segoe UI" w:cs="Segoe UI"/>
          <w:sz w:val="20"/>
          <w:lang w:val="el-GR" w:eastAsia="el-GR" w:bidi="el-GR"/>
        </w:rPr>
        <w:t xml:space="preserve">ανείων </w:t>
      </w:r>
      <w:r w:rsidR="00DE720E">
        <w:rPr>
          <w:rFonts w:ascii="Segoe UI" w:hAnsi="Segoe UI" w:cs="Segoe UI"/>
          <w:sz w:val="20"/>
          <w:lang w:val="el-GR" w:eastAsia="el-GR" w:bidi="el-GR"/>
        </w:rPr>
        <w:t xml:space="preserve">μεγάλων, μεσαίων και </w:t>
      </w:r>
      <w:r w:rsidR="00176350" w:rsidRPr="00176350">
        <w:rPr>
          <w:rFonts w:ascii="Segoe UI" w:hAnsi="Segoe UI" w:cs="Segoe UI"/>
          <w:sz w:val="20"/>
          <w:lang w:val="el-GR" w:eastAsia="el-GR" w:bidi="el-GR"/>
        </w:rPr>
        <w:t>μ</w:t>
      </w:r>
      <w:r w:rsidR="00176350">
        <w:rPr>
          <w:rFonts w:ascii="Segoe UI" w:hAnsi="Segoe UI" w:cs="Segoe UI"/>
          <w:sz w:val="20"/>
          <w:lang w:val="el-GR" w:eastAsia="el-GR" w:bidi="el-GR"/>
        </w:rPr>
        <w:t>ικρ</w:t>
      </w:r>
      <w:r w:rsidR="00001F2A">
        <w:rPr>
          <w:rFonts w:ascii="Segoe UI" w:hAnsi="Segoe UI" w:cs="Segoe UI"/>
          <w:sz w:val="20"/>
          <w:lang w:val="el-GR" w:eastAsia="el-GR" w:bidi="el-GR"/>
        </w:rPr>
        <w:t>ών</w:t>
      </w:r>
      <w:r w:rsidR="00176350">
        <w:rPr>
          <w:rFonts w:ascii="Segoe UI" w:hAnsi="Segoe UI" w:cs="Segoe UI"/>
          <w:sz w:val="20"/>
          <w:lang w:val="el-GR" w:eastAsia="el-GR" w:bidi="el-GR"/>
        </w:rPr>
        <w:t xml:space="preserve"> επιχειρήσε</w:t>
      </w:r>
      <w:r w:rsidR="00A61BD7">
        <w:rPr>
          <w:rFonts w:ascii="Segoe UI" w:hAnsi="Segoe UI" w:cs="Segoe UI"/>
          <w:sz w:val="20"/>
          <w:lang w:val="el-GR" w:eastAsia="el-GR" w:bidi="el-GR"/>
        </w:rPr>
        <w:t>ων</w:t>
      </w:r>
      <w:r w:rsidR="00531974">
        <w:rPr>
          <w:rFonts w:ascii="Segoe UI" w:hAnsi="Segoe UI" w:cs="Segoe UI"/>
          <w:sz w:val="20"/>
          <w:lang w:val="el-GR" w:eastAsia="el-GR" w:bidi="el-GR"/>
        </w:rPr>
        <w:t xml:space="preserve"> </w:t>
      </w:r>
      <w:r w:rsidR="00176350" w:rsidRPr="00176350">
        <w:rPr>
          <w:rFonts w:ascii="Segoe UI" w:hAnsi="Segoe UI" w:cs="Segoe UI"/>
          <w:sz w:val="20"/>
          <w:lang w:val="el-GR" w:eastAsia="el-GR" w:bidi="el-GR"/>
        </w:rPr>
        <w:t>και χαρτοφυλακίου ναυτιλιακών δανείων στην Ελλάδα συνολικού ύψους €1,2 δισ</w:t>
      </w:r>
      <w:r w:rsidR="00EE55E6" w:rsidRPr="00EE55E6">
        <w:rPr>
          <w:rFonts w:ascii="Segoe UI" w:hAnsi="Segoe UI" w:cs="Segoe UI"/>
          <w:sz w:val="20"/>
          <w:lang w:val="el-GR" w:eastAsia="el-GR" w:bidi="el-GR"/>
        </w:rPr>
        <w:t>.</w:t>
      </w:r>
      <w:r w:rsidR="00734EF7">
        <w:rPr>
          <w:rFonts w:ascii="Segoe UI" w:hAnsi="Segoe UI" w:cs="Segoe UI"/>
          <w:sz w:val="20"/>
          <w:lang w:val="el-GR" w:eastAsia="el-GR" w:bidi="el-GR"/>
        </w:rPr>
        <w:t>,</w:t>
      </w:r>
      <w:r w:rsidR="00D57921">
        <w:rPr>
          <w:rFonts w:ascii="Segoe UI" w:hAnsi="Segoe UI" w:cs="Segoe UI"/>
          <w:sz w:val="20"/>
          <w:lang w:val="el-GR" w:eastAsia="el-GR" w:bidi="el-GR"/>
        </w:rPr>
        <w:t xml:space="preserve"> καθώς και </w:t>
      </w:r>
      <w:r w:rsidR="00C608C5">
        <w:rPr>
          <w:rFonts w:ascii="Segoe UI" w:hAnsi="Segoe UI" w:cs="Segoe UI"/>
          <w:sz w:val="20"/>
          <w:lang w:val="el-GR" w:eastAsia="el-GR" w:bidi="el-GR"/>
        </w:rPr>
        <w:t xml:space="preserve">την </w:t>
      </w:r>
      <w:r w:rsidR="00E912BB" w:rsidRPr="00E912BB">
        <w:rPr>
          <w:rFonts w:ascii="Segoe UI" w:hAnsi="Segoe UI" w:cs="Segoe UI"/>
          <w:b/>
          <w:sz w:val="20"/>
          <w:lang w:val="el-GR" w:eastAsia="el-GR" w:bidi="el-GR"/>
        </w:rPr>
        <w:t xml:space="preserve">οργανική μείωση </w:t>
      </w:r>
      <w:r w:rsidRPr="00E912BB">
        <w:rPr>
          <w:rFonts w:ascii="Segoe UI" w:hAnsi="Segoe UI" w:cs="Segoe UI"/>
          <w:b/>
          <w:sz w:val="20"/>
          <w:lang w:val="el-GR" w:eastAsia="el-GR" w:bidi="el-GR"/>
        </w:rPr>
        <w:t>ΜΕΑ</w:t>
      </w:r>
      <w:r>
        <w:rPr>
          <w:rFonts w:ascii="Segoe UI" w:hAnsi="Segoe UI" w:cs="Segoe UI"/>
          <w:sz w:val="20"/>
          <w:lang w:val="el-GR" w:eastAsia="el-GR" w:bidi="el-GR"/>
        </w:rPr>
        <w:t xml:space="preserve"> </w:t>
      </w:r>
      <w:r w:rsidR="00D57921">
        <w:rPr>
          <w:rFonts w:ascii="Segoe UI" w:hAnsi="Segoe UI" w:cs="Segoe UI"/>
          <w:sz w:val="20"/>
          <w:lang w:val="el-GR" w:eastAsia="el-GR" w:bidi="el-GR"/>
        </w:rPr>
        <w:t>ύψους €0,</w:t>
      </w:r>
      <w:r w:rsidR="00176350">
        <w:rPr>
          <w:rFonts w:ascii="Segoe UI" w:hAnsi="Segoe UI" w:cs="Segoe UI"/>
          <w:sz w:val="20"/>
          <w:lang w:val="el-GR" w:eastAsia="el-GR" w:bidi="el-GR"/>
        </w:rPr>
        <w:t>3</w:t>
      </w:r>
      <w:r w:rsidR="00D57921">
        <w:rPr>
          <w:rFonts w:ascii="Segoe UI" w:hAnsi="Segoe UI" w:cs="Segoe UI"/>
          <w:sz w:val="20"/>
          <w:lang w:val="el-GR" w:eastAsia="el-GR" w:bidi="el-GR"/>
        </w:rPr>
        <w:t xml:space="preserve"> δισ.</w:t>
      </w:r>
      <w:r w:rsidR="00176350">
        <w:rPr>
          <w:rFonts w:ascii="Segoe UI" w:hAnsi="Segoe UI" w:cs="Segoe UI"/>
          <w:sz w:val="20"/>
          <w:lang w:val="el-GR" w:eastAsia="el-GR" w:bidi="el-GR"/>
        </w:rPr>
        <w:t xml:space="preserve">, επωφελούμενη από </w:t>
      </w:r>
      <w:r w:rsidR="00176350" w:rsidRPr="00176350">
        <w:rPr>
          <w:rFonts w:ascii="Segoe UI" w:hAnsi="Segoe UI" w:cs="Segoe UI"/>
          <w:sz w:val="20"/>
          <w:lang w:val="el-GR" w:eastAsia="el-GR" w:bidi="el-GR"/>
        </w:rPr>
        <w:t xml:space="preserve">αναδιαρθρώσεις </w:t>
      </w:r>
      <w:r w:rsidR="00176350">
        <w:rPr>
          <w:rFonts w:ascii="Segoe UI" w:hAnsi="Segoe UI" w:cs="Segoe UI"/>
          <w:sz w:val="20"/>
          <w:lang w:val="el-GR" w:eastAsia="el-GR" w:bidi="el-GR"/>
        </w:rPr>
        <w:t xml:space="preserve">στεγαστικών </w:t>
      </w:r>
      <w:r w:rsidR="00176350" w:rsidRPr="00176350">
        <w:rPr>
          <w:rFonts w:ascii="Segoe UI" w:hAnsi="Segoe UI" w:cs="Segoe UI"/>
          <w:sz w:val="20"/>
          <w:lang w:val="el-GR" w:eastAsia="el-GR" w:bidi="el-GR"/>
        </w:rPr>
        <w:t>δανείων που ενέχουν διαγραφή οφειλών</w:t>
      </w:r>
      <w:r w:rsidR="00001F2A">
        <w:rPr>
          <w:rFonts w:ascii="Segoe UI" w:hAnsi="Segoe UI" w:cs="Segoe UI"/>
          <w:sz w:val="20"/>
          <w:lang w:val="el-GR" w:eastAsia="el-GR" w:bidi="el-GR"/>
        </w:rPr>
        <w:t xml:space="preserve"> και ρευστοποιήσεις εξασφαλίσεων</w:t>
      </w:r>
      <w:r w:rsidR="00176350">
        <w:rPr>
          <w:rFonts w:ascii="Segoe UI" w:hAnsi="Segoe UI" w:cs="Segoe UI"/>
          <w:sz w:val="20"/>
          <w:lang w:val="el-GR" w:eastAsia="el-GR" w:bidi="el-GR"/>
        </w:rPr>
        <w:t xml:space="preserve">. </w:t>
      </w:r>
    </w:p>
    <w:p w:rsidR="002C6D25" w:rsidRDefault="007874C8" w:rsidP="0033614C">
      <w:pPr>
        <w:autoSpaceDE w:val="0"/>
        <w:autoSpaceDN w:val="0"/>
        <w:adjustRightInd w:val="0"/>
        <w:spacing w:after="160" w:line="320" w:lineRule="atLeast"/>
        <w:jc w:val="both"/>
        <w:rPr>
          <w:rFonts w:ascii="Segoe UI" w:hAnsi="Segoe UI" w:cs="Segoe UI"/>
          <w:sz w:val="20"/>
          <w:lang w:val="el-GR" w:eastAsia="el-GR" w:bidi="el-GR"/>
        </w:rPr>
      </w:pPr>
      <w:r w:rsidRPr="007874C8">
        <w:rPr>
          <w:rFonts w:ascii="Segoe UI" w:hAnsi="Segoe UI" w:cs="Segoe UI"/>
          <w:sz w:val="20"/>
          <w:lang w:val="el-GR" w:eastAsia="el-GR" w:bidi="el-GR"/>
        </w:rPr>
        <w:t xml:space="preserve">Έχοντας ήδη </w:t>
      </w:r>
      <w:r w:rsidR="000851C5">
        <w:rPr>
          <w:rFonts w:ascii="Segoe UI" w:hAnsi="Segoe UI" w:cs="Segoe UI"/>
          <w:sz w:val="20"/>
          <w:lang w:val="el-GR" w:eastAsia="el-GR" w:bidi="el-GR"/>
        </w:rPr>
        <w:t xml:space="preserve">μειώσει τα </w:t>
      </w:r>
      <w:r w:rsidR="00C32317">
        <w:rPr>
          <w:rFonts w:ascii="Segoe UI" w:hAnsi="Segoe UI" w:cs="Segoe UI"/>
          <w:sz w:val="20"/>
          <w:lang w:val="el-GR" w:eastAsia="el-GR" w:bidi="el-GR"/>
        </w:rPr>
        <w:t>ΜΕΑ κατά €</w:t>
      </w:r>
      <w:r w:rsidR="005D39C6">
        <w:rPr>
          <w:rFonts w:ascii="Segoe UI" w:hAnsi="Segoe UI" w:cs="Segoe UI"/>
          <w:sz w:val="20"/>
          <w:lang w:val="el-GR" w:eastAsia="el-GR" w:bidi="el-GR"/>
        </w:rPr>
        <w:t>4,0</w:t>
      </w:r>
      <w:r w:rsidRPr="007874C8">
        <w:rPr>
          <w:rFonts w:ascii="Segoe UI" w:hAnsi="Segoe UI" w:cs="Segoe UI"/>
          <w:sz w:val="20"/>
          <w:lang w:val="el-GR" w:eastAsia="el-GR" w:bidi="el-GR"/>
        </w:rPr>
        <w:t xml:space="preserve"> δισ. από την αρχή του έτους, </w:t>
      </w:r>
      <w:r w:rsidR="00E475FB">
        <w:rPr>
          <w:rFonts w:ascii="Segoe UI" w:hAnsi="Segoe UI" w:cs="Segoe UI"/>
          <w:sz w:val="20"/>
          <w:lang w:val="el-GR" w:eastAsia="el-GR" w:bidi="el-GR"/>
        </w:rPr>
        <w:t xml:space="preserve">η </w:t>
      </w:r>
      <w:r w:rsidR="00C32317">
        <w:rPr>
          <w:rFonts w:ascii="Segoe UI" w:hAnsi="Segoe UI" w:cs="Segoe UI"/>
          <w:sz w:val="20"/>
          <w:lang w:val="el-GR" w:eastAsia="el-GR" w:bidi="el-GR"/>
        </w:rPr>
        <w:t xml:space="preserve">Τράπεζα βρίσκεται ήδη πολύ κοντά στην επίτευξη του </w:t>
      </w:r>
      <w:r w:rsidR="00C32317" w:rsidRPr="00C32317">
        <w:rPr>
          <w:rFonts w:ascii="Segoe UI" w:hAnsi="Segoe UI" w:cs="Segoe UI"/>
          <w:sz w:val="20"/>
          <w:lang w:val="el-GR" w:eastAsia="el-GR" w:bidi="el-GR"/>
        </w:rPr>
        <w:t>ετήσιου στόχου μείωση</w:t>
      </w:r>
      <w:r w:rsidR="00C32317">
        <w:rPr>
          <w:rFonts w:ascii="Segoe UI" w:hAnsi="Segoe UI" w:cs="Segoe UI"/>
          <w:sz w:val="20"/>
          <w:lang w:val="el-GR" w:eastAsia="el-GR" w:bidi="el-GR"/>
        </w:rPr>
        <w:t>ς</w:t>
      </w:r>
      <w:r w:rsidR="00C32317" w:rsidRPr="00C32317">
        <w:rPr>
          <w:rFonts w:ascii="Segoe UI" w:hAnsi="Segoe UI" w:cs="Segoe UI"/>
          <w:sz w:val="20"/>
          <w:lang w:val="el-GR" w:eastAsia="el-GR" w:bidi="el-GR"/>
        </w:rPr>
        <w:t xml:space="preserve"> ΜΕΑ ύψους €4,3 δισ. για το 2019</w:t>
      </w:r>
      <w:r w:rsidR="00C32317">
        <w:rPr>
          <w:rFonts w:ascii="Segoe UI" w:hAnsi="Segoe UI" w:cs="Segoe UI"/>
          <w:sz w:val="20"/>
          <w:lang w:val="el-GR" w:eastAsia="el-GR" w:bidi="el-GR"/>
        </w:rPr>
        <w:t xml:space="preserve">. Η </w:t>
      </w:r>
      <w:r w:rsidR="00E475FB">
        <w:rPr>
          <w:rFonts w:ascii="Segoe UI" w:hAnsi="Segoe UI" w:cs="Segoe UI"/>
          <w:sz w:val="20"/>
          <w:lang w:val="el-GR" w:eastAsia="el-GR" w:bidi="el-GR"/>
        </w:rPr>
        <w:t xml:space="preserve">υπολειπόμενη </w:t>
      </w:r>
      <w:r w:rsidR="00E475FB" w:rsidRPr="00E475FB">
        <w:rPr>
          <w:rFonts w:ascii="Segoe UI" w:hAnsi="Segoe UI" w:cs="Segoe UI"/>
          <w:sz w:val="20"/>
          <w:lang w:val="el-GR" w:eastAsia="el-GR" w:bidi="el-GR"/>
        </w:rPr>
        <w:t>μείωση ΜΕΑ</w:t>
      </w:r>
      <w:r w:rsidR="005243B5">
        <w:rPr>
          <w:rFonts w:ascii="Segoe UI" w:hAnsi="Segoe UI" w:cs="Segoe UI"/>
          <w:sz w:val="20"/>
          <w:lang w:val="el-GR" w:eastAsia="el-GR" w:bidi="el-GR"/>
        </w:rPr>
        <w:t>,</w:t>
      </w:r>
      <w:r w:rsidR="00E475FB" w:rsidRPr="00E475FB">
        <w:rPr>
          <w:rFonts w:ascii="Segoe UI" w:hAnsi="Segoe UI" w:cs="Segoe UI"/>
          <w:sz w:val="20"/>
          <w:lang w:val="el-GR" w:eastAsia="el-GR" w:bidi="el-GR"/>
        </w:rPr>
        <w:t xml:space="preserve"> έναντι του στόχου €</w:t>
      </w:r>
      <w:r w:rsidR="00C32317">
        <w:rPr>
          <w:rFonts w:ascii="Segoe UI" w:hAnsi="Segoe UI" w:cs="Segoe UI"/>
          <w:sz w:val="20"/>
          <w:lang w:val="el-GR" w:eastAsia="el-GR" w:bidi="el-GR"/>
        </w:rPr>
        <w:t xml:space="preserve">1,6 </w:t>
      </w:r>
      <w:r w:rsidR="00E475FB" w:rsidRPr="00E475FB">
        <w:rPr>
          <w:rFonts w:ascii="Segoe UI" w:hAnsi="Segoe UI" w:cs="Segoe UI"/>
          <w:sz w:val="20"/>
          <w:lang w:val="el-GR" w:eastAsia="el-GR" w:bidi="el-GR"/>
        </w:rPr>
        <w:t>δισ.</w:t>
      </w:r>
      <w:r w:rsidR="00F9792A">
        <w:rPr>
          <w:rFonts w:ascii="Segoe UI" w:hAnsi="Segoe UI" w:cs="Segoe UI"/>
          <w:sz w:val="20"/>
          <w:lang w:val="el-GR" w:eastAsia="el-GR" w:bidi="el-GR"/>
        </w:rPr>
        <w:t>, ο οποίο</w:t>
      </w:r>
      <w:r w:rsidR="00B700B0">
        <w:rPr>
          <w:rFonts w:ascii="Segoe UI" w:hAnsi="Segoe UI" w:cs="Segoe UI"/>
          <w:sz w:val="20"/>
          <w:lang w:val="el-GR" w:eastAsia="el-GR" w:bidi="el-GR"/>
        </w:rPr>
        <w:t>ς αντιστοιχεί σε δείκτη ΜΕΑ ύψους</w:t>
      </w:r>
      <w:r w:rsidR="00F9792A">
        <w:rPr>
          <w:rFonts w:ascii="Segoe UI" w:hAnsi="Segoe UI" w:cs="Segoe UI"/>
          <w:sz w:val="20"/>
          <w:lang w:val="el-GR" w:eastAsia="el-GR" w:bidi="el-GR"/>
        </w:rPr>
        <w:t xml:space="preserve"> 5%, </w:t>
      </w:r>
      <w:r w:rsidR="00E475FB" w:rsidRPr="00E475FB">
        <w:rPr>
          <w:rFonts w:ascii="Segoe UI" w:hAnsi="Segoe UI" w:cs="Segoe UI"/>
          <w:sz w:val="20"/>
          <w:lang w:val="el-GR" w:eastAsia="el-GR" w:bidi="el-GR"/>
        </w:rPr>
        <w:t>διαμορφώνεται σε €</w:t>
      </w:r>
      <w:r w:rsidR="00C32317">
        <w:rPr>
          <w:rFonts w:ascii="Segoe UI" w:hAnsi="Segoe UI" w:cs="Segoe UI"/>
          <w:sz w:val="20"/>
          <w:lang w:val="el-GR" w:eastAsia="el-GR" w:bidi="el-GR"/>
        </w:rPr>
        <w:t>9</w:t>
      </w:r>
      <w:r w:rsidR="00E475FB" w:rsidRPr="00E475FB">
        <w:rPr>
          <w:rFonts w:ascii="Segoe UI" w:hAnsi="Segoe UI" w:cs="Segoe UI"/>
          <w:sz w:val="20"/>
          <w:lang w:val="el-GR" w:eastAsia="el-GR" w:bidi="el-GR"/>
        </w:rPr>
        <w:t>,8 δισ.</w:t>
      </w:r>
      <w:r w:rsidR="00F9792A">
        <w:rPr>
          <w:rFonts w:ascii="Segoe UI" w:hAnsi="Segoe UI" w:cs="Segoe UI"/>
          <w:sz w:val="20"/>
          <w:lang w:val="el-GR" w:eastAsia="el-GR" w:bidi="el-GR"/>
        </w:rPr>
        <w:t xml:space="preserve"> </w:t>
      </w:r>
      <w:r w:rsidR="00C32317">
        <w:rPr>
          <w:rFonts w:ascii="Segoe UI" w:hAnsi="Segoe UI" w:cs="Segoe UI"/>
          <w:sz w:val="20"/>
          <w:lang w:val="el-GR" w:eastAsia="el-GR" w:bidi="el-GR"/>
        </w:rPr>
        <w:t>Οι</w:t>
      </w:r>
      <w:r w:rsidR="00C32317" w:rsidRPr="00C32317">
        <w:rPr>
          <w:rFonts w:ascii="Segoe UI" w:hAnsi="Segoe UI" w:cs="Segoe UI"/>
          <w:sz w:val="20"/>
          <w:lang w:val="el-GR" w:eastAsia="el-GR" w:bidi="el-GR"/>
        </w:rPr>
        <w:t xml:space="preserve"> θετικές εξελίξεις </w:t>
      </w:r>
      <w:r w:rsidR="0094340D">
        <w:rPr>
          <w:rFonts w:ascii="Segoe UI" w:hAnsi="Segoe UI" w:cs="Segoe UI"/>
          <w:sz w:val="20"/>
          <w:lang w:val="el-GR" w:eastAsia="el-GR" w:bidi="el-GR"/>
        </w:rPr>
        <w:t>αναφορικά με το μηχανισμό τιτλοποιήσε</w:t>
      </w:r>
      <w:r w:rsidR="00FC10B5">
        <w:rPr>
          <w:rFonts w:ascii="Segoe UI" w:hAnsi="Segoe UI" w:cs="Segoe UI"/>
          <w:sz w:val="20"/>
          <w:lang w:val="el-GR" w:eastAsia="el-GR" w:bidi="el-GR"/>
        </w:rPr>
        <w:t>ων</w:t>
      </w:r>
      <w:r w:rsidR="0094340D">
        <w:rPr>
          <w:rFonts w:ascii="Segoe UI" w:hAnsi="Segoe UI" w:cs="Segoe UI"/>
          <w:sz w:val="20"/>
          <w:lang w:val="el-GR" w:eastAsia="el-GR" w:bidi="el-GR"/>
        </w:rPr>
        <w:t xml:space="preserve"> δανείων με παροχή εγγυήσεων από το ελληνικό Δημόσιο (</w:t>
      </w:r>
      <w:r w:rsidR="0094340D">
        <w:rPr>
          <w:rFonts w:ascii="Segoe UI" w:hAnsi="Segoe UI" w:cs="Segoe UI"/>
          <w:sz w:val="20"/>
          <w:lang w:val="en-US" w:eastAsia="el-GR" w:bidi="el-GR"/>
        </w:rPr>
        <w:t>Hercules</w:t>
      </w:r>
      <w:r w:rsidR="0094340D" w:rsidRPr="00FC10B5">
        <w:rPr>
          <w:rFonts w:ascii="Segoe UI" w:hAnsi="Segoe UI" w:cs="Segoe UI"/>
          <w:sz w:val="20"/>
          <w:lang w:val="el-GR" w:eastAsia="el-GR" w:bidi="el-GR"/>
        </w:rPr>
        <w:t xml:space="preserve"> </w:t>
      </w:r>
      <w:r w:rsidR="0094340D">
        <w:rPr>
          <w:rFonts w:ascii="Segoe UI" w:hAnsi="Segoe UI" w:cs="Segoe UI"/>
          <w:sz w:val="20"/>
          <w:lang w:val="en-US" w:eastAsia="el-GR" w:bidi="el-GR"/>
        </w:rPr>
        <w:t>Asset</w:t>
      </w:r>
      <w:r w:rsidR="0094340D" w:rsidRPr="00FC10B5">
        <w:rPr>
          <w:rFonts w:ascii="Segoe UI" w:hAnsi="Segoe UI" w:cs="Segoe UI"/>
          <w:sz w:val="20"/>
          <w:lang w:val="el-GR" w:eastAsia="el-GR" w:bidi="el-GR"/>
        </w:rPr>
        <w:t xml:space="preserve"> </w:t>
      </w:r>
      <w:r w:rsidR="0094340D">
        <w:rPr>
          <w:rFonts w:ascii="Segoe UI" w:hAnsi="Segoe UI" w:cs="Segoe UI"/>
          <w:sz w:val="20"/>
          <w:lang w:val="en-US" w:eastAsia="el-GR" w:bidi="el-GR"/>
        </w:rPr>
        <w:t>Protection</w:t>
      </w:r>
      <w:r w:rsidR="0094340D" w:rsidRPr="00FC10B5">
        <w:rPr>
          <w:rFonts w:ascii="Segoe UI" w:hAnsi="Segoe UI" w:cs="Segoe UI"/>
          <w:sz w:val="20"/>
          <w:lang w:val="el-GR" w:eastAsia="el-GR" w:bidi="el-GR"/>
        </w:rPr>
        <w:t xml:space="preserve"> </w:t>
      </w:r>
      <w:r w:rsidR="0094340D">
        <w:rPr>
          <w:rFonts w:ascii="Segoe UI" w:hAnsi="Segoe UI" w:cs="Segoe UI"/>
          <w:sz w:val="20"/>
          <w:lang w:val="en-US" w:eastAsia="el-GR" w:bidi="el-GR"/>
        </w:rPr>
        <w:t>Scheme</w:t>
      </w:r>
      <w:r w:rsidR="0094340D" w:rsidRPr="00FC10B5">
        <w:rPr>
          <w:rFonts w:ascii="Segoe UI" w:hAnsi="Segoe UI" w:cs="Segoe UI"/>
          <w:sz w:val="20"/>
          <w:lang w:val="el-GR" w:eastAsia="el-GR" w:bidi="el-GR"/>
        </w:rPr>
        <w:t xml:space="preserve">, </w:t>
      </w:r>
      <w:r w:rsidR="0094340D">
        <w:rPr>
          <w:rFonts w:ascii="Segoe UI" w:hAnsi="Segoe UI" w:cs="Segoe UI"/>
          <w:sz w:val="20"/>
          <w:lang w:val="en-US" w:eastAsia="el-GR" w:bidi="el-GR"/>
        </w:rPr>
        <w:t>H</w:t>
      </w:r>
      <w:r w:rsidR="0094340D" w:rsidRPr="00FC10B5">
        <w:rPr>
          <w:rFonts w:ascii="Segoe UI" w:hAnsi="Segoe UI" w:cs="Segoe UI"/>
          <w:sz w:val="20"/>
          <w:lang w:val="el-GR" w:eastAsia="el-GR" w:bidi="el-GR"/>
        </w:rPr>
        <w:t>-</w:t>
      </w:r>
      <w:r w:rsidR="0094340D">
        <w:rPr>
          <w:rFonts w:ascii="Segoe UI" w:hAnsi="Segoe UI" w:cs="Segoe UI"/>
          <w:sz w:val="20"/>
          <w:lang w:val="en-US" w:eastAsia="el-GR" w:bidi="el-GR"/>
        </w:rPr>
        <w:t>APS</w:t>
      </w:r>
      <w:r w:rsidR="0094340D" w:rsidRPr="00FC10B5">
        <w:rPr>
          <w:rFonts w:ascii="Segoe UI" w:hAnsi="Segoe UI" w:cs="Segoe UI"/>
          <w:sz w:val="20"/>
          <w:lang w:val="el-GR" w:eastAsia="el-GR" w:bidi="el-GR"/>
        </w:rPr>
        <w:t xml:space="preserve">), </w:t>
      </w:r>
      <w:r w:rsidR="00C32317" w:rsidRPr="00C32317">
        <w:rPr>
          <w:rFonts w:ascii="Segoe UI" w:hAnsi="Segoe UI" w:cs="Segoe UI"/>
          <w:sz w:val="20"/>
          <w:lang w:val="el-GR" w:eastAsia="el-GR" w:bidi="el-GR"/>
        </w:rPr>
        <w:t>ο νέος νόμος για την προστασία της πρώτ</w:t>
      </w:r>
      <w:r w:rsidR="00C32317">
        <w:rPr>
          <w:rFonts w:ascii="Segoe UI" w:hAnsi="Segoe UI" w:cs="Segoe UI"/>
          <w:sz w:val="20"/>
          <w:lang w:val="el-GR" w:eastAsia="el-GR" w:bidi="el-GR"/>
        </w:rPr>
        <w:t xml:space="preserve">ης </w:t>
      </w:r>
      <w:r w:rsidR="00C32317" w:rsidRPr="00C32317">
        <w:rPr>
          <w:rFonts w:ascii="Segoe UI" w:hAnsi="Segoe UI" w:cs="Segoe UI"/>
          <w:sz w:val="20"/>
          <w:lang w:val="el-GR" w:eastAsia="el-GR" w:bidi="el-GR"/>
        </w:rPr>
        <w:t xml:space="preserve">κατοικίας, η </w:t>
      </w:r>
      <w:r w:rsidR="002C6D25">
        <w:rPr>
          <w:rFonts w:ascii="Segoe UI" w:hAnsi="Segoe UI" w:cs="Segoe UI"/>
          <w:sz w:val="20"/>
          <w:lang w:val="el-GR" w:eastAsia="el-GR" w:bidi="el-GR"/>
        </w:rPr>
        <w:t>αύξηση</w:t>
      </w:r>
      <w:r w:rsidR="00C32317" w:rsidRPr="00C32317">
        <w:rPr>
          <w:rFonts w:ascii="Segoe UI" w:hAnsi="Segoe UI" w:cs="Segoe UI"/>
          <w:sz w:val="20"/>
          <w:lang w:val="el-GR" w:eastAsia="el-GR" w:bidi="el-GR"/>
        </w:rPr>
        <w:t xml:space="preserve"> των τιμών των </w:t>
      </w:r>
      <w:r w:rsidR="00C32317">
        <w:rPr>
          <w:rFonts w:ascii="Segoe UI" w:hAnsi="Segoe UI" w:cs="Segoe UI"/>
          <w:sz w:val="20"/>
          <w:lang w:val="el-GR" w:eastAsia="el-GR" w:bidi="el-GR"/>
        </w:rPr>
        <w:t xml:space="preserve">κατοικιών, καθώς και </w:t>
      </w:r>
      <w:r w:rsidR="00C32317" w:rsidRPr="00C32317">
        <w:rPr>
          <w:rFonts w:ascii="Segoe UI" w:hAnsi="Segoe UI" w:cs="Segoe UI"/>
          <w:sz w:val="20"/>
          <w:lang w:val="el-GR" w:eastAsia="el-GR" w:bidi="el-GR"/>
        </w:rPr>
        <w:t xml:space="preserve">η </w:t>
      </w:r>
      <w:r w:rsidR="002C6D25">
        <w:rPr>
          <w:rFonts w:ascii="Segoe UI" w:hAnsi="Segoe UI" w:cs="Segoe UI"/>
          <w:sz w:val="20"/>
          <w:lang w:val="el-GR" w:eastAsia="el-GR" w:bidi="el-GR"/>
        </w:rPr>
        <w:t xml:space="preserve">μείωση </w:t>
      </w:r>
      <w:r w:rsidR="00E60313">
        <w:rPr>
          <w:rFonts w:ascii="Segoe UI" w:hAnsi="Segoe UI" w:cs="Segoe UI"/>
          <w:sz w:val="20"/>
          <w:lang w:val="el-GR" w:eastAsia="el-GR" w:bidi="el-GR"/>
        </w:rPr>
        <w:t xml:space="preserve">των </w:t>
      </w:r>
      <w:r w:rsidR="00C32317" w:rsidRPr="00C32317">
        <w:rPr>
          <w:rFonts w:ascii="Segoe UI" w:hAnsi="Segoe UI" w:cs="Segoe UI"/>
          <w:sz w:val="20"/>
          <w:lang w:val="el-GR" w:eastAsia="el-GR" w:bidi="el-GR"/>
        </w:rPr>
        <w:t>αποδόσεων των κρατικών ομολόγων</w:t>
      </w:r>
      <w:r w:rsidR="002C6D25">
        <w:rPr>
          <w:rFonts w:ascii="Segoe UI" w:hAnsi="Segoe UI" w:cs="Segoe UI"/>
          <w:sz w:val="20"/>
          <w:lang w:val="el-GR" w:eastAsia="el-GR" w:bidi="el-GR"/>
        </w:rPr>
        <w:t xml:space="preserve">, ευνοούν </w:t>
      </w:r>
      <w:r w:rsidR="00C32317" w:rsidRPr="00C32317">
        <w:rPr>
          <w:rFonts w:ascii="Segoe UI" w:hAnsi="Segoe UI" w:cs="Segoe UI"/>
          <w:sz w:val="20"/>
          <w:lang w:val="el-GR" w:eastAsia="el-GR" w:bidi="el-GR"/>
        </w:rPr>
        <w:t xml:space="preserve">την επιτάχυνση της διαδικασίας </w:t>
      </w:r>
      <w:r w:rsidR="002C6D25">
        <w:rPr>
          <w:rFonts w:ascii="Segoe UI" w:hAnsi="Segoe UI" w:cs="Segoe UI"/>
          <w:sz w:val="20"/>
          <w:lang w:val="el-GR" w:eastAsia="el-GR" w:bidi="el-GR"/>
        </w:rPr>
        <w:t>αποκλιμάκωσης ΜΕΑ.</w:t>
      </w:r>
    </w:p>
    <w:p w:rsidR="0033614C" w:rsidRDefault="00B61923" w:rsidP="0033614C">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n-US" w:eastAsia="el-GR" w:bidi="el-GR"/>
        </w:rPr>
        <w:t>O</w:t>
      </w:r>
      <w:r w:rsidR="0033614C" w:rsidRPr="00291873">
        <w:rPr>
          <w:rFonts w:ascii="Segoe UI" w:hAnsi="Segoe UI" w:cs="Segoe UI"/>
          <w:sz w:val="20"/>
          <w:lang w:val="el-GR" w:eastAsia="el-GR" w:bidi="el-GR"/>
        </w:rPr>
        <w:t xml:space="preserve"> </w:t>
      </w:r>
      <w:r w:rsidR="0033614C" w:rsidRPr="00AE57C9">
        <w:rPr>
          <w:rFonts w:ascii="Segoe UI" w:hAnsi="Segoe UI" w:cs="Segoe UI"/>
          <w:b/>
          <w:sz w:val="20"/>
          <w:lang w:val="el-GR" w:eastAsia="el-GR" w:bidi="el-GR"/>
        </w:rPr>
        <w:t>δείκτης Μ</w:t>
      </w:r>
      <w:r w:rsidR="00D00E6D">
        <w:rPr>
          <w:rFonts w:ascii="Segoe UI" w:hAnsi="Segoe UI" w:cs="Segoe UI"/>
          <w:b/>
          <w:sz w:val="20"/>
          <w:lang w:val="el-GR" w:eastAsia="el-GR" w:bidi="el-GR"/>
        </w:rPr>
        <w:t>ΕΑ</w:t>
      </w:r>
      <w:r w:rsidR="0033614C" w:rsidRPr="00291873">
        <w:rPr>
          <w:rFonts w:ascii="Segoe UI" w:hAnsi="Segoe UI" w:cs="Segoe UI"/>
          <w:sz w:val="20"/>
          <w:lang w:val="el-GR" w:eastAsia="el-GR" w:bidi="el-GR"/>
        </w:rPr>
        <w:t xml:space="preserve"> </w:t>
      </w:r>
      <w:r w:rsidR="00050F72">
        <w:rPr>
          <w:rFonts w:ascii="Segoe UI" w:hAnsi="Segoe UI" w:cs="Segoe UI"/>
          <w:sz w:val="20"/>
          <w:lang w:val="el-GR" w:eastAsia="el-GR" w:bidi="el-GR"/>
        </w:rPr>
        <w:t xml:space="preserve">στην Ελλάδα </w:t>
      </w:r>
      <w:r w:rsidR="00B2746E">
        <w:rPr>
          <w:rFonts w:ascii="Segoe UI" w:hAnsi="Segoe UI" w:cs="Segoe UI"/>
          <w:sz w:val="20"/>
          <w:lang w:val="el-GR" w:eastAsia="el-GR" w:bidi="el-GR"/>
        </w:rPr>
        <w:t xml:space="preserve">μειώθηκε </w:t>
      </w:r>
      <w:r>
        <w:rPr>
          <w:rFonts w:ascii="Segoe UI" w:hAnsi="Segoe UI" w:cs="Segoe UI"/>
          <w:sz w:val="20"/>
          <w:lang w:val="el-GR" w:eastAsia="el-GR" w:bidi="el-GR"/>
        </w:rPr>
        <w:t xml:space="preserve">κατά </w:t>
      </w:r>
      <w:r w:rsidR="009B46F5">
        <w:rPr>
          <w:rFonts w:ascii="Segoe UI" w:hAnsi="Segoe UI" w:cs="Segoe UI"/>
          <w:sz w:val="20"/>
          <w:lang w:val="el-GR" w:eastAsia="el-GR" w:bidi="el-GR"/>
        </w:rPr>
        <w:t xml:space="preserve">περίπου </w:t>
      </w:r>
      <w:r>
        <w:rPr>
          <w:rFonts w:ascii="Segoe UI" w:hAnsi="Segoe UI" w:cs="Segoe UI"/>
          <w:sz w:val="20"/>
          <w:lang w:val="el-GR" w:eastAsia="el-GR" w:bidi="el-GR"/>
        </w:rPr>
        <w:t xml:space="preserve">240μ.β. </w:t>
      </w:r>
      <w:r w:rsidR="00A45ECC">
        <w:rPr>
          <w:rFonts w:ascii="Segoe UI" w:hAnsi="Segoe UI" w:cs="Segoe UI"/>
          <w:sz w:val="20"/>
          <w:lang w:val="el-GR" w:eastAsia="el-GR" w:bidi="el-GR"/>
        </w:rPr>
        <w:t xml:space="preserve">σε </w:t>
      </w:r>
      <w:r>
        <w:rPr>
          <w:rFonts w:ascii="Segoe UI" w:hAnsi="Segoe UI" w:cs="Segoe UI"/>
          <w:sz w:val="20"/>
          <w:lang w:val="el-GR" w:eastAsia="el-GR" w:bidi="el-GR"/>
        </w:rPr>
        <w:t>τριμηνιαία β</w:t>
      </w:r>
      <w:r w:rsidR="009B46F5">
        <w:rPr>
          <w:rFonts w:ascii="Segoe UI" w:hAnsi="Segoe UI" w:cs="Segoe UI"/>
          <w:sz w:val="20"/>
          <w:lang w:val="el-GR" w:eastAsia="el-GR" w:bidi="el-GR"/>
        </w:rPr>
        <w:t xml:space="preserve">άση και 700μ.β. από την αρχή του έτους </w:t>
      </w:r>
      <w:r>
        <w:rPr>
          <w:rFonts w:ascii="Segoe UI" w:hAnsi="Segoe UI" w:cs="Segoe UI"/>
          <w:sz w:val="20"/>
          <w:lang w:val="el-GR" w:eastAsia="el-GR" w:bidi="el-GR"/>
        </w:rPr>
        <w:t>σε 34,1</w:t>
      </w:r>
      <w:r w:rsidR="00FC4D23" w:rsidRPr="00FC4D23">
        <w:rPr>
          <w:rFonts w:ascii="Segoe UI" w:hAnsi="Segoe UI" w:cs="Segoe UI"/>
          <w:sz w:val="20"/>
          <w:lang w:val="el-GR" w:eastAsia="el-GR" w:bidi="el-GR"/>
        </w:rPr>
        <w:t xml:space="preserve">% το </w:t>
      </w:r>
      <w:r>
        <w:rPr>
          <w:rFonts w:ascii="Segoe UI" w:hAnsi="Segoe UI" w:cs="Segoe UI"/>
          <w:sz w:val="20"/>
          <w:lang w:val="el-GR" w:eastAsia="el-GR" w:bidi="el-GR"/>
        </w:rPr>
        <w:t>Γ</w:t>
      </w:r>
      <w:r w:rsidR="00FC4D23" w:rsidRPr="00FC4D23">
        <w:rPr>
          <w:rFonts w:ascii="Segoe UI" w:hAnsi="Segoe UI" w:cs="Segoe UI"/>
          <w:sz w:val="20"/>
          <w:lang w:val="el-GR" w:eastAsia="el-GR" w:bidi="el-GR"/>
        </w:rPr>
        <w:t>’ τρίμηνο 2019</w:t>
      </w:r>
      <w:r w:rsidR="00A41C93">
        <w:rPr>
          <w:rFonts w:ascii="Segoe UI" w:hAnsi="Segoe UI" w:cs="Segoe UI"/>
          <w:sz w:val="20"/>
          <w:lang w:val="el-GR" w:eastAsia="el-GR" w:bidi="el-GR"/>
        </w:rPr>
        <w:t>,</w:t>
      </w:r>
      <w:r w:rsidR="00A41C93" w:rsidRPr="00A41C93">
        <w:rPr>
          <w:rFonts w:ascii="Segoe UI" w:hAnsi="Segoe UI" w:cs="Segoe UI"/>
          <w:sz w:val="20"/>
          <w:lang w:val="el-GR" w:eastAsia="el-GR" w:bidi="el-GR"/>
        </w:rPr>
        <w:t xml:space="preserve"> </w:t>
      </w:r>
      <w:r w:rsidR="0033614C">
        <w:rPr>
          <w:rFonts w:ascii="Segoe UI" w:hAnsi="Segoe UI" w:cs="Segoe UI"/>
          <w:sz w:val="20"/>
          <w:lang w:val="el-GR" w:eastAsia="el-GR" w:bidi="el-GR"/>
        </w:rPr>
        <w:t xml:space="preserve">με το </w:t>
      </w:r>
      <w:r w:rsidR="00D669C2">
        <w:rPr>
          <w:rFonts w:ascii="Segoe UI" w:hAnsi="Segoe UI" w:cs="Segoe UI"/>
          <w:b/>
          <w:sz w:val="20"/>
          <w:lang w:val="el-GR" w:eastAsia="el-GR" w:bidi="el-GR"/>
        </w:rPr>
        <w:t>δείκτη</w:t>
      </w:r>
      <w:r w:rsidR="0033614C" w:rsidRPr="00AE57C9">
        <w:rPr>
          <w:rFonts w:ascii="Segoe UI" w:hAnsi="Segoe UI" w:cs="Segoe UI"/>
          <w:b/>
          <w:sz w:val="20"/>
          <w:lang w:val="el-GR" w:eastAsia="el-GR" w:bidi="el-GR"/>
        </w:rPr>
        <w:t xml:space="preserve"> </w:t>
      </w:r>
      <w:r w:rsidR="0033614C" w:rsidRPr="00D669C2">
        <w:rPr>
          <w:rFonts w:ascii="Segoe UI" w:hAnsi="Segoe UI" w:cs="Segoe UI"/>
          <w:b/>
          <w:sz w:val="20"/>
          <w:lang w:val="el-GR" w:eastAsia="el-GR" w:bidi="el-GR"/>
        </w:rPr>
        <w:t xml:space="preserve">κάλυψης </w:t>
      </w:r>
      <w:r w:rsidR="00D669C2" w:rsidRPr="00D669C2">
        <w:rPr>
          <w:rFonts w:ascii="Segoe UI" w:hAnsi="Segoe UI" w:cs="Segoe UI"/>
          <w:b/>
          <w:sz w:val="20"/>
          <w:lang w:val="el-GR" w:eastAsia="el-GR" w:bidi="el-GR"/>
        </w:rPr>
        <w:t>Μ</w:t>
      </w:r>
      <w:r w:rsidR="00D00E6D">
        <w:rPr>
          <w:rFonts w:ascii="Segoe UI" w:hAnsi="Segoe UI" w:cs="Segoe UI"/>
          <w:b/>
          <w:sz w:val="20"/>
          <w:lang w:val="el-GR" w:eastAsia="el-GR" w:bidi="el-GR"/>
        </w:rPr>
        <w:t>ΕΑ</w:t>
      </w:r>
      <w:r w:rsidR="00D669C2" w:rsidRPr="00D669C2">
        <w:rPr>
          <w:rFonts w:ascii="Segoe UI" w:hAnsi="Segoe UI" w:cs="Segoe UI"/>
          <w:sz w:val="20"/>
          <w:lang w:val="el-GR" w:eastAsia="el-GR" w:bidi="el-GR"/>
        </w:rPr>
        <w:t xml:space="preserve"> </w:t>
      </w:r>
      <w:r w:rsidR="0033614C" w:rsidRPr="00C27674">
        <w:rPr>
          <w:rFonts w:ascii="Segoe UI" w:hAnsi="Segoe UI" w:cs="Segoe UI"/>
          <w:sz w:val="20"/>
          <w:lang w:val="el-GR" w:eastAsia="el-GR" w:bidi="el-GR"/>
        </w:rPr>
        <w:t>από σωρευμένες προβλέψεις</w:t>
      </w:r>
      <w:r w:rsidR="0033614C" w:rsidRPr="00291873">
        <w:rPr>
          <w:rFonts w:ascii="Segoe UI" w:hAnsi="Segoe UI" w:cs="Segoe UI"/>
          <w:sz w:val="20"/>
          <w:lang w:val="el-GR" w:eastAsia="el-GR" w:bidi="el-GR"/>
        </w:rPr>
        <w:t xml:space="preserve"> </w:t>
      </w:r>
      <w:r w:rsidR="0033614C">
        <w:rPr>
          <w:rFonts w:ascii="Segoe UI" w:hAnsi="Segoe UI" w:cs="Segoe UI"/>
          <w:sz w:val="20"/>
          <w:lang w:val="el-GR" w:eastAsia="el-GR" w:bidi="el-GR"/>
        </w:rPr>
        <w:t xml:space="preserve">να </w:t>
      </w:r>
      <w:r w:rsidR="00BC3C2E">
        <w:rPr>
          <w:rFonts w:ascii="Segoe UI" w:hAnsi="Segoe UI" w:cs="Segoe UI"/>
          <w:sz w:val="20"/>
          <w:lang w:val="el-GR" w:eastAsia="el-GR" w:bidi="el-GR"/>
        </w:rPr>
        <w:t xml:space="preserve">διαμορφώνεται </w:t>
      </w:r>
      <w:r w:rsidR="0033614C">
        <w:rPr>
          <w:rFonts w:ascii="Segoe UI" w:hAnsi="Segoe UI" w:cs="Segoe UI"/>
          <w:sz w:val="20"/>
          <w:lang w:val="el-GR" w:eastAsia="el-GR" w:bidi="el-GR"/>
        </w:rPr>
        <w:t xml:space="preserve">σε </w:t>
      </w:r>
      <w:r w:rsidR="00A45ECC">
        <w:rPr>
          <w:rFonts w:ascii="Segoe UI" w:hAnsi="Segoe UI" w:cs="Segoe UI"/>
          <w:sz w:val="20"/>
          <w:lang w:val="el-GR" w:eastAsia="el-GR" w:bidi="el-GR"/>
        </w:rPr>
        <w:t>5</w:t>
      </w:r>
      <w:r w:rsidR="00EC5806">
        <w:rPr>
          <w:rFonts w:ascii="Segoe UI" w:hAnsi="Segoe UI" w:cs="Segoe UI"/>
          <w:sz w:val="20"/>
          <w:lang w:val="el-GR" w:eastAsia="el-GR" w:bidi="el-GR"/>
        </w:rPr>
        <w:t>3,8</w:t>
      </w:r>
      <w:r w:rsidR="0033614C" w:rsidRPr="00291873">
        <w:rPr>
          <w:rFonts w:ascii="Segoe UI" w:hAnsi="Segoe UI" w:cs="Segoe UI"/>
          <w:sz w:val="20"/>
          <w:lang w:val="el-GR" w:eastAsia="el-GR" w:bidi="el-GR"/>
        </w:rPr>
        <w:t>%</w:t>
      </w:r>
      <w:r w:rsidR="00B526A6">
        <w:rPr>
          <w:rFonts w:ascii="Segoe UI" w:hAnsi="Segoe UI" w:cs="Segoe UI"/>
          <w:sz w:val="20"/>
          <w:lang w:val="el-GR" w:eastAsia="el-GR" w:bidi="el-GR"/>
        </w:rPr>
        <w:t>,</w:t>
      </w:r>
      <w:r w:rsidR="00EC5806">
        <w:rPr>
          <w:rFonts w:ascii="Segoe UI" w:hAnsi="Segoe UI" w:cs="Segoe UI"/>
          <w:sz w:val="20"/>
          <w:lang w:val="el-GR" w:eastAsia="el-GR" w:bidi="el-GR"/>
        </w:rPr>
        <w:t xml:space="preserve"> </w:t>
      </w:r>
      <w:r w:rsidR="00C608C5">
        <w:rPr>
          <w:rFonts w:ascii="Segoe UI" w:hAnsi="Segoe UI" w:cs="Segoe UI"/>
          <w:sz w:val="20"/>
          <w:lang w:val="el-GR" w:eastAsia="el-GR" w:bidi="el-GR"/>
        </w:rPr>
        <w:t>παρέχοντας στην ΕΤΕ σχετικ</w:t>
      </w:r>
      <w:r w:rsidR="00986CF2">
        <w:rPr>
          <w:rFonts w:ascii="Segoe UI" w:hAnsi="Segoe UI" w:cs="Segoe UI"/>
          <w:sz w:val="20"/>
          <w:lang w:val="el-GR" w:eastAsia="el-GR" w:bidi="el-GR"/>
        </w:rPr>
        <w:t>ή</w:t>
      </w:r>
      <w:r w:rsidR="001A4823" w:rsidRPr="001A4823">
        <w:rPr>
          <w:rFonts w:ascii="Segoe UI" w:hAnsi="Segoe UI" w:cs="Segoe UI"/>
          <w:sz w:val="20"/>
          <w:lang w:val="el-GR" w:eastAsia="el-GR" w:bidi="el-GR"/>
        </w:rPr>
        <w:t xml:space="preserve"> ευελιξία</w:t>
      </w:r>
      <w:r w:rsidR="00B526A6">
        <w:rPr>
          <w:rFonts w:ascii="Segoe UI" w:hAnsi="Segoe UI" w:cs="Segoe UI"/>
          <w:sz w:val="20"/>
          <w:lang w:val="el-GR" w:eastAsia="el-GR" w:bidi="el-GR"/>
        </w:rPr>
        <w:t>.</w:t>
      </w:r>
      <w:r w:rsidR="00DE05E0">
        <w:rPr>
          <w:rFonts w:ascii="Segoe UI" w:hAnsi="Segoe UI" w:cs="Segoe UI"/>
          <w:sz w:val="20"/>
          <w:lang w:val="el-GR" w:eastAsia="el-GR" w:bidi="el-GR"/>
        </w:rPr>
        <w:t xml:space="preserve"> Παρά την αρνητική εποχικότητα του Γ’ τριμήνου</w:t>
      </w:r>
      <w:r w:rsidR="00391335">
        <w:rPr>
          <w:rFonts w:ascii="Segoe UI" w:hAnsi="Segoe UI" w:cs="Segoe UI"/>
          <w:sz w:val="20"/>
          <w:lang w:val="el-GR" w:eastAsia="el-GR" w:bidi="el-GR"/>
        </w:rPr>
        <w:t xml:space="preserve"> 2019</w:t>
      </w:r>
      <w:r w:rsidR="00DE05E0">
        <w:rPr>
          <w:rFonts w:ascii="Segoe UI" w:hAnsi="Segoe UI" w:cs="Segoe UI"/>
          <w:sz w:val="20"/>
          <w:lang w:val="el-GR" w:eastAsia="el-GR" w:bidi="el-GR"/>
        </w:rPr>
        <w:t xml:space="preserve">, ο αριθμός των πλειστηριαζόμενων ακινήτων ανήλθε σε 742, σημειώνοντας αύξηση 55% σε ετήσια βάση. Οι σχεδιαζόμενοι πλειστηριασμοί  διαμορφώνονται σε 1,300 περίπου (στοιχεία </w:t>
      </w:r>
      <w:r w:rsidR="00FD1E85">
        <w:rPr>
          <w:rFonts w:ascii="Segoe UI" w:hAnsi="Segoe UI" w:cs="Segoe UI"/>
          <w:sz w:val="20"/>
          <w:lang w:val="el-GR" w:eastAsia="el-GR" w:bidi="el-GR"/>
        </w:rPr>
        <w:t xml:space="preserve">τέλος </w:t>
      </w:r>
      <w:r w:rsidR="00DE05E0">
        <w:rPr>
          <w:rFonts w:ascii="Segoe UI" w:hAnsi="Segoe UI" w:cs="Segoe UI"/>
          <w:sz w:val="20"/>
          <w:lang w:val="el-GR" w:eastAsia="el-GR" w:bidi="el-GR"/>
        </w:rPr>
        <w:t xml:space="preserve">Σεπτεμβρίου).  </w:t>
      </w:r>
    </w:p>
    <w:p w:rsidR="0033614C" w:rsidRPr="00A6792B" w:rsidRDefault="00C45D11" w:rsidP="00567B66">
      <w:pPr>
        <w:autoSpaceDE w:val="0"/>
        <w:autoSpaceDN w:val="0"/>
        <w:adjustRightInd w:val="0"/>
        <w:spacing w:after="160" w:line="320" w:lineRule="atLeast"/>
        <w:jc w:val="both"/>
        <w:rPr>
          <w:rFonts w:ascii="Segoe UI" w:hAnsi="Segoe UI" w:cs="Segoe UI"/>
          <w:sz w:val="20"/>
          <w:highlight w:val="yellow"/>
          <w:lang w:val="el-GR" w:eastAsia="el-GR" w:bidi="el-GR"/>
        </w:rPr>
      </w:pPr>
      <w:r>
        <w:rPr>
          <w:rFonts w:ascii="Segoe UI" w:hAnsi="Segoe UI" w:cs="Segoe UI"/>
          <w:sz w:val="20"/>
          <w:lang w:val="el-GR" w:eastAsia="el-GR" w:bidi="el-GR"/>
        </w:rPr>
        <w:t>Στις λοιπές διεθνείς δραστηριότητες</w:t>
      </w:r>
      <w:r w:rsidR="0022286B" w:rsidRPr="00567B66">
        <w:rPr>
          <w:rFonts w:ascii="Segoe UI" w:hAnsi="Segoe UI" w:cs="Segoe UI"/>
          <w:sz w:val="20"/>
          <w:vertAlign w:val="superscript"/>
          <w:lang w:val="el-GR" w:eastAsia="el-GR" w:bidi="el-GR"/>
        </w:rPr>
        <w:footnoteReference w:id="2"/>
      </w:r>
      <w:r w:rsidR="00567B66" w:rsidRPr="00567B66">
        <w:rPr>
          <w:rFonts w:ascii="Segoe UI" w:hAnsi="Segoe UI" w:cs="Segoe UI"/>
          <w:sz w:val="20"/>
          <w:lang w:val="el-GR" w:eastAsia="el-GR" w:bidi="el-GR"/>
        </w:rPr>
        <w:t xml:space="preserve">, </w:t>
      </w:r>
      <w:r w:rsidR="00073248">
        <w:rPr>
          <w:rFonts w:ascii="Segoe UI" w:hAnsi="Segoe UI" w:cs="Segoe UI"/>
          <w:sz w:val="20"/>
          <w:lang w:val="el-GR" w:eastAsia="el-GR" w:bidi="el-GR"/>
        </w:rPr>
        <w:t>ο</w:t>
      </w:r>
      <w:r w:rsidR="00BF76ED" w:rsidRPr="00BF76ED">
        <w:rPr>
          <w:rFonts w:ascii="Segoe UI" w:hAnsi="Segoe UI" w:cs="Segoe UI"/>
          <w:sz w:val="20"/>
          <w:lang w:val="el-GR" w:eastAsia="el-GR" w:bidi="el-GR"/>
        </w:rPr>
        <w:t xml:space="preserve"> δείκτης </w:t>
      </w:r>
      <w:r w:rsidR="00AE3193">
        <w:rPr>
          <w:rFonts w:ascii="Segoe UI" w:hAnsi="Segoe UI" w:cs="Segoe UI"/>
          <w:sz w:val="20"/>
          <w:lang w:val="el-GR" w:eastAsia="el-GR" w:bidi="el-GR"/>
        </w:rPr>
        <w:t>ΜΕΑ</w:t>
      </w:r>
      <w:r w:rsidR="00BF76ED" w:rsidRPr="00BF76ED">
        <w:rPr>
          <w:rFonts w:ascii="Segoe UI" w:hAnsi="Segoe UI" w:cs="Segoe UI"/>
          <w:sz w:val="20"/>
          <w:lang w:val="el-GR" w:eastAsia="el-GR" w:bidi="el-GR"/>
        </w:rPr>
        <w:t xml:space="preserve"> </w:t>
      </w:r>
      <w:r w:rsidR="00BF76ED">
        <w:rPr>
          <w:rFonts w:ascii="Segoe UI" w:hAnsi="Segoe UI" w:cs="Segoe UI"/>
          <w:sz w:val="20"/>
          <w:lang w:val="el-GR" w:eastAsia="el-GR" w:bidi="el-GR"/>
        </w:rPr>
        <w:t xml:space="preserve">διαμορφώθηκε </w:t>
      </w:r>
      <w:r w:rsidR="00BF76ED" w:rsidRPr="00BF76ED">
        <w:rPr>
          <w:rFonts w:ascii="Segoe UI" w:hAnsi="Segoe UI" w:cs="Segoe UI"/>
          <w:sz w:val="20"/>
          <w:lang w:val="el-GR" w:eastAsia="el-GR" w:bidi="el-GR"/>
        </w:rPr>
        <w:t xml:space="preserve">σε </w:t>
      </w:r>
      <w:r w:rsidR="00BA3420">
        <w:rPr>
          <w:rFonts w:ascii="Segoe UI" w:hAnsi="Segoe UI" w:cs="Segoe UI"/>
          <w:sz w:val="20"/>
          <w:lang w:val="el-GR" w:eastAsia="el-GR" w:bidi="el-GR"/>
        </w:rPr>
        <w:t>3</w:t>
      </w:r>
      <w:r w:rsidR="00C97458">
        <w:rPr>
          <w:rFonts w:ascii="Segoe UI" w:hAnsi="Segoe UI" w:cs="Segoe UI"/>
          <w:sz w:val="20"/>
          <w:lang w:val="el-GR" w:eastAsia="el-GR" w:bidi="el-GR"/>
        </w:rPr>
        <w:t>4,3</w:t>
      </w:r>
      <w:r w:rsidR="00BF76ED" w:rsidRPr="00BF76ED">
        <w:rPr>
          <w:rFonts w:ascii="Segoe UI" w:hAnsi="Segoe UI" w:cs="Segoe UI"/>
          <w:sz w:val="20"/>
          <w:lang w:val="el-GR" w:eastAsia="el-GR" w:bidi="el-GR"/>
        </w:rPr>
        <w:t xml:space="preserve">% το </w:t>
      </w:r>
      <w:r w:rsidR="00DE05E0">
        <w:rPr>
          <w:rFonts w:ascii="Segoe UI" w:hAnsi="Segoe UI" w:cs="Segoe UI"/>
          <w:sz w:val="20"/>
          <w:lang w:val="el-GR" w:eastAsia="el-GR" w:bidi="el-GR"/>
        </w:rPr>
        <w:t>Γ</w:t>
      </w:r>
      <w:r w:rsidR="00BF76ED" w:rsidRPr="00BF76ED">
        <w:rPr>
          <w:rFonts w:ascii="Segoe UI" w:hAnsi="Segoe UI" w:cs="Segoe UI"/>
          <w:sz w:val="20"/>
          <w:lang w:val="el-GR" w:eastAsia="el-GR" w:bidi="el-GR"/>
        </w:rPr>
        <w:t xml:space="preserve">’ </w:t>
      </w:r>
      <w:r w:rsidR="0043694F">
        <w:rPr>
          <w:rFonts w:ascii="Segoe UI" w:hAnsi="Segoe UI" w:cs="Segoe UI"/>
          <w:sz w:val="20"/>
          <w:lang w:val="el-GR" w:eastAsia="el-GR" w:bidi="el-GR"/>
        </w:rPr>
        <w:t>τ</w:t>
      </w:r>
      <w:r w:rsidR="00BF76ED" w:rsidRPr="00BF76ED">
        <w:rPr>
          <w:rFonts w:ascii="Segoe UI" w:hAnsi="Segoe UI" w:cs="Segoe UI"/>
          <w:sz w:val="20"/>
          <w:lang w:val="el-GR" w:eastAsia="el-GR" w:bidi="el-GR"/>
        </w:rPr>
        <w:t>ρίμηνο 201</w:t>
      </w:r>
      <w:r w:rsidR="006A0C76">
        <w:rPr>
          <w:rFonts w:ascii="Segoe UI" w:hAnsi="Segoe UI" w:cs="Segoe UI"/>
          <w:sz w:val="20"/>
          <w:lang w:val="el-GR" w:eastAsia="el-GR" w:bidi="el-GR"/>
        </w:rPr>
        <w:t>9</w:t>
      </w:r>
      <w:r w:rsidR="00BF76ED" w:rsidRPr="00BF76ED">
        <w:rPr>
          <w:rFonts w:ascii="Segoe UI" w:hAnsi="Segoe UI" w:cs="Segoe UI"/>
          <w:sz w:val="20"/>
          <w:lang w:val="el-GR" w:eastAsia="el-GR" w:bidi="el-GR"/>
        </w:rPr>
        <w:t>, με το</w:t>
      </w:r>
      <w:r w:rsidR="00C84652">
        <w:rPr>
          <w:rFonts w:ascii="Segoe UI" w:hAnsi="Segoe UI" w:cs="Segoe UI"/>
          <w:sz w:val="20"/>
          <w:lang w:val="el-GR" w:eastAsia="el-GR" w:bidi="el-GR"/>
        </w:rPr>
        <w:t xml:space="preserve">ν </w:t>
      </w:r>
      <w:r w:rsidR="002927D1">
        <w:rPr>
          <w:rFonts w:ascii="Segoe UI" w:hAnsi="Segoe UI" w:cs="Segoe UI"/>
          <w:sz w:val="20"/>
          <w:lang w:val="el-GR" w:eastAsia="el-GR" w:bidi="el-GR"/>
        </w:rPr>
        <w:t>αντίστοιχο</w:t>
      </w:r>
      <w:r w:rsidR="002927D1" w:rsidRPr="002927D1">
        <w:rPr>
          <w:rFonts w:ascii="Segoe UI" w:hAnsi="Segoe UI" w:cs="Segoe UI"/>
          <w:sz w:val="20"/>
          <w:lang w:val="el-GR" w:eastAsia="el-GR" w:bidi="el-GR"/>
        </w:rPr>
        <w:t xml:space="preserve"> </w:t>
      </w:r>
      <w:r w:rsidR="00C84652">
        <w:rPr>
          <w:rFonts w:ascii="Segoe UI" w:hAnsi="Segoe UI" w:cs="Segoe UI"/>
          <w:sz w:val="20"/>
          <w:lang w:val="el-GR" w:eastAsia="el-GR" w:bidi="el-GR"/>
        </w:rPr>
        <w:t xml:space="preserve">δείκτη </w:t>
      </w:r>
      <w:r w:rsidR="00BF76ED" w:rsidRPr="00BF76ED">
        <w:rPr>
          <w:rFonts w:ascii="Segoe UI" w:hAnsi="Segoe UI" w:cs="Segoe UI"/>
          <w:sz w:val="20"/>
          <w:lang w:val="el-GR" w:eastAsia="el-GR" w:bidi="el-GR"/>
        </w:rPr>
        <w:t xml:space="preserve">κάλυψης από σωρευμένες προβλέψεις να </w:t>
      </w:r>
      <w:r w:rsidR="00BF76ED">
        <w:rPr>
          <w:rFonts w:ascii="Segoe UI" w:hAnsi="Segoe UI" w:cs="Segoe UI"/>
          <w:sz w:val="20"/>
          <w:lang w:val="el-GR" w:eastAsia="el-GR" w:bidi="el-GR"/>
        </w:rPr>
        <w:t>ανέρχεται</w:t>
      </w:r>
      <w:r w:rsidR="00BF76ED" w:rsidRPr="00BF76ED">
        <w:rPr>
          <w:rFonts w:ascii="Segoe UI" w:hAnsi="Segoe UI" w:cs="Segoe UI"/>
          <w:sz w:val="20"/>
          <w:lang w:val="el-GR" w:eastAsia="el-GR" w:bidi="el-GR"/>
        </w:rPr>
        <w:t xml:space="preserve"> σε </w:t>
      </w:r>
      <w:r w:rsidR="00C97458">
        <w:rPr>
          <w:rFonts w:ascii="Segoe UI" w:hAnsi="Segoe UI" w:cs="Segoe UI"/>
          <w:sz w:val="20"/>
          <w:lang w:val="el-GR" w:eastAsia="el-GR" w:bidi="el-GR"/>
        </w:rPr>
        <w:t>7</w:t>
      </w:r>
      <w:r w:rsidR="00391335">
        <w:rPr>
          <w:rFonts w:ascii="Segoe UI" w:hAnsi="Segoe UI" w:cs="Segoe UI"/>
          <w:sz w:val="20"/>
          <w:lang w:val="el-GR" w:eastAsia="el-GR" w:bidi="el-GR"/>
        </w:rPr>
        <w:t>3,7</w:t>
      </w:r>
      <w:r w:rsidR="00BF76ED" w:rsidRPr="00BF76ED">
        <w:rPr>
          <w:rFonts w:ascii="Segoe UI" w:hAnsi="Segoe UI" w:cs="Segoe UI"/>
          <w:sz w:val="20"/>
          <w:lang w:val="el-GR" w:eastAsia="el-GR" w:bidi="el-GR"/>
        </w:rPr>
        <w:t>%.</w:t>
      </w:r>
    </w:p>
    <w:tbl>
      <w:tblPr>
        <w:tblStyle w:val="TableGrid2"/>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65"/>
        <w:gridCol w:w="4466"/>
      </w:tblGrid>
      <w:tr w:rsidR="00163FB9" w:rsidRPr="00727987" w:rsidTr="004F1B20">
        <w:trPr>
          <w:trHeight w:val="2547"/>
          <w:jc w:val="center"/>
        </w:trPr>
        <w:tc>
          <w:tcPr>
            <w:tcW w:w="4465" w:type="dxa"/>
          </w:tcPr>
          <w:p w:rsidR="00163FB9" w:rsidRPr="00873BA4" w:rsidRDefault="00073248" w:rsidP="004929B7">
            <w:pPr>
              <w:kinsoku w:val="0"/>
              <w:overflowPunct w:val="0"/>
              <w:spacing w:before="40" w:after="0" w:line="240" w:lineRule="auto"/>
              <w:ind w:left="34"/>
              <w:textAlignment w:val="baseline"/>
              <w:rPr>
                <w:rFonts w:ascii="Segoe UI" w:eastAsia="Times New Roman" w:hAnsi="Segoe UI" w:cs="Arial"/>
                <w:sz w:val="14"/>
                <w:szCs w:val="14"/>
                <w:lang w:val="el-GR" w:eastAsia="el-GR"/>
              </w:rPr>
            </w:pPr>
            <w:r>
              <w:rPr>
                <w:rFonts w:ascii="Segoe UI" w:eastAsia="Segoe UI" w:hAnsi="Segoe UI" w:cs="Segoe UI"/>
                <w:b/>
                <w:color w:val="008080"/>
                <w:kern w:val="24"/>
                <w:sz w:val="18"/>
                <w:szCs w:val="24"/>
                <w:lang w:val="el-GR" w:eastAsia="el-GR"/>
              </w:rPr>
              <w:t>Δ</w:t>
            </w:r>
            <w:r w:rsidR="00163FB9">
              <w:rPr>
                <w:rFonts w:ascii="Segoe UI" w:eastAsia="Segoe UI" w:hAnsi="Segoe UI" w:cs="Segoe UI"/>
                <w:b/>
                <w:color w:val="008080"/>
                <w:kern w:val="24"/>
                <w:sz w:val="18"/>
                <w:szCs w:val="24"/>
                <w:lang w:val="el-GR" w:eastAsia="el-GR"/>
              </w:rPr>
              <w:t>είκτες</w:t>
            </w:r>
            <w:r w:rsidR="00163FB9" w:rsidRPr="00163FB9">
              <w:rPr>
                <w:rFonts w:ascii="Segoe UI" w:eastAsia="Segoe UI" w:hAnsi="Segoe UI" w:cs="Segoe UI"/>
                <w:b/>
                <w:color w:val="008080"/>
                <w:kern w:val="24"/>
                <w:sz w:val="18"/>
                <w:szCs w:val="24"/>
                <w:lang w:val="el-GR" w:eastAsia="el-GR"/>
              </w:rPr>
              <w:t xml:space="preserve"> </w:t>
            </w:r>
            <w:r w:rsidR="00163FB9">
              <w:rPr>
                <w:rFonts w:ascii="Segoe UI" w:eastAsia="Segoe UI" w:hAnsi="Segoe UI" w:cs="Segoe UI"/>
                <w:b/>
                <w:color w:val="008080"/>
                <w:kern w:val="24"/>
                <w:sz w:val="18"/>
                <w:szCs w:val="24"/>
                <w:lang w:val="el-GR" w:eastAsia="el-GR"/>
              </w:rPr>
              <w:t xml:space="preserve">και ποσοστά κάλυψης δανείων σε καθυστέρηση άνω </w:t>
            </w:r>
            <w:r w:rsidR="00163FB9" w:rsidRPr="00163FB9">
              <w:rPr>
                <w:rFonts w:ascii="Segoe UI" w:eastAsia="Segoe UI" w:hAnsi="Segoe UI" w:cs="Segoe UI"/>
                <w:b/>
                <w:color w:val="008080"/>
                <w:kern w:val="24"/>
                <w:sz w:val="18"/>
                <w:szCs w:val="24"/>
                <w:lang w:val="el-GR" w:eastAsia="el-GR"/>
              </w:rPr>
              <w:t>των 90 ημερών</w:t>
            </w:r>
            <w:r w:rsidR="000C514A">
              <w:rPr>
                <w:rFonts w:ascii="Segoe UI" w:eastAsia="Segoe UI" w:hAnsi="Segoe UI" w:cs="Segoe UI"/>
                <w:b/>
                <w:color w:val="008080"/>
                <w:kern w:val="24"/>
                <w:sz w:val="18"/>
                <w:szCs w:val="24"/>
                <w:lang w:val="el-GR" w:eastAsia="el-GR"/>
              </w:rPr>
              <w:t xml:space="preserve"> </w:t>
            </w:r>
            <w:r w:rsidR="00163FB9" w:rsidRPr="00873BA4">
              <w:rPr>
                <w:rFonts w:ascii="Segoe UI" w:eastAsia="Segoe UI" w:hAnsi="Segoe UI" w:cs="Segoe UI"/>
                <w:b/>
                <w:noProof/>
                <w:color w:val="008080"/>
                <w:kern w:val="24"/>
                <w:sz w:val="14"/>
                <w:szCs w:val="14"/>
                <w:lang w:val="el-GR" w:eastAsia="el-GR"/>
              </w:rPr>
              <w:drawing>
                <wp:inline distT="0" distB="0" distL="0" distR="0">
                  <wp:extent cx="2560320" cy="1593850"/>
                  <wp:effectExtent l="0" t="0" r="1143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466" w:type="dxa"/>
          </w:tcPr>
          <w:p w:rsidR="00163FB9" w:rsidRDefault="00073248" w:rsidP="00801597">
            <w:pPr>
              <w:kinsoku w:val="0"/>
              <w:overflowPunct w:val="0"/>
              <w:spacing w:before="40" w:after="0" w:line="240" w:lineRule="auto"/>
              <w:ind w:left="176"/>
              <w:textAlignment w:val="baseline"/>
              <w:rPr>
                <w:rFonts w:ascii="Segoe UI" w:eastAsia="Segoe UI" w:hAnsi="Segoe UI" w:cs="Segoe UI"/>
                <w:b/>
                <w:color w:val="008080"/>
                <w:kern w:val="24"/>
                <w:sz w:val="18"/>
                <w:szCs w:val="24"/>
                <w:lang w:val="el-GR" w:eastAsia="el-GR"/>
              </w:rPr>
            </w:pPr>
            <w:r>
              <w:rPr>
                <w:rFonts w:ascii="Segoe UI" w:eastAsia="Segoe UI" w:hAnsi="Segoe UI" w:cs="Segoe UI"/>
                <w:b/>
                <w:color w:val="008080"/>
                <w:kern w:val="24"/>
                <w:sz w:val="18"/>
                <w:szCs w:val="24"/>
                <w:lang w:val="el-GR" w:eastAsia="el-GR"/>
              </w:rPr>
              <w:t>Δ</w:t>
            </w:r>
            <w:r w:rsidR="00163FB9">
              <w:rPr>
                <w:rFonts w:ascii="Segoe UI" w:eastAsia="Segoe UI" w:hAnsi="Segoe UI" w:cs="Segoe UI"/>
                <w:b/>
                <w:color w:val="008080"/>
                <w:kern w:val="24"/>
                <w:sz w:val="18"/>
                <w:szCs w:val="24"/>
                <w:lang w:val="el-GR" w:eastAsia="el-GR"/>
              </w:rPr>
              <w:t>είκτες</w:t>
            </w:r>
            <w:r w:rsidR="00163FB9" w:rsidRPr="00163FB9">
              <w:rPr>
                <w:rFonts w:ascii="Segoe UI" w:eastAsia="Segoe UI" w:hAnsi="Segoe UI" w:cs="Segoe UI"/>
                <w:b/>
                <w:color w:val="008080"/>
                <w:kern w:val="24"/>
                <w:sz w:val="18"/>
                <w:szCs w:val="24"/>
                <w:lang w:val="el-GR" w:eastAsia="el-GR"/>
              </w:rPr>
              <w:t xml:space="preserve"> </w:t>
            </w:r>
            <w:r w:rsidR="00163FB9">
              <w:rPr>
                <w:rFonts w:ascii="Segoe UI" w:eastAsia="Segoe UI" w:hAnsi="Segoe UI" w:cs="Segoe UI"/>
                <w:b/>
                <w:color w:val="008080"/>
                <w:kern w:val="24"/>
                <w:sz w:val="18"/>
                <w:szCs w:val="24"/>
                <w:lang w:val="el-GR" w:eastAsia="el-GR"/>
              </w:rPr>
              <w:t>και ποσοστά κάλυψης</w:t>
            </w:r>
            <w:r w:rsidR="00163FB9" w:rsidRPr="00163FB9">
              <w:rPr>
                <w:rFonts w:ascii="Segoe UI" w:eastAsia="Segoe UI" w:hAnsi="Segoe UI" w:cs="Segoe UI"/>
                <w:b/>
                <w:color w:val="008080"/>
                <w:kern w:val="24"/>
                <w:sz w:val="18"/>
                <w:szCs w:val="24"/>
                <w:lang w:val="el-GR" w:eastAsia="el-GR"/>
              </w:rPr>
              <w:t xml:space="preserve"> </w:t>
            </w:r>
            <w:r>
              <w:rPr>
                <w:rFonts w:ascii="Segoe UI" w:eastAsia="Segoe UI" w:hAnsi="Segoe UI" w:cs="Segoe UI"/>
                <w:b/>
                <w:color w:val="008080"/>
                <w:kern w:val="24"/>
                <w:sz w:val="18"/>
                <w:szCs w:val="24"/>
                <w:lang w:val="el-GR" w:eastAsia="el-GR"/>
              </w:rPr>
              <w:t>Μ</w:t>
            </w:r>
            <w:r w:rsidR="00E70380">
              <w:rPr>
                <w:rFonts w:ascii="Segoe UI" w:eastAsia="Segoe UI" w:hAnsi="Segoe UI" w:cs="Segoe UI"/>
                <w:b/>
                <w:color w:val="008080"/>
                <w:kern w:val="24"/>
                <w:sz w:val="18"/>
                <w:szCs w:val="24"/>
                <w:lang w:val="el-GR" w:eastAsia="el-GR"/>
              </w:rPr>
              <w:t>η Εξυπηρετούμενων Ανοιγμάτων</w:t>
            </w:r>
            <w:r w:rsidR="00163FB9">
              <w:rPr>
                <w:rFonts w:ascii="Segoe UI" w:eastAsia="Segoe UI" w:hAnsi="Segoe UI" w:cs="Segoe UI"/>
                <w:b/>
                <w:color w:val="008080"/>
                <w:kern w:val="24"/>
                <w:sz w:val="18"/>
                <w:szCs w:val="24"/>
                <w:lang w:val="el-GR" w:eastAsia="el-GR"/>
              </w:rPr>
              <w:t xml:space="preserve"> </w:t>
            </w:r>
            <w:r w:rsidR="000C7EFA">
              <w:rPr>
                <w:rFonts w:ascii="Segoe UI" w:eastAsia="Segoe UI" w:hAnsi="Segoe UI" w:cs="Segoe UI"/>
                <w:b/>
                <w:color w:val="008080"/>
                <w:kern w:val="24"/>
                <w:sz w:val="18"/>
                <w:szCs w:val="24"/>
                <w:lang w:val="el-GR" w:eastAsia="el-GR"/>
              </w:rPr>
              <w:t>(</w:t>
            </w:r>
            <w:r w:rsidR="00801597">
              <w:rPr>
                <w:rFonts w:ascii="Segoe UI" w:eastAsia="Segoe UI" w:hAnsi="Segoe UI" w:cs="Segoe UI"/>
                <w:b/>
                <w:color w:val="008080"/>
                <w:kern w:val="24"/>
                <w:sz w:val="18"/>
                <w:szCs w:val="24"/>
                <w:lang w:val="el-GR" w:eastAsia="el-GR"/>
              </w:rPr>
              <w:t>ΜΕΑ</w:t>
            </w:r>
            <w:r w:rsidR="000C7EFA" w:rsidRPr="000C7EFA">
              <w:rPr>
                <w:rFonts w:ascii="Segoe UI" w:eastAsia="Segoe UI" w:hAnsi="Segoe UI" w:cs="Segoe UI"/>
                <w:b/>
                <w:color w:val="008080"/>
                <w:kern w:val="24"/>
                <w:sz w:val="18"/>
                <w:szCs w:val="24"/>
                <w:lang w:val="el-GR" w:eastAsia="el-GR"/>
              </w:rPr>
              <w:t>)</w:t>
            </w:r>
            <w:r w:rsidR="00163FB9" w:rsidRPr="00873BA4">
              <w:rPr>
                <w:rFonts w:ascii="Segoe UI" w:eastAsia="Segoe UI" w:hAnsi="Segoe UI" w:cs="Segoe UI"/>
                <w:b/>
                <w:noProof/>
                <w:color w:val="008080"/>
                <w:kern w:val="24"/>
                <w:sz w:val="14"/>
                <w:szCs w:val="24"/>
                <w:lang w:val="el-GR" w:eastAsia="el-GR"/>
              </w:rPr>
              <w:drawing>
                <wp:inline distT="0" distB="0" distL="0" distR="0">
                  <wp:extent cx="2496820" cy="1593850"/>
                  <wp:effectExtent l="0" t="0" r="17780" b="63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850CE" w:rsidRPr="00163FB9" w:rsidRDefault="00A850CE" w:rsidP="00801597">
            <w:pPr>
              <w:kinsoku w:val="0"/>
              <w:overflowPunct w:val="0"/>
              <w:spacing w:before="40" w:after="0" w:line="240" w:lineRule="auto"/>
              <w:ind w:left="176"/>
              <w:textAlignment w:val="baseline"/>
              <w:rPr>
                <w:rFonts w:ascii="Segoe UI" w:eastAsia="Times New Roman" w:hAnsi="Segoe UI" w:cs="Arial"/>
                <w:sz w:val="20"/>
                <w:szCs w:val="24"/>
                <w:lang w:val="el-GR" w:eastAsia="el-GR"/>
              </w:rPr>
            </w:pPr>
          </w:p>
        </w:tc>
      </w:tr>
    </w:tbl>
    <w:p w:rsidR="00163FB9" w:rsidRDefault="00317AEF" w:rsidP="00942D8B">
      <w:pPr>
        <w:spacing w:after="0" w:line="240" w:lineRule="atLeast"/>
        <w:rPr>
          <w:rFonts w:ascii="Segoe UI" w:eastAsia="Calibri" w:hAnsi="Segoe UI" w:cs="Segoe UI"/>
          <w:b/>
          <w:noProof/>
          <w:color w:val="008080"/>
          <w:sz w:val="32"/>
          <w:szCs w:val="24"/>
          <w:lang w:val="el-GR" w:eastAsia="el-GR"/>
        </w:rPr>
      </w:pPr>
      <w:r>
        <w:rPr>
          <w:rFonts w:ascii="Segoe UI" w:eastAsia="Segoe UI" w:hAnsi="Segoe UI" w:cs="Segoe UI"/>
          <w:b/>
          <w:color w:val="008080"/>
          <w:kern w:val="24"/>
          <w:sz w:val="18"/>
          <w:szCs w:val="24"/>
          <w:lang w:val="el-GR" w:eastAsia="el-GR"/>
        </w:rPr>
        <w:t xml:space="preserve">Μεταβολή </w:t>
      </w:r>
      <w:r w:rsidR="005A24D4">
        <w:rPr>
          <w:rFonts w:ascii="Segoe UI" w:eastAsia="Segoe UI" w:hAnsi="Segoe UI" w:cs="Segoe UI"/>
          <w:b/>
          <w:color w:val="008080"/>
          <w:kern w:val="24"/>
          <w:sz w:val="18"/>
          <w:szCs w:val="24"/>
          <w:lang w:val="el-GR" w:eastAsia="el-GR"/>
        </w:rPr>
        <w:t>ΜΕΑ</w:t>
      </w:r>
      <w:r>
        <w:rPr>
          <w:rFonts w:ascii="Segoe UI" w:eastAsia="Segoe UI" w:hAnsi="Segoe UI" w:cs="Segoe UI"/>
          <w:b/>
          <w:color w:val="008080"/>
          <w:kern w:val="24"/>
          <w:sz w:val="18"/>
          <w:szCs w:val="24"/>
          <w:lang w:val="el-GR" w:eastAsia="el-GR"/>
        </w:rPr>
        <w:t xml:space="preserve"> </w:t>
      </w:r>
      <w:r w:rsidR="00D432FE">
        <w:rPr>
          <w:rFonts w:ascii="Segoe UI" w:eastAsia="Segoe UI" w:hAnsi="Segoe UI" w:cs="Segoe UI"/>
          <w:b/>
          <w:color w:val="008080"/>
          <w:kern w:val="24"/>
          <w:sz w:val="18"/>
          <w:szCs w:val="24"/>
          <w:lang w:val="el-GR" w:eastAsia="el-GR"/>
        </w:rPr>
        <w:t xml:space="preserve">στην Ελλάδα </w:t>
      </w:r>
      <w:r>
        <w:rPr>
          <w:rFonts w:ascii="Segoe UI" w:eastAsia="Segoe UI" w:hAnsi="Segoe UI" w:cs="Segoe UI"/>
          <w:b/>
          <w:color w:val="008080"/>
          <w:kern w:val="24"/>
          <w:sz w:val="18"/>
          <w:szCs w:val="24"/>
          <w:lang w:val="el-GR" w:eastAsia="el-GR"/>
        </w:rPr>
        <w:t>(</w:t>
      </w:r>
      <w:r w:rsidR="00121935">
        <w:rPr>
          <w:rFonts w:ascii="Segoe UI" w:eastAsia="Segoe UI" w:hAnsi="Segoe UI" w:cs="Segoe UI"/>
          <w:b/>
          <w:color w:val="008080"/>
          <w:kern w:val="24"/>
          <w:sz w:val="18"/>
          <w:szCs w:val="24"/>
          <w:lang w:val="el-GR" w:eastAsia="el-GR"/>
        </w:rPr>
        <w:t>€ δισ</w:t>
      </w:r>
      <w:r>
        <w:rPr>
          <w:rFonts w:ascii="Segoe UI" w:eastAsia="Segoe UI" w:hAnsi="Segoe UI" w:cs="Segoe UI"/>
          <w:b/>
          <w:color w:val="008080"/>
          <w:kern w:val="24"/>
          <w:sz w:val="18"/>
          <w:szCs w:val="24"/>
          <w:lang w:val="el-GR" w:eastAsia="el-GR"/>
        </w:rPr>
        <w:t>.)</w:t>
      </w:r>
    </w:p>
    <w:p w:rsidR="00DD3EE1" w:rsidRDefault="00DD3EE1" w:rsidP="00163FB9">
      <w:pPr>
        <w:spacing w:after="160" w:line="240" w:lineRule="atLeast"/>
        <w:rPr>
          <w:rFonts w:ascii="Segoe UI" w:eastAsia="Segoe UI" w:hAnsi="Segoe UI" w:cs="Segoe UI"/>
          <w:b/>
          <w:color w:val="008080"/>
          <w:kern w:val="24"/>
          <w:sz w:val="18"/>
          <w:szCs w:val="24"/>
          <w:lang w:val="el-GR" w:eastAsia="el-GR"/>
        </w:rPr>
      </w:pPr>
      <w:r w:rsidRPr="00854B9C">
        <w:rPr>
          <w:rFonts w:ascii="Segoe UI" w:hAnsi="Segoe UI" w:cs="Segoe UI"/>
          <w:b/>
          <w:noProof/>
          <w:sz w:val="32"/>
          <w:szCs w:val="24"/>
          <w:lang w:val="el-GR" w:eastAsia="el-GR"/>
        </w:rPr>
        <w:drawing>
          <wp:inline distT="0" distB="0" distL="0" distR="0">
            <wp:extent cx="5419090" cy="2241550"/>
            <wp:effectExtent l="0" t="0" r="10160" b="635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1C4A" w:rsidRPr="006A1C4A" w:rsidRDefault="006A1C4A" w:rsidP="006A1C4A">
      <w:pPr>
        <w:kinsoku w:val="0"/>
        <w:overflowPunct w:val="0"/>
        <w:spacing w:before="40" w:after="0" w:line="240" w:lineRule="auto"/>
        <w:ind w:left="547" w:hanging="547"/>
        <w:textAlignment w:val="baseline"/>
        <w:rPr>
          <w:rFonts w:ascii="Segoe UI" w:eastAsia="Calibri" w:hAnsi="Segoe UI" w:cs="Segoe UI"/>
          <w:b/>
          <w:sz w:val="32"/>
          <w:szCs w:val="24"/>
          <w:lang w:val="el-GR"/>
        </w:rPr>
      </w:pPr>
      <w:r>
        <w:rPr>
          <w:rFonts w:ascii="Segoe UI" w:eastAsia="Segoe UI" w:hAnsi="Segoe UI" w:cs="Segoe UI"/>
          <w:b/>
          <w:color w:val="008080"/>
          <w:kern w:val="24"/>
          <w:sz w:val="18"/>
          <w:szCs w:val="24"/>
          <w:lang w:val="el-GR" w:eastAsia="el-GR"/>
        </w:rPr>
        <w:t>Κανάλια μείωσης</w:t>
      </w:r>
      <w:r w:rsidRPr="006A1C4A">
        <w:rPr>
          <w:rFonts w:ascii="Segoe UI" w:eastAsia="Segoe UI" w:hAnsi="Segoe UI" w:cs="Segoe UI"/>
          <w:b/>
          <w:color w:val="008080"/>
          <w:kern w:val="24"/>
          <w:sz w:val="18"/>
          <w:szCs w:val="24"/>
          <w:lang w:val="el-GR" w:eastAsia="el-GR"/>
        </w:rPr>
        <w:t xml:space="preserve"> </w:t>
      </w:r>
      <w:r>
        <w:rPr>
          <w:rFonts w:ascii="Segoe UI" w:eastAsia="Segoe UI" w:hAnsi="Segoe UI" w:cs="Segoe UI"/>
          <w:b/>
          <w:color w:val="008080"/>
          <w:kern w:val="24"/>
          <w:sz w:val="18"/>
          <w:szCs w:val="24"/>
          <w:lang w:val="el-GR" w:eastAsia="el-GR"/>
        </w:rPr>
        <w:t>ΜΕΑ</w:t>
      </w:r>
      <w:r w:rsidRPr="006A1C4A">
        <w:rPr>
          <w:rFonts w:ascii="Segoe UI" w:eastAsia="Segoe UI" w:hAnsi="Segoe UI" w:cs="Segoe UI"/>
          <w:b/>
          <w:color w:val="008080"/>
          <w:kern w:val="24"/>
          <w:sz w:val="18"/>
          <w:szCs w:val="24"/>
          <w:lang w:val="el-GR" w:eastAsia="el-GR"/>
        </w:rPr>
        <w:t xml:space="preserve"> </w:t>
      </w:r>
      <w:r>
        <w:rPr>
          <w:rFonts w:ascii="Segoe UI" w:eastAsia="Segoe UI" w:hAnsi="Segoe UI" w:cs="Segoe UI"/>
          <w:b/>
          <w:color w:val="008080"/>
          <w:kern w:val="24"/>
          <w:sz w:val="18"/>
          <w:szCs w:val="24"/>
          <w:lang w:val="el-GR" w:eastAsia="el-GR"/>
        </w:rPr>
        <w:t>(Τράπεζα)</w:t>
      </w:r>
      <w:r w:rsidRPr="006A1C4A">
        <w:rPr>
          <w:rFonts w:ascii="Segoe UI" w:eastAsia="Segoe UI" w:hAnsi="Segoe UI" w:cs="Segoe UI"/>
          <w:b/>
          <w:color w:val="008080"/>
          <w:kern w:val="24"/>
          <w:sz w:val="18"/>
          <w:szCs w:val="24"/>
          <w:lang w:val="el-GR" w:eastAsia="el-GR"/>
        </w:rPr>
        <w:t xml:space="preserve"> &amp; </w:t>
      </w:r>
      <w:r>
        <w:rPr>
          <w:rFonts w:ascii="Segoe UI" w:eastAsia="Segoe UI" w:hAnsi="Segoe UI" w:cs="Segoe UI"/>
          <w:b/>
          <w:color w:val="008080"/>
          <w:kern w:val="24"/>
          <w:sz w:val="18"/>
          <w:szCs w:val="24"/>
          <w:lang w:val="el-GR" w:eastAsia="el-GR"/>
        </w:rPr>
        <w:t>στόχος (</w:t>
      </w:r>
      <w:r w:rsidRPr="006A1C4A">
        <w:rPr>
          <w:rFonts w:ascii="Segoe UI" w:eastAsia="Segoe UI" w:hAnsi="Segoe UI" w:cs="Segoe UI"/>
          <w:b/>
          <w:color w:val="008080"/>
          <w:kern w:val="24"/>
          <w:sz w:val="18"/>
          <w:szCs w:val="24"/>
          <w:lang w:val="el-GR" w:eastAsia="el-GR"/>
        </w:rPr>
        <w:t>€</w:t>
      </w:r>
      <w:r>
        <w:rPr>
          <w:rFonts w:ascii="Segoe UI" w:eastAsia="Segoe UI" w:hAnsi="Segoe UI" w:cs="Segoe UI"/>
          <w:b/>
          <w:color w:val="008080"/>
          <w:kern w:val="24"/>
          <w:sz w:val="18"/>
          <w:szCs w:val="24"/>
          <w:lang w:val="el-GR" w:eastAsia="el-GR"/>
        </w:rPr>
        <w:t>δισ.</w:t>
      </w:r>
      <w:r w:rsidRPr="006A1C4A">
        <w:rPr>
          <w:rFonts w:ascii="Segoe UI" w:eastAsia="Segoe UI" w:hAnsi="Segoe UI" w:cs="Segoe UI"/>
          <w:b/>
          <w:color w:val="008080"/>
          <w:kern w:val="24"/>
          <w:sz w:val="18"/>
          <w:szCs w:val="24"/>
          <w:lang w:val="el-GR" w:eastAsia="el-GR"/>
        </w:rPr>
        <w:t>)</w:t>
      </w:r>
    </w:p>
    <w:p w:rsidR="002512F7" w:rsidRDefault="00486D0B">
      <w:pPr>
        <w:spacing w:after="0" w:line="240" w:lineRule="auto"/>
        <w:rPr>
          <w:rFonts w:ascii="Segoe UI" w:eastAsia="Segoe UI" w:hAnsi="Segoe UI" w:cs="Segoe UI"/>
          <w:b/>
          <w:color w:val="008080"/>
          <w:kern w:val="24"/>
          <w:sz w:val="18"/>
          <w:szCs w:val="24"/>
          <w:lang w:val="el-GR" w:eastAsia="el-GR"/>
        </w:rPr>
      </w:pPr>
      <w:r w:rsidRPr="00486D0B">
        <w:rPr>
          <w:noProof/>
          <w:lang w:val="el-GR" w:eastAsia="el-GR"/>
        </w:rPr>
        <w:pict>
          <v:oval id="Oval 32" o:spid="_x0000_s1050" style="position:absolute;margin-left:362pt;margin-top:28pt;width:38.2pt;height:17.6pt;z-index:25200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" filled="f" strokecolor="#c00000" strokeweight="2pt"/>
        </w:pict>
      </w:r>
      <w:r w:rsidRPr="00486D0B">
        <w:rPr>
          <w:rFonts w:eastAsia="Calibri"/>
          <w:noProof/>
          <w:lang w:val="el-GR" w:eastAsia="el-GR"/>
        </w:rPr>
        <w:pict>
          <v:shape id="TextBox 31" o:spid="_x0000_s1033" type="#_x0000_t202" style="position:absolute;margin-left:362pt;margin-top:27.65pt;width:36.8pt;height:16.95pt;z-index:25199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" fillcolor="window" stroked="f">
            <v:textbox style="mso-fit-shape-to-text:t">
              <w:txbxContent>
                <w:p w:rsidR="005726A5" w:rsidRDefault="005726A5" w:rsidP="008522D9">
                  <w:pPr>
                    <w:pStyle w:val="Web"/>
                    <w:spacing w:before="0" w:beforeAutospacing="0" w:after="0" w:afterAutospacing="0"/>
                    <w:jc w:val="center"/>
                    <w:textAlignment w:val="baseline"/>
                  </w:pPr>
                  <w:r>
                    <w:rPr>
                      <w:rFonts w:asciiTheme="minorHAnsi" w:hAnsi="Calibri" w:cs="Arial"/>
                      <w:b/>
                      <w:bCs/>
                      <w:color w:val="C00000"/>
                      <w:kern w:val="24"/>
                      <w:sz w:val="16"/>
                      <w:szCs w:val="16"/>
                      <w:lang w:val="en-US"/>
                    </w:rPr>
                    <w:t>-9.8</w:t>
                  </w:r>
                </w:p>
              </w:txbxContent>
            </v:textbox>
          </v:shape>
        </w:pict>
      </w:r>
      <w:r w:rsidR="006A1C4A" w:rsidRPr="005D2EEA">
        <w:rPr>
          <w:rFonts w:ascii="Segoe UI" w:hAnsi="Segoe UI" w:cs="Segoe UI"/>
          <w:b/>
          <w:noProof/>
          <w:sz w:val="32"/>
          <w:szCs w:val="24"/>
          <w:lang w:val="el-GR" w:eastAsia="el-GR"/>
        </w:rPr>
        <w:drawing>
          <wp:inline distT="0" distB="0" distL="0" distR="0">
            <wp:extent cx="5417820" cy="2203450"/>
            <wp:effectExtent l="0" t="0" r="11430" b="6350"/>
            <wp:docPr id="7"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512F7">
        <w:rPr>
          <w:rFonts w:ascii="Segoe UI" w:eastAsia="Segoe UI" w:hAnsi="Segoe UI" w:cs="Segoe UI"/>
          <w:b/>
          <w:color w:val="008080"/>
          <w:kern w:val="24"/>
          <w:sz w:val="18"/>
          <w:szCs w:val="24"/>
          <w:lang w:val="el-GR" w:eastAsia="el-GR"/>
        </w:rPr>
        <w:br w:type="page"/>
      </w:r>
    </w:p>
    <w:tbl>
      <w:tblPr>
        <w:tblStyle w:val="aa"/>
        <w:tblW w:w="86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8642"/>
      </w:tblGrid>
      <w:tr w:rsidR="00280170" w:rsidRPr="001F08D5" w:rsidTr="00C55D38">
        <w:trPr>
          <w:trHeight w:val="567"/>
        </w:trPr>
        <w:tc>
          <w:tcPr>
            <w:tcW w:w="8642" w:type="dxa"/>
            <w:shd w:val="clear" w:color="auto" w:fill="D9D9D9" w:themeFill="background1" w:themeFillShade="D9"/>
            <w:vAlign w:val="bottom"/>
          </w:tcPr>
          <w:p w:rsidR="00280170" w:rsidRPr="00F215BB" w:rsidRDefault="00280170" w:rsidP="00C55D38">
            <w:pPr>
              <w:pStyle w:val="Default"/>
              <w:tabs>
                <w:tab w:val="left" w:pos="1816"/>
              </w:tabs>
              <w:spacing w:after="160" w:line="320" w:lineRule="atLeast"/>
              <w:jc w:val="center"/>
              <w:rPr>
                <w:rFonts w:ascii="Segoe UI" w:hAnsi="Segoe UI" w:cs="Segoe UI"/>
                <w:b/>
                <w:color w:val="auto"/>
                <w:sz w:val="22"/>
              </w:rPr>
            </w:pPr>
            <w:r>
              <w:rPr>
                <w:rFonts w:ascii="Segoe UI" w:hAnsi="Segoe UI" w:cs="Segoe UI"/>
                <w:b/>
                <w:color w:val="auto"/>
              </w:rPr>
              <w:t>Κεφαλαιακή Επάρκεια</w:t>
            </w:r>
          </w:p>
        </w:tc>
      </w:tr>
    </w:tbl>
    <w:p w:rsidR="00280170" w:rsidRPr="00013D67" w:rsidRDefault="00280170" w:rsidP="00280170">
      <w:pPr>
        <w:spacing w:before="240" w:after="160"/>
        <w:jc w:val="both"/>
        <w:rPr>
          <w:rFonts w:ascii="Segoe UI" w:hAnsi="Segoe UI" w:cs="Segoe UI"/>
          <w:sz w:val="20"/>
          <w:lang w:val="el-GR" w:eastAsia="el-GR" w:bidi="el-GR"/>
        </w:rPr>
      </w:pPr>
      <w:r w:rsidRPr="00E651CA">
        <w:rPr>
          <w:rFonts w:ascii="Segoe UI" w:hAnsi="Segoe UI" w:cs="Segoe UI"/>
          <w:sz w:val="20"/>
          <w:lang w:val="el-GR" w:eastAsia="el-GR" w:bidi="el-GR"/>
        </w:rPr>
        <w:t xml:space="preserve">Λαμβάνοντας υπόψη τα κέρδη μετά από φόρους του </w:t>
      </w:r>
      <w:r w:rsidR="000E3861">
        <w:rPr>
          <w:rFonts w:ascii="Segoe UI" w:hAnsi="Segoe UI" w:cs="Segoe UI"/>
          <w:sz w:val="20"/>
          <w:lang w:val="el-GR" w:eastAsia="el-GR" w:bidi="el-GR"/>
        </w:rPr>
        <w:t xml:space="preserve">εννεαμήνου </w:t>
      </w:r>
      <w:r w:rsidRPr="00E651CA">
        <w:rPr>
          <w:rFonts w:ascii="Segoe UI" w:hAnsi="Segoe UI" w:cs="Segoe UI"/>
          <w:sz w:val="20"/>
          <w:lang w:val="el-GR" w:eastAsia="el-GR" w:bidi="el-GR"/>
        </w:rPr>
        <w:t xml:space="preserve">2019, καθώς και το όφελος από τις συμφωνηθείσες </w:t>
      </w:r>
      <w:r>
        <w:rPr>
          <w:rFonts w:ascii="Segoe UI" w:hAnsi="Segoe UI" w:cs="Segoe UI"/>
          <w:sz w:val="20"/>
          <w:lang w:val="el-GR" w:eastAsia="el-GR" w:bidi="el-GR"/>
        </w:rPr>
        <w:t>αποεπενδύσεις</w:t>
      </w:r>
      <w:r w:rsidRPr="00E651CA">
        <w:rPr>
          <w:rFonts w:ascii="Segoe UI" w:hAnsi="Segoe UI" w:cs="Segoe UI"/>
          <w:sz w:val="20"/>
          <w:lang w:val="el-GR" w:eastAsia="el-GR" w:bidi="el-GR"/>
        </w:rPr>
        <w:t xml:space="preserve">, ο </w:t>
      </w:r>
      <w:r w:rsidRPr="00E651CA">
        <w:rPr>
          <w:rFonts w:ascii="Segoe UI" w:hAnsi="Segoe UI" w:cs="Segoe UI"/>
          <w:b/>
          <w:sz w:val="20"/>
          <w:lang w:val="el-GR" w:eastAsia="el-GR" w:bidi="el-GR"/>
        </w:rPr>
        <w:t>δείκτης CET1</w:t>
      </w:r>
      <w:r w:rsidRPr="00E651CA">
        <w:rPr>
          <w:rFonts w:ascii="Segoe UI" w:hAnsi="Segoe UI" w:cs="Segoe UI"/>
          <w:sz w:val="20"/>
          <w:lang w:val="el-GR" w:eastAsia="el-GR" w:bidi="el-GR"/>
        </w:rPr>
        <w:t xml:space="preserve"> διαμορφώνεται σε 16,</w:t>
      </w:r>
      <w:r w:rsidR="000E3861">
        <w:rPr>
          <w:rFonts w:ascii="Segoe UI" w:hAnsi="Segoe UI" w:cs="Segoe UI"/>
          <w:sz w:val="20"/>
          <w:lang w:val="el-GR" w:eastAsia="el-GR" w:bidi="el-GR"/>
        </w:rPr>
        <w:t>8</w:t>
      </w:r>
      <w:r w:rsidR="006E2D82">
        <w:rPr>
          <w:rFonts w:ascii="Segoe UI" w:hAnsi="Segoe UI" w:cs="Segoe UI"/>
          <w:sz w:val="20"/>
          <w:lang w:val="el-GR" w:eastAsia="el-GR" w:bidi="el-GR"/>
        </w:rPr>
        <w:t xml:space="preserve">%, αυξημένος κατά 80μ.β. σε τριμηνιαία βάση, </w:t>
      </w:r>
      <w:r w:rsidRPr="00E651CA">
        <w:rPr>
          <w:rFonts w:ascii="Segoe UI" w:hAnsi="Segoe UI" w:cs="Segoe UI"/>
          <w:sz w:val="20"/>
          <w:lang w:val="el-GR" w:eastAsia="el-GR" w:bidi="el-GR"/>
        </w:rPr>
        <w:t xml:space="preserve">με το </w:t>
      </w:r>
      <w:r w:rsidRPr="004D613C">
        <w:rPr>
          <w:rFonts w:ascii="Segoe UI" w:hAnsi="Segoe UI" w:cs="Segoe UI"/>
          <w:b/>
          <w:sz w:val="20"/>
          <w:lang w:val="el-GR" w:eastAsia="el-GR" w:bidi="el-GR"/>
        </w:rPr>
        <w:t>Συνολικό Δείκτη Κεφαλαιακής Επάρκει</w:t>
      </w:r>
      <w:r w:rsidRPr="00E651CA">
        <w:rPr>
          <w:rFonts w:ascii="Segoe UI" w:hAnsi="Segoe UI" w:cs="Segoe UI"/>
          <w:b/>
          <w:sz w:val="20"/>
          <w:lang w:val="el-GR" w:eastAsia="el-GR" w:bidi="el-GR"/>
        </w:rPr>
        <w:t>ας</w:t>
      </w:r>
      <w:r w:rsidRPr="00E651CA">
        <w:rPr>
          <w:rFonts w:ascii="Segoe UI" w:hAnsi="Segoe UI" w:cs="Segoe UI"/>
          <w:sz w:val="20"/>
          <w:lang w:val="el-GR" w:eastAsia="el-GR" w:bidi="el-GR"/>
        </w:rPr>
        <w:t xml:space="preserve"> να ανέρχεται σε 17,</w:t>
      </w:r>
      <w:r w:rsidR="00EB362D">
        <w:rPr>
          <w:rFonts w:ascii="Segoe UI" w:hAnsi="Segoe UI" w:cs="Segoe UI"/>
          <w:sz w:val="20"/>
          <w:lang w:val="el-GR" w:eastAsia="el-GR" w:bidi="el-GR"/>
        </w:rPr>
        <w:t>7%</w:t>
      </w:r>
      <w:r w:rsidRPr="00013D67">
        <w:rPr>
          <w:rFonts w:ascii="Segoe UI" w:hAnsi="Segoe UI" w:cs="Segoe UI"/>
          <w:sz w:val="20"/>
          <w:lang w:val="el-GR" w:eastAsia="el-GR" w:bidi="el-GR"/>
        </w:rPr>
        <w:t>.</w:t>
      </w:r>
      <w:r w:rsidR="00C55D38">
        <w:rPr>
          <w:rFonts w:ascii="Segoe UI" w:hAnsi="Segoe UI" w:cs="Segoe UI"/>
          <w:sz w:val="20"/>
          <w:lang w:val="el-GR" w:eastAsia="el-GR" w:bidi="el-GR"/>
        </w:rPr>
        <w:t xml:space="preserve"> Συμπεριλαμβανομένης της μείωσης ύψους €1</w:t>
      </w:r>
      <w:r w:rsidR="0025137F" w:rsidRPr="00FD1E85">
        <w:rPr>
          <w:rFonts w:ascii="Segoe UI" w:hAnsi="Segoe UI" w:cs="Segoe UI"/>
          <w:sz w:val="20"/>
          <w:lang w:val="el-GR" w:eastAsia="el-GR" w:bidi="el-GR"/>
        </w:rPr>
        <w:t xml:space="preserve"> </w:t>
      </w:r>
      <w:r w:rsidR="00C55D38">
        <w:rPr>
          <w:rFonts w:ascii="Segoe UI" w:hAnsi="Segoe UI" w:cs="Segoe UI"/>
          <w:sz w:val="20"/>
          <w:lang w:val="el-GR" w:eastAsia="el-GR" w:bidi="el-GR"/>
        </w:rPr>
        <w:t xml:space="preserve">δισ. των </w:t>
      </w:r>
      <w:r w:rsidR="00C55D38" w:rsidRPr="00C55D38">
        <w:rPr>
          <w:rFonts w:ascii="Segoe UI" w:hAnsi="Segoe UI" w:cs="Segoe UI"/>
          <w:sz w:val="20"/>
          <w:lang w:val="el-GR" w:eastAsia="el-GR" w:bidi="el-GR"/>
        </w:rPr>
        <w:t>Σταθμισμέν</w:t>
      </w:r>
      <w:r w:rsidR="00C55D38">
        <w:rPr>
          <w:rFonts w:ascii="Segoe UI" w:hAnsi="Segoe UI" w:cs="Segoe UI"/>
          <w:sz w:val="20"/>
          <w:lang w:val="el-GR" w:eastAsia="el-GR" w:bidi="el-GR"/>
        </w:rPr>
        <w:t>ων</w:t>
      </w:r>
      <w:r w:rsidR="00C55D38" w:rsidRPr="00C55D38">
        <w:rPr>
          <w:rFonts w:ascii="Segoe UI" w:hAnsi="Segoe UI" w:cs="Segoe UI"/>
          <w:sz w:val="20"/>
          <w:lang w:val="el-GR" w:eastAsia="el-GR" w:bidi="el-GR"/>
        </w:rPr>
        <w:t xml:space="preserve"> Στοιχεί</w:t>
      </w:r>
      <w:r w:rsidR="00C55D38">
        <w:rPr>
          <w:rFonts w:ascii="Segoe UI" w:hAnsi="Segoe UI" w:cs="Segoe UI"/>
          <w:sz w:val="20"/>
          <w:lang w:val="el-GR" w:eastAsia="el-GR" w:bidi="el-GR"/>
        </w:rPr>
        <w:t xml:space="preserve">ων Ενεργητικού από την πώληση των θυγατρικών σε Ρουμανία, Αίγυπτο και Κύπρο, </w:t>
      </w:r>
      <w:r w:rsidR="00DE78EC">
        <w:rPr>
          <w:rFonts w:ascii="Segoe UI" w:hAnsi="Segoe UI" w:cs="Segoe UI"/>
          <w:sz w:val="20"/>
          <w:lang w:val="el-GR" w:eastAsia="el-GR" w:bidi="el-GR"/>
        </w:rPr>
        <w:t xml:space="preserve">τα </w:t>
      </w:r>
      <w:r w:rsidR="00DE78EC" w:rsidRPr="00DE78EC">
        <w:rPr>
          <w:rFonts w:ascii="Segoe UI" w:hAnsi="Segoe UI" w:cs="Segoe UI"/>
          <w:sz w:val="20"/>
          <w:lang w:val="el-GR" w:eastAsia="el-GR" w:bidi="el-GR"/>
        </w:rPr>
        <w:t>Στ</w:t>
      </w:r>
      <w:r w:rsidR="00DE78EC">
        <w:rPr>
          <w:rFonts w:ascii="Segoe UI" w:hAnsi="Segoe UI" w:cs="Segoe UI"/>
          <w:sz w:val="20"/>
          <w:lang w:val="el-GR" w:eastAsia="el-GR" w:bidi="el-GR"/>
        </w:rPr>
        <w:t>αθμισμένα Στοιχεία Ενεργητικού διαμορφώθηκαν σε €37,</w:t>
      </w:r>
      <w:r w:rsidR="00E177E3">
        <w:rPr>
          <w:rFonts w:ascii="Segoe UI" w:hAnsi="Segoe UI" w:cs="Segoe UI"/>
          <w:sz w:val="20"/>
          <w:lang w:val="el-GR" w:eastAsia="el-GR" w:bidi="el-GR"/>
        </w:rPr>
        <w:t xml:space="preserve">0 </w:t>
      </w:r>
      <w:r w:rsidR="00DE78EC">
        <w:rPr>
          <w:rFonts w:ascii="Segoe UI" w:hAnsi="Segoe UI" w:cs="Segoe UI"/>
          <w:sz w:val="20"/>
          <w:lang w:val="el-GR" w:eastAsia="el-GR" w:bidi="el-GR"/>
        </w:rPr>
        <w:t>δισ., μειωμένα κατά €0,</w:t>
      </w:r>
      <w:r w:rsidR="00E177E3">
        <w:rPr>
          <w:rFonts w:ascii="Segoe UI" w:hAnsi="Segoe UI" w:cs="Segoe UI"/>
          <w:sz w:val="20"/>
          <w:lang w:val="el-GR" w:eastAsia="el-GR" w:bidi="el-GR"/>
        </w:rPr>
        <w:t xml:space="preserve">4 </w:t>
      </w:r>
      <w:r w:rsidR="00DE78EC">
        <w:rPr>
          <w:rFonts w:ascii="Segoe UI" w:hAnsi="Segoe UI" w:cs="Segoe UI"/>
          <w:sz w:val="20"/>
          <w:lang w:val="el-GR" w:eastAsia="el-GR" w:bidi="el-GR"/>
        </w:rPr>
        <w:t xml:space="preserve">δισ. σε τριμηνιαία βάση. </w:t>
      </w:r>
    </w:p>
    <w:p w:rsidR="00280170" w:rsidRPr="009525E3" w:rsidRDefault="00280170" w:rsidP="00280170">
      <w:pPr>
        <w:spacing w:before="240" w:after="160"/>
        <w:jc w:val="both"/>
        <w:rPr>
          <w:rFonts w:ascii="Segoe UI" w:hAnsi="Segoe UI" w:cs="Segoe UI"/>
          <w:sz w:val="20"/>
          <w:lang w:val="el-GR" w:eastAsia="el-GR" w:bidi="el-GR"/>
        </w:rPr>
      </w:pPr>
      <w:r w:rsidRPr="00E651CA">
        <w:rPr>
          <w:rFonts w:ascii="Segoe UI" w:hAnsi="Segoe UI" w:cs="Segoe UI"/>
          <w:sz w:val="20"/>
          <w:lang w:val="el-GR" w:eastAsia="el-GR" w:bidi="el-GR"/>
        </w:rPr>
        <w:t>Ο</w:t>
      </w:r>
      <w:r>
        <w:rPr>
          <w:rFonts w:ascii="Segoe UI" w:hAnsi="Segoe UI" w:cs="Segoe UI"/>
          <w:sz w:val="20"/>
          <w:lang w:val="el-GR" w:eastAsia="el-GR" w:bidi="el-GR"/>
        </w:rPr>
        <w:t>ι</w:t>
      </w:r>
      <w:r w:rsidRPr="00E651CA">
        <w:rPr>
          <w:rFonts w:ascii="Segoe UI" w:hAnsi="Segoe UI" w:cs="Segoe UI"/>
          <w:sz w:val="20"/>
          <w:lang w:val="el-GR" w:eastAsia="el-GR" w:bidi="el-GR"/>
        </w:rPr>
        <w:t xml:space="preserve"> </w:t>
      </w:r>
      <w:r>
        <w:rPr>
          <w:rFonts w:ascii="Segoe UI" w:hAnsi="Segoe UI" w:cs="Segoe UI"/>
          <w:sz w:val="20"/>
          <w:lang w:val="el-GR" w:eastAsia="el-GR" w:bidi="el-GR"/>
        </w:rPr>
        <w:t xml:space="preserve">εν λόγω </w:t>
      </w:r>
      <w:r w:rsidRPr="00E651CA">
        <w:rPr>
          <w:rFonts w:ascii="Segoe UI" w:hAnsi="Segoe UI" w:cs="Segoe UI"/>
          <w:sz w:val="20"/>
          <w:lang w:val="el-GR" w:eastAsia="el-GR" w:bidi="el-GR"/>
        </w:rPr>
        <w:t xml:space="preserve">δείκτες υπερβαίνουν </w:t>
      </w:r>
      <w:r>
        <w:rPr>
          <w:rFonts w:ascii="Segoe UI" w:hAnsi="Segoe UI" w:cs="Segoe UI"/>
          <w:sz w:val="20"/>
          <w:lang w:val="el-GR" w:eastAsia="el-GR" w:bidi="el-GR"/>
        </w:rPr>
        <w:t>τις κεφαλαιακές απαιτήσεις βάσει του</w:t>
      </w:r>
      <w:r w:rsidRPr="00E651CA">
        <w:rPr>
          <w:rFonts w:ascii="Segoe UI" w:hAnsi="Segoe UI" w:cs="Segoe UI"/>
          <w:sz w:val="20"/>
          <w:lang w:val="el-GR" w:eastAsia="el-GR" w:bidi="el-GR"/>
        </w:rPr>
        <w:t xml:space="preserve"> Εποπτικού Ελέγχου και Διαδικασίας Αξιολόγησης (SREP) για το 2019 και το 2020, </w:t>
      </w:r>
      <w:r w:rsidR="001254C4">
        <w:rPr>
          <w:rFonts w:ascii="Segoe UI" w:hAnsi="Segoe UI" w:cs="Segoe UI"/>
          <w:sz w:val="20"/>
          <w:lang w:val="el-GR" w:eastAsia="el-GR" w:bidi="el-GR"/>
        </w:rPr>
        <w:t>αντανακλώντας τ</w:t>
      </w:r>
      <w:r>
        <w:rPr>
          <w:rFonts w:ascii="Segoe UI" w:hAnsi="Segoe UI" w:cs="Segoe UI"/>
          <w:sz w:val="20"/>
          <w:lang w:val="el-GR" w:eastAsia="el-GR" w:bidi="el-GR"/>
        </w:rPr>
        <w:t xml:space="preserve">α ισχυρά κέρδη μετά φόρων του </w:t>
      </w:r>
      <w:r w:rsidR="001254C4">
        <w:rPr>
          <w:rFonts w:ascii="Segoe UI" w:hAnsi="Segoe UI" w:cs="Segoe UI"/>
          <w:sz w:val="20"/>
          <w:lang w:val="el-GR" w:eastAsia="el-GR" w:bidi="el-GR"/>
        </w:rPr>
        <w:t xml:space="preserve">εννιαμήνου 2019, καθώς </w:t>
      </w:r>
      <w:r w:rsidRPr="00E651CA">
        <w:rPr>
          <w:rFonts w:ascii="Segoe UI" w:hAnsi="Segoe UI" w:cs="Segoe UI"/>
          <w:sz w:val="20"/>
          <w:lang w:val="el-GR" w:eastAsia="el-GR" w:bidi="el-GR"/>
        </w:rPr>
        <w:t>και τα κέρδη από την αποτίμηση ομολόγων (FVTOCI)</w:t>
      </w:r>
      <w:r w:rsidR="001254C4">
        <w:rPr>
          <w:rFonts w:ascii="Segoe UI" w:hAnsi="Segoe UI" w:cs="Segoe UI"/>
          <w:sz w:val="20"/>
          <w:lang w:val="el-GR" w:eastAsia="el-GR" w:bidi="el-GR"/>
        </w:rPr>
        <w:t xml:space="preserve"> ύψους €0,</w:t>
      </w:r>
      <w:r w:rsidR="00C84D38" w:rsidRPr="005D7224">
        <w:rPr>
          <w:rFonts w:ascii="Segoe UI" w:hAnsi="Segoe UI" w:cs="Segoe UI"/>
          <w:sz w:val="20"/>
          <w:lang w:val="el-GR" w:eastAsia="el-GR" w:bidi="el-GR"/>
        </w:rPr>
        <w:t>3</w:t>
      </w:r>
      <w:r w:rsidR="001254C4">
        <w:rPr>
          <w:rFonts w:ascii="Segoe UI" w:hAnsi="Segoe UI" w:cs="Segoe UI"/>
          <w:sz w:val="20"/>
          <w:lang w:val="el-GR" w:eastAsia="el-GR" w:bidi="el-GR"/>
        </w:rPr>
        <w:t xml:space="preserve"> δισ. από την αρχή του έτους (</w:t>
      </w:r>
      <w:r w:rsidR="001254C4" w:rsidRPr="001254C4">
        <w:rPr>
          <w:rFonts w:ascii="Segoe UI" w:hAnsi="Segoe UI" w:cs="Segoe UI"/>
          <w:sz w:val="20"/>
          <w:lang w:val="el-GR" w:eastAsia="el-GR" w:bidi="el-GR"/>
        </w:rPr>
        <w:t>€0,</w:t>
      </w:r>
      <w:r w:rsidR="00C84D38" w:rsidRPr="00C84D38">
        <w:rPr>
          <w:rFonts w:ascii="Segoe UI" w:hAnsi="Segoe UI" w:cs="Segoe UI"/>
          <w:sz w:val="20"/>
          <w:lang w:val="el-GR" w:eastAsia="el-GR" w:bidi="el-GR"/>
        </w:rPr>
        <w:t>1</w:t>
      </w:r>
      <w:r w:rsidR="001254C4" w:rsidRPr="001254C4">
        <w:rPr>
          <w:rFonts w:ascii="Segoe UI" w:hAnsi="Segoe UI" w:cs="Segoe UI"/>
          <w:sz w:val="20"/>
          <w:lang w:val="el-GR" w:eastAsia="el-GR" w:bidi="el-GR"/>
        </w:rPr>
        <w:t xml:space="preserve"> δισ.</w:t>
      </w:r>
      <w:r w:rsidRPr="009525E3">
        <w:rPr>
          <w:rFonts w:ascii="Segoe UI" w:hAnsi="Segoe UI" w:cs="Segoe UI"/>
          <w:sz w:val="20"/>
          <w:lang w:val="el-GR" w:eastAsia="el-GR" w:bidi="el-GR"/>
        </w:rPr>
        <w:t xml:space="preserve"> </w:t>
      </w:r>
      <w:r w:rsidR="001254C4">
        <w:rPr>
          <w:rFonts w:ascii="Segoe UI" w:hAnsi="Segoe UI" w:cs="Segoe UI"/>
          <w:sz w:val="20"/>
          <w:lang w:val="el-GR" w:eastAsia="el-GR" w:bidi="el-GR"/>
        </w:rPr>
        <w:t xml:space="preserve">το Γ’ τρίμηνο 2019). </w:t>
      </w:r>
      <w:r w:rsidRPr="009525E3">
        <w:rPr>
          <w:rFonts w:ascii="Segoe UI" w:hAnsi="Segoe UI" w:cs="Segoe UI"/>
          <w:sz w:val="20"/>
          <w:lang w:val="el-GR" w:eastAsia="el-GR" w:bidi="el-GR"/>
        </w:rPr>
        <w:t xml:space="preserve">Η πώληση της Εθνικής Ασφαλιστικής αναμένεται να ενισχύσει τους κεφαλαιακούς δείκτες </w:t>
      </w:r>
      <w:r w:rsidR="00C608C5">
        <w:rPr>
          <w:rFonts w:ascii="Segoe UI" w:hAnsi="Segoe UI" w:cs="Segoe UI"/>
          <w:sz w:val="20"/>
          <w:lang w:val="el-GR" w:eastAsia="el-GR" w:bidi="el-GR"/>
        </w:rPr>
        <w:t>σημαντικά</w:t>
      </w:r>
      <w:r w:rsidRPr="009525E3">
        <w:rPr>
          <w:rFonts w:ascii="Segoe UI" w:hAnsi="Segoe UI" w:cs="Segoe UI"/>
          <w:sz w:val="20"/>
          <w:lang w:val="el-GR" w:eastAsia="el-GR" w:bidi="el-GR"/>
        </w:rPr>
        <w:t>.</w:t>
      </w:r>
      <w:r w:rsidRPr="00EA3E26">
        <w:rPr>
          <w:rFonts w:ascii="Segoe UI" w:eastAsia="Calibri" w:hAnsi="Segoe UI" w:cs="Arial"/>
          <w:b/>
          <w:noProof/>
          <w:color w:val="008080"/>
          <w:sz w:val="24"/>
          <w:u w:val="single"/>
          <w:lang w:val="el-GR" w:eastAsia="el-GR"/>
        </w:rPr>
        <w:t xml:space="preserve"> </w:t>
      </w:r>
    </w:p>
    <w:p w:rsidR="00280170" w:rsidRDefault="00280170" w:rsidP="00280170">
      <w:pPr>
        <w:spacing w:after="0" w:line="240" w:lineRule="auto"/>
        <w:rPr>
          <w:rFonts w:ascii="Segoe UI" w:eastAsia="Segoe UI" w:hAnsi="Segoe UI" w:cs="Segoe UI"/>
          <w:b/>
          <w:color w:val="008080"/>
          <w:kern w:val="24"/>
          <w:sz w:val="18"/>
          <w:szCs w:val="24"/>
          <w:lang w:val="el-GR" w:eastAsia="el-GR"/>
        </w:rPr>
      </w:pPr>
      <w:r>
        <w:rPr>
          <w:rFonts w:ascii="Segoe UI" w:eastAsia="Segoe UI" w:hAnsi="Segoe UI" w:cs="Segoe UI"/>
          <w:b/>
          <w:color w:val="008080"/>
          <w:kern w:val="24"/>
          <w:sz w:val="18"/>
          <w:szCs w:val="24"/>
          <w:lang w:val="el-GR" w:eastAsia="el-GR"/>
        </w:rPr>
        <w:t>Μεταβολή στο Δ</w:t>
      </w:r>
      <w:r w:rsidRPr="007016C5">
        <w:rPr>
          <w:rFonts w:ascii="Segoe UI" w:eastAsia="Segoe UI" w:hAnsi="Segoe UI" w:cs="Segoe UI"/>
          <w:b/>
          <w:color w:val="008080"/>
          <w:kern w:val="24"/>
          <w:sz w:val="18"/>
          <w:szCs w:val="24"/>
          <w:lang w:val="el-GR" w:eastAsia="el-GR"/>
        </w:rPr>
        <w:t xml:space="preserve">είκτη </w:t>
      </w:r>
      <w:r>
        <w:rPr>
          <w:rFonts w:ascii="Segoe UI" w:eastAsia="Segoe UI" w:hAnsi="Segoe UI" w:cs="Segoe UI"/>
          <w:b/>
          <w:color w:val="008080"/>
          <w:kern w:val="24"/>
          <w:sz w:val="18"/>
          <w:szCs w:val="24"/>
          <w:lang w:val="el-GR" w:eastAsia="el-GR"/>
        </w:rPr>
        <w:t xml:space="preserve">Κεφαλαίου Κοινών Μετοχών Κατηγορίας 1 </w:t>
      </w:r>
      <w:r w:rsidRPr="007016C5">
        <w:rPr>
          <w:rFonts w:ascii="Segoe UI" w:eastAsia="Segoe UI" w:hAnsi="Segoe UI" w:cs="Segoe UI"/>
          <w:b/>
          <w:color w:val="008080"/>
          <w:kern w:val="24"/>
          <w:sz w:val="18"/>
          <w:szCs w:val="24"/>
          <w:lang w:val="el-GR" w:eastAsia="el-GR"/>
        </w:rPr>
        <w:t>(</w:t>
      </w:r>
      <w:r w:rsidRPr="007016C5">
        <w:rPr>
          <w:rFonts w:ascii="Segoe UI" w:eastAsia="Segoe UI" w:hAnsi="Segoe UI" w:cs="Segoe UI"/>
          <w:b/>
          <w:color w:val="008080"/>
          <w:kern w:val="24"/>
          <w:sz w:val="18"/>
          <w:szCs w:val="24"/>
          <w:lang w:val="en-US" w:eastAsia="el-GR"/>
        </w:rPr>
        <w:t>CET</w:t>
      </w:r>
      <w:r w:rsidRPr="007016C5">
        <w:rPr>
          <w:rFonts w:ascii="Segoe UI" w:eastAsia="Segoe UI" w:hAnsi="Segoe UI" w:cs="Segoe UI"/>
          <w:b/>
          <w:color w:val="008080"/>
          <w:kern w:val="24"/>
          <w:sz w:val="18"/>
          <w:szCs w:val="24"/>
          <w:lang w:val="el-GR" w:eastAsia="el-GR"/>
        </w:rPr>
        <w:t>1)</w:t>
      </w:r>
      <w:r w:rsidRPr="00333B2B">
        <w:rPr>
          <w:rFonts w:ascii="Segoe UI" w:eastAsia="Segoe UI" w:hAnsi="Segoe UI" w:cs="Segoe UI"/>
          <w:b/>
          <w:color w:val="008080"/>
          <w:kern w:val="24"/>
          <w:sz w:val="18"/>
          <w:szCs w:val="24"/>
          <w:lang w:val="el-GR" w:eastAsia="el-GR"/>
        </w:rPr>
        <w:t xml:space="preserve"> </w:t>
      </w:r>
      <w:r w:rsidR="00B85DA2">
        <w:rPr>
          <w:rFonts w:ascii="Segoe UI" w:eastAsia="Segoe UI" w:hAnsi="Segoe UI" w:cs="Segoe UI"/>
          <w:b/>
          <w:color w:val="008080"/>
          <w:kern w:val="24"/>
          <w:sz w:val="18"/>
          <w:szCs w:val="24"/>
          <w:lang w:val="el-GR" w:eastAsia="el-GR"/>
        </w:rPr>
        <w:t>το Γ’ τρίμηνο 2019</w:t>
      </w:r>
    </w:p>
    <w:p w:rsidR="00242913" w:rsidRDefault="00486D0B" w:rsidP="00280170">
      <w:pPr>
        <w:spacing w:after="0" w:line="240" w:lineRule="auto"/>
        <w:rPr>
          <w:rFonts w:ascii="Segoe UI" w:eastAsia="Segoe UI" w:hAnsi="Segoe UI" w:cs="Segoe UI"/>
          <w:b/>
          <w:color w:val="008080"/>
          <w:kern w:val="24"/>
          <w:sz w:val="18"/>
          <w:szCs w:val="24"/>
          <w:lang w:val="el-GR" w:eastAsia="el-GR"/>
        </w:rPr>
      </w:pPr>
      <w:r w:rsidRPr="00486D0B">
        <w:rPr>
          <w:rFonts w:ascii="Segoe UI" w:eastAsia="Calibri" w:hAnsi="Segoe UI" w:cs="Arial"/>
          <w:b/>
          <w:noProof/>
          <w:color w:val="008080"/>
          <w:sz w:val="24"/>
          <w:u w:val="single"/>
          <w:lang w:val="el-GR" w:eastAsia="el-G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4" o:spid="_x0000_s1034" type="#_x0000_t61" style="position:absolute;margin-left:175.35pt;margin-top:102.55pt;width:40.05pt;height:28.7pt;z-index:25198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" adj="21004,-2731" strokecolor="#d9d9d9" strokeweight="1pt">
            <v:textbox>
              <w:txbxContent>
                <w:p w:rsidR="005726A5" w:rsidRPr="00EB0F77" w:rsidRDefault="005726A5" w:rsidP="00242913">
                  <w:pPr>
                    <w:spacing w:after="0" w:line="240" w:lineRule="auto"/>
                    <w:jc w:val="center"/>
                    <w:textAlignment w:val="baseline"/>
                    <w:rPr>
                      <w:rFonts w:asciiTheme="minorHAnsi" w:eastAsia="+mn-ea" w:hAnsiTheme="minorHAnsi" w:cs="+mn-cs"/>
                      <w:color w:val="000000"/>
                      <w:kern w:val="24"/>
                      <w:sz w:val="8"/>
                      <w:szCs w:val="10"/>
                      <w:lang w:val="en-US"/>
                    </w:rPr>
                  </w:pPr>
                  <w:r w:rsidRPr="00EB0F77">
                    <w:rPr>
                      <w:rFonts w:asciiTheme="minorHAnsi" w:eastAsia="+mn-ea" w:hAnsiTheme="minorHAnsi" w:cs="+mn-cs"/>
                      <w:color w:val="000000"/>
                      <w:kern w:val="24"/>
                      <w:sz w:val="8"/>
                      <w:szCs w:val="10"/>
                      <w:lang w:val="el-GR"/>
                    </w:rPr>
                    <w:t>Αναβαλλόμενη</w:t>
                  </w:r>
                  <w:r w:rsidRPr="00EB0F77">
                    <w:rPr>
                      <w:rFonts w:asciiTheme="minorHAnsi" w:eastAsia="+mn-ea" w:hAnsiTheme="minorHAnsi" w:cs="+mn-cs"/>
                      <w:color w:val="000000"/>
                      <w:kern w:val="24"/>
                      <w:sz w:val="8"/>
                      <w:szCs w:val="10"/>
                      <w:lang w:val="en-US"/>
                    </w:rPr>
                    <w:t xml:space="preserve"> </w:t>
                  </w:r>
                  <w:r w:rsidRPr="00EB0F77">
                    <w:rPr>
                      <w:rFonts w:asciiTheme="minorHAnsi" w:eastAsia="+mn-ea" w:hAnsiTheme="minorHAnsi" w:cs="+mn-cs"/>
                      <w:color w:val="000000"/>
                      <w:kern w:val="24"/>
                      <w:sz w:val="8"/>
                      <w:szCs w:val="10"/>
                      <w:lang w:val="el-GR"/>
                    </w:rPr>
                    <w:t>φορολογική</w:t>
                  </w:r>
                  <w:r w:rsidRPr="00EB0F77">
                    <w:rPr>
                      <w:rFonts w:asciiTheme="minorHAnsi" w:eastAsia="+mn-ea" w:hAnsiTheme="minorHAnsi" w:cs="+mn-cs"/>
                      <w:color w:val="000000"/>
                      <w:kern w:val="24"/>
                      <w:sz w:val="8"/>
                      <w:szCs w:val="10"/>
                      <w:lang w:val="en-US"/>
                    </w:rPr>
                    <w:t xml:space="preserve"> </w:t>
                  </w:r>
                  <w:r w:rsidRPr="00EB0F77">
                    <w:rPr>
                      <w:rFonts w:asciiTheme="minorHAnsi" w:eastAsia="+mn-ea" w:hAnsiTheme="minorHAnsi" w:cs="+mn-cs"/>
                      <w:color w:val="000000"/>
                      <w:kern w:val="24"/>
                      <w:sz w:val="8"/>
                      <w:szCs w:val="10"/>
                      <w:lang w:val="el-GR"/>
                    </w:rPr>
                    <w:t>απαίτηση</w:t>
                  </w:r>
                  <w:r w:rsidRPr="00EB0F77">
                    <w:rPr>
                      <w:rFonts w:asciiTheme="minorHAnsi" w:eastAsia="+mn-ea" w:hAnsiTheme="minorHAnsi" w:cs="+mn-cs"/>
                      <w:color w:val="000000"/>
                      <w:kern w:val="24"/>
                      <w:sz w:val="8"/>
                      <w:szCs w:val="10"/>
                      <w:lang w:val="en-US"/>
                    </w:rPr>
                    <w:t xml:space="preserve">: </w:t>
                  </w:r>
                </w:p>
                <w:p w:rsidR="005726A5" w:rsidRPr="00EB0F77" w:rsidRDefault="005726A5" w:rsidP="00242913">
                  <w:pPr>
                    <w:spacing w:after="0" w:line="240" w:lineRule="auto"/>
                    <w:jc w:val="center"/>
                    <w:textAlignment w:val="baseline"/>
                    <w:rPr>
                      <w:rFonts w:asciiTheme="minorHAnsi" w:hAnsiTheme="minorHAnsi"/>
                      <w:sz w:val="8"/>
                      <w:szCs w:val="10"/>
                    </w:rPr>
                  </w:pPr>
                  <w:r w:rsidRPr="00EB0F77">
                    <w:rPr>
                      <w:rFonts w:asciiTheme="minorHAnsi" w:eastAsia="+mn-ea" w:hAnsiTheme="minorHAnsi" w:cs="+mn-cs"/>
                      <w:color w:val="000000"/>
                      <w:kern w:val="24"/>
                      <w:sz w:val="8"/>
                      <w:szCs w:val="10"/>
                      <w:lang w:val="en-US"/>
                    </w:rPr>
                    <w:t>€4,</w:t>
                  </w:r>
                  <w:r>
                    <w:rPr>
                      <w:rFonts w:asciiTheme="minorHAnsi" w:eastAsia="+mn-ea" w:hAnsiTheme="minorHAnsi" w:cs="+mn-cs"/>
                      <w:color w:val="000000"/>
                      <w:kern w:val="24"/>
                      <w:sz w:val="8"/>
                      <w:szCs w:val="10"/>
                      <w:lang w:val="en-US"/>
                    </w:rPr>
                    <w:t>5</w:t>
                  </w:r>
                  <w:r w:rsidRPr="00EB0F77">
                    <w:rPr>
                      <w:rFonts w:asciiTheme="minorHAnsi" w:eastAsia="+mn-ea" w:hAnsiTheme="minorHAnsi" w:cs="+mn-cs"/>
                      <w:color w:val="000000"/>
                      <w:kern w:val="24"/>
                      <w:sz w:val="8"/>
                      <w:szCs w:val="10"/>
                      <w:lang w:val="en-US"/>
                    </w:rPr>
                    <w:t xml:space="preserve"> δισ.</w:t>
                  </w:r>
                </w:p>
              </w:txbxContent>
            </v:textbox>
          </v:shape>
        </w:pict>
      </w:r>
      <w:r>
        <w:rPr>
          <w:rFonts w:ascii="Segoe UI" w:eastAsia="Segoe UI" w:hAnsi="Segoe UI" w:cs="Segoe UI"/>
          <w:b/>
          <w:noProof/>
          <w:color w:val="008080"/>
          <w:kern w:val="24"/>
          <w:sz w:val="18"/>
          <w:szCs w:val="24"/>
          <w:lang w:val="el-GR" w:eastAsia="el-GR"/>
        </w:rPr>
        <w:pict>
          <v:shape id="Rectangular Callout 18" o:spid="_x0000_s1035" type="#_x0000_t61" style="position:absolute;margin-left:186.4pt;margin-top:30.95pt;width:43.5pt;height:22.5pt;z-index:25199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" adj="21801,-5135" fillcolor="window" strokecolor="#d9d9d9" strokeweight="1pt">
            <v:path arrowok="t"/>
            <v:textbox>
              <w:txbxContent>
                <w:p w:rsidR="005726A5" w:rsidRDefault="005726A5" w:rsidP="00242913">
                  <w:pPr>
                    <w:spacing w:after="0"/>
                    <w:jc w:val="center"/>
                    <w:textAlignment w:val="baseline"/>
                    <w:rPr>
                      <w:rFonts w:ascii="Segoe UI" w:hAnsi="Segoe UI" w:cs="Segoe UI"/>
                      <w:color w:val="000000" w:themeColor="text1"/>
                      <w:kern w:val="24"/>
                      <w:sz w:val="10"/>
                      <w:szCs w:val="14"/>
                      <w:lang w:val="el-GR"/>
                    </w:rPr>
                  </w:pPr>
                  <w:r w:rsidRPr="000E146E">
                    <w:rPr>
                      <w:rFonts w:ascii="Segoe UI" w:hAnsi="Segoe UI" w:cs="Segoe UI"/>
                      <w:color w:val="000000" w:themeColor="text1"/>
                      <w:kern w:val="24"/>
                      <w:sz w:val="10"/>
                      <w:szCs w:val="14"/>
                      <w:lang w:val="en-US"/>
                    </w:rPr>
                    <w:t>CET</w:t>
                  </w:r>
                  <w:r w:rsidRPr="000E146E">
                    <w:rPr>
                      <w:rFonts w:ascii="Segoe UI" w:hAnsi="Segoe UI" w:cs="Segoe UI"/>
                      <w:color w:val="000000" w:themeColor="text1"/>
                      <w:kern w:val="24"/>
                      <w:sz w:val="10"/>
                      <w:szCs w:val="14"/>
                      <w:lang w:val="el-GR"/>
                    </w:rPr>
                    <w:t xml:space="preserve">1 </w:t>
                  </w:r>
                  <w:r w:rsidRPr="000E146E">
                    <w:rPr>
                      <w:rFonts w:ascii="Segoe UI" w:hAnsi="Segoe UI" w:cs="Segoe UI"/>
                      <w:color w:val="000000" w:themeColor="text1"/>
                      <w:kern w:val="24"/>
                      <w:sz w:val="10"/>
                      <w:szCs w:val="14"/>
                      <w:lang w:val="en-US"/>
                    </w:rPr>
                    <w:t>FL</w:t>
                  </w:r>
                  <w:r w:rsidRPr="000E146E">
                    <w:rPr>
                      <w:rFonts w:ascii="Segoe UI" w:hAnsi="Segoe UI" w:cs="Segoe UI"/>
                      <w:color w:val="000000" w:themeColor="text1"/>
                      <w:kern w:val="24"/>
                      <w:sz w:val="10"/>
                      <w:szCs w:val="14"/>
                      <w:lang w:val="el-GR"/>
                    </w:rPr>
                    <w:t xml:space="preserve"> </w:t>
                  </w:r>
                </w:p>
                <w:p w:rsidR="005726A5" w:rsidRPr="000E146E" w:rsidRDefault="005726A5" w:rsidP="00242913">
                  <w:pPr>
                    <w:spacing w:after="0"/>
                    <w:jc w:val="center"/>
                    <w:textAlignment w:val="baseline"/>
                    <w:rPr>
                      <w:rFonts w:ascii="Segoe UI" w:hAnsi="Segoe UI" w:cs="Segoe UI"/>
                      <w:color w:val="000000" w:themeColor="text1"/>
                      <w:kern w:val="24"/>
                      <w:sz w:val="10"/>
                      <w:szCs w:val="14"/>
                      <w:lang w:val="el-GR"/>
                    </w:rPr>
                  </w:pPr>
                  <w:r w:rsidRPr="000E146E">
                    <w:rPr>
                      <w:rFonts w:ascii="Segoe UI" w:hAnsi="Segoe UI" w:cs="Segoe UI"/>
                      <w:color w:val="000000" w:themeColor="text1"/>
                      <w:kern w:val="24"/>
                      <w:sz w:val="10"/>
                      <w:szCs w:val="14"/>
                      <w:lang w:val="el-GR"/>
                    </w:rPr>
                    <w:t>13,</w:t>
                  </w:r>
                  <w:r>
                    <w:rPr>
                      <w:rFonts w:ascii="Segoe UI" w:hAnsi="Segoe UI" w:cs="Segoe UI"/>
                      <w:color w:val="000000" w:themeColor="text1"/>
                      <w:kern w:val="24"/>
                      <w:sz w:val="10"/>
                      <w:szCs w:val="14"/>
                      <w:lang w:val="el-GR"/>
                    </w:rPr>
                    <w:t>1</w:t>
                  </w:r>
                  <w:r w:rsidRPr="000E146E">
                    <w:rPr>
                      <w:rFonts w:ascii="Segoe UI" w:hAnsi="Segoe UI" w:cs="Segoe UI"/>
                      <w:color w:val="000000" w:themeColor="text1"/>
                      <w:kern w:val="24"/>
                      <w:sz w:val="10"/>
                      <w:szCs w:val="14"/>
                      <w:lang w:val="el-GR"/>
                    </w:rPr>
                    <w:t>%,</w:t>
                  </w:r>
                </w:p>
              </w:txbxContent>
            </v:textbox>
          </v:shape>
        </w:pict>
      </w:r>
      <w:r>
        <w:rPr>
          <w:rFonts w:ascii="Segoe UI" w:eastAsia="Segoe UI" w:hAnsi="Segoe UI" w:cs="Segoe UI"/>
          <w:b/>
          <w:noProof/>
          <w:color w:val="008080"/>
          <w:kern w:val="24"/>
          <w:sz w:val="18"/>
          <w:szCs w:val="24"/>
          <w:lang w:val="el-GR" w:eastAsia="el-GR"/>
        </w:rPr>
        <w:pict>
          <v:shape id="_x0000_s1036" type="#_x0000_t61" style="position:absolute;margin-left:272.8pt;margin-top:24.55pt;width:41.5pt;height:24pt;z-index:25198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" adj="21801,-5135" fillcolor="window" strokecolor="#d9d9d9" strokeweight="1pt">
            <v:path arrowok="t"/>
            <v:textbox>
              <w:txbxContent>
                <w:p w:rsidR="005726A5" w:rsidRPr="000E146E" w:rsidRDefault="005726A5" w:rsidP="00242913">
                  <w:pPr>
                    <w:spacing w:after="0"/>
                    <w:jc w:val="center"/>
                    <w:textAlignment w:val="baseline"/>
                    <w:rPr>
                      <w:rFonts w:ascii="Segoe UI" w:hAnsi="Segoe UI" w:cs="Segoe UI"/>
                      <w:color w:val="000000" w:themeColor="text1"/>
                      <w:kern w:val="24"/>
                      <w:sz w:val="10"/>
                      <w:szCs w:val="14"/>
                      <w:lang w:val="el-GR"/>
                    </w:rPr>
                  </w:pPr>
                  <w:r w:rsidRPr="000E146E">
                    <w:rPr>
                      <w:rFonts w:ascii="Segoe UI" w:hAnsi="Segoe UI" w:cs="Segoe UI"/>
                      <w:color w:val="000000" w:themeColor="text1"/>
                      <w:kern w:val="24"/>
                      <w:sz w:val="10"/>
                      <w:szCs w:val="14"/>
                      <w:lang w:val="en-US"/>
                    </w:rPr>
                    <w:t>CET</w:t>
                  </w:r>
                  <w:r w:rsidRPr="000E146E">
                    <w:rPr>
                      <w:rFonts w:ascii="Segoe UI" w:hAnsi="Segoe UI" w:cs="Segoe UI"/>
                      <w:color w:val="000000" w:themeColor="text1"/>
                      <w:kern w:val="24"/>
                      <w:sz w:val="10"/>
                      <w:szCs w:val="14"/>
                      <w:lang w:val="el-GR"/>
                    </w:rPr>
                    <w:t xml:space="preserve">1 </w:t>
                  </w:r>
                  <w:r w:rsidRPr="000E146E">
                    <w:rPr>
                      <w:rFonts w:ascii="Segoe UI" w:hAnsi="Segoe UI" w:cs="Segoe UI"/>
                      <w:color w:val="000000" w:themeColor="text1"/>
                      <w:kern w:val="24"/>
                      <w:sz w:val="10"/>
                      <w:szCs w:val="14"/>
                      <w:lang w:val="en-US"/>
                    </w:rPr>
                    <w:t>FL</w:t>
                  </w:r>
                  <w:r w:rsidRPr="000E146E">
                    <w:rPr>
                      <w:rFonts w:ascii="Segoe UI" w:hAnsi="Segoe UI" w:cs="Segoe UI"/>
                      <w:color w:val="000000" w:themeColor="text1"/>
                      <w:kern w:val="24"/>
                      <w:sz w:val="10"/>
                      <w:szCs w:val="14"/>
                      <w:lang w:val="el-GR"/>
                    </w:rPr>
                    <w:t xml:space="preserve"> 13,4%,</w:t>
                  </w:r>
                </w:p>
              </w:txbxContent>
            </v:textbox>
          </v:shape>
        </w:pict>
      </w:r>
      <w:r>
        <w:rPr>
          <w:rFonts w:ascii="Segoe UI" w:eastAsia="Segoe UI" w:hAnsi="Segoe UI" w:cs="Segoe UI"/>
          <w:b/>
          <w:noProof/>
          <w:color w:val="008080"/>
          <w:kern w:val="24"/>
          <w:sz w:val="18"/>
          <w:szCs w:val="24"/>
          <w:lang w:val="el-GR" w:eastAsia="el-GR"/>
        </w:rPr>
        <w:pict>
          <v:shape id="_x0000_s1037" type="#_x0000_t61" style="position:absolute;margin-left:351.7pt;margin-top:3.05pt;width:62.5pt;height:29.5pt;z-index:25198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" adj="-5035,3332" fillcolor="window" strokecolor="#d9d9d9" strokeweight="1pt">
            <v:path arrowok="t"/>
            <v:textbox>
              <w:txbxContent>
                <w:p w:rsidR="005726A5" w:rsidRPr="000E146E" w:rsidRDefault="005726A5" w:rsidP="00242913">
                  <w:pPr>
                    <w:jc w:val="center"/>
                    <w:rPr>
                      <w:sz w:val="9"/>
                      <w:szCs w:val="9"/>
                      <w:lang w:val="el-GR"/>
                    </w:rPr>
                  </w:pPr>
                  <w:r w:rsidRPr="000E146E">
                    <w:rPr>
                      <w:rFonts w:ascii="Segoe UI" w:hAnsi="Segoe UI" w:cs="Segoe UI"/>
                      <w:color w:val="000000" w:themeColor="text1"/>
                      <w:kern w:val="24"/>
                      <w:sz w:val="9"/>
                      <w:szCs w:val="9"/>
                      <w:lang w:val="el-GR"/>
                    </w:rPr>
                    <w:t>Συνολικός Δείκτη</w:t>
                  </w:r>
                  <w:r>
                    <w:rPr>
                      <w:rFonts w:ascii="Segoe UI" w:hAnsi="Segoe UI" w:cs="Segoe UI"/>
                      <w:color w:val="000000" w:themeColor="text1"/>
                      <w:kern w:val="24"/>
                      <w:sz w:val="9"/>
                      <w:szCs w:val="9"/>
                      <w:lang w:val="el-GR"/>
                    </w:rPr>
                    <w:t>ς Κεφαλαιακής Επάρκειας στο 17,7</w:t>
                  </w:r>
                  <w:r w:rsidRPr="000E146E">
                    <w:rPr>
                      <w:rFonts w:ascii="Segoe UI" w:hAnsi="Segoe UI" w:cs="Segoe UI"/>
                      <w:color w:val="000000" w:themeColor="text1"/>
                      <w:kern w:val="24"/>
                      <w:sz w:val="9"/>
                      <w:szCs w:val="9"/>
                      <w:lang w:val="el-GR"/>
                    </w:rPr>
                    <w:t>%</w:t>
                  </w:r>
                </w:p>
              </w:txbxContent>
            </v:textbox>
          </v:shape>
        </w:pict>
      </w:r>
      <w:r w:rsidRPr="00486D0B">
        <w:rPr>
          <w:rFonts w:ascii="Segoe UI" w:eastAsia="Calibri" w:hAnsi="Segoe UI" w:cs="Arial"/>
          <w:b/>
          <w:noProof/>
          <w:color w:val="008080"/>
          <w:sz w:val="24"/>
          <w:u w:val="single"/>
          <w:lang w:val="el-GR" w:eastAsia="el-GR"/>
        </w:rPr>
        <w:pict>
          <v:rect id="Rectangle 24" o:spid="_x0000_s1038" style="position:absolute;margin-left:303.45pt;margin-top:71.45pt;width:38.7pt;height:27.95pt;z-index:25198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" fillcolor="window" strokecolor="teal">
            <v:textbox>
              <w:txbxContent>
                <w:p w:rsidR="005726A5" w:rsidRPr="000E146E" w:rsidRDefault="005726A5" w:rsidP="00242913">
                  <w:pPr>
                    <w:spacing w:after="0" w:line="240" w:lineRule="auto"/>
                    <w:jc w:val="center"/>
                    <w:textAlignment w:val="baseline"/>
                    <w:rPr>
                      <w:rFonts w:asciiTheme="minorHAnsi" w:cstheme="minorBidi"/>
                      <w:color w:val="000000" w:themeColor="text1"/>
                      <w:kern w:val="24"/>
                      <w:sz w:val="11"/>
                      <w:szCs w:val="11"/>
                      <w:lang w:val="en-US"/>
                    </w:rPr>
                  </w:pPr>
                  <w:r w:rsidRPr="000E146E">
                    <w:rPr>
                      <w:rFonts w:asciiTheme="minorHAnsi" w:cstheme="minorBidi"/>
                      <w:color w:val="000000" w:themeColor="text1"/>
                      <w:kern w:val="24"/>
                      <w:sz w:val="11"/>
                      <w:szCs w:val="11"/>
                      <w:lang w:val="en-US"/>
                    </w:rPr>
                    <w:t>CET1:</w:t>
                  </w:r>
                </w:p>
                <w:p w:rsidR="005726A5" w:rsidRPr="000E146E" w:rsidRDefault="005726A5" w:rsidP="00242913">
                  <w:pPr>
                    <w:spacing w:after="0" w:line="240" w:lineRule="auto"/>
                    <w:jc w:val="center"/>
                    <w:textAlignment w:val="baseline"/>
                    <w:rPr>
                      <w:sz w:val="11"/>
                      <w:szCs w:val="11"/>
                    </w:rPr>
                  </w:pPr>
                  <w:r w:rsidRPr="000E146E">
                    <w:rPr>
                      <w:rFonts w:asciiTheme="minorHAnsi" w:cstheme="minorBidi"/>
                      <w:color w:val="000000" w:themeColor="text1"/>
                      <w:kern w:val="24"/>
                      <w:sz w:val="11"/>
                      <w:szCs w:val="11"/>
                    </w:rPr>
                    <w:t>€</w:t>
                  </w:r>
                  <w:r w:rsidRPr="000E146E">
                    <w:rPr>
                      <w:rFonts w:asciiTheme="minorHAnsi" w:cstheme="minorBidi"/>
                      <w:color w:val="000000" w:themeColor="text1"/>
                      <w:kern w:val="24"/>
                      <w:sz w:val="11"/>
                      <w:szCs w:val="11"/>
                      <w:lang w:val="el-GR"/>
                    </w:rPr>
                    <w:t>6,2 δισ.</w:t>
                  </w:r>
                </w:p>
              </w:txbxContent>
            </v:textbox>
          </v:rect>
        </w:pict>
      </w:r>
      <w:r w:rsidRPr="00486D0B">
        <w:rPr>
          <w:rFonts w:ascii="Segoe UI" w:eastAsia="Calibri" w:hAnsi="Segoe UI" w:cs="Arial"/>
          <w:b/>
          <w:noProof/>
          <w:color w:val="008080"/>
          <w:sz w:val="24"/>
          <w:u w:val="single"/>
          <w:lang w:val="el-GR" w:eastAsia="el-GR"/>
        </w:rPr>
        <w:pict>
          <v:rect id="_x0000_s1039" style="position:absolute;margin-left:219.3pt;margin-top:71.55pt;width:38.7pt;height:27.95pt;z-index:25199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" fillcolor="window" strokecolor="teal">
            <v:textbox>
              <w:txbxContent>
                <w:p w:rsidR="005726A5" w:rsidRPr="000E146E" w:rsidRDefault="005726A5" w:rsidP="00242913">
                  <w:pPr>
                    <w:spacing w:after="0" w:line="240" w:lineRule="auto"/>
                    <w:jc w:val="center"/>
                    <w:textAlignment w:val="baseline"/>
                    <w:rPr>
                      <w:rFonts w:asciiTheme="minorHAnsi" w:cstheme="minorBidi"/>
                      <w:color w:val="000000" w:themeColor="text1"/>
                      <w:kern w:val="24"/>
                      <w:sz w:val="11"/>
                      <w:szCs w:val="11"/>
                      <w:lang w:val="en-US"/>
                    </w:rPr>
                  </w:pPr>
                  <w:r w:rsidRPr="000E146E">
                    <w:rPr>
                      <w:rFonts w:asciiTheme="minorHAnsi" w:cstheme="minorBidi"/>
                      <w:color w:val="000000" w:themeColor="text1"/>
                      <w:kern w:val="24"/>
                      <w:sz w:val="11"/>
                      <w:szCs w:val="11"/>
                      <w:lang w:val="en-US"/>
                    </w:rPr>
                    <w:t>CET1:</w:t>
                  </w:r>
                </w:p>
                <w:p w:rsidR="005726A5" w:rsidRPr="000E146E" w:rsidRDefault="005726A5" w:rsidP="00242913">
                  <w:pPr>
                    <w:spacing w:after="0" w:line="240" w:lineRule="auto"/>
                    <w:jc w:val="center"/>
                    <w:textAlignment w:val="baseline"/>
                    <w:rPr>
                      <w:sz w:val="11"/>
                      <w:szCs w:val="11"/>
                    </w:rPr>
                  </w:pPr>
                  <w:r w:rsidRPr="000E146E">
                    <w:rPr>
                      <w:rFonts w:asciiTheme="minorHAnsi" w:cstheme="minorBidi"/>
                      <w:color w:val="000000" w:themeColor="text1"/>
                      <w:kern w:val="24"/>
                      <w:sz w:val="11"/>
                      <w:szCs w:val="11"/>
                    </w:rPr>
                    <w:t>€</w:t>
                  </w:r>
                  <w:r w:rsidRPr="000E146E">
                    <w:rPr>
                      <w:rFonts w:asciiTheme="minorHAnsi" w:cstheme="minorBidi"/>
                      <w:color w:val="000000" w:themeColor="text1"/>
                      <w:kern w:val="24"/>
                      <w:sz w:val="11"/>
                      <w:szCs w:val="11"/>
                      <w:lang w:val="el-GR"/>
                    </w:rPr>
                    <w:t>6,2 δισ.</w:t>
                  </w:r>
                </w:p>
              </w:txbxContent>
            </v:textbox>
          </v:rect>
        </w:pict>
      </w:r>
      <w:r w:rsidRPr="00486D0B">
        <w:rPr>
          <w:rFonts w:ascii="Segoe UI" w:eastAsia="Calibri" w:hAnsi="Segoe UI" w:cs="Arial"/>
          <w:b/>
          <w:noProof/>
          <w:color w:val="008080"/>
          <w:sz w:val="24"/>
          <w:u w:val="single"/>
          <w:lang w:val="el-GR" w:eastAsia="el-GR"/>
        </w:rPr>
        <w:pict>
          <v:rect id="_x0000_s1040" style="position:absolute;margin-left:134.2pt;margin-top:72.6pt;width:38.7pt;height:27.95pt;z-index:25199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" fillcolor="window" strokecolor="teal">
            <v:textbox>
              <w:txbxContent>
                <w:p w:rsidR="005726A5" w:rsidRPr="000E146E" w:rsidRDefault="005726A5" w:rsidP="00242913">
                  <w:pPr>
                    <w:spacing w:after="0" w:line="240" w:lineRule="auto"/>
                    <w:jc w:val="center"/>
                    <w:textAlignment w:val="baseline"/>
                    <w:rPr>
                      <w:rFonts w:asciiTheme="minorHAnsi" w:cstheme="minorBidi"/>
                      <w:color w:val="000000" w:themeColor="text1"/>
                      <w:kern w:val="24"/>
                      <w:sz w:val="11"/>
                      <w:szCs w:val="11"/>
                      <w:lang w:val="en-US"/>
                    </w:rPr>
                  </w:pPr>
                  <w:r w:rsidRPr="000E146E">
                    <w:rPr>
                      <w:rFonts w:asciiTheme="minorHAnsi" w:cstheme="minorBidi"/>
                      <w:color w:val="000000" w:themeColor="text1"/>
                      <w:kern w:val="24"/>
                      <w:sz w:val="11"/>
                      <w:szCs w:val="11"/>
                      <w:lang w:val="en-US"/>
                    </w:rPr>
                    <w:t>CET1:</w:t>
                  </w:r>
                </w:p>
                <w:p w:rsidR="005726A5" w:rsidRPr="000E146E" w:rsidRDefault="005726A5" w:rsidP="00242913">
                  <w:pPr>
                    <w:spacing w:after="0" w:line="240" w:lineRule="auto"/>
                    <w:jc w:val="center"/>
                    <w:textAlignment w:val="baseline"/>
                    <w:rPr>
                      <w:sz w:val="11"/>
                      <w:szCs w:val="11"/>
                    </w:rPr>
                  </w:pPr>
                  <w:r w:rsidRPr="000E146E">
                    <w:rPr>
                      <w:rFonts w:asciiTheme="minorHAnsi" w:cstheme="minorBidi"/>
                      <w:color w:val="000000" w:themeColor="text1"/>
                      <w:kern w:val="24"/>
                      <w:sz w:val="11"/>
                      <w:szCs w:val="11"/>
                    </w:rPr>
                    <w:t>€</w:t>
                  </w:r>
                  <w:r w:rsidRPr="000E146E">
                    <w:rPr>
                      <w:rFonts w:asciiTheme="minorHAnsi" w:cstheme="minorBidi"/>
                      <w:color w:val="000000" w:themeColor="text1"/>
                      <w:kern w:val="24"/>
                      <w:sz w:val="11"/>
                      <w:szCs w:val="11"/>
                      <w:lang w:val="el-GR"/>
                    </w:rPr>
                    <w:t>5,8 δισ.</w:t>
                  </w:r>
                </w:p>
              </w:txbxContent>
            </v:textbox>
          </v:rect>
        </w:pict>
      </w:r>
      <w:r w:rsidRPr="00486D0B">
        <w:rPr>
          <w:rFonts w:ascii="Segoe UI" w:eastAsia="Calibri" w:hAnsi="Segoe UI" w:cs="Arial"/>
          <w:b/>
          <w:noProof/>
          <w:color w:val="008080"/>
          <w:sz w:val="24"/>
          <w:u w:val="single"/>
          <w:lang w:val="el-GR" w:eastAsia="el-GR"/>
        </w:rPr>
        <w:pict>
          <v:rect id="Rectangle 26" o:spid="_x0000_s1041" style="position:absolute;margin-left:386.8pt;margin-top:99.4pt;width:43.2pt;height:33pt;z-index:25198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" fillcolor="window" strokecolor="#ff7415">
            <v:textbox>
              <w:txbxContent>
                <w:p w:rsidR="005726A5" w:rsidRPr="000E146E" w:rsidRDefault="005726A5" w:rsidP="00242913">
                  <w:pPr>
                    <w:spacing w:after="0" w:line="240" w:lineRule="auto"/>
                    <w:jc w:val="center"/>
                    <w:textAlignment w:val="baseline"/>
                    <w:rPr>
                      <w:sz w:val="9"/>
                      <w:szCs w:val="9"/>
                    </w:rPr>
                  </w:pPr>
                  <w:r w:rsidRPr="000E146E">
                    <w:rPr>
                      <w:rFonts w:asciiTheme="minorHAnsi" w:cstheme="minorBidi"/>
                      <w:color w:val="000000" w:themeColor="text1"/>
                      <w:kern w:val="24"/>
                      <w:sz w:val="9"/>
                      <w:szCs w:val="9"/>
                      <w:lang w:val="el-GR"/>
                    </w:rPr>
                    <w:t xml:space="preserve">Κεφαλαιακές Απαιτήσεις </w:t>
                  </w:r>
                  <w:r w:rsidRPr="000E146E">
                    <w:rPr>
                      <w:rFonts w:asciiTheme="minorHAnsi" w:cstheme="minorBidi"/>
                      <w:color w:val="000000" w:themeColor="text1"/>
                      <w:kern w:val="24"/>
                      <w:sz w:val="9"/>
                      <w:szCs w:val="9"/>
                      <w:lang w:val="en-US"/>
                    </w:rPr>
                    <w:t>CET1: 10.25%</w:t>
                  </w:r>
                </w:p>
              </w:txbxContent>
            </v:textbox>
          </v:rect>
        </w:pict>
      </w:r>
      <w:r w:rsidRPr="00486D0B">
        <w:rPr>
          <w:rFonts w:ascii="Segoe UI" w:eastAsia="Calibri" w:hAnsi="Segoe UI" w:cs="Arial"/>
          <w:b/>
          <w:noProof/>
          <w:color w:val="008080"/>
          <w:sz w:val="24"/>
          <w:u w:val="single"/>
          <w:lang w:val="el-GR" w:eastAsia="el-GR"/>
        </w:rPr>
        <w:pict>
          <v:rect id="_x0000_s1042" style="position:absolute;margin-left:386.8pt;margin-top:57.45pt;width:43.6pt;height:34.45pt;z-index:25198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" fillcolor="window" strokecolor="#ff7415">
            <v:textbox>
              <w:txbxContent>
                <w:p w:rsidR="005726A5" w:rsidRPr="000E146E" w:rsidRDefault="005726A5" w:rsidP="00242913">
                  <w:pPr>
                    <w:spacing w:after="0" w:line="240" w:lineRule="auto"/>
                    <w:jc w:val="center"/>
                    <w:textAlignment w:val="baseline"/>
                    <w:rPr>
                      <w:sz w:val="9"/>
                      <w:szCs w:val="9"/>
                    </w:rPr>
                  </w:pPr>
                  <w:r w:rsidRPr="000E146E">
                    <w:rPr>
                      <w:rFonts w:asciiTheme="minorHAnsi" w:cstheme="minorBidi"/>
                      <w:color w:val="000000" w:themeColor="text1"/>
                      <w:kern w:val="24"/>
                      <w:sz w:val="9"/>
                      <w:szCs w:val="9"/>
                      <w:lang w:val="el-GR"/>
                    </w:rPr>
                    <w:t>Συνολικές Κεφαλαιακές Απαιτήσεις (</w:t>
                  </w:r>
                  <w:r w:rsidRPr="000E146E">
                    <w:rPr>
                      <w:rFonts w:asciiTheme="minorHAnsi" w:cstheme="minorBidi"/>
                      <w:color w:val="000000" w:themeColor="text1"/>
                      <w:kern w:val="24"/>
                      <w:sz w:val="9"/>
                      <w:szCs w:val="9"/>
                      <w:lang w:val="en-US"/>
                    </w:rPr>
                    <w:t>OCR): 13.75%</w:t>
                  </w:r>
                </w:p>
              </w:txbxContent>
            </v:textbox>
          </v:rect>
        </w:pict>
      </w:r>
      <w:r w:rsidR="00242913" w:rsidRPr="00D702A6">
        <w:rPr>
          <w:rFonts w:ascii="Segoe UI" w:eastAsia="Segoe UI" w:hAnsi="Segoe UI" w:cs="Segoe UI"/>
          <w:b/>
          <w:noProof/>
          <w:color w:val="008080"/>
          <w:kern w:val="24"/>
          <w:sz w:val="18"/>
          <w:szCs w:val="24"/>
          <w:lang w:val="el-GR" w:eastAsia="el-GR"/>
        </w:rPr>
        <w:drawing>
          <wp:inline distT="0" distB="0" distL="0" distR="0">
            <wp:extent cx="5493716" cy="2708275"/>
            <wp:effectExtent l="0" t="0" r="12065" b="15875"/>
            <wp:docPr id="29" name="Γράφημα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80170" w:rsidRDefault="00280170" w:rsidP="00280170">
      <w:pPr>
        <w:spacing w:after="0" w:line="240" w:lineRule="auto"/>
        <w:rPr>
          <w:rFonts w:ascii="Segoe UI" w:eastAsia="Segoe UI" w:hAnsi="Segoe UI" w:cs="Segoe UI"/>
          <w:b/>
          <w:color w:val="008080"/>
          <w:kern w:val="24"/>
          <w:sz w:val="18"/>
          <w:szCs w:val="24"/>
          <w:lang w:val="el-GR" w:eastAsia="el-GR"/>
        </w:rPr>
      </w:pPr>
      <w:r>
        <w:rPr>
          <w:rFonts w:ascii="Segoe UI" w:hAnsi="Segoe UI" w:cs="Segoe UI"/>
          <w:sz w:val="32"/>
          <w:szCs w:val="32"/>
          <w:lang w:val="el-GR" w:eastAsia="el-GR" w:bidi="el-GR"/>
        </w:rPr>
        <w:br w:type="page"/>
      </w:r>
    </w:p>
    <w:tbl>
      <w:tblPr>
        <w:tblStyle w:val="aa"/>
        <w:tblW w:w="86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8642"/>
      </w:tblGrid>
      <w:tr w:rsidR="00F215BB" w:rsidRPr="001F08D5" w:rsidTr="00CA4D01">
        <w:trPr>
          <w:trHeight w:val="567"/>
        </w:trPr>
        <w:tc>
          <w:tcPr>
            <w:tcW w:w="8642" w:type="dxa"/>
            <w:shd w:val="clear" w:color="auto" w:fill="D9D9D9" w:themeFill="background1" w:themeFillShade="D9"/>
            <w:vAlign w:val="bottom"/>
          </w:tcPr>
          <w:p w:rsidR="00F215BB" w:rsidRPr="00F215BB" w:rsidRDefault="00F215BB" w:rsidP="00F215BB">
            <w:pPr>
              <w:pStyle w:val="Default"/>
              <w:tabs>
                <w:tab w:val="left" w:pos="1816"/>
              </w:tabs>
              <w:spacing w:after="160" w:line="320" w:lineRule="atLeast"/>
              <w:jc w:val="center"/>
              <w:rPr>
                <w:rFonts w:ascii="Segoe UI" w:hAnsi="Segoe UI" w:cs="Segoe UI"/>
                <w:b/>
                <w:color w:val="auto"/>
                <w:sz w:val="22"/>
              </w:rPr>
            </w:pPr>
            <w:r>
              <w:rPr>
                <w:rFonts w:ascii="Segoe UI" w:hAnsi="Segoe UI" w:cs="Segoe UI"/>
                <w:b/>
                <w:color w:val="auto"/>
              </w:rPr>
              <w:t>Ρευστότητα</w:t>
            </w:r>
          </w:p>
        </w:tc>
      </w:tr>
    </w:tbl>
    <w:p w:rsidR="001C6AEB" w:rsidRPr="001C6AEB" w:rsidRDefault="001720D5" w:rsidP="005F31F2">
      <w:pPr>
        <w:autoSpaceDE w:val="0"/>
        <w:autoSpaceDN w:val="0"/>
        <w:adjustRightInd w:val="0"/>
        <w:spacing w:before="240"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Ο</w:t>
      </w:r>
      <w:r w:rsidR="002D6739" w:rsidRPr="002A52A2">
        <w:rPr>
          <w:rFonts w:ascii="Segoe UI" w:hAnsi="Segoe UI" w:cs="Segoe UI"/>
          <w:sz w:val="20"/>
          <w:lang w:val="el-GR" w:eastAsia="el-GR" w:bidi="el-GR"/>
        </w:rPr>
        <w:t>ι</w:t>
      </w:r>
      <w:r w:rsidR="00567B66" w:rsidRPr="002A52A2">
        <w:rPr>
          <w:rFonts w:ascii="Segoe UI" w:hAnsi="Segoe UI" w:cs="Segoe UI"/>
          <w:sz w:val="20"/>
          <w:lang w:val="el-GR" w:eastAsia="el-GR" w:bidi="el-GR"/>
        </w:rPr>
        <w:t xml:space="preserve"> </w:t>
      </w:r>
      <w:r w:rsidR="00567B66" w:rsidRPr="00F9635F">
        <w:rPr>
          <w:rFonts w:ascii="Segoe UI" w:hAnsi="Segoe UI" w:cs="Segoe UI"/>
          <w:b/>
          <w:sz w:val="20"/>
          <w:lang w:val="el-GR" w:eastAsia="el-GR" w:bidi="el-GR"/>
        </w:rPr>
        <w:t xml:space="preserve">καταθέσεις </w:t>
      </w:r>
      <w:r w:rsidR="00567B66" w:rsidRPr="00DB59EF">
        <w:rPr>
          <w:rFonts w:ascii="Segoe UI" w:hAnsi="Segoe UI" w:cs="Segoe UI"/>
          <w:sz w:val="20"/>
          <w:lang w:val="el-GR" w:eastAsia="el-GR" w:bidi="el-GR"/>
        </w:rPr>
        <w:t>του Ομίλου</w:t>
      </w:r>
      <w:r w:rsidR="00567B66" w:rsidRPr="002A52A2">
        <w:rPr>
          <w:rFonts w:ascii="Segoe UI" w:hAnsi="Segoe UI" w:cs="Segoe UI"/>
          <w:sz w:val="20"/>
          <w:lang w:val="el-GR" w:eastAsia="el-GR" w:bidi="el-GR"/>
        </w:rPr>
        <w:t xml:space="preserve"> </w:t>
      </w:r>
      <w:r w:rsidR="002D6739" w:rsidRPr="002A52A2">
        <w:rPr>
          <w:rFonts w:ascii="Segoe UI" w:hAnsi="Segoe UI" w:cs="Segoe UI"/>
          <w:sz w:val="20"/>
          <w:lang w:val="el-GR" w:eastAsia="el-GR" w:bidi="el-GR"/>
        </w:rPr>
        <w:t xml:space="preserve">διαμορφώθηκαν σε </w:t>
      </w:r>
      <w:r w:rsidR="003656A1" w:rsidRPr="002A52A2">
        <w:rPr>
          <w:rFonts w:ascii="Segoe UI" w:hAnsi="Segoe UI" w:cs="Segoe UI"/>
          <w:sz w:val="20"/>
          <w:lang w:val="el-GR" w:eastAsia="el-GR" w:bidi="el-GR"/>
        </w:rPr>
        <w:t>€</w:t>
      </w:r>
      <w:r w:rsidR="00E5394A" w:rsidRPr="002A52A2">
        <w:rPr>
          <w:rFonts w:ascii="Segoe UI" w:hAnsi="Segoe UI" w:cs="Segoe UI"/>
          <w:sz w:val="20"/>
          <w:lang w:val="el-GR" w:eastAsia="el-GR" w:bidi="el-GR"/>
        </w:rPr>
        <w:t>4</w:t>
      </w:r>
      <w:r w:rsidR="000264C8">
        <w:rPr>
          <w:rFonts w:ascii="Segoe UI" w:hAnsi="Segoe UI" w:cs="Segoe UI"/>
          <w:sz w:val="20"/>
          <w:lang w:val="el-GR" w:eastAsia="el-GR" w:bidi="el-GR"/>
        </w:rPr>
        <w:t>2,</w:t>
      </w:r>
      <w:r>
        <w:rPr>
          <w:rFonts w:ascii="Segoe UI" w:hAnsi="Segoe UI" w:cs="Segoe UI"/>
          <w:sz w:val="20"/>
          <w:lang w:val="el-GR" w:eastAsia="el-GR" w:bidi="el-GR"/>
        </w:rPr>
        <w:t>8</w:t>
      </w:r>
      <w:r w:rsidR="003656A1" w:rsidRPr="002A52A2">
        <w:rPr>
          <w:rFonts w:ascii="Segoe UI" w:hAnsi="Segoe UI" w:cs="Segoe UI"/>
          <w:sz w:val="20"/>
          <w:lang w:val="el-GR" w:eastAsia="el-GR" w:bidi="el-GR"/>
        </w:rPr>
        <w:t xml:space="preserve"> δισ. το </w:t>
      </w:r>
      <w:r>
        <w:rPr>
          <w:rFonts w:ascii="Segoe UI" w:hAnsi="Segoe UI" w:cs="Segoe UI"/>
          <w:sz w:val="20"/>
          <w:lang w:val="el-GR" w:eastAsia="el-GR" w:bidi="el-GR"/>
        </w:rPr>
        <w:t>Γ</w:t>
      </w:r>
      <w:r w:rsidR="003656A1" w:rsidRPr="002A52A2">
        <w:rPr>
          <w:rFonts w:ascii="Segoe UI" w:hAnsi="Segoe UI" w:cs="Segoe UI"/>
          <w:sz w:val="20"/>
          <w:lang w:val="el-GR" w:eastAsia="el-GR" w:bidi="el-GR"/>
        </w:rPr>
        <w:t>’ τρίμηνο 201</w:t>
      </w:r>
      <w:r w:rsidR="000264C8">
        <w:rPr>
          <w:rFonts w:ascii="Segoe UI" w:hAnsi="Segoe UI" w:cs="Segoe UI"/>
          <w:sz w:val="20"/>
          <w:lang w:val="el-GR" w:eastAsia="el-GR" w:bidi="el-GR"/>
        </w:rPr>
        <w:t>9</w:t>
      </w:r>
      <w:r>
        <w:rPr>
          <w:rFonts w:ascii="Segoe UI" w:hAnsi="Segoe UI" w:cs="Segoe UI"/>
          <w:sz w:val="20"/>
          <w:lang w:val="el-GR" w:eastAsia="el-GR" w:bidi="el-GR"/>
        </w:rPr>
        <w:t xml:space="preserve"> (-</w:t>
      </w:r>
      <w:r w:rsidRPr="002A52A2">
        <w:rPr>
          <w:rFonts w:ascii="Segoe UI" w:hAnsi="Segoe UI" w:cs="Segoe UI"/>
          <w:sz w:val="20"/>
          <w:lang w:val="el-GR" w:eastAsia="el-GR" w:bidi="el-GR"/>
        </w:rPr>
        <w:t>€</w:t>
      </w:r>
      <w:r>
        <w:rPr>
          <w:rFonts w:ascii="Segoe UI" w:hAnsi="Segoe UI" w:cs="Segoe UI"/>
          <w:sz w:val="20"/>
          <w:lang w:val="el-GR" w:eastAsia="el-GR" w:bidi="el-GR"/>
        </w:rPr>
        <w:t>0,1</w:t>
      </w:r>
      <w:r w:rsidRPr="002A52A2">
        <w:rPr>
          <w:rFonts w:ascii="Segoe UI" w:hAnsi="Segoe UI" w:cs="Segoe UI"/>
          <w:sz w:val="20"/>
          <w:lang w:val="el-GR" w:eastAsia="el-GR" w:bidi="el-GR"/>
        </w:rPr>
        <w:t xml:space="preserve"> δισ. </w:t>
      </w:r>
      <w:r w:rsidR="0023040E">
        <w:rPr>
          <w:rFonts w:ascii="Segoe UI" w:hAnsi="Segoe UI" w:cs="Segoe UI"/>
          <w:sz w:val="20"/>
          <w:lang w:val="el-GR" w:eastAsia="el-GR" w:bidi="el-GR"/>
        </w:rPr>
        <w:t>σε τριμηνιαία βάση)</w:t>
      </w:r>
      <w:r w:rsidR="00C71EC9" w:rsidRPr="00C71EC9">
        <w:rPr>
          <w:lang w:val="el-GR"/>
        </w:rPr>
        <w:t>,</w:t>
      </w:r>
      <w:r w:rsidR="003F3C7F">
        <w:rPr>
          <w:lang w:val="el-GR"/>
        </w:rPr>
        <w:t xml:space="preserve"> </w:t>
      </w:r>
      <w:r w:rsidR="00C71EC9" w:rsidRPr="00C71EC9">
        <w:rPr>
          <w:rFonts w:ascii="Segoe UI" w:hAnsi="Segoe UI" w:cs="Segoe UI"/>
          <w:sz w:val="20"/>
          <w:lang w:val="el-GR" w:eastAsia="el-GR" w:bidi="el-GR"/>
        </w:rPr>
        <w:t>αντανακλώντας τις εξελίξεις στην εγχώρια αγορά</w:t>
      </w:r>
      <w:r w:rsidR="002D6739" w:rsidRPr="002A52A2">
        <w:rPr>
          <w:rFonts w:ascii="Segoe UI" w:hAnsi="Segoe UI" w:cs="Segoe UI"/>
          <w:sz w:val="20"/>
          <w:lang w:val="el-GR" w:eastAsia="el-GR" w:bidi="el-GR"/>
        </w:rPr>
        <w:t xml:space="preserve">. Στην Ελλάδα, οι καταθέσεις </w:t>
      </w:r>
      <w:r w:rsidR="00956289" w:rsidRPr="00956289">
        <w:rPr>
          <w:rFonts w:ascii="Segoe UI" w:hAnsi="Segoe UI" w:cs="Segoe UI"/>
          <w:sz w:val="20"/>
          <w:lang w:val="el-GR" w:eastAsia="el-GR" w:bidi="el-GR"/>
        </w:rPr>
        <w:t>ανήλθαν σε €41,</w:t>
      </w:r>
      <w:r w:rsidR="000B0B11">
        <w:rPr>
          <w:rFonts w:ascii="Segoe UI" w:hAnsi="Segoe UI" w:cs="Segoe UI"/>
          <w:sz w:val="20"/>
          <w:lang w:val="el-GR" w:eastAsia="el-GR" w:bidi="el-GR"/>
        </w:rPr>
        <w:t>4</w:t>
      </w:r>
      <w:r w:rsidR="00956289" w:rsidRPr="00956289">
        <w:rPr>
          <w:rFonts w:ascii="Segoe UI" w:hAnsi="Segoe UI" w:cs="Segoe UI"/>
          <w:sz w:val="20"/>
          <w:lang w:val="el-GR" w:eastAsia="el-GR" w:bidi="el-GR"/>
        </w:rPr>
        <w:t xml:space="preserve"> δισ.</w:t>
      </w:r>
      <w:r w:rsidR="000B0B11">
        <w:rPr>
          <w:rFonts w:ascii="Segoe UI" w:hAnsi="Segoe UI" w:cs="Segoe UI"/>
          <w:sz w:val="20"/>
          <w:lang w:val="el-GR" w:eastAsia="el-GR" w:bidi="el-GR"/>
        </w:rPr>
        <w:t xml:space="preserve"> </w:t>
      </w:r>
      <w:r w:rsidR="00295A47">
        <w:rPr>
          <w:rFonts w:ascii="Segoe UI" w:hAnsi="Segoe UI" w:cs="Segoe UI"/>
          <w:sz w:val="20"/>
          <w:lang w:val="el-GR" w:eastAsia="el-GR" w:bidi="el-GR"/>
        </w:rPr>
        <w:t>(-€0,2</w:t>
      </w:r>
      <w:r w:rsidR="000B0B11" w:rsidRPr="000B0B11">
        <w:rPr>
          <w:rFonts w:ascii="Segoe UI" w:hAnsi="Segoe UI" w:cs="Segoe UI"/>
          <w:sz w:val="20"/>
          <w:lang w:val="el-GR" w:eastAsia="el-GR" w:bidi="el-GR"/>
        </w:rPr>
        <w:t xml:space="preserve"> δισ. σε τριμηνιαία βάση)</w:t>
      </w:r>
      <w:r w:rsidR="00956289">
        <w:rPr>
          <w:rFonts w:ascii="Segoe UI" w:hAnsi="Segoe UI" w:cs="Segoe UI"/>
          <w:sz w:val="20"/>
          <w:lang w:val="el-GR" w:eastAsia="el-GR" w:bidi="el-GR"/>
        </w:rPr>
        <w:t>,</w:t>
      </w:r>
      <w:r w:rsidR="00956289" w:rsidRPr="00956289">
        <w:rPr>
          <w:rFonts w:ascii="Segoe UI" w:hAnsi="Segoe UI" w:cs="Segoe UI"/>
          <w:sz w:val="20"/>
          <w:lang w:val="el-GR" w:eastAsia="el-GR" w:bidi="el-GR"/>
        </w:rPr>
        <w:t xml:space="preserve"> </w:t>
      </w:r>
      <w:r w:rsidR="000B0B11">
        <w:rPr>
          <w:rFonts w:ascii="Segoe UI" w:hAnsi="Segoe UI" w:cs="Segoe UI"/>
          <w:sz w:val="20"/>
          <w:lang w:val="el-GR" w:eastAsia="el-GR" w:bidi="el-GR"/>
        </w:rPr>
        <w:t>παρά τις</w:t>
      </w:r>
      <w:r w:rsidR="00956289" w:rsidRPr="00956289">
        <w:rPr>
          <w:rFonts w:ascii="Segoe UI" w:hAnsi="Segoe UI" w:cs="Segoe UI"/>
          <w:sz w:val="20"/>
          <w:lang w:val="el-GR" w:eastAsia="el-GR" w:bidi="el-GR"/>
        </w:rPr>
        <w:t xml:space="preserve"> </w:t>
      </w:r>
      <w:r w:rsidR="000B0B11">
        <w:rPr>
          <w:rFonts w:ascii="Segoe UI" w:hAnsi="Segoe UI" w:cs="Segoe UI"/>
          <w:sz w:val="20"/>
          <w:lang w:val="el-GR" w:eastAsia="el-GR" w:bidi="el-GR"/>
        </w:rPr>
        <w:t>εκ</w:t>
      </w:r>
      <w:r w:rsidR="00956289" w:rsidRPr="00956289">
        <w:rPr>
          <w:rFonts w:ascii="Segoe UI" w:hAnsi="Segoe UI" w:cs="Segoe UI"/>
          <w:sz w:val="20"/>
          <w:lang w:val="el-GR" w:eastAsia="el-GR" w:bidi="el-GR"/>
        </w:rPr>
        <w:t xml:space="preserve">ροές </w:t>
      </w:r>
      <w:r w:rsidR="00C608C5">
        <w:rPr>
          <w:rFonts w:ascii="Segoe UI" w:hAnsi="Segoe UI" w:cs="Segoe UI"/>
          <w:sz w:val="20"/>
          <w:lang w:val="el-GR" w:eastAsia="el-GR" w:bidi="el-GR"/>
        </w:rPr>
        <w:t xml:space="preserve">κρατικών </w:t>
      </w:r>
      <w:r w:rsidR="00555B37">
        <w:rPr>
          <w:rFonts w:ascii="Segoe UI" w:hAnsi="Segoe UI" w:cs="Segoe UI"/>
          <w:sz w:val="20"/>
          <w:lang w:val="el-GR" w:eastAsia="el-GR" w:bidi="el-GR"/>
        </w:rPr>
        <w:t>καταθέσεων</w:t>
      </w:r>
      <w:r w:rsidR="000B0B11">
        <w:rPr>
          <w:rFonts w:ascii="Segoe UI" w:hAnsi="Segoe UI" w:cs="Segoe UI"/>
          <w:sz w:val="20"/>
          <w:lang w:val="el-GR" w:eastAsia="el-GR" w:bidi="el-GR"/>
        </w:rPr>
        <w:t xml:space="preserve"> </w:t>
      </w:r>
      <w:r w:rsidR="00956289" w:rsidRPr="005B153A">
        <w:rPr>
          <w:rFonts w:ascii="Segoe UI" w:hAnsi="Segoe UI" w:cs="Segoe UI"/>
          <w:sz w:val="20"/>
          <w:lang w:val="el-GR" w:eastAsia="el-GR" w:bidi="el-GR"/>
        </w:rPr>
        <w:t>ύψους €</w:t>
      </w:r>
      <w:r w:rsidR="000264C8" w:rsidRPr="005B153A">
        <w:rPr>
          <w:rFonts w:ascii="Segoe UI" w:hAnsi="Segoe UI" w:cs="Segoe UI"/>
          <w:sz w:val="20"/>
          <w:lang w:val="el-GR" w:eastAsia="el-GR" w:bidi="el-GR"/>
        </w:rPr>
        <w:t>0,</w:t>
      </w:r>
      <w:r w:rsidR="000B0B11" w:rsidRPr="005B153A">
        <w:rPr>
          <w:rFonts w:ascii="Segoe UI" w:hAnsi="Segoe UI" w:cs="Segoe UI"/>
          <w:sz w:val="20"/>
          <w:lang w:val="el-GR" w:eastAsia="el-GR" w:bidi="el-GR"/>
        </w:rPr>
        <w:t>5</w:t>
      </w:r>
      <w:r w:rsidR="00956289" w:rsidRPr="005B153A">
        <w:rPr>
          <w:rFonts w:ascii="Segoe UI" w:hAnsi="Segoe UI" w:cs="Segoe UI"/>
          <w:sz w:val="20"/>
          <w:lang w:val="el-GR" w:eastAsia="el-GR" w:bidi="el-GR"/>
        </w:rPr>
        <w:t xml:space="preserve"> δισ. σε </w:t>
      </w:r>
      <w:r w:rsidR="003F3C7F" w:rsidRPr="005B153A">
        <w:rPr>
          <w:rFonts w:ascii="Segoe UI" w:hAnsi="Segoe UI" w:cs="Segoe UI"/>
          <w:sz w:val="20"/>
          <w:lang w:val="el-GR" w:eastAsia="el-GR" w:bidi="el-GR"/>
        </w:rPr>
        <w:t>τριμηνιαία βάση</w:t>
      </w:r>
      <w:r w:rsidR="000B0B11" w:rsidRPr="005B153A">
        <w:rPr>
          <w:rFonts w:ascii="Segoe UI" w:hAnsi="Segoe UI" w:cs="Segoe UI"/>
          <w:sz w:val="20"/>
          <w:lang w:val="el-GR" w:eastAsia="el-GR" w:bidi="el-GR"/>
        </w:rPr>
        <w:t xml:space="preserve"> (-€1,8 δι</w:t>
      </w:r>
      <w:r w:rsidR="00555B37" w:rsidRPr="005B153A">
        <w:rPr>
          <w:rFonts w:ascii="Segoe UI" w:hAnsi="Segoe UI" w:cs="Segoe UI"/>
          <w:sz w:val="20"/>
          <w:lang w:val="el-GR" w:eastAsia="el-GR" w:bidi="el-GR"/>
        </w:rPr>
        <w:t>σ. από την αρχή του έτους)</w:t>
      </w:r>
      <w:r w:rsidR="00FC047B" w:rsidRPr="005B153A">
        <w:rPr>
          <w:rFonts w:ascii="Segoe UI" w:hAnsi="Segoe UI" w:cs="Segoe UI"/>
          <w:sz w:val="20"/>
          <w:lang w:val="el-GR" w:eastAsia="el-GR" w:bidi="el-GR"/>
        </w:rPr>
        <w:t xml:space="preserve">. </w:t>
      </w:r>
      <w:r w:rsidR="00295A47" w:rsidRPr="005B153A">
        <w:rPr>
          <w:rFonts w:ascii="Segoe UI" w:hAnsi="Segoe UI" w:cs="Segoe UI"/>
          <w:sz w:val="20"/>
          <w:lang w:val="el-GR" w:eastAsia="el-GR" w:bidi="el-GR"/>
        </w:rPr>
        <w:t>Οι καταθέσεις στις λοιπές διεθνείς δραστηριότητες</w:t>
      </w:r>
      <w:r w:rsidR="007F4858" w:rsidRPr="00567B66">
        <w:rPr>
          <w:rFonts w:ascii="Segoe UI" w:hAnsi="Segoe UI" w:cs="Segoe UI"/>
          <w:sz w:val="20"/>
          <w:vertAlign w:val="superscript"/>
          <w:lang w:val="el-GR" w:eastAsia="el-GR" w:bidi="el-GR"/>
        </w:rPr>
        <w:footnoteReference w:id="3"/>
      </w:r>
      <w:r w:rsidR="00567B66" w:rsidRPr="002A52A2">
        <w:rPr>
          <w:rFonts w:ascii="Segoe UI" w:hAnsi="Segoe UI" w:cs="Segoe UI"/>
          <w:sz w:val="20"/>
          <w:lang w:val="el-GR" w:eastAsia="el-GR" w:bidi="el-GR"/>
        </w:rPr>
        <w:t xml:space="preserve"> </w:t>
      </w:r>
      <w:r w:rsidR="00A61C1C">
        <w:rPr>
          <w:rFonts w:ascii="Segoe UI" w:hAnsi="Segoe UI" w:cs="Segoe UI"/>
          <w:sz w:val="20"/>
          <w:lang w:val="el-GR" w:eastAsia="el-GR" w:bidi="el-GR"/>
        </w:rPr>
        <w:t>ενισχύθηκαν</w:t>
      </w:r>
      <w:r w:rsidR="007D1E7C">
        <w:rPr>
          <w:rFonts w:ascii="Segoe UI" w:hAnsi="Segoe UI" w:cs="Segoe UI"/>
          <w:sz w:val="20"/>
          <w:lang w:val="el-GR" w:eastAsia="el-GR" w:bidi="el-GR"/>
        </w:rPr>
        <w:t xml:space="preserve"> κατά 3,0% σε τριμηνιαία βάση</w:t>
      </w:r>
      <w:r w:rsidR="00EB633C">
        <w:rPr>
          <w:rFonts w:ascii="Segoe UI" w:hAnsi="Segoe UI" w:cs="Segoe UI"/>
          <w:sz w:val="20"/>
          <w:lang w:val="el-GR" w:eastAsia="el-GR" w:bidi="el-GR"/>
        </w:rPr>
        <w:t>,</w:t>
      </w:r>
      <w:r w:rsidR="007D1E7C">
        <w:rPr>
          <w:rFonts w:ascii="Segoe UI" w:hAnsi="Segoe UI" w:cs="Segoe UI"/>
          <w:sz w:val="20"/>
          <w:lang w:val="el-GR" w:eastAsia="el-GR" w:bidi="el-GR"/>
        </w:rPr>
        <w:t xml:space="preserve"> σε </w:t>
      </w:r>
      <w:r w:rsidR="00567B66" w:rsidRPr="002A52A2">
        <w:rPr>
          <w:rFonts w:ascii="Segoe UI" w:hAnsi="Segoe UI" w:cs="Segoe UI"/>
          <w:sz w:val="20"/>
          <w:lang w:val="el-GR" w:eastAsia="el-GR" w:bidi="el-GR"/>
        </w:rPr>
        <w:t>€</w:t>
      </w:r>
      <w:r w:rsidR="00D27F73">
        <w:rPr>
          <w:rFonts w:ascii="Segoe UI" w:hAnsi="Segoe UI" w:cs="Segoe UI"/>
          <w:sz w:val="20"/>
          <w:lang w:val="el-GR" w:eastAsia="el-GR" w:bidi="el-GR"/>
        </w:rPr>
        <w:t>1,3</w:t>
      </w:r>
      <w:r w:rsidR="00567B66" w:rsidRPr="002A52A2">
        <w:rPr>
          <w:rFonts w:ascii="Segoe UI" w:hAnsi="Segoe UI" w:cs="Segoe UI"/>
          <w:sz w:val="20"/>
          <w:lang w:val="el-GR" w:eastAsia="el-GR" w:bidi="el-GR"/>
        </w:rPr>
        <w:t xml:space="preserve"> δισ. </w:t>
      </w:r>
      <w:r w:rsidR="001206C0" w:rsidRPr="002A52A2">
        <w:rPr>
          <w:rFonts w:ascii="Segoe UI" w:hAnsi="Segoe UI" w:cs="Segoe UI"/>
          <w:sz w:val="20"/>
          <w:lang w:val="el-GR" w:eastAsia="el-GR" w:bidi="el-GR"/>
        </w:rPr>
        <w:t xml:space="preserve">Σε </w:t>
      </w:r>
      <w:r w:rsidR="004F07E4">
        <w:rPr>
          <w:rFonts w:ascii="Segoe UI" w:hAnsi="Segoe UI" w:cs="Segoe UI"/>
          <w:sz w:val="20"/>
          <w:lang w:val="el-GR" w:eastAsia="el-GR" w:bidi="el-GR"/>
        </w:rPr>
        <w:t xml:space="preserve">ετήσια βάση, </w:t>
      </w:r>
      <w:r w:rsidR="001206C0" w:rsidRPr="002A52A2">
        <w:rPr>
          <w:rFonts w:ascii="Segoe UI" w:hAnsi="Segoe UI" w:cs="Segoe UI"/>
          <w:sz w:val="20"/>
          <w:lang w:val="el-GR" w:eastAsia="el-GR" w:bidi="el-GR"/>
        </w:rPr>
        <w:t>οι καταθέσεις του Ομίλου αυξήθηκαν κατ</w:t>
      </w:r>
      <w:r w:rsidR="00D27F73">
        <w:rPr>
          <w:rFonts w:ascii="Segoe UI" w:hAnsi="Segoe UI" w:cs="Segoe UI"/>
          <w:sz w:val="20"/>
          <w:lang w:val="el-GR" w:eastAsia="el-GR" w:bidi="el-GR"/>
        </w:rPr>
        <w:t xml:space="preserve">ά </w:t>
      </w:r>
      <w:r w:rsidR="007D1E7C">
        <w:rPr>
          <w:rFonts w:ascii="Segoe UI" w:hAnsi="Segoe UI" w:cs="Segoe UI"/>
          <w:sz w:val="20"/>
          <w:lang w:val="el-GR" w:eastAsia="el-GR" w:bidi="el-GR"/>
        </w:rPr>
        <w:t>3,6</w:t>
      </w:r>
      <w:r w:rsidR="006001DD" w:rsidRPr="002A52A2">
        <w:rPr>
          <w:rFonts w:ascii="Segoe UI" w:hAnsi="Segoe UI" w:cs="Segoe UI"/>
          <w:sz w:val="20"/>
          <w:lang w:val="el-GR" w:eastAsia="el-GR" w:bidi="el-GR"/>
        </w:rPr>
        <w:t>%</w:t>
      </w:r>
      <w:r w:rsidR="004F07E4">
        <w:rPr>
          <w:rFonts w:ascii="Segoe UI" w:hAnsi="Segoe UI" w:cs="Segoe UI"/>
          <w:sz w:val="20"/>
          <w:lang w:val="el-GR" w:eastAsia="el-GR" w:bidi="el-GR"/>
        </w:rPr>
        <w:t xml:space="preserve"> σε σχέση με το </w:t>
      </w:r>
      <w:r w:rsidR="007D1E7C">
        <w:rPr>
          <w:rFonts w:ascii="Segoe UI" w:hAnsi="Segoe UI" w:cs="Segoe UI"/>
          <w:sz w:val="20"/>
          <w:lang w:val="el-GR" w:eastAsia="el-GR" w:bidi="el-GR"/>
        </w:rPr>
        <w:t>εννεάμηνο</w:t>
      </w:r>
      <w:r w:rsidR="004F07E4">
        <w:rPr>
          <w:rFonts w:ascii="Segoe UI" w:hAnsi="Segoe UI" w:cs="Segoe UI"/>
          <w:sz w:val="20"/>
          <w:lang w:val="el-GR" w:eastAsia="el-GR" w:bidi="el-GR"/>
        </w:rPr>
        <w:t xml:space="preserve"> 2018</w:t>
      </w:r>
      <w:r w:rsidR="001206C0" w:rsidRPr="002A52A2">
        <w:rPr>
          <w:rFonts w:ascii="Segoe UI" w:hAnsi="Segoe UI" w:cs="Segoe UI"/>
          <w:sz w:val="20"/>
          <w:lang w:val="el-GR" w:eastAsia="el-GR" w:bidi="el-GR"/>
        </w:rPr>
        <w:t>, αντανακλώντας εισροές καταθέσεων ύψους €</w:t>
      </w:r>
      <w:r w:rsidR="00EA571A">
        <w:rPr>
          <w:rFonts w:ascii="Segoe UI" w:hAnsi="Segoe UI" w:cs="Segoe UI"/>
          <w:sz w:val="20"/>
          <w:lang w:val="el-GR" w:eastAsia="el-GR" w:bidi="el-GR"/>
        </w:rPr>
        <w:t>1,4</w:t>
      </w:r>
      <w:r w:rsidR="001206C0" w:rsidRPr="002A52A2">
        <w:rPr>
          <w:rFonts w:ascii="Segoe UI" w:hAnsi="Segoe UI" w:cs="Segoe UI"/>
          <w:sz w:val="20"/>
          <w:lang w:val="el-GR" w:eastAsia="el-GR" w:bidi="el-GR"/>
        </w:rPr>
        <w:t xml:space="preserve"> δισ.</w:t>
      </w:r>
      <w:r w:rsidR="00B65D58">
        <w:rPr>
          <w:rFonts w:ascii="Segoe UI" w:hAnsi="Segoe UI" w:cs="Segoe UI"/>
          <w:sz w:val="20"/>
          <w:lang w:val="el-GR" w:eastAsia="el-GR" w:bidi="el-GR"/>
        </w:rPr>
        <w:t xml:space="preserve"> στην Ελλάδα</w:t>
      </w:r>
      <w:r w:rsidR="001C6AEB">
        <w:rPr>
          <w:rFonts w:ascii="Segoe UI" w:hAnsi="Segoe UI" w:cs="Segoe UI"/>
          <w:sz w:val="20"/>
          <w:lang w:val="el-GR" w:eastAsia="el-GR" w:bidi="el-GR"/>
        </w:rPr>
        <w:t xml:space="preserve">. </w:t>
      </w:r>
    </w:p>
    <w:p w:rsidR="00790F4E" w:rsidRPr="00C9600A" w:rsidRDefault="00790F4E" w:rsidP="00790F4E">
      <w:pPr>
        <w:autoSpaceDE w:val="0"/>
        <w:autoSpaceDN w:val="0"/>
        <w:adjustRightInd w:val="0"/>
        <w:spacing w:after="160" w:line="320" w:lineRule="atLeast"/>
        <w:jc w:val="both"/>
        <w:rPr>
          <w:rFonts w:ascii="Segoe UI" w:hAnsi="Segoe UI" w:cs="Segoe UI"/>
          <w:sz w:val="20"/>
          <w:lang w:val="el-GR" w:eastAsia="el-GR" w:bidi="el-GR"/>
        </w:rPr>
      </w:pPr>
      <w:r w:rsidRPr="00C9600A">
        <w:rPr>
          <w:rFonts w:ascii="Segoe UI" w:hAnsi="Segoe UI" w:cs="Segoe UI"/>
          <w:sz w:val="20"/>
          <w:lang w:val="el-GR" w:eastAsia="el-GR" w:bidi="el-GR"/>
        </w:rPr>
        <w:t xml:space="preserve">Ως αποτέλεσμα, ο </w:t>
      </w:r>
      <w:r w:rsidRPr="00F9635F">
        <w:rPr>
          <w:rFonts w:ascii="Segoe UI" w:hAnsi="Segoe UI" w:cs="Segoe UI"/>
          <w:b/>
          <w:sz w:val="20"/>
          <w:lang w:val="el-GR" w:eastAsia="el-GR" w:bidi="el-GR"/>
        </w:rPr>
        <w:t>δείκτης Δ</w:t>
      </w:r>
      <w:r w:rsidR="006C2754" w:rsidRPr="00F9635F">
        <w:rPr>
          <w:rFonts w:ascii="Segoe UI" w:hAnsi="Segoe UI" w:cs="Segoe UI"/>
          <w:b/>
          <w:sz w:val="20"/>
          <w:lang w:val="el-GR" w:eastAsia="el-GR" w:bidi="el-GR"/>
        </w:rPr>
        <w:t xml:space="preserve">ανείων </w:t>
      </w:r>
      <w:r w:rsidRPr="00F9635F">
        <w:rPr>
          <w:rFonts w:ascii="Segoe UI" w:hAnsi="Segoe UI" w:cs="Segoe UI"/>
          <w:b/>
          <w:sz w:val="20"/>
          <w:lang w:val="el-GR" w:eastAsia="el-GR" w:bidi="el-GR"/>
        </w:rPr>
        <w:t>προς Καταθέσεις</w:t>
      </w:r>
      <w:r w:rsidRPr="00C9600A">
        <w:rPr>
          <w:rFonts w:ascii="Segoe UI" w:hAnsi="Segoe UI" w:cs="Segoe UI"/>
          <w:sz w:val="20"/>
          <w:lang w:val="el-GR" w:eastAsia="el-GR" w:bidi="el-GR"/>
        </w:rPr>
        <w:t xml:space="preserve"> </w:t>
      </w:r>
      <w:r w:rsidR="00BE6310">
        <w:rPr>
          <w:rFonts w:ascii="Segoe UI" w:hAnsi="Segoe UI" w:cs="Segoe UI"/>
          <w:sz w:val="20"/>
          <w:lang w:val="el-GR" w:eastAsia="el-GR" w:bidi="el-GR"/>
        </w:rPr>
        <w:t xml:space="preserve">διαμορφώθηκε </w:t>
      </w:r>
      <w:r w:rsidRPr="00C9600A">
        <w:rPr>
          <w:rFonts w:ascii="Segoe UI" w:hAnsi="Segoe UI" w:cs="Segoe UI"/>
          <w:sz w:val="20"/>
          <w:lang w:val="el-GR" w:eastAsia="el-GR" w:bidi="el-GR"/>
        </w:rPr>
        <w:t xml:space="preserve">σε </w:t>
      </w:r>
      <w:r w:rsidR="00BE6310">
        <w:rPr>
          <w:rFonts w:ascii="Segoe UI" w:hAnsi="Segoe UI" w:cs="Segoe UI"/>
          <w:sz w:val="20"/>
          <w:lang w:val="el-GR" w:eastAsia="el-GR" w:bidi="el-GR"/>
        </w:rPr>
        <w:t>6</w:t>
      </w:r>
      <w:r w:rsidR="00265B78">
        <w:rPr>
          <w:rFonts w:ascii="Segoe UI" w:hAnsi="Segoe UI" w:cs="Segoe UI"/>
          <w:sz w:val="20"/>
          <w:lang w:val="el-GR" w:eastAsia="el-GR" w:bidi="el-GR"/>
        </w:rPr>
        <w:t>7</w:t>
      </w:r>
      <w:r w:rsidRPr="00C9600A">
        <w:rPr>
          <w:rFonts w:ascii="Segoe UI" w:hAnsi="Segoe UI" w:cs="Segoe UI"/>
          <w:sz w:val="20"/>
          <w:lang w:val="el-GR" w:eastAsia="el-GR" w:bidi="el-GR"/>
        </w:rPr>
        <w:t>% στην Ελλάδα και σε</w:t>
      </w:r>
      <w:r w:rsidR="00DB59EF" w:rsidRPr="00DB59EF">
        <w:rPr>
          <w:rFonts w:ascii="Segoe UI" w:hAnsi="Segoe UI" w:cs="Segoe UI"/>
          <w:sz w:val="20"/>
          <w:lang w:val="el-GR" w:eastAsia="el-GR" w:bidi="el-GR"/>
        </w:rPr>
        <w:t xml:space="preserve"> </w:t>
      </w:r>
      <w:r w:rsidR="00265B78">
        <w:rPr>
          <w:rFonts w:ascii="Segoe UI" w:hAnsi="Segoe UI" w:cs="Segoe UI"/>
          <w:sz w:val="20"/>
          <w:lang w:val="el-GR" w:eastAsia="el-GR" w:bidi="el-GR"/>
        </w:rPr>
        <w:t>68</w:t>
      </w:r>
      <w:r w:rsidR="00DB59EF" w:rsidRPr="00DB59EF">
        <w:rPr>
          <w:rFonts w:ascii="Segoe UI" w:hAnsi="Segoe UI" w:cs="Segoe UI"/>
          <w:sz w:val="20"/>
          <w:lang w:val="el-GR" w:eastAsia="el-GR" w:bidi="el-GR"/>
        </w:rPr>
        <w:t xml:space="preserve">% </w:t>
      </w:r>
      <w:r w:rsidR="00DB59EF">
        <w:rPr>
          <w:rFonts w:ascii="Segoe UI" w:hAnsi="Segoe UI" w:cs="Segoe UI"/>
          <w:sz w:val="20"/>
          <w:lang w:val="el-GR" w:eastAsia="el-GR" w:bidi="el-GR"/>
        </w:rPr>
        <w:t xml:space="preserve">σε </w:t>
      </w:r>
      <w:r w:rsidRPr="00C9600A">
        <w:rPr>
          <w:rFonts w:ascii="Segoe UI" w:hAnsi="Segoe UI" w:cs="Segoe UI"/>
          <w:sz w:val="20"/>
          <w:lang w:val="el-GR" w:eastAsia="el-GR" w:bidi="el-GR"/>
        </w:rPr>
        <w:t>επίπεδο Ομίλου</w:t>
      </w:r>
      <w:r w:rsidR="00757178" w:rsidRPr="00757178">
        <w:rPr>
          <w:rFonts w:ascii="Segoe UI" w:hAnsi="Segoe UI" w:cs="Segoe UI"/>
          <w:sz w:val="20"/>
          <w:lang w:val="el-GR" w:eastAsia="el-GR" w:bidi="el-GR"/>
        </w:rPr>
        <w:t xml:space="preserve"> </w:t>
      </w:r>
      <w:r w:rsidR="00757178">
        <w:rPr>
          <w:rFonts w:ascii="Segoe UI" w:hAnsi="Segoe UI" w:cs="Segoe UI"/>
          <w:sz w:val="20"/>
          <w:lang w:val="el-GR" w:eastAsia="el-GR" w:bidi="el-GR"/>
        </w:rPr>
        <w:t>το Γ’ τρίμηνο 2019</w:t>
      </w:r>
      <w:r w:rsidRPr="00C9600A">
        <w:rPr>
          <w:rFonts w:ascii="Segoe UI" w:hAnsi="Segoe UI" w:cs="Segoe UI"/>
          <w:sz w:val="20"/>
          <w:lang w:val="el-GR" w:eastAsia="el-GR" w:bidi="el-GR"/>
        </w:rPr>
        <w:t>.</w:t>
      </w:r>
    </w:p>
    <w:p w:rsidR="00F9635F" w:rsidRDefault="00F9635F" w:rsidP="00201890">
      <w:pPr>
        <w:autoSpaceDE w:val="0"/>
        <w:autoSpaceDN w:val="0"/>
        <w:adjustRightInd w:val="0"/>
        <w:spacing w:after="160" w:line="320" w:lineRule="atLeast"/>
        <w:jc w:val="both"/>
        <w:rPr>
          <w:rFonts w:ascii="Segoe UI" w:hAnsi="Segoe UI" w:cs="Segoe UI"/>
          <w:sz w:val="20"/>
          <w:lang w:val="el-GR" w:eastAsia="el-GR" w:bidi="el-GR"/>
        </w:rPr>
      </w:pPr>
      <w:r w:rsidRPr="00F9635F">
        <w:rPr>
          <w:rFonts w:ascii="Segoe UI" w:hAnsi="Segoe UI" w:cs="Segoe UI"/>
          <w:sz w:val="20"/>
          <w:lang w:val="el-GR" w:eastAsia="el-GR" w:bidi="el-GR"/>
        </w:rPr>
        <w:t>Η</w:t>
      </w:r>
      <w:r w:rsidR="00567B66" w:rsidRPr="00F9635F">
        <w:rPr>
          <w:rFonts w:ascii="Segoe UI" w:hAnsi="Segoe UI" w:cs="Segoe UI"/>
          <w:sz w:val="20"/>
          <w:lang w:val="el-GR" w:eastAsia="el-GR" w:bidi="el-GR"/>
        </w:rPr>
        <w:t xml:space="preserve"> </w:t>
      </w:r>
      <w:r w:rsidR="00567B66" w:rsidRPr="00AC518F">
        <w:rPr>
          <w:rFonts w:ascii="Segoe UI" w:hAnsi="Segoe UI" w:cs="Segoe UI"/>
          <w:b/>
          <w:sz w:val="20"/>
          <w:lang w:val="el-GR" w:eastAsia="el-GR" w:bidi="el-GR"/>
        </w:rPr>
        <w:t>χρηματοδότηση από το</w:t>
      </w:r>
      <w:r w:rsidR="00567B66" w:rsidRPr="00F9635F">
        <w:rPr>
          <w:rFonts w:ascii="Segoe UI" w:hAnsi="Segoe UI" w:cs="Segoe UI"/>
          <w:sz w:val="20"/>
          <w:lang w:val="el-GR" w:eastAsia="el-GR" w:bidi="el-GR"/>
        </w:rPr>
        <w:t xml:space="preserve"> </w:t>
      </w:r>
      <w:r w:rsidR="00567B66" w:rsidRPr="00F9635F">
        <w:rPr>
          <w:rFonts w:ascii="Segoe UI" w:hAnsi="Segoe UI" w:cs="Segoe UI"/>
          <w:b/>
          <w:sz w:val="20"/>
          <w:lang w:val="el-GR" w:eastAsia="el-GR" w:bidi="el-GR"/>
        </w:rPr>
        <w:t>Ευρωσύστημα</w:t>
      </w:r>
      <w:r w:rsidR="00567B66" w:rsidRPr="00F9635F">
        <w:rPr>
          <w:rFonts w:ascii="Segoe UI" w:hAnsi="Segoe UI" w:cs="Segoe UI"/>
          <w:sz w:val="20"/>
          <w:lang w:val="el-GR" w:eastAsia="el-GR" w:bidi="el-GR"/>
        </w:rPr>
        <w:t xml:space="preserve"> </w:t>
      </w:r>
      <w:r w:rsidR="00A25F12" w:rsidRPr="00F9635F">
        <w:rPr>
          <w:rFonts w:ascii="Segoe UI" w:hAnsi="Segoe UI" w:cs="Segoe UI"/>
          <w:sz w:val="20"/>
          <w:lang w:val="el-GR" w:eastAsia="el-GR" w:bidi="el-GR"/>
        </w:rPr>
        <w:t xml:space="preserve">διατηρείται </w:t>
      </w:r>
      <w:r w:rsidR="00567B66" w:rsidRPr="00F9635F">
        <w:rPr>
          <w:rFonts w:ascii="Segoe UI" w:hAnsi="Segoe UI" w:cs="Segoe UI"/>
          <w:sz w:val="20"/>
          <w:lang w:val="el-GR" w:eastAsia="el-GR" w:bidi="el-GR"/>
        </w:rPr>
        <w:t xml:space="preserve">σε </w:t>
      </w:r>
      <w:r w:rsidR="00014C7A" w:rsidRPr="00F9635F">
        <w:rPr>
          <w:rFonts w:ascii="Segoe UI" w:hAnsi="Segoe UI" w:cs="Segoe UI"/>
          <w:sz w:val="20"/>
          <w:lang w:val="el-GR" w:eastAsia="el-GR" w:bidi="el-GR"/>
        </w:rPr>
        <w:t xml:space="preserve">μόλις </w:t>
      </w:r>
      <w:r w:rsidR="00567B66" w:rsidRPr="00F9635F">
        <w:rPr>
          <w:rFonts w:ascii="Segoe UI" w:hAnsi="Segoe UI" w:cs="Segoe UI"/>
          <w:sz w:val="20"/>
          <w:lang w:val="el-GR" w:eastAsia="el-GR" w:bidi="el-GR"/>
        </w:rPr>
        <w:t>€</w:t>
      </w:r>
      <w:r>
        <w:rPr>
          <w:rFonts w:ascii="Segoe UI" w:hAnsi="Segoe UI" w:cs="Segoe UI"/>
          <w:sz w:val="20"/>
          <w:lang w:val="el-GR" w:eastAsia="el-GR" w:bidi="el-GR"/>
        </w:rPr>
        <w:t>2,</w:t>
      </w:r>
      <w:r w:rsidR="004225D5">
        <w:rPr>
          <w:rFonts w:ascii="Segoe UI" w:hAnsi="Segoe UI" w:cs="Segoe UI"/>
          <w:sz w:val="20"/>
          <w:lang w:val="el-GR" w:eastAsia="el-GR" w:bidi="el-GR"/>
        </w:rPr>
        <w:t>25</w:t>
      </w:r>
      <w:r>
        <w:rPr>
          <w:rFonts w:ascii="Segoe UI" w:hAnsi="Segoe UI" w:cs="Segoe UI"/>
          <w:sz w:val="20"/>
          <w:lang w:val="el-GR" w:eastAsia="el-GR" w:bidi="el-GR"/>
        </w:rPr>
        <w:t xml:space="preserve"> δισ</w:t>
      </w:r>
      <w:r w:rsidRPr="001826C7">
        <w:rPr>
          <w:rFonts w:ascii="Segoe UI" w:hAnsi="Segoe UI" w:cs="Segoe UI"/>
          <w:sz w:val="20"/>
          <w:lang w:val="el-GR" w:eastAsia="el-GR" w:bidi="el-GR"/>
        </w:rPr>
        <w:t xml:space="preserve">. </w:t>
      </w:r>
      <w:r w:rsidR="00DB4D4C" w:rsidRPr="001826C7">
        <w:rPr>
          <w:rFonts w:ascii="Segoe UI" w:hAnsi="Segoe UI" w:cs="Segoe UI"/>
          <w:sz w:val="20"/>
          <w:lang w:val="el-GR" w:eastAsia="el-GR" w:bidi="el-GR"/>
        </w:rPr>
        <w:t xml:space="preserve">και αφορά αποκλειστικά στο </w:t>
      </w:r>
      <w:r w:rsidR="00362E50" w:rsidRPr="001826C7">
        <w:rPr>
          <w:rFonts w:ascii="Segoe UI" w:hAnsi="Segoe UI" w:cs="Segoe UI"/>
          <w:sz w:val="20"/>
          <w:lang w:val="el-GR" w:eastAsia="el-GR" w:bidi="el-GR"/>
        </w:rPr>
        <w:t>Π</w:t>
      </w:r>
      <w:r w:rsidR="00DB4D4C" w:rsidRPr="001826C7">
        <w:rPr>
          <w:rFonts w:ascii="Segoe UI" w:hAnsi="Segoe UI" w:cs="Segoe UI"/>
          <w:sz w:val="20"/>
          <w:lang w:val="el-GR" w:eastAsia="el-GR" w:bidi="el-GR"/>
        </w:rPr>
        <w:t>ρ</w:t>
      </w:r>
      <w:r w:rsidR="00DB4D4C" w:rsidRPr="00F9635F">
        <w:rPr>
          <w:rFonts w:ascii="Segoe UI" w:hAnsi="Segoe UI" w:cs="Segoe UI"/>
          <w:sz w:val="20"/>
          <w:lang w:val="el-GR" w:eastAsia="el-GR" w:bidi="el-GR"/>
        </w:rPr>
        <w:t xml:space="preserve">όγραμμα </w:t>
      </w:r>
      <w:r w:rsidR="00362E50">
        <w:rPr>
          <w:rFonts w:ascii="Segoe UI" w:hAnsi="Segoe UI" w:cs="Segoe UI"/>
          <w:sz w:val="20"/>
          <w:lang w:val="el-GR" w:eastAsia="el-GR" w:bidi="el-GR"/>
        </w:rPr>
        <w:t>Σ</w:t>
      </w:r>
      <w:r w:rsidR="00DB4D4C" w:rsidRPr="00F9635F">
        <w:rPr>
          <w:rFonts w:ascii="Segoe UI" w:hAnsi="Segoe UI" w:cs="Segoe UI"/>
          <w:sz w:val="20"/>
          <w:lang w:val="el-GR" w:eastAsia="el-GR" w:bidi="el-GR"/>
        </w:rPr>
        <w:t xml:space="preserve">τοχευμένων </w:t>
      </w:r>
      <w:r w:rsidR="00362E50">
        <w:rPr>
          <w:rFonts w:ascii="Segoe UI" w:hAnsi="Segoe UI" w:cs="Segoe UI"/>
          <w:sz w:val="20"/>
          <w:lang w:val="el-GR" w:eastAsia="el-GR" w:bidi="el-GR"/>
        </w:rPr>
        <w:t>Σ</w:t>
      </w:r>
      <w:r w:rsidR="00DB4D4C" w:rsidRPr="00F9635F">
        <w:rPr>
          <w:rFonts w:ascii="Segoe UI" w:hAnsi="Segoe UI" w:cs="Segoe UI"/>
          <w:sz w:val="20"/>
          <w:lang w:val="el-GR" w:eastAsia="el-GR" w:bidi="el-GR"/>
        </w:rPr>
        <w:t xml:space="preserve">υναλλαγών </w:t>
      </w:r>
      <w:r w:rsidR="00362E50">
        <w:rPr>
          <w:rFonts w:ascii="Segoe UI" w:hAnsi="Segoe UI" w:cs="Segoe UI"/>
          <w:sz w:val="20"/>
          <w:lang w:val="el-GR" w:eastAsia="el-GR" w:bidi="el-GR"/>
        </w:rPr>
        <w:t>Μ</w:t>
      </w:r>
      <w:r w:rsidR="00DB4D4C" w:rsidRPr="00F9635F">
        <w:rPr>
          <w:rFonts w:ascii="Segoe UI" w:hAnsi="Segoe UI" w:cs="Segoe UI"/>
          <w:sz w:val="20"/>
          <w:lang w:val="el-GR" w:eastAsia="el-GR" w:bidi="el-GR"/>
        </w:rPr>
        <w:t xml:space="preserve">ακροχρόνιας </w:t>
      </w:r>
      <w:r w:rsidR="00362E50">
        <w:rPr>
          <w:rFonts w:ascii="Segoe UI" w:hAnsi="Segoe UI" w:cs="Segoe UI"/>
          <w:sz w:val="20"/>
          <w:lang w:val="el-GR" w:eastAsia="el-GR" w:bidi="el-GR"/>
        </w:rPr>
        <w:t>Α</w:t>
      </w:r>
      <w:r w:rsidR="00DB4D4C" w:rsidRPr="00F9635F">
        <w:rPr>
          <w:rFonts w:ascii="Segoe UI" w:hAnsi="Segoe UI" w:cs="Segoe UI"/>
          <w:sz w:val="20"/>
          <w:lang w:val="el-GR" w:eastAsia="el-GR" w:bidi="el-GR"/>
        </w:rPr>
        <w:t xml:space="preserve">ναχρηματοδότησης </w:t>
      </w:r>
      <w:r w:rsidR="008C03B2">
        <w:rPr>
          <w:rFonts w:ascii="Segoe UI" w:hAnsi="Segoe UI" w:cs="Segoe UI"/>
          <w:sz w:val="20"/>
          <w:lang w:val="el-GR" w:eastAsia="el-GR" w:bidi="el-GR"/>
        </w:rPr>
        <w:t>(</w:t>
      </w:r>
      <w:r w:rsidR="008C03B2">
        <w:rPr>
          <w:rFonts w:ascii="Segoe UI" w:hAnsi="Segoe UI" w:cs="Segoe UI"/>
          <w:sz w:val="20"/>
          <w:lang w:val="en-US" w:eastAsia="el-GR" w:bidi="el-GR"/>
        </w:rPr>
        <w:t>TLTRO</w:t>
      </w:r>
      <w:r w:rsidR="004225D5">
        <w:rPr>
          <w:rFonts w:ascii="Segoe UI" w:hAnsi="Segoe UI" w:cs="Segoe UI"/>
          <w:sz w:val="20"/>
          <w:lang w:val="el-GR" w:eastAsia="el-GR" w:bidi="el-GR"/>
        </w:rPr>
        <w:t>)</w:t>
      </w:r>
      <w:r w:rsidR="004225D5" w:rsidRPr="004225D5">
        <w:rPr>
          <w:rFonts w:ascii="Segoe UI" w:hAnsi="Segoe UI" w:cs="Segoe UI"/>
          <w:sz w:val="20"/>
          <w:lang w:val="el-GR" w:eastAsia="el-GR" w:bidi="el-GR"/>
        </w:rPr>
        <w:t xml:space="preserve"> </w:t>
      </w:r>
      <w:r w:rsidR="004225D5" w:rsidRPr="00F9635F">
        <w:rPr>
          <w:rFonts w:ascii="Segoe UI" w:hAnsi="Segoe UI" w:cs="Segoe UI"/>
          <w:sz w:val="20"/>
          <w:lang w:val="el-GR" w:eastAsia="el-GR" w:bidi="el-GR"/>
        </w:rPr>
        <w:t>της ΕΚΤ</w:t>
      </w:r>
      <w:r w:rsidR="00DB4D4C" w:rsidRPr="00F9635F">
        <w:rPr>
          <w:rFonts w:ascii="Segoe UI" w:hAnsi="Segoe UI" w:cs="Segoe UI"/>
          <w:sz w:val="20"/>
          <w:lang w:val="el-GR" w:eastAsia="el-GR" w:bidi="el-GR"/>
        </w:rPr>
        <w:t>.</w:t>
      </w:r>
      <w:r w:rsidR="00BD5321">
        <w:rPr>
          <w:rFonts w:ascii="Segoe UI" w:hAnsi="Segoe UI" w:cs="Segoe UI"/>
          <w:sz w:val="20"/>
          <w:lang w:val="el-GR" w:eastAsia="el-GR" w:bidi="el-GR"/>
        </w:rPr>
        <w:t xml:space="preserve"> </w:t>
      </w:r>
      <w:r w:rsidR="008849FE" w:rsidRPr="008849FE">
        <w:rPr>
          <w:rFonts w:ascii="Segoe UI" w:hAnsi="Segoe UI" w:cs="Segoe UI"/>
          <w:sz w:val="20"/>
          <w:lang w:val="el-GR" w:eastAsia="el-GR" w:bidi="el-GR"/>
        </w:rPr>
        <w:t>Η μείωση της χρηματοδότησης στη διατραπεζική αγορά κατά €</w:t>
      </w:r>
      <w:r w:rsidR="00843DE7">
        <w:rPr>
          <w:rFonts w:ascii="Segoe UI" w:hAnsi="Segoe UI" w:cs="Segoe UI"/>
          <w:sz w:val="20"/>
          <w:lang w:val="el-GR" w:eastAsia="el-GR" w:bidi="el-GR"/>
        </w:rPr>
        <w:t>3,4</w:t>
      </w:r>
      <w:r w:rsidR="008849FE" w:rsidRPr="008849FE">
        <w:rPr>
          <w:rFonts w:ascii="Segoe UI" w:hAnsi="Segoe UI" w:cs="Segoe UI"/>
          <w:sz w:val="20"/>
          <w:lang w:val="el-GR" w:eastAsia="el-GR" w:bidi="el-GR"/>
        </w:rPr>
        <w:t xml:space="preserve"> δισ. από την αρχή του έτους</w:t>
      </w:r>
      <w:r w:rsidR="00843DE7">
        <w:rPr>
          <w:rFonts w:ascii="Segoe UI" w:hAnsi="Segoe UI" w:cs="Segoe UI"/>
          <w:sz w:val="20"/>
          <w:lang w:val="el-GR" w:eastAsia="el-GR" w:bidi="el-GR"/>
        </w:rPr>
        <w:t xml:space="preserve"> σε μόλις </w:t>
      </w:r>
      <w:r w:rsidR="00843DE7" w:rsidRPr="002A52A2">
        <w:rPr>
          <w:rFonts w:ascii="Segoe UI" w:hAnsi="Segoe UI" w:cs="Segoe UI"/>
          <w:sz w:val="20"/>
          <w:lang w:val="el-GR" w:eastAsia="el-GR" w:bidi="el-GR"/>
        </w:rPr>
        <w:t>€</w:t>
      </w:r>
      <w:r w:rsidR="00843DE7">
        <w:rPr>
          <w:rFonts w:ascii="Segoe UI" w:hAnsi="Segoe UI" w:cs="Segoe UI"/>
          <w:sz w:val="20"/>
          <w:lang w:val="el-GR" w:eastAsia="el-GR" w:bidi="el-GR"/>
        </w:rPr>
        <w:t>0,2</w:t>
      </w:r>
      <w:r w:rsidR="00843DE7" w:rsidRPr="002A52A2">
        <w:rPr>
          <w:rFonts w:ascii="Segoe UI" w:hAnsi="Segoe UI" w:cs="Segoe UI"/>
          <w:sz w:val="20"/>
          <w:lang w:val="el-GR" w:eastAsia="el-GR" w:bidi="el-GR"/>
        </w:rPr>
        <w:t xml:space="preserve"> δισ. </w:t>
      </w:r>
      <w:r w:rsidR="008849FE" w:rsidRPr="008849FE">
        <w:rPr>
          <w:rFonts w:ascii="Segoe UI" w:hAnsi="Segoe UI" w:cs="Segoe UI"/>
          <w:sz w:val="20"/>
          <w:lang w:val="el-GR" w:eastAsia="el-GR" w:bidi="el-GR"/>
        </w:rPr>
        <w:t xml:space="preserve">αντανακλά </w:t>
      </w:r>
      <w:r w:rsidR="00287924">
        <w:rPr>
          <w:rFonts w:ascii="Segoe UI" w:hAnsi="Segoe UI" w:cs="Segoe UI"/>
          <w:sz w:val="20"/>
          <w:lang w:val="el-GR" w:eastAsia="el-GR" w:bidi="el-GR"/>
        </w:rPr>
        <w:t xml:space="preserve">τη </w:t>
      </w:r>
      <w:r w:rsidR="008849FE" w:rsidRPr="008849FE">
        <w:rPr>
          <w:rFonts w:ascii="Segoe UI" w:hAnsi="Segoe UI" w:cs="Segoe UI"/>
          <w:sz w:val="20"/>
          <w:lang w:val="el-GR" w:eastAsia="el-GR" w:bidi="el-GR"/>
        </w:rPr>
        <w:t xml:space="preserve">βελτιστοποίηση του κόστους χρηματοδότησης, με τους </w:t>
      </w:r>
      <w:r w:rsidR="008849FE" w:rsidRPr="008849FE">
        <w:rPr>
          <w:rFonts w:ascii="Segoe UI" w:hAnsi="Segoe UI" w:cs="Segoe UI"/>
          <w:b/>
          <w:sz w:val="20"/>
          <w:lang w:val="el-GR" w:eastAsia="el-GR" w:bidi="el-GR"/>
        </w:rPr>
        <w:t xml:space="preserve">δείκτες </w:t>
      </w:r>
      <w:r w:rsidR="008849FE" w:rsidRPr="00632170">
        <w:rPr>
          <w:rFonts w:ascii="Segoe UI" w:hAnsi="Segoe UI" w:cs="Segoe UI"/>
          <w:b/>
          <w:sz w:val="20"/>
          <w:lang w:val="el-GR" w:eastAsia="el-GR" w:bidi="el-GR"/>
        </w:rPr>
        <w:t>LCR</w:t>
      </w:r>
      <w:r w:rsidR="008849FE" w:rsidRPr="008849FE">
        <w:rPr>
          <w:rFonts w:ascii="Segoe UI" w:hAnsi="Segoe UI" w:cs="Segoe UI"/>
          <w:sz w:val="20"/>
          <w:lang w:val="el-GR" w:eastAsia="el-GR" w:bidi="el-GR"/>
        </w:rPr>
        <w:t xml:space="preserve"> και </w:t>
      </w:r>
      <w:r w:rsidR="008849FE" w:rsidRPr="00632170">
        <w:rPr>
          <w:rFonts w:ascii="Segoe UI" w:hAnsi="Segoe UI" w:cs="Segoe UI"/>
          <w:b/>
          <w:sz w:val="20"/>
          <w:lang w:val="el-GR" w:eastAsia="el-GR" w:bidi="el-GR"/>
        </w:rPr>
        <w:t>NSFR</w:t>
      </w:r>
      <w:r w:rsidR="008849FE" w:rsidRPr="008849FE">
        <w:rPr>
          <w:rFonts w:ascii="Segoe UI" w:hAnsi="Segoe UI" w:cs="Segoe UI"/>
          <w:sz w:val="20"/>
          <w:lang w:val="el-GR" w:eastAsia="el-GR" w:bidi="el-GR"/>
        </w:rPr>
        <w:t xml:space="preserve"> να διατηρούνται σε </w:t>
      </w:r>
      <w:r w:rsidR="00287924">
        <w:rPr>
          <w:rFonts w:ascii="Segoe UI" w:hAnsi="Segoe UI" w:cs="Segoe UI"/>
          <w:sz w:val="20"/>
          <w:lang w:val="el-GR" w:eastAsia="el-GR" w:bidi="el-GR"/>
        </w:rPr>
        <w:t xml:space="preserve">υψηλά επίπεδα της τάξεως του </w:t>
      </w:r>
      <w:r w:rsidR="0074177B">
        <w:rPr>
          <w:rFonts w:ascii="Segoe UI" w:hAnsi="Segoe UI" w:cs="Segoe UI"/>
          <w:sz w:val="20"/>
          <w:lang w:val="el-GR" w:eastAsia="el-GR" w:bidi="el-GR"/>
        </w:rPr>
        <w:t>198</w:t>
      </w:r>
      <w:r w:rsidR="008849FE" w:rsidRPr="008849FE">
        <w:rPr>
          <w:rFonts w:ascii="Segoe UI" w:hAnsi="Segoe UI" w:cs="Segoe UI"/>
          <w:sz w:val="20"/>
          <w:lang w:val="el-GR" w:eastAsia="el-GR" w:bidi="el-GR"/>
        </w:rPr>
        <w:t xml:space="preserve">% και </w:t>
      </w:r>
      <w:r w:rsidR="006A0CE7" w:rsidRPr="006A0CE7">
        <w:rPr>
          <w:rFonts w:ascii="Segoe UI" w:hAnsi="Segoe UI" w:cs="Segoe UI"/>
          <w:sz w:val="20"/>
          <w:lang w:val="el-GR" w:eastAsia="el-GR" w:bidi="el-GR"/>
        </w:rPr>
        <w:t>11</w:t>
      </w:r>
      <w:r w:rsidR="0074177B">
        <w:rPr>
          <w:rFonts w:ascii="Segoe UI" w:hAnsi="Segoe UI" w:cs="Segoe UI"/>
          <w:sz w:val="20"/>
          <w:lang w:val="el-GR" w:eastAsia="el-GR" w:bidi="el-GR"/>
        </w:rPr>
        <w:t>6</w:t>
      </w:r>
      <w:r w:rsidR="008849FE" w:rsidRPr="008849FE">
        <w:rPr>
          <w:rFonts w:ascii="Segoe UI" w:hAnsi="Segoe UI" w:cs="Segoe UI"/>
          <w:sz w:val="20"/>
          <w:lang w:val="el-GR" w:eastAsia="el-GR" w:bidi="el-GR"/>
        </w:rPr>
        <w:t>%, αντίστοιχα</w:t>
      </w:r>
      <w:r w:rsidR="008849FE">
        <w:rPr>
          <w:rFonts w:ascii="Segoe UI" w:hAnsi="Segoe UI" w:cs="Segoe UI"/>
          <w:sz w:val="20"/>
          <w:lang w:val="el-GR" w:eastAsia="el-GR" w:bidi="el-GR"/>
        </w:rPr>
        <w:t>.</w:t>
      </w:r>
      <w:r>
        <w:rPr>
          <w:rFonts w:ascii="Segoe UI" w:hAnsi="Segoe UI" w:cs="Segoe UI"/>
          <w:sz w:val="20"/>
          <w:lang w:val="el-GR" w:eastAsia="el-GR" w:bidi="el-GR"/>
        </w:rPr>
        <w:t xml:space="preserve"> </w:t>
      </w:r>
    </w:p>
    <w:p w:rsidR="003445B9" w:rsidRPr="003445B9" w:rsidRDefault="003445B9" w:rsidP="00F1458A">
      <w:pPr>
        <w:spacing w:after="0" w:line="240" w:lineRule="auto"/>
        <w:rPr>
          <w:rFonts w:ascii="Segoe UI" w:eastAsia="Segoe UI" w:hAnsi="Segoe UI" w:cs="Segoe UI"/>
          <w:b/>
          <w:color w:val="008080"/>
          <w:kern w:val="24"/>
          <w:sz w:val="18"/>
          <w:szCs w:val="24"/>
          <w:lang w:val="el-GR" w:eastAsia="el-GR"/>
        </w:rPr>
      </w:pPr>
      <w:r>
        <w:rPr>
          <w:rFonts w:ascii="Segoe UI" w:eastAsia="Segoe UI" w:hAnsi="Segoe UI" w:cs="Segoe UI"/>
          <w:b/>
          <w:color w:val="008080"/>
          <w:kern w:val="24"/>
          <w:sz w:val="18"/>
          <w:szCs w:val="24"/>
          <w:lang w:val="el-GR" w:eastAsia="el-GR"/>
        </w:rPr>
        <w:t>Χ</w:t>
      </w:r>
      <w:r w:rsidRPr="003445B9">
        <w:rPr>
          <w:rFonts w:ascii="Segoe UI" w:eastAsia="Segoe UI" w:hAnsi="Segoe UI" w:cs="Segoe UI"/>
          <w:b/>
          <w:color w:val="008080"/>
          <w:kern w:val="24"/>
          <w:sz w:val="18"/>
          <w:szCs w:val="24"/>
          <w:lang w:val="el-GR" w:eastAsia="el-GR"/>
        </w:rPr>
        <w:t>ρηματοδότηση από το Ευρωσύστημα (€</w:t>
      </w:r>
      <w:r>
        <w:rPr>
          <w:rFonts w:ascii="Segoe UI" w:eastAsia="Segoe UI" w:hAnsi="Segoe UI" w:cs="Segoe UI"/>
          <w:b/>
          <w:color w:val="008080"/>
          <w:kern w:val="24"/>
          <w:sz w:val="18"/>
          <w:szCs w:val="24"/>
          <w:lang w:val="el-GR" w:eastAsia="el-GR"/>
        </w:rPr>
        <w:t xml:space="preserve"> δισ.</w:t>
      </w:r>
      <w:r w:rsidRPr="003445B9">
        <w:rPr>
          <w:rFonts w:ascii="Segoe UI" w:eastAsia="Segoe UI" w:hAnsi="Segoe UI" w:cs="Segoe UI"/>
          <w:b/>
          <w:color w:val="008080"/>
          <w:kern w:val="24"/>
          <w:sz w:val="18"/>
          <w:szCs w:val="24"/>
          <w:lang w:val="el-GR" w:eastAsia="el-GR"/>
        </w:rPr>
        <w:t>)</w:t>
      </w:r>
    </w:p>
    <w:p w:rsidR="003445B9" w:rsidRPr="003445B9" w:rsidRDefault="00486D0B" w:rsidP="003445B9">
      <w:pPr>
        <w:autoSpaceDE w:val="0"/>
        <w:autoSpaceDN w:val="0"/>
        <w:adjustRightInd w:val="0"/>
        <w:spacing w:after="160" w:line="320" w:lineRule="atLeast"/>
        <w:jc w:val="both"/>
        <w:rPr>
          <w:rFonts w:ascii="Segoe UI" w:eastAsia="Calibri" w:hAnsi="Segoe UI" w:cs="Segoe UI"/>
          <w:b/>
          <w:color w:val="000000"/>
          <w:sz w:val="20"/>
          <w:szCs w:val="24"/>
          <w:lang w:val="en-US"/>
        </w:rPr>
      </w:pPr>
      <w:r w:rsidRPr="00486D0B">
        <w:rPr>
          <w:rFonts w:ascii="Arial" w:eastAsia="Calibri" w:hAnsi="Arial" w:cs="Arial"/>
          <w:noProof/>
          <w:color w:val="000000"/>
          <w:sz w:val="24"/>
          <w:szCs w:val="24"/>
          <w:lang w:val="el-GR" w:eastAsia="el-GR"/>
        </w:rPr>
        <w:pict>
          <v:shape id="_x0000_s1043" type="#_x0000_t61" style="position:absolute;left:0;text-align:left;margin-left:356.15pt;margin-top:78.65pt;width:1in;height:36.5pt;z-index:25135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" adj="16867,36132" fillcolor="window" strokecolor="#d9d9d9" strokeweight="1pt">
            <v:textbox>
              <w:txbxContent>
                <w:p w:rsidR="005726A5" w:rsidRPr="00F407E3" w:rsidRDefault="005726A5" w:rsidP="003445B9">
                  <w:pPr>
                    <w:pStyle w:val="Web"/>
                    <w:spacing w:before="0" w:beforeAutospacing="0" w:after="0" w:afterAutospacing="0"/>
                    <w:jc w:val="center"/>
                    <w:textAlignment w:val="baseline"/>
                    <w:rPr>
                      <w:sz w:val="22"/>
                    </w:rPr>
                  </w:pPr>
                  <w:r w:rsidRPr="00F407E3">
                    <w:rPr>
                      <w:rFonts w:asciiTheme="minorHAnsi" w:hAnsi="Calibri" w:cstheme="minorBidi"/>
                      <w:color w:val="000000" w:themeColor="text1"/>
                      <w:kern w:val="24"/>
                      <w:sz w:val="12"/>
                      <w:szCs w:val="14"/>
                    </w:rPr>
                    <w:t>€</w:t>
                  </w:r>
                  <w:r>
                    <w:rPr>
                      <w:rFonts w:asciiTheme="minorHAnsi" w:hAnsi="Calibri" w:cstheme="minorBidi"/>
                      <w:color w:val="000000" w:themeColor="text1"/>
                      <w:kern w:val="24"/>
                      <w:sz w:val="12"/>
                      <w:szCs w:val="14"/>
                    </w:rPr>
                    <w:t>0,2 δισ. χρηματοδότηση από τη διατραπεζική αγορά</w:t>
                  </w:r>
                  <w:r w:rsidRPr="003445B9">
                    <w:rPr>
                      <w:rFonts w:asciiTheme="minorHAnsi" w:hAnsi="Calibri" w:cstheme="minorBidi"/>
                      <w:color w:val="000000" w:themeColor="text1"/>
                      <w:kern w:val="24"/>
                      <w:sz w:val="12"/>
                      <w:szCs w:val="14"/>
                    </w:rPr>
                    <w:t xml:space="preserve"> </w:t>
                  </w:r>
                </w:p>
              </w:txbxContent>
            </v:textbox>
          </v:shape>
        </w:pict>
      </w:r>
      <w:r w:rsidRPr="00486D0B">
        <w:rPr>
          <w:rFonts w:eastAsia="Calibri"/>
          <w:noProof/>
          <w:lang w:val="el-GR" w:eastAsia="el-GR"/>
        </w:rPr>
        <w:pict>
          <v:shape id="TextBox 15" o:spid="_x0000_s1044" type="#_x0000_t202" style="position:absolute;left:0;text-align:left;margin-left:414pt;margin-top:155.2pt;width:30.6pt;height:15.55pt;z-index:25138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" filled="f" stroked="f">
            <v:textbox>
              <w:txbxContent>
                <w:p w:rsidR="005726A5" w:rsidRPr="00842227" w:rsidRDefault="005726A5" w:rsidP="003445B9">
                  <w:pPr>
                    <w:pStyle w:val="Web"/>
                    <w:spacing w:before="0" w:beforeAutospacing="0" w:after="0" w:afterAutospacing="0"/>
                    <w:textAlignment w:val="baseline"/>
                    <w:rPr>
                      <w:rFonts w:asciiTheme="minorHAnsi" w:hAnsiTheme="minorHAnsi"/>
                      <w:sz w:val="22"/>
                    </w:rPr>
                  </w:pPr>
                  <w:r w:rsidRPr="00842227">
                    <w:rPr>
                      <w:rFonts w:asciiTheme="minorHAnsi" w:hAnsiTheme="minorHAnsi" w:cs="Arial"/>
                      <w:b/>
                      <w:bCs/>
                      <w:color w:val="000000" w:themeColor="text1"/>
                      <w:kern w:val="24"/>
                      <w:sz w:val="14"/>
                      <w:szCs w:val="16"/>
                      <w:lang w:val="en-US"/>
                    </w:rPr>
                    <w:t>E</w:t>
                  </w:r>
                  <w:r>
                    <w:rPr>
                      <w:rFonts w:asciiTheme="minorHAnsi" w:hAnsiTheme="minorHAnsi" w:cs="Arial"/>
                      <w:b/>
                      <w:bCs/>
                      <w:color w:val="000000" w:themeColor="text1"/>
                      <w:kern w:val="24"/>
                      <w:sz w:val="14"/>
                      <w:szCs w:val="16"/>
                    </w:rPr>
                    <w:t>ΚΤ</w:t>
                  </w:r>
                </w:p>
              </w:txbxContent>
            </v:textbox>
          </v:shape>
        </w:pict>
      </w:r>
      <w:r w:rsidRPr="00486D0B">
        <w:rPr>
          <w:rFonts w:eastAsia="Calibri"/>
          <w:noProof/>
          <w:lang w:val="el-GR" w:eastAsia="el-GR"/>
        </w:rPr>
        <w:pict>
          <v:shape id="_x0000_s1045" type="#_x0000_t202" style="position:absolute;left:0;text-align:left;margin-left:413.8pt;margin-top:146.75pt;width:25.25pt;height:13.9pt;z-index:25136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" filled="f" stroked="f">
            <v:textbox>
              <w:txbxContent>
                <w:p w:rsidR="005726A5" w:rsidRPr="00842227" w:rsidRDefault="005726A5" w:rsidP="003445B9">
                  <w:pPr>
                    <w:pStyle w:val="Web"/>
                    <w:spacing w:before="0" w:beforeAutospacing="0" w:after="0" w:afterAutospacing="0"/>
                    <w:textAlignment w:val="baseline"/>
                    <w:rPr>
                      <w:rFonts w:asciiTheme="minorHAnsi" w:hAnsiTheme="minorHAnsi"/>
                      <w:sz w:val="22"/>
                    </w:rPr>
                  </w:pPr>
                  <w:r w:rsidRPr="00842227">
                    <w:rPr>
                      <w:rFonts w:asciiTheme="minorHAnsi" w:hAnsiTheme="minorHAnsi" w:cs="Arial"/>
                      <w:b/>
                      <w:bCs/>
                      <w:color w:val="000000" w:themeColor="text1"/>
                      <w:kern w:val="24"/>
                      <w:sz w:val="14"/>
                      <w:szCs w:val="16"/>
                      <w:lang w:val="en-US"/>
                    </w:rPr>
                    <w:t>ELA</w:t>
                  </w:r>
                </w:p>
              </w:txbxContent>
            </v:textbox>
          </v:shape>
        </w:pict>
      </w:r>
      <w:r w:rsidR="003445B9" w:rsidRPr="003445B9">
        <w:rPr>
          <w:rFonts w:ascii="Segoe UI" w:eastAsia="Calibri" w:hAnsi="Segoe UI" w:cs="Segoe UI"/>
          <w:b/>
          <w:noProof/>
          <w:color w:val="000000"/>
          <w:sz w:val="20"/>
          <w:szCs w:val="24"/>
          <w:lang w:val="el-GR" w:eastAsia="el-GR"/>
        </w:rPr>
        <w:drawing>
          <wp:inline distT="0" distB="0" distL="0" distR="0">
            <wp:extent cx="5520055" cy="2355495"/>
            <wp:effectExtent l="0" t="0" r="4445" b="698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445B9" w:rsidRPr="003445B9" w:rsidRDefault="00486D0B" w:rsidP="00F4021E">
      <w:pPr>
        <w:spacing w:after="0" w:line="240" w:lineRule="auto"/>
        <w:rPr>
          <w:rFonts w:ascii="Segoe UI" w:eastAsia="Segoe UI" w:hAnsi="Segoe UI" w:cs="Segoe UI"/>
          <w:b/>
          <w:color w:val="008080"/>
          <w:kern w:val="24"/>
          <w:sz w:val="18"/>
          <w:szCs w:val="24"/>
          <w:lang w:val="el-GR" w:eastAsia="el-GR"/>
        </w:rPr>
      </w:pPr>
      <w:r w:rsidRPr="00486D0B">
        <w:rPr>
          <w:rFonts w:ascii="Arial" w:eastAsia="Calibri" w:hAnsi="Arial" w:cs="Arial"/>
          <w:noProof/>
          <w:color w:val="000000"/>
          <w:szCs w:val="24"/>
          <w:lang w:val="el-GR" w:eastAsia="el-GR"/>
        </w:rPr>
        <w:pict>
          <v:rect id="Rectangle 40" o:spid="_x0000_s1049" style="position:absolute;margin-left:-.2pt;margin-top:12pt;width:80.8pt;height:156.6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" filled="f" strokecolor="#7f7f7f" strokeweight="1.5pt">
            <v:stroke dashstyle="3 1"/>
          </v:rect>
        </w:pict>
      </w:r>
      <w:r w:rsidRPr="00486D0B">
        <w:rPr>
          <w:rFonts w:ascii="Arial" w:eastAsia="Calibri" w:hAnsi="Arial" w:cs="Arial"/>
          <w:noProof/>
          <w:color w:val="000000"/>
          <w:szCs w:val="24"/>
          <w:lang w:val="el-GR" w:eastAsia="el-GR"/>
        </w:rPr>
        <w:pict>
          <v:rect id="Rectangle 39" o:spid="_x0000_s1048" style="position:absolute;margin-left:86.8pt;margin-top:12pt;width:347.8pt;height:156.6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" filled="f" strokecolor="#7f7f7f" strokeweight="1.5pt">
            <v:stroke dashstyle="3 1"/>
          </v:rect>
        </w:pict>
      </w:r>
      <w:r w:rsidR="004E5BF6">
        <w:rPr>
          <w:rFonts w:ascii="Segoe UI" w:eastAsia="Segoe UI" w:hAnsi="Segoe UI" w:cs="Segoe UI"/>
          <w:b/>
          <w:color w:val="008080"/>
          <w:kern w:val="24"/>
          <w:sz w:val="18"/>
          <w:szCs w:val="24"/>
          <w:lang w:val="el-GR" w:eastAsia="el-GR"/>
        </w:rPr>
        <w:t>Εγχώριες</w:t>
      </w:r>
      <w:r w:rsidR="004E5BF6" w:rsidRPr="004E5BF6">
        <w:rPr>
          <w:rFonts w:ascii="Segoe UI" w:eastAsia="Segoe UI" w:hAnsi="Segoe UI" w:cs="Segoe UI"/>
          <w:b/>
          <w:color w:val="008080"/>
          <w:kern w:val="24"/>
          <w:sz w:val="18"/>
          <w:szCs w:val="24"/>
          <w:lang w:val="el-GR" w:eastAsia="el-GR"/>
        </w:rPr>
        <w:t xml:space="preserve"> </w:t>
      </w:r>
      <w:r w:rsidR="004E5BF6">
        <w:rPr>
          <w:rFonts w:ascii="Segoe UI" w:eastAsia="Segoe UI" w:hAnsi="Segoe UI" w:cs="Segoe UI"/>
          <w:b/>
          <w:color w:val="008080"/>
          <w:kern w:val="24"/>
          <w:sz w:val="18"/>
          <w:szCs w:val="24"/>
          <w:lang w:val="el-GR" w:eastAsia="el-GR"/>
        </w:rPr>
        <w:t>ροές</w:t>
      </w:r>
      <w:r w:rsidR="004E5BF6" w:rsidRPr="004E5BF6">
        <w:rPr>
          <w:rFonts w:ascii="Segoe UI" w:eastAsia="Segoe UI" w:hAnsi="Segoe UI" w:cs="Segoe UI"/>
          <w:b/>
          <w:color w:val="008080"/>
          <w:kern w:val="24"/>
          <w:sz w:val="18"/>
          <w:szCs w:val="24"/>
          <w:lang w:val="el-GR" w:eastAsia="el-GR"/>
        </w:rPr>
        <w:t xml:space="preserve"> </w:t>
      </w:r>
      <w:r w:rsidR="004E5BF6">
        <w:rPr>
          <w:rFonts w:ascii="Segoe UI" w:eastAsia="Segoe UI" w:hAnsi="Segoe UI" w:cs="Segoe UI"/>
          <w:b/>
          <w:color w:val="008080"/>
          <w:kern w:val="24"/>
          <w:sz w:val="18"/>
          <w:szCs w:val="24"/>
          <w:lang w:val="el-GR" w:eastAsia="el-GR"/>
        </w:rPr>
        <w:t>καταθέσεων</w:t>
      </w:r>
      <w:r w:rsidR="004E5BF6" w:rsidRPr="004E5BF6">
        <w:rPr>
          <w:rFonts w:ascii="Segoe UI" w:eastAsia="Segoe UI" w:hAnsi="Segoe UI" w:cs="Segoe UI"/>
          <w:b/>
          <w:color w:val="008080"/>
          <w:kern w:val="24"/>
          <w:sz w:val="18"/>
          <w:szCs w:val="24"/>
          <w:lang w:val="el-GR" w:eastAsia="el-GR"/>
        </w:rPr>
        <w:t xml:space="preserve"> </w:t>
      </w:r>
      <w:r w:rsidR="004E5BF6">
        <w:rPr>
          <w:rFonts w:ascii="Segoe UI" w:eastAsia="Segoe UI" w:hAnsi="Segoe UI" w:cs="Segoe UI"/>
          <w:b/>
          <w:color w:val="008080"/>
          <w:kern w:val="24"/>
          <w:sz w:val="18"/>
          <w:szCs w:val="24"/>
          <w:lang w:val="el-GR" w:eastAsia="el-GR"/>
        </w:rPr>
        <w:t>ανά</w:t>
      </w:r>
      <w:r w:rsidR="004E5BF6" w:rsidRPr="004E5BF6">
        <w:rPr>
          <w:rFonts w:ascii="Segoe UI" w:eastAsia="Segoe UI" w:hAnsi="Segoe UI" w:cs="Segoe UI"/>
          <w:b/>
          <w:color w:val="008080"/>
          <w:kern w:val="24"/>
          <w:sz w:val="18"/>
          <w:szCs w:val="24"/>
          <w:lang w:val="el-GR" w:eastAsia="el-GR"/>
        </w:rPr>
        <w:t xml:space="preserve"> </w:t>
      </w:r>
      <w:r w:rsidR="004E5BF6">
        <w:rPr>
          <w:rFonts w:ascii="Segoe UI" w:eastAsia="Segoe UI" w:hAnsi="Segoe UI" w:cs="Segoe UI"/>
          <w:b/>
          <w:color w:val="008080"/>
          <w:kern w:val="24"/>
          <w:sz w:val="18"/>
          <w:szCs w:val="24"/>
          <w:lang w:val="el-GR" w:eastAsia="el-GR"/>
        </w:rPr>
        <w:t xml:space="preserve">τρίμηνο </w:t>
      </w:r>
      <w:r w:rsidR="003445B9" w:rsidRPr="003445B9">
        <w:rPr>
          <w:rFonts w:ascii="Segoe UI" w:eastAsia="Segoe UI" w:hAnsi="Segoe UI" w:cs="Segoe UI"/>
          <w:b/>
          <w:color w:val="008080"/>
          <w:kern w:val="24"/>
          <w:sz w:val="18"/>
          <w:szCs w:val="24"/>
          <w:lang w:val="el-GR" w:eastAsia="el-GR"/>
        </w:rPr>
        <w:t xml:space="preserve">(€ </w:t>
      </w:r>
      <w:r w:rsidR="004E5BF6">
        <w:rPr>
          <w:rFonts w:ascii="Segoe UI" w:eastAsia="Segoe UI" w:hAnsi="Segoe UI" w:cs="Segoe UI"/>
          <w:b/>
          <w:color w:val="008080"/>
          <w:kern w:val="24"/>
          <w:sz w:val="18"/>
          <w:szCs w:val="24"/>
          <w:lang w:val="el-GR" w:eastAsia="el-GR"/>
        </w:rPr>
        <w:t>δισ.</w:t>
      </w:r>
      <w:r w:rsidR="003445B9" w:rsidRPr="003445B9">
        <w:rPr>
          <w:rFonts w:ascii="Segoe UI" w:eastAsia="Segoe UI" w:hAnsi="Segoe UI" w:cs="Segoe UI"/>
          <w:b/>
          <w:color w:val="008080"/>
          <w:kern w:val="24"/>
          <w:sz w:val="18"/>
          <w:szCs w:val="24"/>
          <w:lang w:val="el-GR" w:eastAsia="el-GR"/>
        </w:rPr>
        <w:t>)</w:t>
      </w:r>
    </w:p>
    <w:p w:rsidR="00ED0870" w:rsidRDefault="003445B9" w:rsidP="003445B9">
      <w:pPr>
        <w:autoSpaceDE w:val="0"/>
        <w:autoSpaceDN w:val="0"/>
        <w:adjustRightInd w:val="0"/>
        <w:spacing w:after="160" w:line="320" w:lineRule="atLeast"/>
        <w:jc w:val="both"/>
        <w:rPr>
          <w:rFonts w:ascii="Arial" w:eastAsia="Calibri" w:hAnsi="Arial" w:cs="Arial"/>
          <w:noProof/>
          <w:color w:val="000000"/>
          <w:sz w:val="24"/>
          <w:szCs w:val="24"/>
          <w:lang w:val="el-GR" w:eastAsia="el-GR"/>
        </w:rPr>
      </w:pPr>
      <w:r w:rsidRPr="00A5753A">
        <w:rPr>
          <w:rFonts w:ascii="Segoe UI" w:eastAsia="Calibri" w:hAnsi="Segoe UI" w:cs="Segoe UI"/>
          <w:b/>
          <w:noProof/>
          <w:color w:val="000000"/>
          <w:sz w:val="28"/>
          <w:szCs w:val="32"/>
          <w:lang w:val="el-GR" w:eastAsia="el-GR"/>
        </w:rPr>
        <w:drawing>
          <wp:inline distT="0" distB="0" distL="0" distR="0">
            <wp:extent cx="5520055" cy="1792224"/>
            <wp:effectExtent l="0" t="0" r="4445" b="1778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D0870" w:rsidRDefault="00486D0B">
      <w:pPr>
        <w:spacing w:after="0" w:line="240" w:lineRule="auto"/>
        <w:rPr>
          <w:rFonts w:ascii="Arial" w:eastAsia="Calibri" w:hAnsi="Arial" w:cs="Arial"/>
          <w:noProof/>
          <w:color w:val="000000"/>
          <w:sz w:val="24"/>
          <w:szCs w:val="24"/>
          <w:lang w:val="el-GR" w:eastAsia="el-GR"/>
        </w:rPr>
      </w:pPr>
      <w:r w:rsidRPr="00486D0B">
        <w:rPr>
          <w:rFonts w:eastAsia="Calibri"/>
          <w:noProof/>
          <w:lang w:val="el-GR" w:eastAsia="el-GR"/>
        </w:rPr>
        <w:pict>
          <v:shape id="Rectangular Callout 37" o:spid="_x0000_s1046" type="#_x0000_t61" style="position:absolute;margin-left:16.05pt;margin-top:14.15pt;width:47.25pt;height:19.3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" adj="10145,-5088" strokecolor="#56608a" strokeweight="1pt">
            <v:textbox>
              <w:txbxContent>
                <w:p w:rsidR="005726A5" w:rsidRPr="00582D3F" w:rsidRDefault="005726A5" w:rsidP="003445B9">
                  <w:pPr>
                    <w:pStyle w:val="Web"/>
                    <w:spacing w:before="0" w:beforeAutospacing="0" w:after="0" w:afterAutospacing="0"/>
                    <w:jc w:val="center"/>
                    <w:textAlignment w:val="baseline"/>
                    <w:rPr>
                      <w:color w:val="FF0000"/>
                      <w:sz w:val="20"/>
                    </w:rPr>
                  </w:pPr>
                  <w:r w:rsidRPr="00582D3F">
                    <w:rPr>
                      <w:rFonts w:ascii="Segoe UI" w:eastAsia="+mn-ea" w:hAnsi="Segoe UI" w:cs="+mn-cs"/>
                      <w:b/>
                      <w:bCs/>
                      <w:color w:val="FF0000"/>
                      <w:kern w:val="24"/>
                      <w:sz w:val="12"/>
                      <w:szCs w:val="16"/>
                      <w:lang w:val="en-US"/>
                    </w:rPr>
                    <w:t>-</w:t>
                  </w:r>
                  <w:r w:rsidRPr="00582D3F">
                    <w:rPr>
                      <w:rFonts w:ascii="Segoe UI" w:eastAsia="+mn-ea" w:hAnsi="Segoe UI" w:cs="+mn-cs"/>
                      <w:b/>
                      <w:bCs/>
                      <w:color w:val="FF0000"/>
                      <w:kern w:val="24"/>
                      <w:sz w:val="12"/>
                      <w:szCs w:val="16"/>
                    </w:rPr>
                    <w:t>€</w:t>
                  </w:r>
                  <w:r w:rsidRPr="00582D3F">
                    <w:rPr>
                      <w:rFonts w:ascii="Segoe UI" w:eastAsia="+mn-ea" w:hAnsi="Segoe UI" w:cs="+mn-cs"/>
                      <w:b/>
                      <w:bCs/>
                      <w:color w:val="FF0000"/>
                      <w:kern w:val="24"/>
                      <w:sz w:val="12"/>
                      <w:szCs w:val="16"/>
                      <w:lang w:val="en-US"/>
                    </w:rPr>
                    <w:t>10</w:t>
                  </w:r>
                  <w:r>
                    <w:rPr>
                      <w:rFonts w:ascii="Segoe UI" w:eastAsia="+mn-ea" w:hAnsi="Segoe UI" w:cs="+mn-cs"/>
                      <w:b/>
                      <w:bCs/>
                      <w:color w:val="FF0000"/>
                      <w:kern w:val="24"/>
                      <w:sz w:val="12"/>
                      <w:szCs w:val="16"/>
                    </w:rPr>
                    <w:t>,</w:t>
                  </w:r>
                  <w:r w:rsidRPr="00582D3F">
                    <w:rPr>
                      <w:rFonts w:ascii="Segoe UI" w:eastAsia="+mn-ea" w:hAnsi="Segoe UI" w:cs="+mn-cs"/>
                      <w:b/>
                      <w:bCs/>
                      <w:color w:val="FF0000"/>
                      <w:kern w:val="24"/>
                      <w:sz w:val="12"/>
                      <w:szCs w:val="16"/>
                      <w:lang w:val="en-US"/>
                    </w:rPr>
                    <w:t>6</w:t>
                  </w:r>
                  <w:r>
                    <w:rPr>
                      <w:rFonts w:ascii="Segoe UI" w:eastAsia="+mn-ea" w:hAnsi="Segoe UI" w:cs="+mn-cs"/>
                      <w:b/>
                      <w:bCs/>
                      <w:color w:val="FF0000"/>
                      <w:kern w:val="24"/>
                      <w:sz w:val="12"/>
                      <w:szCs w:val="16"/>
                    </w:rPr>
                    <w:t xml:space="preserve"> δισ.</w:t>
                  </w:r>
                </w:p>
              </w:txbxContent>
            </v:textbox>
          </v:shape>
        </w:pict>
      </w:r>
      <w:r w:rsidRPr="00486D0B">
        <w:rPr>
          <w:rFonts w:eastAsia="Calibri"/>
          <w:noProof/>
          <w:sz w:val="20"/>
          <w:lang w:val="el-GR" w:eastAsia="el-GR"/>
        </w:rPr>
        <w:pict>
          <v:shape id="_x0000_s1047" type="#_x0000_t61" style="position:absolute;margin-left:214.7pt;margin-top:13.35pt;width:47.25pt;height:19.3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" adj="10145,-5088" strokecolor="#56608a" strokeweight="1pt">
            <v:textbox>
              <w:txbxContent>
                <w:p w:rsidR="005726A5" w:rsidRPr="00E53B6F" w:rsidRDefault="005726A5" w:rsidP="003445B9">
                  <w:pPr>
                    <w:pStyle w:val="Web"/>
                    <w:spacing w:before="0" w:beforeAutospacing="0" w:after="0" w:afterAutospacing="0"/>
                    <w:jc w:val="center"/>
                    <w:textAlignment w:val="baseline"/>
                    <w:rPr>
                      <w:sz w:val="20"/>
                    </w:rPr>
                  </w:pPr>
                  <w:r w:rsidRPr="00582D3F">
                    <w:rPr>
                      <w:rFonts w:ascii="Segoe UI" w:eastAsia="+mn-ea" w:hAnsi="Segoe UI" w:cs="+mn-cs"/>
                      <w:b/>
                      <w:bCs/>
                      <w:color w:val="00B050"/>
                      <w:kern w:val="24"/>
                      <w:sz w:val="12"/>
                      <w:szCs w:val="16"/>
                      <w:lang w:val="en-US"/>
                    </w:rPr>
                    <w:t>+</w:t>
                  </w:r>
                  <w:r w:rsidRPr="00582D3F">
                    <w:rPr>
                      <w:rFonts w:ascii="Segoe UI" w:eastAsia="+mn-ea" w:hAnsi="Segoe UI" w:cs="+mn-cs"/>
                      <w:b/>
                      <w:bCs/>
                      <w:color w:val="00B050"/>
                      <w:kern w:val="24"/>
                      <w:sz w:val="12"/>
                      <w:szCs w:val="16"/>
                    </w:rPr>
                    <w:t>€</w:t>
                  </w:r>
                  <w:r>
                    <w:rPr>
                      <w:rFonts w:ascii="Segoe UI" w:eastAsia="+mn-ea" w:hAnsi="Segoe UI" w:cs="+mn-cs"/>
                      <w:b/>
                      <w:bCs/>
                      <w:color w:val="00B050"/>
                      <w:kern w:val="24"/>
                      <w:sz w:val="12"/>
                      <w:szCs w:val="16"/>
                    </w:rPr>
                    <w:t>6,0 δισ.</w:t>
                  </w:r>
                </w:p>
              </w:txbxContent>
            </v:textbox>
          </v:shape>
        </w:pict>
      </w:r>
      <w:r w:rsidR="00ED0870">
        <w:rPr>
          <w:rFonts w:ascii="Arial" w:eastAsia="Calibri" w:hAnsi="Arial" w:cs="Arial"/>
          <w:noProof/>
          <w:color w:val="000000"/>
          <w:sz w:val="24"/>
          <w:szCs w:val="24"/>
          <w:lang w:val="el-GR" w:eastAsia="el-GR"/>
        </w:rPr>
        <w:br w:type="page"/>
      </w:r>
    </w:p>
    <w:p w:rsidR="00FE6C16" w:rsidRDefault="00FE6C16" w:rsidP="00ED0870">
      <w:pPr>
        <w:autoSpaceDE w:val="0"/>
        <w:autoSpaceDN w:val="0"/>
        <w:adjustRightInd w:val="0"/>
        <w:spacing w:after="160" w:line="320" w:lineRule="atLeast"/>
        <w:jc w:val="both"/>
        <w:rPr>
          <w:rFonts w:ascii="Segoe UI" w:hAnsi="Segoe UI" w:cs="Segoe UI"/>
          <w:b/>
          <w:sz w:val="16"/>
          <w:lang w:val="el-GR"/>
        </w:rPr>
      </w:pPr>
      <w:r w:rsidRPr="00FE6C16">
        <w:rPr>
          <w:rFonts w:ascii="Segoe UI" w:hAnsi="Segoe UI" w:cs="Segoe UI"/>
          <w:b/>
          <w:sz w:val="16"/>
          <w:lang w:val="el-GR"/>
        </w:rPr>
        <w:t xml:space="preserve">ΟΡΙΣΜΟΣ ΤΩΝ ΧΡΗΜΑΤΟΟΙΚΟΝΟΜΙΚΩΝ ΣΤΟΙΧΕΙΩΝ ΚΑΙ ΤΩΝ ΔΕΙΚΤΩΝ ΠΟΥ ΧΡΗΣΙΜΟΠΟΙΗΘΗΚΑΝ </w:t>
      </w:r>
    </w:p>
    <w:p w:rsidR="00A014F5" w:rsidRPr="00045CD9" w:rsidRDefault="00A014F5" w:rsidP="00A014F5">
      <w:pPr>
        <w:spacing w:after="160"/>
        <w:jc w:val="both"/>
        <w:rPr>
          <w:rFonts w:ascii="Segoe UI" w:hAnsi="Segoe UI" w:cs="Segoe UI"/>
          <w:sz w:val="13"/>
          <w:szCs w:val="13"/>
          <w:lang w:val="el-GR"/>
        </w:rPr>
      </w:pPr>
      <w:r w:rsidRPr="00045CD9">
        <w:rPr>
          <w:rFonts w:ascii="Segoe UI" w:hAnsi="Segoe UI" w:cs="Segoe UI"/>
          <w:sz w:val="13"/>
          <w:szCs w:val="13"/>
          <w:lang w:val="en-US"/>
        </w:rPr>
        <w:t>To</w:t>
      </w:r>
      <w:r w:rsidRPr="00045CD9">
        <w:rPr>
          <w:rFonts w:ascii="Segoe UI" w:hAnsi="Segoe UI" w:cs="Segoe UI"/>
          <w:sz w:val="13"/>
          <w:szCs w:val="13"/>
          <w:lang w:val="el-GR"/>
        </w:rPr>
        <w:t xml:space="preserve"> παρ</w:t>
      </w:r>
      <w:r w:rsidR="00DA0C81">
        <w:rPr>
          <w:rFonts w:ascii="Segoe UI" w:hAnsi="Segoe UI" w:cs="Segoe UI"/>
          <w:sz w:val="13"/>
          <w:szCs w:val="13"/>
          <w:lang w:val="el-GR"/>
        </w:rPr>
        <w:t>ό</w:t>
      </w:r>
      <w:r w:rsidRPr="00045CD9">
        <w:rPr>
          <w:rFonts w:ascii="Segoe UI" w:hAnsi="Segoe UI" w:cs="Segoe UI"/>
          <w:sz w:val="13"/>
          <w:szCs w:val="13"/>
          <w:lang w:val="el-GR"/>
        </w:rPr>
        <w:t xml:space="preserve">ν Δελτίο Τύπου των Αποτελεσμάτων </w:t>
      </w:r>
      <w:r w:rsidR="004C2E71">
        <w:rPr>
          <w:rFonts w:ascii="Segoe UI" w:hAnsi="Segoe UI" w:cs="Segoe UI"/>
          <w:sz w:val="13"/>
          <w:szCs w:val="13"/>
          <w:lang w:val="el-GR"/>
        </w:rPr>
        <w:t>Γ</w:t>
      </w:r>
      <w:r w:rsidRPr="00045CD9">
        <w:rPr>
          <w:rFonts w:ascii="Segoe UI" w:hAnsi="Segoe UI" w:cs="Segoe UI"/>
          <w:sz w:val="13"/>
          <w:szCs w:val="13"/>
          <w:lang w:val="el-GR"/>
        </w:rPr>
        <w:t xml:space="preserve">’ τριμήνου 2019 περιλαμβάνει χρηματοοικονομικές αναφορές και μεγέθη όπως προέρχονται από τις χρηματοοικονομικές καταστάσεις του Ομίλου και της Τράπεζας για την περίοδο που έληξε 30 </w:t>
      </w:r>
      <w:r w:rsidR="00DA0C81">
        <w:rPr>
          <w:rFonts w:ascii="Segoe UI" w:hAnsi="Segoe UI" w:cs="Segoe UI"/>
          <w:sz w:val="13"/>
          <w:szCs w:val="13"/>
          <w:lang w:val="el-GR"/>
        </w:rPr>
        <w:t xml:space="preserve">Σεπτεμβρίου </w:t>
      </w:r>
      <w:r w:rsidRPr="00045CD9">
        <w:rPr>
          <w:rFonts w:ascii="Segoe UI" w:hAnsi="Segoe UI" w:cs="Segoe UI"/>
          <w:sz w:val="13"/>
          <w:szCs w:val="13"/>
          <w:lang w:val="el-GR"/>
        </w:rPr>
        <w:t xml:space="preserve">2019 και της χρήσης που έληξε 31 Δεκεμβρίου 2018 οι οποίες έχουν συνταχθεί με βάση </w:t>
      </w:r>
      <w:r w:rsidR="00DA0C81">
        <w:rPr>
          <w:rFonts w:ascii="Segoe UI" w:hAnsi="Segoe UI" w:cs="Segoe UI"/>
          <w:sz w:val="13"/>
          <w:szCs w:val="13"/>
          <w:lang w:val="el-GR"/>
        </w:rPr>
        <w:t>το</w:t>
      </w:r>
      <w:r w:rsidRPr="00045CD9">
        <w:rPr>
          <w:rFonts w:ascii="Segoe UI" w:hAnsi="Segoe UI" w:cs="Segoe UI"/>
          <w:sz w:val="13"/>
          <w:szCs w:val="13"/>
          <w:lang w:val="el-GR"/>
        </w:rPr>
        <w:t xml:space="preserve"> Διεθν</w:t>
      </w:r>
      <w:r w:rsidR="00DA0C81">
        <w:rPr>
          <w:rFonts w:ascii="Segoe UI" w:hAnsi="Segoe UI" w:cs="Segoe UI"/>
          <w:sz w:val="13"/>
          <w:szCs w:val="13"/>
          <w:lang w:val="el-GR"/>
        </w:rPr>
        <w:t>ές Λογιστικό Πρότυπο 34</w:t>
      </w:r>
      <w:r w:rsidRPr="00045CD9">
        <w:rPr>
          <w:rFonts w:ascii="Segoe UI" w:hAnsi="Segoe UI" w:cs="Segoe UI"/>
          <w:sz w:val="13"/>
          <w:szCs w:val="13"/>
          <w:lang w:val="el-GR"/>
        </w:rPr>
        <w:t xml:space="preserve"> («</w:t>
      </w:r>
      <w:r w:rsidR="00DA0C81">
        <w:rPr>
          <w:rFonts w:ascii="Segoe UI" w:hAnsi="Segoe UI" w:cs="Segoe UI"/>
          <w:sz w:val="13"/>
          <w:szCs w:val="13"/>
          <w:lang w:val="el-GR"/>
        </w:rPr>
        <w:t>Ενδιάμεσες Οικονομικές Καταστάσεις</w:t>
      </w:r>
      <w:r w:rsidRPr="00045CD9">
        <w:rPr>
          <w:rFonts w:ascii="Segoe UI" w:hAnsi="Segoe UI" w:cs="Segoe UI"/>
          <w:sz w:val="13"/>
          <w:szCs w:val="13"/>
          <w:lang w:val="el-GR"/>
        </w:rPr>
        <w:t xml:space="preserve">») </w:t>
      </w:r>
      <w:r w:rsidR="00DA0C81">
        <w:rPr>
          <w:rFonts w:ascii="Segoe UI" w:hAnsi="Segoe UI" w:cs="Segoe UI"/>
          <w:sz w:val="13"/>
          <w:szCs w:val="13"/>
          <w:lang w:val="el-GR"/>
        </w:rPr>
        <w:t>και με τα Διεθνή Πρότυπα Χρηματοοικονομικής Αναφοράς («ΔΠΧΑ»), ό</w:t>
      </w:r>
      <w:r w:rsidRPr="00045CD9">
        <w:rPr>
          <w:rFonts w:ascii="Segoe UI" w:hAnsi="Segoe UI" w:cs="Segoe UI"/>
          <w:sz w:val="13"/>
          <w:szCs w:val="13"/>
          <w:lang w:val="el-GR"/>
        </w:rPr>
        <w:t>πως αυτά έχουν υιοθετηθεί από την Ευρωπαϊκή Ένωση («ΕΕ»). Επίσης, περιλαμβάνει χρηματοοικονομικές πληροφορίες οι οποίες αντλούνται από την κανονική ροή των συστημάτων χρηματοοικονομικής και διοικητικής πληροφόρησης, όπως αυτές κατηγοριοποιούνται σε ξένες και εγχώριες δραστηριότητες βάσει της χώρας προέλευσης των χρηματοοικονομικών καταστάσεων των εταιρειών του Ομίλου.</w:t>
      </w:r>
    </w:p>
    <w:p w:rsidR="00A014F5" w:rsidRPr="00045CD9" w:rsidRDefault="00A014F5" w:rsidP="00A014F5">
      <w:pPr>
        <w:spacing w:after="160"/>
        <w:jc w:val="both"/>
        <w:rPr>
          <w:rFonts w:ascii="Segoe UI" w:hAnsi="Segoe UI" w:cs="Segoe UI"/>
          <w:sz w:val="13"/>
          <w:szCs w:val="13"/>
          <w:lang w:val="el-GR"/>
        </w:rPr>
      </w:pPr>
      <w:r w:rsidRPr="00045CD9">
        <w:rPr>
          <w:rFonts w:ascii="Segoe UI" w:hAnsi="Segoe UI" w:cs="Segoe UI"/>
          <w:sz w:val="13"/>
          <w:szCs w:val="13"/>
          <w:lang w:val="el-GR"/>
        </w:rPr>
        <w:t>Επιπρόσθετα, περιλαμβάνει αναφορές σε συγκεκριμένα μεγέθη τα οποία δεν ορίζονται από τα ΔΠΧΑ, και συγκεκριμένα αναφέρονται σε</w:t>
      </w:r>
      <w:r w:rsidR="00DA0C81">
        <w:rPr>
          <w:rFonts w:ascii="Segoe UI" w:hAnsi="Segoe UI" w:cs="Segoe UI"/>
          <w:sz w:val="13"/>
          <w:szCs w:val="13"/>
          <w:lang w:val="el-GR"/>
        </w:rPr>
        <w:t xml:space="preserve"> «κέρδη/(ζημίες) προ προβλέψεων»,</w:t>
      </w:r>
      <w:r w:rsidRPr="00045CD9">
        <w:rPr>
          <w:rFonts w:ascii="Segoe UI" w:hAnsi="Segoe UI" w:cs="Segoe UI"/>
          <w:sz w:val="13"/>
          <w:szCs w:val="13"/>
          <w:lang w:val="el-GR"/>
        </w:rPr>
        <w:t xml:space="preserve"> «καθαρό επιτοκιακό περιθώριο» και άλλα, όπως διατυπώνονται ανωτέρω. </w:t>
      </w:r>
      <w:r w:rsidR="00ED05FF">
        <w:rPr>
          <w:rFonts w:ascii="Segoe UI" w:hAnsi="Segoe UI" w:cs="Segoe UI"/>
          <w:sz w:val="13"/>
          <w:szCs w:val="13"/>
          <w:lang w:val="el-GR"/>
        </w:rPr>
        <w:t xml:space="preserve">Αυτά είναι εκτός πλαισίου ΔΠΧΑ χρηματοοικονομικά μεγέθη. </w:t>
      </w:r>
      <w:r w:rsidRPr="00045CD9">
        <w:rPr>
          <w:rFonts w:ascii="Segoe UI" w:hAnsi="Segoe UI" w:cs="Segoe UI"/>
          <w:sz w:val="13"/>
          <w:szCs w:val="13"/>
          <w:lang w:val="el-GR"/>
        </w:rPr>
        <w:t>Ένα μη οριζόμενο από τα ΔΠΧΑ κονδύλι μετρά την ιστορική ή μελλοντική χρηματοοικονομική επίδοση, χρηματοοικονομική θέση ή τις ταμιακές ροές, και περιλαμβάνει ή εξαιρεί ποσά τα οποία δεν προβλέπονται από τα ΔΠΧΑ. Ο Όμιλος πιστεύει ότι τα μη οριζόμενα από τα ΔΠΧΑ κονδύλια παρουσιάζουν μια πιο ουσιαστική ανάλυση της χρηματοοικονομικής του κατάστασης και των αποτελεσμάτων των εργασιών του. Ωστόσο, τα μη οριζόμενα από τα ΔΠΧΑ κονδύλια δεν αποτελούν υποκατάστατο των ΔΠΧΑ.</w:t>
      </w:r>
    </w:p>
    <w:p w:rsidR="00A014F5" w:rsidRDefault="00A014F5">
      <w:pPr>
        <w:spacing w:after="0" w:line="240" w:lineRule="auto"/>
        <w:rPr>
          <w:rFonts w:ascii="Segoe UI" w:hAnsi="Segoe UI" w:cs="Segoe UI"/>
          <w:b/>
          <w:sz w:val="20"/>
          <w:lang w:val="el-GR"/>
        </w:rPr>
      </w:pPr>
      <w:r>
        <w:rPr>
          <w:rFonts w:ascii="Segoe UI" w:hAnsi="Segoe UI" w:cs="Segoe UI"/>
          <w:b/>
          <w:sz w:val="20"/>
          <w:lang w:val="el-GR"/>
        </w:rPr>
        <w:br w:type="page"/>
      </w:r>
    </w:p>
    <w:tbl>
      <w:tblPr>
        <w:tblW w:w="8723" w:type="dxa"/>
        <w:tblLook w:val="04A0"/>
      </w:tblPr>
      <w:tblGrid>
        <w:gridCol w:w="1928"/>
        <w:gridCol w:w="956"/>
        <w:gridCol w:w="5839"/>
      </w:tblGrid>
      <w:tr w:rsidR="0061198F" w:rsidRPr="00834EE0" w:rsidTr="00887E1C">
        <w:trPr>
          <w:trHeight w:val="113"/>
        </w:trPr>
        <w:tc>
          <w:tcPr>
            <w:tcW w:w="1928"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9411AE" w:rsidRPr="00834EE0" w:rsidRDefault="001955C2" w:rsidP="00715530">
            <w:pPr>
              <w:spacing w:after="0" w:line="240" w:lineRule="auto"/>
              <w:rPr>
                <w:rFonts w:ascii="Segoe UI" w:eastAsia="Times New Roman" w:hAnsi="Segoe UI" w:cs="Segoe UI"/>
                <w:b/>
                <w:bCs/>
                <w:color w:val="FFFFFF" w:themeColor="background1"/>
                <w:sz w:val="13"/>
                <w:szCs w:val="11"/>
                <w:lang w:val="el-GR" w:eastAsia="el-GR"/>
              </w:rPr>
            </w:pPr>
            <w:r w:rsidRPr="00834EE0">
              <w:rPr>
                <w:rFonts w:ascii="Segoe UI" w:eastAsia="Times New Roman" w:hAnsi="Segoe UI" w:cs="Segoe UI"/>
                <w:b/>
                <w:bCs/>
                <w:color w:val="FFFFFF" w:themeColor="background1"/>
                <w:sz w:val="13"/>
                <w:szCs w:val="11"/>
                <w:lang w:val="el-GR" w:eastAsia="el-GR"/>
              </w:rPr>
              <w:t>Ονομασία</w:t>
            </w:r>
          </w:p>
        </w:tc>
        <w:tc>
          <w:tcPr>
            <w:tcW w:w="956"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61198F" w:rsidRPr="00834EE0" w:rsidRDefault="001955C2" w:rsidP="00DB2AAE">
            <w:pPr>
              <w:spacing w:after="0" w:line="240" w:lineRule="auto"/>
              <w:rPr>
                <w:rFonts w:ascii="Segoe UI" w:eastAsia="Times New Roman" w:hAnsi="Segoe UI" w:cs="Segoe UI"/>
                <w:b/>
                <w:bCs/>
                <w:color w:val="FFFFFF" w:themeColor="background1"/>
                <w:sz w:val="13"/>
                <w:szCs w:val="11"/>
                <w:lang w:val="el-GR" w:eastAsia="el-GR"/>
              </w:rPr>
            </w:pPr>
            <w:r w:rsidRPr="00834EE0">
              <w:rPr>
                <w:rFonts w:ascii="Segoe UI" w:eastAsia="Times New Roman" w:hAnsi="Segoe UI" w:cs="Segoe UI"/>
                <w:b/>
                <w:bCs/>
                <w:color w:val="FFFFFF" w:themeColor="background1"/>
                <w:sz w:val="13"/>
                <w:szCs w:val="11"/>
                <w:lang w:val="el-GR" w:eastAsia="el-GR"/>
              </w:rPr>
              <w:t>Συντομ</w:t>
            </w:r>
            <w:r w:rsidR="00DB2AAE" w:rsidRPr="00834EE0">
              <w:rPr>
                <w:rFonts w:ascii="Segoe UI" w:eastAsia="Times New Roman" w:hAnsi="Segoe UI" w:cs="Segoe UI"/>
                <w:b/>
                <w:bCs/>
                <w:color w:val="FFFFFF" w:themeColor="background1"/>
                <w:sz w:val="13"/>
                <w:szCs w:val="11"/>
                <w:lang w:val="el-GR" w:eastAsia="el-GR"/>
              </w:rPr>
              <w:t>/</w:t>
            </w:r>
            <w:r w:rsidRPr="00834EE0">
              <w:rPr>
                <w:rFonts w:ascii="Segoe UI" w:eastAsia="Times New Roman" w:hAnsi="Segoe UI" w:cs="Segoe UI"/>
                <w:b/>
                <w:bCs/>
                <w:color w:val="FFFFFF" w:themeColor="background1"/>
                <w:sz w:val="13"/>
                <w:szCs w:val="11"/>
                <w:lang w:val="el-GR" w:eastAsia="el-GR"/>
              </w:rPr>
              <w:t>φία</w:t>
            </w:r>
          </w:p>
        </w:tc>
        <w:tc>
          <w:tcPr>
            <w:tcW w:w="5839"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61198F" w:rsidRPr="00834EE0" w:rsidRDefault="001955C2" w:rsidP="009411AE">
            <w:pPr>
              <w:spacing w:after="0" w:line="240" w:lineRule="auto"/>
              <w:rPr>
                <w:rFonts w:ascii="Segoe UI" w:eastAsia="Times New Roman" w:hAnsi="Segoe UI" w:cs="Segoe UI"/>
                <w:b/>
                <w:bCs/>
                <w:color w:val="FFFFFF" w:themeColor="background1"/>
                <w:sz w:val="13"/>
                <w:szCs w:val="11"/>
                <w:lang w:val="el-GR" w:eastAsia="el-GR"/>
              </w:rPr>
            </w:pPr>
            <w:r w:rsidRPr="00834EE0">
              <w:rPr>
                <w:rFonts w:ascii="Segoe UI" w:eastAsia="Times New Roman" w:hAnsi="Segoe UI" w:cs="Segoe UI"/>
                <w:b/>
                <w:bCs/>
                <w:color w:val="FFFFFF" w:themeColor="background1"/>
                <w:sz w:val="13"/>
                <w:szCs w:val="11"/>
                <w:lang w:val="el-GR" w:eastAsia="el-GR"/>
              </w:rPr>
              <w:t>Ορισμός</w:t>
            </w:r>
          </w:p>
        </w:tc>
      </w:tr>
      <w:tr w:rsidR="00FC629F" w:rsidRPr="00727987" w:rsidTr="00887E1C">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tcPr>
          <w:p w:rsidR="00FC629F" w:rsidRDefault="005D32CA" w:rsidP="00D538B9">
            <w:pPr>
              <w:spacing w:after="0" w:line="240" w:lineRule="auto"/>
              <w:rPr>
                <w:rFonts w:ascii="Segoe UI" w:hAnsi="Segoe UI" w:cs="Segoe UI"/>
                <w:color w:val="000000"/>
                <w:sz w:val="11"/>
                <w:szCs w:val="11"/>
                <w:lang w:val="el-GR"/>
              </w:rPr>
            </w:pPr>
            <w:r>
              <w:rPr>
                <w:rFonts w:ascii="Segoe UI" w:hAnsi="Segoe UI" w:cs="Segoe UI"/>
                <w:color w:val="000000"/>
                <w:sz w:val="11"/>
                <w:szCs w:val="11"/>
                <w:lang w:val="el-GR"/>
              </w:rPr>
              <w:t>Αποσβέσεις</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tcPr>
          <w:p w:rsidR="00FC629F" w:rsidRPr="00D538B9" w:rsidRDefault="00FC629F" w:rsidP="00FB1D95">
            <w:pPr>
              <w:spacing w:after="0" w:line="240" w:lineRule="auto"/>
              <w:rPr>
                <w:rFonts w:ascii="Segoe UI" w:hAnsi="Segoe UI" w:cs="Segoe UI"/>
                <w:color w:val="000000"/>
                <w:sz w:val="11"/>
                <w:szCs w:val="11"/>
                <w:lang w:val="el-GR"/>
              </w:rPr>
            </w:pPr>
            <w:r>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FC629F" w:rsidRDefault="005D32CA" w:rsidP="005D32CA">
            <w:pPr>
              <w:spacing w:after="0" w:line="240" w:lineRule="auto"/>
              <w:rPr>
                <w:rFonts w:ascii="Segoe UI" w:hAnsi="Segoe UI" w:cs="Segoe UI"/>
                <w:color w:val="000000"/>
                <w:sz w:val="11"/>
                <w:szCs w:val="11"/>
                <w:lang w:val="el-GR"/>
              </w:rPr>
            </w:pPr>
            <w:r>
              <w:rPr>
                <w:rFonts w:ascii="Segoe UI" w:hAnsi="Segoe UI" w:cs="Segoe UI"/>
                <w:color w:val="000000"/>
                <w:sz w:val="11"/>
                <w:szCs w:val="11"/>
                <w:lang w:val="el-GR"/>
              </w:rPr>
              <w:t>Α</w:t>
            </w:r>
            <w:r w:rsidRPr="005D32CA">
              <w:rPr>
                <w:rFonts w:ascii="Segoe UI" w:hAnsi="Segoe UI" w:cs="Segoe UI"/>
                <w:color w:val="000000"/>
                <w:sz w:val="11"/>
                <w:szCs w:val="11"/>
                <w:lang w:val="el-GR"/>
              </w:rPr>
              <w:t>ποσβέσεις και προβλέψεις απομείωσης αξίας ενσώματων παγίων και άυλων περιουσιακών στοιχείων και ακινήτων επενδύσεων</w:t>
            </w:r>
          </w:p>
        </w:tc>
      </w:tr>
      <w:tr w:rsidR="00D538B9" w:rsidRPr="00727987" w:rsidTr="00887E1C">
        <w:trPr>
          <w:trHeight w:val="113"/>
        </w:trPr>
        <w:tc>
          <w:tcPr>
            <w:tcW w:w="1928" w:type="dxa"/>
            <w:tcBorders>
              <w:top w:val="single" w:sz="4" w:space="0" w:color="D9D9D9"/>
              <w:left w:val="nil"/>
              <w:bottom w:val="single" w:sz="4" w:space="0" w:color="D9D9D9"/>
              <w:right w:val="nil"/>
            </w:tcBorders>
            <w:shd w:val="clear" w:color="auto" w:fill="auto"/>
            <w:noWrap/>
            <w:vAlign w:val="center"/>
          </w:tcPr>
          <w:p w:rsidR="00D538B9" w:rsidRPr="00D538B9" w:rsidRDefault="00D538B9" w:rsidP="005D32CA">
            <w:pPr>
              <w:spacing w:after="0" w:line="240" w:lineRule="auto"/>
              <w:rPr>
                <w:rFonts w:ascii="Segoe UI" w:hAnsi="Segoe UI" w:cs="Segoe UI"/>
                <w:color w:val="000000"/>
                <w:sz w:val="11"/>
                <w:szCs w:val="11"/>
                <w:lang w:val="el-GR"/>
              </w:rPr>
            </w:pPr>
            <w:r>
              <w:rPr>
                <w:rFonts w:ascii="Segoe UI" w:hAnsi="Segoe UI" w:cs="Segoe UI"/>
                <w:color w:val="000000"/>
                <w:sz w:val="11"/>
                <w:szCs w:val="11"/>
                <w:lang w:val="el-GR"/>
              </w:rPr>
              <w:t>Γε</w:t>
            </w:r>
            <w:r w:rsidRPr="00D538B9">
              <w:rPr>
                <w:rFonts w:ascii="Segoe UI" w:hAnsi="Segoe UI" w:cs="Segoe UI"/>
                <w:color w:val="000000"/>
                <w:sz w:val="11"/>
                <w:szCs w:val="11"/>
                <w:lang w:val="el-GR"/>
              </w:rPr>
              <w:t xml:space="preserve">νικά </w:t>
            </w:r>
            <w:r>
              <w:rPr>
                <w:rFonts w:ascii="Segoe UI" w:hAnsi="Segoe UI" w:cs="Segoe UI"/>
                <w:color w:val="000000"/>
                <w:sz w:val="11"/>
                <w:szCs w:val="11"/>
                <w:lang w:val="el-GR"/>
              </w:rPr>
              <w:t>Δ</w:t>
            </w:r>
            <w:r w:rsidRPr="00D538B9">
              <w:rPr>
                <w:rFonts w:ascii="Segoe UI" w:hAnsi="Segoe UI" w:cs="Segoe UI"/>
                <w:color w:val="000000"/>
                <w:sz w:val="11"/>
                <w:szCs w:val="11"/>
                <w:lang w:val="el-GR"/>
              </w:rPr>
              <w:t xml:space="preserve">ιοικητικά </w:t>
            </w:r>
            <w:r>
              <w:rPr>
                <w:rFonts w:ascii="Segoe UI" w:hAnsi="Segoe UI" w:cs="Segoe UI"/>
                <w:color w:val="000000"/>
                <w:sz w:val="11"/>
                <w:szCs w:val="11"/>
                <w:lang w:val="el-GR"/>
              </w:rPr>
              <w:t>Έ</w:t>
            </w:r>
            <w:r w:rsidRPr="00D538B9">
              <w:rPr>
                <w:rFonts w:ascii="Segoe UI" w:hAnsi="Segoe UI" w:cs="Segoe UI"/>
                <w:color w:val="000000"/>
                <w:sz w:val="11"/>
                <w:szCs w:val="11"/>
                <w:lang w:val="el-GR"/>
              </w:rPr>
              <w:t>ξοδα</w:t>
            </w:r>
            <w:r w:rsidR="005D32CA">
              <w:rPr>
                <w:rFonts w:ascii="Segoe UI" w:hAnsi="Segoe UI" w:cs="Segoe UI"/>
                <w:color w:val="000000"/>
                <w:sz w:val="11"/>
                <w:szCs w:val="11"/>
                <w:lang w:val="el-GR"/>
              </w:rPr>
              <w:t xml:space="preserve"> </w:t>
            </w:r>
          </w:p>
        </w:tc>
        <w:tc>
          <w:tcPr>
            <w:tcW w:w="956" w:type="dxa"/>
            <w:tcBorders>
              <w:top w:val="single" w:sz="4" w:space="0" w:color="D9D9D9"/>
              <w:left w:val="nil"/>
              <w:bottom w:val="single" w:sz="4" w:space="0" w:color="D9D9D9"/>
              <w:right w:val="nil"/>
            </w:tcBorders>
            <w:shd w:val="clear" w:color="auto" w:fill="auto"/>
            <w:noWrap/>
            <w:vAlign w:val="center"/>
          </w:tcPr>
          <w:p w:rsidR="00D538B9" w:rsidRPr="00D538B9" w:rsidRDefault="00FC629F" w:rsidP="00FB1D95">
            <w:pPr>
              <w:spacing w:after="0" w:line="240" w:lineRule="auto"/>
              <w:rPr>
                <w:rFonts w:ascii="Segoe UI" w:hAnsi="Segoe UI" w:cs="Segoe UI"/>
                <w:color w:val="000000"/>
                <w:sz w:val="11"/>
                <w:szCs w:val="11"/>
                <w:lang w:val="el-GR"/>
              </w:rPr>
            </w:pPr>
            <w:r>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auto"/>
            <w:noWrap/>
            <w:vAlign w:val="center"/>
          </w:tcPr>
          <w:p w:rsidR="00D538B9" w:rsidRPr="00834EE0" w:rsidRDefault="00D538B9" w:rsidP="00D538B9">
            <w:pPr>
              <w:spacing w:after="0" w:line="240" w:lineRule="auto"/>
              <w:rPr>
                <w:rFonts w:ascii="Segoe UI" w:hAnsi="Segoe UI" w:cs="Segoe UI"/>
                <w:color w:val="000000"/>
                <w:sz w:val="11"/>
                <w:szCs w:val="11"/>
                <w:lang w:val="el-GR"/>
              </w:rPr>
            </w:pPr>
            <w:r>
              <w:rPr>
                <w:rFonts w:ascii="Segoe UI" w:hAnsi="Segoe UI" w:cs="Segoe UI"/>
                <w:color w:val="000000"/>
                <w:sz w:val="11"/>
                <w:szCs w:val="11"/>
                <w:lang w:val="el-GR"/>
              </w:rPr>
              <w:t>Γ</w:t>
            </w:r>
            <w:r w:rsidRPr="00D538B9">
              <w:rPr>
                <w:rFonts w:ascii="Segoe UI" w:hAnsi="Segoe UI" w:cs="Segoe UI"/>
                <w:color w:val="000000"/>
                <w:sz w:val="11"/>
                <w:szCs w:val="11"/>
                <w:lang w:val="el-GR"/>
              </w:rPr>
              <w:t>ενικά διοικητικά και λοιπά λειτουργικά έξοδα</w:t>
            </w:r>
          </w:p>
        </w:tc>
      </w:tr>
      <w:tr w:rsidR="001D5F92" w:rsidRPr="00727987" w:rsidTr="00887E1C">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Δάνεια μετά Προβλέψεων</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FC5839"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Δάνε</w:t>
            </w:r>
            <w:r w:rsidR="00C66D4A" w:rsidRPr="00834EE0">
              <w:rPr>
                <w:rFonts w:ascii="Segoe UI" w:hAnsi="Segoe UI" w:cs="Segoe UI"/>
                <w:color w:val="000000"/>
                <w:sz w:val="11"/>
                <w:szCs w:val="11"/>
                <w:lang w:val="el-GR"/>
              </w:rPr>
              <w:t>ια και απαιτήσεις κατά πελατών</w:t>
            </w:r>
          </w:p>
        </w:tc>
      </w:tr>
      <w:tr w:rsidR="001D5F92" w:rsidRPr="00727987" w:rsidTr="00887E1C">
        <w:trPr>
          <w:trHeight w:val="113"/>
        </w:trPr>
        <w:tc>
          <w:tcPr>
            <w:tcW w:w="1928"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Δάνεια προ Προβλέψεων</w:t>
            </w:r>
          </w:p>
        </w:tc>
        <w:tc>
          <w:tcPr>
            <w:tcW w:w="956"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265458">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Δάνεια και απαιτήσεις κατά πελατών</w:t>
            </w:r>
            <w:r w:rsidR="00001919" w:rsidRPr="00834EE0">
              <w:rPr>
                <w:rFonts w:ascii="Segoe UI" w:hAnsi="Segoe UI" w:cs="Segoe UI"/>
                <w:color w:val="000000"/>
                <w:sz w:val="11"/>
                <w:szCs w:val="11"/>
                <w:lang w:val="el-GR"/>
              </w:rPr>
              <w:t xml:space="preserve"> προ </w:t>
            </w:r>
            <w:r w:rsidR="00265458">
              <w:rPr>
                <w:rFonts w:ascii="Segoe UI" w:hAnsi="Segoe UI" w:cs="Segoe UI"/>
                <w:color w:val="000000"/>
                <w:sz w:val="11"/>
                <w:szCs w:val="11"/>
                <w:lang w:val="el-GR"/>
              </w:rPr>
              <w:t>π</w:t>
            </w:r>
            <w:r w:rsidR="00265458" w:rsidRPr="00265458">
              <w:rPr>
                <w:rFonts w:ascii="Segoe UI" w:hAnsi="Segoe UI" w:cs="Segoe UI"/>
                <w:color w:val="000000"/>
                <w:sz w:val="11"/>
                <w:szCs w:val="11"/>
                <w:lang w:val="el-GR"/>
              </w:rPr>
              <w:t>ρόβλεψη</w:t>
            </w:r>
            <w:r w:rsidR="00265458">
              <w:rPr>
                <w:rFonts w:ascii="Segoe UI" w:hAnsi="Segoe UI" w:cs="Segoe UI"/>
                <w:color w:val="000000"/>
                <w:sz w:val="11"/>
                <w:szCs w:val="11"/>
                <w:lang w:val="el-GR"/>
              </w:rPr>
              <w:t>ς</w:t>
            </w:r>
            <w:r w:rsidR="00265458" w:rsidRPr="00265458">
              <w:rPr>
                <w:rFonts w:ascii="Segoe UI" w:hAnsi="Segoe UI" w:cs="Segoe UI"/>
                <w:color w:val="000000"/>
                <w:sz w:val="11"/>
                <w:szCs w:val="11"/>
                <w:lang w:val="el-GR"/>
              </w:rPr>
              <w:t xml:space="preserve"> ΑΠΖ δανείων και απαιτήσεων κατά πελατών</w:t>
            </w:r>
          </w:p>
        </w:tc>
      </w:tr>
      <w:tr w:rsidR="001D5F92" w:rsidRPr="00727987" w:rsidTr="00887E1C">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Δείκτης Δάνεια προς Καταθέσεις</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Δάνεια μετά προβλέψεων προς καταθέσεις, τέλος περιόδου</w:t>
            </w:r>
          </w:p>
        </w:tc>
      </w:tr>
      <w:tr w:rsidR="001D5F92" w:rsidRPr="00727987" w:rsidTr="00887E1C">
        <w:trPr>
          <w:trHeight w:val="113"/>
        </w:trPr>
        <w:tc>
          <w:tcPr>
            <w:tcW w:w="1928"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Δείκτης Δανείων σε Καθυστέρηση +90 Ημερών</w:t>
            </w:r>
            <w:r w:rsidR="00F67EB4" w:rsidRPr="00834EE0">
              <w:rPr>
                <w:rFonts w:ascii="Segoe UI" w:hAnsi="Segoe UI" w:cs="Segoe UI"/>
                <w:color w:val="000000"/>
                <w:sz w:val="11"/>
                <w:szCs w:val="11"/>
                <w:lang w:val="el-GR"/>
              </w:rPr>
              <w:t xml:space="preserve"> / Μη Εξυπηρετούμενων Δανείων</w:t>
            </w:r>
          </w:p>
        </w:tc>
        <w:tc>
          <w:tcPr>
            <w:tcW w:w="956"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 xml:space="preserve">-- </w:t>
            </w:r>
          </w:p>
        </w:tc>
        <w:tc>
          <w:tcPr>
            <w:tcW w:w="5839"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Δάνεια </w:t>
            </w:r>
            <w:r w:rsidR="00C770A6">
              <w:rPr>
                <w:rFonts w:ascii="Segoe UI" w:hAnsi="Segoe UI" w:cs="Segoe UI"/>
                <w:color w:val="000000"/>
                <w:sz w:val="11"/>
                <w:szCs w:val="11"/>
                <w:lang w:val="el-GR"/>
              </w:rPr>
              <w:t xml:space="preserve">προ προβλέψεων </w:t>
            </w:r>
            <w:r w:rsidRPr="00834EE0">
              <w:rPr>
                <w:rFonts w:ascii="Segoe UI" w:hAnsi="Segoe UI" w:cs="Segoe UI"/>
                <w:color w:val="000000"/>
                <w:sz w:val="11"/>
                <w:szCs w:val="11"/>
                <w:lang w:val="el-GR"/>
              </w:rPr>
              <w:t>σε καθυστέρηση άνω των 90 ημερών προς δάνεια προ προβλέψεων, τέλος περιόδου</w:t>
            </w:r>
          </w:p>
        </w:tc>
      </w:tr>
      <w:tr w:rsidR="00834EE0" w:rsidRPr="00727987" w:rsidTr="00887E1C">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tcPr>
          <w:p w:rsidR="00834EE0" w:rsidRPr="000876D0" w:rsidRDefault="00834EE0" w:rsidP="00834EE0">
            <w:pPr>
              <w:spacing w:after="0" w:line="240" w:lineRule="auto"/>
              <w:rPr>
                <w:rFonts w:ascii="Segoe UI" w:hAnsi="Segoe UI" w:cs="Segoe UI"/>
                <w:sz w:val="11"/>
                <w:szCs w:val="11"/>
                <w:lang w:val="el-GR"/>
              </w:rPr>
            </w:pPr>
            <w:r w:rsidRPr="000876D0">
              <w:rPr>
                <w:rFonts w:ascii="Segoe UI" w:hAnsi="Segoe UI" w:cs="Segoe UI"/>
                <w:sz w:val="11"/>
                <w:szCs w:val="11"/>
                <w:lang w:val="el-GR"/>
              </w:rPr>
              <w:t>Δείκτης Καθαρής Σταθερής Χρηματοδότησης</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tcPr>
          <w:p w:rsidR="00834EE0" w:rsidRPr="000876D0" w:rsidRDefault="00834EE0" w:rsidP="00FB1D95">
            <w:pPr>
              <w:spacing w:after="0" w:line="240" w:lineRule="auto"/>
              <w:rPr>
                <w:rFonts w:ascii="Segoe UI" w:hAnsi="Segoe UI" w:cs="Segoe UI"/>
                <w:sz w:val="11"/>
                <w:szCs w:val="11"/>
                <w:lang w:val="en-US"/>
              </w:rPr>
            </w:pPr>
            <w:r w:rsidRPr="000876D0">
              <w:rPr>
                <w:rFonts w:ascii="Segoe UI" w:hAnsi="Segoe UI" w:cs="Segoe UI"/>
                <w:sz w:val="11"/>
                <w:szCs w:val="11"/>
                <w:lang w:val="el-GR"/>
              </w:rPr>
              <w:t xml:space="preserve">Δείκτης </w:t>
            </w:r>
            <w:r w:rsidRPr="000876D0">
              <w:rPr>
                <w:rFonts w:ascii="Segoe UI" w:hAnsi="Segoe UI" w:cs="Segoe UI"/>
                <w:sz w:val="11"/>
                <w:szCs w:val="11"/>
                <w:lang w:val="en-US"/>
              </w:rPr>
              <w:t>NSFR</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834EE0" w:rsidRPr="00F72553" w:rsidRDefault="00834EE0" w:rsidP="00F72553">
            <w:pPr>
              <w:spacing w:after="0" w:line="240" w:lineRule="auto"/>
              <w:rPr>
                <w:rFonts w:ascii="Segoe UI" w:hAnsi="Segoe UI" w:cs="Segoe UI"/>
                <w:sz w:val="11"/>
                <w:szCs w:val="11"/>
                <w:lang w:val="el-GR"/>
              </w:rPr>
            </w:pPr>
            <w:r w:rsidRPr="000876D0">
              <w:rPr>
                <w:rFonts w:ascii="Segoe UI" w:hAnsi="Segoe UI" w:cs="Segoe UI"/>
                <w:sz w:val="11"/>
                <w:szCs w:val="11"/>
                <w:lang w:val="el-GR"/>
              </w:rPr>
              <w:t xml:space="preserve">Ο Δείκτης Καθαρής Σταθερής Χρηματοδότησης ισούται με τη </w:t>
            </w:r>
            <w:r w:rsidR="00F72553" w:rsidRPr="00F72553">
              <w:rPr>
                <w:rFonts w:ascii="Segoe UI" w:hAnsi="Segoe UI" w:cs="Segoe UI"/>
                <w:sz w:val="11"/>
                <w:szCs w:val="11"/>
                <w:lang w:val="el-GR"/>
              </w:rPr>
              <w:t>“</w:t>
            </w:r>
            <w:r w:rsidRPr="000876D0">
              <w:rPr>
                <w:rFonts w:ascii="Segoe UI" w:hAnsi="Segoe UI" w:cs="Segoe UI"/>
                <w:sz w:val="11"/>
                <w:szCs w:val="11"/>
                <w:lang w:val="el-GR"/>
              </w:rPr>
              <w:t>διαθέσιμη ποσότητα σταθερής χρηματοδότησης» προς την «απαιτούμενη ποσότητα σταθερής χρηματοδότησης</w:t>
            </w:r>
            <w:r w:rsidR="00F72553" w:rsidRPr="00F72553">
              <w:rPr>
                <w:rFonts w:ascii="Segoe UI" w:hAnsi="Segoe UI" w:cs="Segoe UI"/>
                <w:sz w:val="11"/>
                <w:szCs w:val="11"/>
                <w:lang w:val="el-GR"/>
              </w:rPr>
              <w:t>”</w:t>
            </w:r>
          </w:p>
        </w:tc>
      </w:tr>
      <w:tr w:rsidR="001D5F92" w:rsidRPr="00727987" w:rsidTr="00887E1C">
        <w:trPr>
          <w:trHeight w:val="113"/>
        </w:trPr>
        <w:tc>
          <w:tcPr>
            <w:tcW w:w="1928" w:type="dxa"/>
            <w:tcBorders>
              <w:top w:val="single" w:sz="4" w:space="0" w:color="D9D9D9"/>
              <w:left w:val="nil"/>
              <w:bottom w:val="single" w:sz="4" w:space="0" w:color="D9D9D9"/>
              <w:right w:val="nil"/>
            </w:tcBorders>
            <w:shd w:val="clear" w:color="auto" w:fill="auto"/>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Δείκτης Κάλυψης Δανείων σε Καθυστέρηση +90 Ημερών</w:t>
            </w:r>
          </w:p>
        </w:tc>
        <w:tc>
          <w:tcPr>
            <w:tcW w:w="956" w:type="dxa"/>
            <w:tcBorders>
              <w:top w:val="single" w:sz="4" w:space="0" w:color="D9D9D9"/>
              <w:left w:val="nil"/>
              <w:bottom w:val="single" w:sz="4" w:space="0" w:color="D9D9D9"/>
              <w:right w:val="nil"/>
            </w:tcBorders>
            <w:shd w:val="clear" w:color="auto" w:fill="auto"/>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 xml:space="preserve">-- </w:t>
            </w:r>
          </w:p>
        </w:tc>
        <w:tc>
          <w:tcPr>
            <w:tcW w:w="5839" w:type="dxa"/>
            <w:tcBorders>
              <w:top w:val="single" w:sz="4" w:space="0" w:color="D9D9D9"/>
              <w:left w:val="nil"/>
              <w:bottom w:val="single" w:sz="4" w:space="0" w:color="D9D9D9"/>
              <w:right w:val="nil"/>
            </w:tcBorders>
            <w:shd w:val="clear" w:color="auto" w:fill="auto"/>
            <w:noWrap/>
            <w:vAlign w:val="center"/>
            <w:hideMark/>
          </w:tcPr>
          <w:p w:rsidR="001D5F92" w:rsidRPr="00834EE0" w:rsidRDefault="005B72FE" w:rsidP="00FB08D9">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Σωρευμένες προβλέψεις προς δάνεια </w:t>
            </w:r>
            <w:r w:rsidR="00FB08D9">
              <w:rPr>
                <w:rFonts w:ascii="Segoe UI" w:hAnsi="Segoe UI" w:cs="Segoe UI"/>
                <w:color w:val="000000"/>
                <w:sz w:val="11"/>
                <w:szCs w:val="11"/>
                <w:lang w:val="el-GR"/>
              </w:rPr>
              <w:t xml:space="preserve">προ προβλέψεων </w:t>
            </w:r>
            <w:r w:rsidRPr="00834EE0">
              <w:rPr>
                <w:rFonts w:ascii="Segoe UI" w:hAnsi="Segoe UI" w:cs="Segoe UI"/>
                <w:color w:val="000000"/>
                <w:sz w:val="11"/>
                <w:szCs w:val="11"/>
                <w:lang w:val="el-GR"/>
              </w:rPr>
              <w:t>σε καθυστέρηση άνω των 90 ημερών, εξαιρουμένων των υποχρεωτικά ταξινομούμενων στην εύλογη αξία μέσω αποτελεσμάτων δανείων, τέλος περιόδου</w:t>
            </w:r>
          </w:p>
        </w:tc>
      </w:tr>
      <w:tr w:rsidR="001D5F92" w:rsidRPr="00727987" w:rsidTr="00887E1C">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Δείκτης Κάλυψης Μη Εξυπηρετούμενων Ανοιγμάτων</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F67EB4" w:rsidP="00D60F09">
            <w:pPr>
              <w:spacing w:after="0" w:line="240" w:lineRule="auto"/>
              <w:rPr>
                <w:rFonts w:ascii="Segoe UI" w:hAnsi="Segoe UI" w:cs="Segoe UI"/>
                <w:color w:val="000000"/>
                <w:sz w:val="11"/>
                <w:szCs w:val="11"/>
              </w:rPr>
            </w:pPr>
            <w:r w:rsidRPr="00834EE0">
              <w:rPr>
                <w:rFonts w:ascii="Segoe UI" w:hAnsi="Segoe UI" w:cs="Segoe UI"/>
                <w:color w:val="000000"/>
                <w:sz w:val="11"/>
                <w:szCs w:val="11"/>
                <w:lang w:val="el-GR"/>
              </w:rPr>
              <w:t xml:space="preserve">Δείκτης </w:t>
            </w:r>
            <w:r w:rsidR="00D60F09">
              <w:rPr>
                <w:rFonts w:ascii="Segoe UI" w:hAnsi="Segoe UI" w:cs="Segoe UI"/>
                <w:color w:val="000000"/>
                <w:sz w:val="11"/>
                <w:szCs w:val="11"/>
                <w:lang w:val="el-GR"/>
              </w:rPr>
              <w:t>κάλυψης ΜΕΑ</w:t>
            </w:r>
            <w:r w:rsidR="001D5F92" w:rsidRPr="00834EE0">
              <w:rPr>
                <w:rFonts w:ascii="Segoe UI" w:hAnsi="Segoe UI" w:cs="Segoe UI"/>
                <w:color w:val="000000"/>
                <w:sz w:val="11"/>
                <w:szCs w:val="11"/>
              </w:rPr>
              <w:t xml:space="preserve"> </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5B72FE" w:rsidP="00A8394B">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Σωρευμένες προβλέψεις προς Μη Εξυπηρετούμενα Ανοίγματα, εξαιρουμένων των υποχρεωτικά ταξινομούμενων στην εύλογη αξία μέσω αποτελεσμάτων δανείων, τέλος περιόδου</w:t>
            </w:r>
          </w:p>
        </w:tc>
      </w:tr>
      <w:tr w:rsidR="00BE4D21" w:rsidRPr="00727987" w:rsidTr="00887E1C">
        <w:trPr>
          <w:trHeight w:val="113"/>
        </w:trPr>
        <w:tc>
          <w:tcPr>
            <w:tcW w:w="1928" w:type="dxa"/>
            <w:tcBorders>
              <w:top w:val="single" w:sz="4" w:space="0" w:color="D9D9D9"/>
              <w:left w:val="nil"/>
              <w:bottom w:val="single" w:sz="4" w:space="0" w:color="D9D9D9"/>
              <w:right w:val="nil"/>
            </w:tcBorders>
            <w:shd w:val="clear" w:color="auto" w:fill="auto"/>
            <w:noWrap/>
            <w:vAlign w:val="center"/>
          </w:tcPr>
          <w:p w:rsidR="00BE4D21" w:rsidRPr="00834EE0" w:rsidRDefault="00BE4D21" w:rsidP="00BE4D21">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Δείκτης Κάλυψης Ρευστότητας (</w:t>
            </w:r>
            <w:r w:rsidRPr="00834EE0">
              <w:rPr>
                <w:rFonts w:ascii="Segoe UI" w:hAnsi="Segoe UI" w:cs="Segoe UI"/>
                <w:color w:val="000000"/>
                <w:sz w:val="11"/>
                <w:szCs w:val="11"/>
                <w:lang w:val="en-US"/>
              </w:rPr>
              <w:t>Liquidity</w:t>
            </w:r>
            <w:r w:rsidRPr="00834EE0">
              <w:rPr>
                <w:rFonts w:ascii="Segoe UI" w:hAnsi="Segoe UI" w:cs="Segoe UI"/>
                <w:color w:val="000000"/>
                <w:sz w:val="11"/>
                <w:szCs w:val="11"/>
                <w:lang w:val="el-GR"/>
              </w:rPr>
              <w:t xml:space="preserve"> </w:t>
            </w:r>
            <w:r w:rsidRPr="00834EE0">
              <w:rPr>
                <w:rFonts w:ascii="Segoe UI" w:hAnsi="Segoe UI" w:cs="Segoe UI"/>
                <w:color w:val="000000"/>
                <w:sz w:val="11"/>
                <w:szCs w:val="11"/>
                <w:lang w:val="en-US"/>
              </w:rPr>
              <w:t>Coverage</w:t>
            </w:r>
            <w:r w:rsidRPr="00834EE0">
              <w:rPr>
                <w:rFonts w:ascii="Segoe UI" w:hAnsi="Segoe UI" w:cs="Segoe UI"/>
                <w:color w:val="000000"/>
                <w:sz w:val="11"/>
                <w:szCs w:val="11"/>
                <w:lang w:val="el-GR"/>
              </w:rPr>
              <w:t xml:space="preserve"> </w:t>
            </w:r>
            <w:r w:rsidRPr="00834EE0">
              <w:rPr>
                <w:rFonts w:ascii="Segoe UI" w:hAnsi="Segoe UI" w:cs="Segoe UI"/>
                <w:color w:val="000000"/>
                <w:sz w:val="11"/>
                <w:szCs w:val="11"/>
                <w:lang w:val="en-US"/>
              </w:rPr>
              <w:t>Ratio</w:t>
            </w:r>
            <w:r w:rsidRPr="00834EE0">
              <w:rPr>
                <w:rFonts w:ascii="Segoe UI" w:hAnsi="Segoe UI" w:cs="Segoe UI"/>
                <w:color w:val="000000"/>
                <w:sz w:val="11"/>
                <w:szCs w:val="11"/>
                <w:lang w:val="el-GR"/>
              </w:rPr>
              <w:t>)</w:t>
            </w:r>
          </w:p>
        </w:tc>
        <w:tc>
          <w:tcPr>
            <w:tcW w:w="956" w:type="dxa"/>
            <w:tcBorders>
              <w:top w:val="single" w:sz="4" w:space="0" w:color="D9D9D9"/>
              <w:left w:val="nil"/>
              <w:bottom w:val="single" w:sz="4" w:space="0" w:color="D9D9D9"/>
              <w:right w:val="nil"/>
            </w:tcBorders>
            <w:shd w:val="clear" w:color="auto" w:fill="auto"/>
            <w:noWrap/>
            <w:vAlign w:val="center"/>
          </w:tcPr>
          <w:p w:rsidR="00BE4D21" w:rsidRPr="00834EE0" w:rsidRDefault="00BE4D21" w:rsidP="00BE4D21">
            <w:pPr>
              <w:spacing w:after="0" w:line="240" w:lineRule="auto"/>
              <w:rPr>
                <w:rFonts w:ascii="Segoe UI" w:hAnsi="Segoe UI" w:cs="Segoe UI"/>
                <w:color w:val="000000"/>
                <w:sz w:val="11"/>
                <w:szCs w:val="11"/>
              </w:rPr>
            </w:pPr>
            <w:r w:rsidRPr="00834EE0">
              <w:rPr>
                <w:rFonts w:ascii="Segoe UI" w:hAnsi="Segoe UI" w:cs="Segoe UI"/>
                <w:color w:val="000000"/>
                <w:sz w:val="11"/>
                <w:szCs w:val="11"/>
                <w:lang w:val="el-GR"/>
              </w:rPr>
              <w:t xml:space="preserve">Δείκτης </w:t>
            </w:r>
            <w:r w:rsidRPr="00834EE0">
              <w:rPr>
                <w:rFonts w:ascii="Segoe UI" w:hAnsi="Segoe UI" w:cs="Segoe UI"/>
                <w:color w:val="000000"/>
                <w:sz w:val="11"/>
                <w:szCs w:val="11"/>
                <w:lang w:val="en-US"/>
              </w:rPr>
              <w:t>LCR</w:t>
            </w:r>
            <w:r w:rsidRPr="00834EE0">
              <w:rPr>
                <w:rFonts w:ascii="Segoe UI" w:hAnsi="Segoe UI" w:cs="Segoe UI"/>
                <w:color w:val="000000"/>
                <w:sz w:val="11"/>
                <w:szCs w:val="11"/>
              </w:rPr>
              <w:t xml:space="preserve"> </w:t>
            </w:r>
          </w:p>
        </w:tc>
        <w:tc>
          <w:tcPr>
            <w:tcW w:w="5839" w:type="dxa"/>
            <w:tcBorders>
              <w:top w:val="single" w:sz="4" w:space="0" w:color="D9D9D9"/>
              <w:left w:val="nil"/>
              <w:bottom w:val="single" w:sz="4" w:space="0" w:color="D9D9D9"/>
              <w:right w:val="nil"/>
            </w:tcBorders>
            <w:shd w:val="clear" w:color="auto" w:fill="auto"/>
            <w:noWrap/>
            <w:vAlign w:val="center"/>
          </w:tcPr>
          <w:p w:rsidR="00BE4D21" w:rsidRPr="00834EE0" w:rsidRDefault="004730B1" w:rsidP="00CE333A">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Ο Δείκτης Κάλυψης Ρευστότητας ισούται με τον δείκτη του αποθέματος ασφαλείας ρευστότητας του πιστωτικού ιδρύματος προς τις καθαρές εκροές ρευστότητάς του κατά τη διάρκεια μιας περιόδου ακραίων σ</w:t>
            </w:r>
            <w:r w:rsidR="00B80C5F" w:rsidRPr="00834EE0">
              <w:rPr>
                <w:rFonts w:ascii="Segoe UI" w:hAnsi="Segoe UI" w:cs="Segoe UI"/>
                <w:color w:val="000000"/>
                <w:sz w:val="11"/>
                <w:szCs w:val="11"/>
                <w:lang w:val="el-GR"/>
              </w:rPr>
              <w:t>υνθηκών 30 ημερολογιακών ημερών</w:t>
            </w:r>
          </w:p>
        </w:tc>
      </w:tr>
      <w:tr w:rsidR="00A67820" w:rsidRPr="00727987" w:rsidTr="00887E1C">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834EE0" w:rsidRDefault="00A67820" w:rsidP="00A67820">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Δείκτης Κόστους προς </w:t>
            </w:r>
            <w:r>
              <w:rPr>
                <w:rFonts w:ascii="Segoe UI" w:hAnsi="Segoe UI" w:cs="Segoe UI"/>
                <w:color w:val="000000"/>
                <w:sz w:val="11"/>
                <w:szCs w:val="11"/>
                <w:lang w:val="el-GR"/>
              </w:rPr>
              <w:t xml:space="preserve">Λειτουργικά </w:t>
            </w:r>
            <w:r w:rsidRPr="00834EE0">
              <w:rPr>
                <w:rFonts w:ascii="Segoe UI" w:hAnsi="Segoe UI" w:cs="Segoe UI"/>
                <w:color w:val="000000"/>
                <w:sz w:val="11"/>
                <w:szCs w:val="11"/>
                <w:lang w:val="el-GR"/>
              </w:rPr>
              <w:t>Έσοδα</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834EE0" w:rsidRDefault="00A67820" w:rsidP="00A67820">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834EE0" w:rsidRDefault="00A67820" w:rsidP="00A67820">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Λειτουργικά έξοδα προς </w:t>
            </w:r>
            <w:r>
              <w:rPr>
                <w:rFonts w:ascii="Segoe UI" w:hAnsi="Segoe UI" w:cs="Segoe UI"/>
                <w:color w:val="000000"/>
                <w:sz w:val="11"/>
                <w:szCs w:val="11"/>
                <w:lang w:val="el-GR"/>
              </w:rPr>
              <w:t xml:space="preserve">καθαρά λειτουργικά έσοδα </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Δείκτης Κόστους προς Οργανικά Έσοδα</w:t>
            </w:r>
          </w:p>
        </w:tc>
        <w:tc>
          <w:tcPr>
            <w:tcW w:w="956"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Λειτουργικά έξοδα προς οργανικά έσοδα</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Δείκτης κεφαλαίου κοινών μετοχών κατηγορίας 1 («Common Equity Tier 1», «CET1») 1 </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Δείκτης </w:t>
            </w:r>
            <w:r w:rsidRPr="00FA44E1">
              <w:rPr>
                <w:rFonts w:ascii="Segoe UI" w:hAnsi="Segoe UI" w:cs="Segoe UI"/>
                <w:color w:val="000000"/>
                <w:sz w:val="11"/>
                <w:szCs w:val="11"/>
              </w:rPr>
              <w:t>CET</w:t>
            </w:r>
            <w:r w:rsidRPr="00FA44E1">
              <w:rPr>
                <w:rFonts w:ascii="Segoe UI" w:hAnsi="Segoe UI" w:cs="Segoe UI"/>
                <w:color w:val="000000"/>
                <w:sz w:val="11"/>
                <w:szCs w:val="11"/>
                <w:lang w:val="el-GR"/>
              </w:rPr>
              <w:t>1</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Μέσα κεφαλαίου κοινών μετοχών κατηγορίας 1,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Δείκτης Κεφαλαίου Κοινών Μετοχών Κατηγορίας 1 με πλήρη εφαρμογή του ΔΠΧΑ9 (“CET1 fully loaded”)</w:t>
            </w:r>
          </w:p>
        </w:tc>
        <w:tc>
          <w:tcPr>
            <w:tcW w:w="956"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Δείκτης </w:t>
            </w:r>
            <w:r w:rsidRPr="00FA44E1">
              <w:rPr>
                <w:rFonts w:ascii="Segoe UI" w:hAnsi="Segoe UI" w:cs="Segoe UI"/>
                <w:color w:val="000000"/>
                <w:sz w:val="11"/>
                <w:szCs w:val="11"/>
              </w:rPr>
              <w:t>CET</w:t>
            </w:r>
            <w:r w:rsidRPr="00FA44E1">
              <w:rPr>
                <w:rFonts w:ascii="Segoe UI" w:hAnsi="Segoe UI" w:cs="Segoe UI"/>
                <w:color w:val="000000"/>
                <w:sz w:val="11"/>
                <w:szCs w:val="11"/>
                <w:lang w:val="el-GR"/>
              </w:rPr>
              <w:t xml:space="preserve">1 </w:t>
            </w:r>
            <w:r w:rsidRPr="00FA44E1">
              <w:rPr>
                <w:rFonts w:ascii="Segoe UI" w:hAnsi="Segoe UI" w:cs="Segoe UI"/>
                <w:color w:val="000000"/>
                <w:sz w:val="11"/>
                <w:szCs w:val="11"/>
              </w:rPr>
              <w:t>FL</w:t>
            </w:r>
          </w:p>
        </w:tc>
        <w:tc>
          <w:tcPr>
            <w:tcW w:w="5839"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Μέσα κεφαλαίου κοινών μετοχών κατηγορίας 1, με εφαρμογή των διατάξεων του Κανονισμού (EU) 575/2013, χωρίς την εφαρμογή των εποπτικών μεταβατικών ρυθμίσεων για την επίδραση του ΔΠΧΑ 9, αναφορικά με τα σταθμισμένα στοιχεία Ενεργητικού</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rPr>
              <w:t>Δείκτης Μη Εξυπηρετούμενων Ανοιγμάτων</w:t>
            </w:r>
            <w:r w:rsidRPr="00FA44E1">
              <w:rPr>
                <w:rFonts w:ascii="Segoe UI" w:hAnsi="Segoe UI" w:cs="Segoe UI"/>
                <w:color w:val="000000"/>
                <w:sz w:val="11"/>
                <w:szCs w:val="11"/>
                <w:lang w:val="el-GR"/>
              </w:rPr>
              <w:t xml:space="preserve"> </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Δείκτης ΜΕΑ </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Μη Εξυπηρετούμενα Ανοίγματα προς δάνεια προ προβλέψεων, τέλος περιόδου</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Ενσώματα Ίδια Κεφάλαια</w:t>
            </w:r>
          </w:p>
        </w:tc>
        <w:tc>
          <w:tcPr>
            <w:tcW w:w="956"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Ίδια κεφάλαια μετόχων Τράπεζας μείον υπεραξία επιχειρήσεων, λογισμικό και λοιπά άυλα</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Έσοδα ή κέρδη (έξοδα ή ζημίες) από Χρηματ/κες Πράξεις &amp; Λοιπά Έσοδα (Έξοδα) / Μη Οργανικά Έσοδα</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Αποτελέσματα χρηματοοικονομικών πράξεων &amp; τίτλων επενδυτικού χαρτοφυλακίου {«έσοδα ή κέρδη (έξοδα ή ζημίες) από χρηματοοικονομικές πράξεις»)+ καθαρά λοιπά έσοδα / (έξοδα) {«λοιπά έσοδα (έξοδα)»}</w:t>
            </w:r>
          </w:p>
        </w:tc>
      </w:tr>
      <w:tr w:rsidR="00A67820" w:rsidRPr="00834EE0" w:rsidTr="00887E1C">
        <w:trPr>
          <w:trHeight w:val="113"/>
        </w:trPr>
        <w:tc>
          <w:tcPr>
            <w:tcW w:w="1928"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Ίδια Κεφάλαια</w:t>
            </w:r>
          </w:p>
        </w:tc>
        <w:tc>
          <w:tcPr>
            <w:tcW w:w="956"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Ίδια κεφάλαια μετόχων Τράπεζας </w:t>
            </w:r>
          </w:p>
        </w:tc>
      </w:tr>
      <w:tr w:rsidR="00A67820" w:rsidRPr="00834EE0"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Ισολογισμός </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Κατάσταση χρηματοοικονομικής θέσης</w:t>
            </w:r>
          </w:p>
        </w:tc>
      </w:tr>
      <w:tr w:rsidR="00A67820" w:rsidRPr="00727987" w:rsidTr="00A529E8">
        <w:trPr>
          <w:trHeight w:val="113"/>
        </w:trPr>
        <w:tc>
          <w:tcPr>
            <w:tcW w:w="1928"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Καθαρό Επιτοκιακό Περιθώριο</w:t>
            </w:r>
          </w:p>
        </w:tc>
        <w:tc>
          <w:tcPr>
            <w:tcW w:w="956"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Καθαρά έσοδα από τόκους προς το μέσο όρο των τοκοφόρων στοιχείων ενεργητικού (ο μέσος όρος των τοκοφόρων στοιχείων του ενεργητικού υπολογίζεται ως το άθροισμα των υπολοίπων των τοκοφόρων στοιχείων του ενεργητικού στο τέλος του προηγούμενου έτους και στο τέλος του έτους αναφοράς καθώς και των ενδιάμεσων τριμήνων, δια τον αριθμό των περιόδων (πέντε περίοδοι) για τις ετήσιες χρήσεις)</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Καθαρό Επιτοκιακό Περιθώριο Προσαρμοσμένο στον Κίνδυνο </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Καθαρό επιτοκιακό περιθώριο μείον το κόστος πιστωτικού κινδύνου</w:t>
            </w:r>
          </w:p>
        </w:tc>
      </w:tr>
      <w:tr w:rsidR="00A67820" w:rsidRPr="00834EE0" w:rsidTr="000728A0">
        <w:trPr>
          <w:trHeight w:val="113"/>
        </w:trPr>
        <w:tc>
          <w:tcPr>
            <w:tcW w:w="1928"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 xml:space="preserve">Καταθέσεις </w:t>
            </w:r>
          </w:p>
        </w:tc>
        <w:tc>
          <w:tcPr>
            <w:tcW w:w="956"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Υποχρεώσεις προς πελάτες</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Κέρδη / (ζημίες) από συνεχιζόμενες δραστηριότητες</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Κέρδη / (ζημίες) από συνεχιζόμενες δραστηριότητες, εξαιρουμένου του κόστους αναδιάρθρωσης. </w:t>
            </w:r>
          </w:p>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Για το εννεάμηνο 2018, τα λειτουργικά έξοδα εξαιρούν το κόστος του Προγράμματος Εθελουσίας Προσωπικού ύψους €40 εκατ. Για το εννεάμηνο 2019, τα κέρδη / (ζημίες) από συνεχιζόμενες δραστηριότητες εξαιρούν το κόστος του Προγράμματος Εθελουσίας Προσωπικού ύψους €94 εκατ., λοιπά κόστη αναδιάρθρωσης €16 εκατ. και την ετήσια δαπάνη για το ΛΕΠΕΤΕ ύψους €36 εκατ.</w:t>
            </w:r>
          </w:p>
        </w:tc>
      </w:tr>
      <w:tr w:rsidR="00A67820" w:rsidRPr="00727987" w:rsidTr="002D0A4D">
        <w:trPr>
          <w:trHeight w:val="113"/>
        </w:trPr>
        <w:tc>
          <w:tcPr>
            <w:tcW w:w="1928"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Κέρδη προ Προβλέψεων</w:t>
            </w:r>
          </w:p>
        </w:tc>
        <w:tc>
          <w:tcPr>
            <w:tcW w:w="956"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Καθαρά λειτουργικά έσοδα μείον λειτουργικά έξοδα</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Κόστος πιστωτικού κινδύνου</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n-US"/>
              </w:rPr>
            </w:pPr>
            <w:r w:rsidRPr="00FA44E1">
              <w:rPr>
                <w:rFonts w:ascii="Segoe UI" w:hAnsi="Segoe UI" w:cs="Segoe UI"/>
                <w:color w:val="000000"/>
                <w:sz w:val="11"/>
                <w:szCs w:val="11"/>
                <w:lang w:val="en-US"/>
              </w:rPr>
              <w:t>CoR</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Προβλέψεις απομείωσης για ΑΠΖ ετησιοποιημένες προς μέσο δανείων μετά προβλέψεων </w:t>
            </w:r>
          </w:p>
        </w:tc>
      </w:tr>
      <w:tr w:rsidR="00A67820" w:rsidRPr="00727987" w:rsidTr="000728A0">
        <w:trPr>
          <w:trHeight w:val="113"/>
        </w:trPr>
        <w:tc>
          <w:tcPr>
            <w:tcW w:w="1928"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Κόστος Προγράμματος Εθελουσίας και λοιπά έξοδα αναδιάρθρωσης</w:t>
            </w:r>
          </w:p>
        </w:tc>
        <w:tc>
          <w:tcPr>
            <w:tcW w:w="956"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3E1FEC">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Κόστος αναδιάρθρωσης, το οποίο περιλαμβάνει το Κόστος Προγράμματος Εθελουσίας Εξόδου, καθώς και άμεσα έξοδα σχετιζόμενα με το Πρόγραμμα </w:t>
            </w:r>
            <w:r w:rsidR="003E1FEC" w:rsidRPr="00FA44E1">
              <w:rPr>
                <w:rFonts w:ascii="Segoe UI" w:hAnsi="Segoe UI" w:cs="Segoe UI"/>
                <w:color w:val="000000"/>
                <w:sz w:val="11"/>
                <w:szCs w:val="11"/>
                <w:lang w:val="el-GR"/>
              </w:rPr>
              <w:t>Μετασχηματισμού της ΕΤΕ</w:t>
            </w:r>
            <w:r w:rsidRPr="00FA44E1">
              <w:rPr>
                <w:rFonts w:ascii="Segoe UI" w:hAnsi="Segoe UI" w:cs="Segoe UI"/>
                <w:color w:val="000000"/>
                <w:sz w:val="11"/>
                <w:szCs w:val="11"/>
                <w:lang w:val="el-GR"/>
              </w:rPr>
              <w:t xml:space="preserve"> </w:t>
            </w:r>
          </w:p>
        </w:tc>
      </w:tr>
      <w:tr w:rsidR="0034637B" w:rsidRPr="00DD7633"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tcPr>
          <w:p w:rsidR="0034637B" w:rsidRPr="00FA44E1" w:rsidRDefault="0034637B" w:rsidP="0034637B">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Λειτουργικά ή Συνολικά Έσοδα</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tcPr>
          <w:p w:rsidR="0034637B" w:rsidRPr="00FA44E1" w:rsidRDefault="0034637B" w:rsidP="00A67820">
            <w:pPr>
              <w:spacing w:after="0" w:line="240" w:lineRule="auto"/>
              <w:rPr>
                <w:rFonts w:ascii="Segoe UI" w:hAnsi="Segoe UI" w:cs="Segoe UI"/>
                <w:color w:val="000000"/>
                <w:sz w:val="11"/>
                <w:szCs w:val="11"/>
                <w:lang w:val="el-GR"/>
              </w:rPr>
            </w:pP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34637B" w:rsidRPr="00FA44E1" w:rsidRDefault="0034637B"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Καθαρά λειτουργικά έσοδα</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Λειτουργικά ή Συνολικά Έξοδα / Δαπάνες / Κόστη</w:t>
            </w:r>
          </w:p>
        </w:tc>
        <w:tc>
          <w:tcPr>
            <w:tcW w:w="956"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Δαπάνες προσωπικού + Γενικά διοικητικά έξοδα + Αποσβέσεις, εξαιρουμένου του αναδιάρθρωσης.  </w:t>
            </w:r>
          </w:p>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Για το εννεάμηνο 2019, τα κέρδη / (ζημίες) από συνεχιζόμενες δραστηριότητες εξαιρούν το κόστος του Προγράμματος Εθελουσίας Προσωπικού ύψους €94 εκατ., λοιπά κόστη αναδιάρθρωσης €16 εκατ. και την ετήσια δαπάνη για το ΛΕΠΕΤΕ ύψους €36 εκατ. Για το εννεάμηνο 2018, τα λειτουργικά έξοδα εξαιρούν το κόστος του Προγράμματος Εθελουσίας Προσωπικού ύψους €40 εκατ.</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Λειτουργικά Κέρδη / (Ζημίες)</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Καθαρά λειτουργικά έσοδα μείον λειτουργικά έξοδα και προβλέψεις απομείωσης για ΑΠΖ</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Λοιπές προβλέψεις </w:t>
            </w:r>
          </w:p>
        </w:tc>
        <w:tc>
          <w:tcPr>
            <w:tcW w:w="956"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Προβλέψεις απομείωσης χρεογράφων + Λοιπές προβλέψεις και προβλέψεις απομείωσης </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Μη Εξυπηρετούμενα Ανοίγματα (</w:t>
            </w:r>
            <w:r w:rsidRPr="00FA44E1">
              <w:rPr>
                <w:rFonts w:ascii="Segoe UI" w:hAnsi="Segoe UI" w:cs="Segoe UI"/>
                <w:color w:val="000000"/>
                <w:sz w:val="11"/>
                <w:szCs w:val="11"/>
                <w:lang w:val="en-US"/>
              </w:rPr>
              <w:t>Non</w:t>
            </w:r>
            <w:r w:rsidRPr="00FA44E1">
              <w:rPr>
                <w:rFonts w:ascii="Segoe UI" w:hAnsi="Segoe UI" w:cs="Segoe UI"/>
                <w:color w:val="000000"/>
                <w:sz w:val="11"/>
                <w:szCs w:val="11"/>
                <w:lang w:val="el-GR"/>
              </w:rPr>
              <w:t>-</w:t>
            </w:r>
            <w:r w:rsidRPr="00FA44E1">
              <w:rPr>
                <w:rFonts w:ascii="Segoe UI" w:hAnsi="Segoe UI" w:cs="Segoe UI"/>
                <w:color w:val="000000"/>
                <w:sz w:val="11"/>
                <w:szCs w:val="11"/>
                <w:lang w:val="en-US"/>
              </w:rPr>
              <w:t>Performing</w:t>
            </w:r>
            <w:r w:rsidRPr="00FA44E1">
              <w:rPr>
                <w:rFonts w:ascii="Segoe UI" w:hAnsi="Segoe UI" w:cs="Segoe UI"/>
                <w:color w:val="000000"/>
                <w:sz w:val="11"/>
                <w:szCs w:val="11"/>
                <w:lang w:val="el-GR"/>
              </w:rPr>
              <w:t xml:space="preserve"> </w:t>
            </w:r>
            <w:r w:rsidRPr="00FA44E1">
              <w:rPr>
                <w:rFonts w:ascii="Segoe UI" w:hAnsi="Segoe UI" w:cs="Segoe UI"/>
                <w:color w:val="000000"/>
                <w:sz w:val="11"/>
                <w:szCs w:val="11"/>
                <w:lang w:val="en-US"/>
              </w:rPr>
              <w:t>Exposures</w:t>
            </w:r>
            <w:r w:rsidRPr="00FA44E1">
              <w:rPr>
                <w:rFonts w:ascii="Segoe UI" w:hAnsi="Segoe UI" w:cs="Segoe UI"/>
                <w:color w:val="000000"/>
                <w:sz w:val="11"/>
                <w:szCs w:val="11"/>
                <w:lang w:val="el-GR"/>
              </w:rPr>
              <w:t xml:space="preserve"> – </w:t>
            </w:r>
            <w:r w:rsidRPr="00FA44E1">
              <w:rPr>
                <w:rFonts w:ascii="Segoe UI" w:hAnsi="Segoe UI" w:cs="Segoe UI"/>
                <w:color w:val="000000"/>
                <w:sz w:val="11"/>
                <w:szCs w:val="11"/>
                <w:lang w:val="en-US"/>
              </w:rPr>
              <w:t>NPEs</w:t>
            </w:r>
            <w:r w:rsidRPr="00FA44E1">
              <w:rPr>
                <w:rFonts w:ascii="Segoe UI" w:hAnsi="Segoe UI" w:cs="Segoe UI"/>
                <w:color w:val="000000"/>
                <w:sz w:val="11"/>
                <w:szCs w:val="11"/>
                <w:lang w:val="el-GR"/>
              </w:rPr>
              <w:t>)</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ΜΕΑ </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Σύμφωνα με τους ορισμούς της Ευρωπαϊκής Αρχής Τραπεζών (EBA, ITS Τechnical Standards) ως μη εξυπηρετούμενα ορίζονται τα ανοίγματα που πληρούν μία εκ ή και τις δύο κάτωθι προϋποθέσεις: (Ι) σημαντικά ανοίγματα με καθυστέρηση μεγαλύτερη των 90 ημερών και (</w:t>
            </w:r>
            <w:r w:rsidRPr="00FA44E1">
              <w:rPr>
                <w:rFonts w:ascii="Segoe UI" w:hAnsi="Segoe UI" w:cs="Segoe UI"/>
                <w:color w:val="000000"/>
                <w:sz w:val="11"/>
                <w:szCs w:val="11"/>
                <w:lang w:val="en-US"/>
              </w:rPr>
              <w:t>ii</w:t>
            </w:r>
            <w:r w:rsidRPr="00FA44E1">
              <w:rPr>
                <w:rFonts w:ascii="Segoe UI" w:hAnsi="Segoe UI" w:cs="Segoe UI"/>
                <w:color w:val="000000"/>
                <w:sz w:val="11"/>
                <w:szCs w:val="11"/>
                <w:lang w:val="el-GR"/>
              </w:rPr>
              <w:t>) Ανοίγματα αβέβαιης πλήρους είσπραξης χωρίς τη ρευστοποίηση εξασφάλισης, ανεξαρτήτως από την ύπαρξη ποσού σε καθυστέρηση ή ημερών καθυστέρησης</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Μη Εξυπηρετούμενα Δάνεια</w:t>
            </w:r>
          </w:p>
        </w:tc>
        <w:tc>
          <w:tcPr>
            <w:tcW w:w="956"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Δάνεια και απαιτήσεις κατά πελατών σε καθυστέρηση μεγαλύτερη των 90 ημερών</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sz w:val="11"/>
                <w:szCs w:val="11"/>
                <w:lang w:val="el-GR"/>
              </w:rPr>
            </w:pPr>
            <w:r w:rsidRPr="00FA44E1">
              <w:rPr>
                <w:rFonts w:ascii="Segoe UI" w:hAnsi="Segoe UI" w:cs="Segoe UI"/>
                <w:sz w:val="11"/>
                <w:szCs w:val="11"/>
                <w:lang w:val="el-GR"/>
              </w:rPr>
              <w:t>Οργανική Αύξηση / (Μείωση) Μη Εξυπηρετούμενων Ανοιγμάτων</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sz w:val="11"/>
                <w:szCs w:val="11"/>
              </w:rPr>
            </w:pPr>
            <w:r w:rsidRPr="00FA44E1">
              <w:rPr>
                <w:rFonts w:ascii="Segoe UI" w:hAnsi="Segoe UI" w:cs="Segoe UI"/>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sz w:val="11"/>
                <w:szCs w:val="11"/>
                <w:lang w:val="el-GR"/>
              </w:rPr>
            </w:pPr>
            <w:r w:rsidRPr="00FA44E1">
              <w:rPr>
                <w:rFonts w:ascii="Segoe UI" w:hAnsi="Segoe UI" w:cs="Segoe UI"/>
                <w:sz w:val="11"/>
                <w:szCs w:val="11"/>
                <w:lang w:val="el-GR"/>
              </w:rPr>
              <w:t xml:space="preserve">Οργανική αύξηση / (μείωση) Μη Εξυπηρετούμενων Ανοιγμάτων, προ πωλήσεων και διαγραφών </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Οργανικά Έσοδα</w:t>
            </w:r>
          </w:p>
        </w:tc>
        <w:tc>
          <w:tcPr>
            <w:tcW w:w="956"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Καθαρά έσοδα από τόκους + καθαρά έσοδα από προμήθειες </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Οργανικά Κέρδη / (Ζημίες)</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Οργανικά έσοδα μείον λειτουργικά έξοδα και προβλέψεις απομείωσης για ΑΠΖ</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Οργανικά Κέρδη / (Ζημίες) προ Προβλέψεων</w:t>
            </w:r>
          </w:p>
        </w:tc>
        <w:tc>
          <w:tcPr>
            <w:tcW w:w="956"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Οργανικά έσοδα μείον λειτουργικά έξοδα, πριν από προβλέψεις απομείωσης για ΑΠΖ</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Προβλέψεις για επισφαλή δάνεια / απαιτήσεις </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Προβλέψεις απομείωσης για Αναμενόμενες Πιστωτικές Ζημιές (ΑΠΖ)</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Συνολικός Δείκτης Κεφαλαιακής Επάρκειας </w:t>
            </w:r>
          </w:p>
        </w:tc>
        <w:tc>
          <w:tcPr>
            <w:tcW w:w="956"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auto"/>
            <w:noWrap/>
            <w:vAlign w:val="center"/>
          </w:tcPr>
          <w:p w:rsidR="00A67820" w:rsidRPr="00FA44E1" w:rsidRDefault="00A67820" w:rsidP="006B1FDA">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Συνολικά εποπτικά κεφάλαια, με εφαρμογή των διατάξεων του Κανονισμού (EU) 575/2013 και </w:t>
            </w:r>
            <w:r w:rsidR="006B1FDA">
              <w:rPr>
                <w:rFonts w:ascii="Segoe UI" w:hAnsi="Segoe UI" w:cs="Segoe UI"/>
                <w:color w:val="000000"/>
                <w:sz w:val="11"/>
                <w:szCs w:val="11"/>
                <w:lang w:val="el-GR"/>
              </w:rPr>
              <w:t xml:space="preserve">των </w:t>
            </w:r>
            <w:r w:rsidRPr="00FA44E1">
              <w:rPr>
                <w:rFonts w:ascii="Segoe UI" w:hAnsi="Segoe UI" w:cs="Segoe UI"/>
                <w:color w:val="000000"/>
                <w:sz w:val="11"/>
                <w:szCs w:val="11"/>
                <w:lang w:val="el-GR"/>
              </w:rPr>
              <w:t>εποπτικών μεταβατικών ρυθμίσεων για την επίδραση του ΔΠΧΑ 9, αναφορικά με τα σταθμισμένα στοιχεία Ενεργητικού</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lang w:val="el-GR"/>
              </w:rPr>
              <w:t xml:space="preserve">Τοκοφόρα Στοιχεία </w:t>
            </w:r>
            <w:r w:rsidRPr="00FA44E1">
              <w:rPr>
                <w:rFonts w:ascii="Segoe UI" w:hAnsi="Segoe UI" w:cs="Segoe UI"/>
                <w:color w:val="000000"/>
                <w:sz w:val="11"/>
                <w:szCs w:val="11"/>
              </w:rPr>
              <w:t>Ενεργητικού</w:t>
            </w:r>
          </w:p>
        </w:tc>
        <w:tc>
          <w:tcPr>
            <w:tcW w:w="956"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Τα τοκοφόρα στοιχεία Ενεργητικού περιλαμβάνουν τα εν δυνάμει τοκοφόρα στοιχεία του ενεργητικού και αφορούν το ταμείο και διαθέσιμα σε Κεντρικές Τράπεζες, τις απαιτήσεις κατά χρηματοπιστωτικών ιδρυμάτων, τα χρηματοοικονομικά περιουσιακά στοιχεία στην εύλογη αξία (εξαιρουμένων των μετοχών και μεριδίων αμοιβαίων κεφαλαίων), δάνεια και απαιτήσεις κατά πελατών και χαρτοφυλάκιο επενδύσεων (εξαιρουμένων των μετοχών και μεριδίων αμοιβαίων κεφαλαίων)</w:t>
            </w:r>
          </w:p>
        </w:tc>
      </w:tr>
      <w:tr w:rsidR="00A67820" w:rsidRPr="00727987" w:rsidTr="00FA44E1">
        <w:trPr>
          <w:trHeight w:val="113"/>
        </w:trPr>
        <w:tc>
          <w:tcPr>
            <w:tcW w:w="1928"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 xml:space="preserve">Σταθμισμένα Στοιχεία Ενεργητικού  </w:t>
            </w:r>
          </w:p>
        </w:tc>
        <w:tc>
          <w:tcPr>
            <w:tcW w:w="956"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rPr>
            </w:pPr>
            <w:r w:rsidRPr="00FA44E1">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Στοιχεία Ενεργητικού και στοιχεία εκτός Ισολογισμού, προσδιορισμένα βάσει σταθμισμένου κινδύνου, σύμφωνα με τον κανονισμό (</w:t>
            </w:r>
            <w:r w:rsidRPr="00FA44E1">
              <w:rPr>
                <w:rFonts w:ascii="Segoe UI" w:hAnsi="Segoe UI" w:cs="Segoe UI"/>
                <w:color w:val="000000"/>
                <w:sz w:val="11"/>
                <w:szCs w:val="11"/>
              </w:rPr>
              <w:t>EU</w:t>
            </w:r>
            <w:r w:rsidRPr="00FA44E1">
              <w:rPr>
                <w:rFonts w:ascii="Segoe UI" w:hAnsi="Segoe UI" w:cs="Segoe UI"/>
                <w:color w:val="000000"/>
                <w:sz w:val="11"/>
                <w:szCs w:val="11"/>
                <w:lang w:val="el-GR"/>
              </w:rPr>
              <w:t>) 575/2013</w:t>
            </w:r>
          </w:p>
        </w:tc>
      </w:tr>
      <w:tr w:rsidR="00A67820" w:rsidRPr="00727987" w:rsidTr="00FA44E1">
        <w:trPr>
          <w:trHeight w:val="113"/>
        </w:trPr>
        <w:tc>
          <w:tcPr>
            <w:tcW w:w="1928" w:type="dxa"/>
            <w:tcBorders>
              <w:top w:val="single" w:sz="4" w:space="0" w:color="D9D9D9"/>
              <w:left w:val="nil"/>
              <w:bottom w:val="single" w:sz="12" w:space="0" w:color="auto"/>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 xml:space="preserve">Σωρευμένες προβλέψεις </w:t>
            </w:r>
          </w:p>
        </w:tc>
        <w:tc>
          <w:tcPr>
            <w:tcW w:w="956" w:type="dxa"/>
            <w:tcBorders>
              <w:top w:val="single" w:sz="4" w:space="0" w:color="D9D9D9"/>
              <w:left w:val="nil"/>
              <w:bottom w:val="single" w:sz="12" w:space="0" w:color="auto"/>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w:t>
            </w:r>
          </w:p>
        </w:tc>
        <w:tc>
          <w:tcPr>
            <w:tcW w:w="5839" w:type="dxa"/>
            <w:tcBorders>
              <w:top w:val="single" w:sz="4" w:space="0" w:color="D9D9D9"/>
              <w:left w:val="nil"/>
              <w:bottom w:val="single" w:sz="12" w:space="0" w:color="auto"/>
              <w:right w:val="nil"/>
            </w:tcBorders>
            <w:shd w:val="clear" w:color="auto" w:fill="D9D9D9" w:themeFill="background1" w:themeFillShade="D9"/>
            <w:noWrap/>
            <w:vAlign w:val="center"/>
          </w:tcPr>
          <w:p w:rsidR="00A67820" w:rsidRPr="00FA44E1" w:rsidRDefault="00A67820" w:rsidP="00A67820">
            <w:pPr>
              <w:spacing w:after="0" w:line="240" w:lineRule="auto"/>
              <w:rPr>
                <w:rFonts w:ascii="Segoe UI" w:hAnsi="Segoe UI" w:cs="Segoe UI"/>
                <w:color w:val="000000"/>
                <w:sz w:val="11"/>
                <w:szCs w:val="11"/>
                <w:lang w:val="el-GR"/>
              </w:rPr>
            </w:pPr>
            <w:r w:rsidRPr="00FA44E1">
              <w:rPr>
                <w:rFonts w:ascii="Segoe UI" w:hAnsi="Segoe UI" w:cs="Segoe UI"/>
                <w:color w:val="000000"/>
                <w:sz w:val="11"/>
                <w:szCs w:val="11"/>
                <w:lang w:val="el-GR"/>
              </w:rPr>
              <w:t>Πρόβλεψη ΑΠΖ δανείων και απαιτήσεων κατά πελατών</w:t>
            </w:r>
          </w:p>
        </w:tc>
      </w:tr>
    </w:tbl>
    <w:p w:rsidR="00314D49" w:rsidRPr="00167286" w:rsidRDefault="00314D49">
      <w:pPr>
        <w:spacing w:after="0" w:line="240" w:lineRule="auto"/>
        <w:rPr>
          <w:rFonts w:ascii="Segoe UI" w:hAnsi="Segoe UI" w:cs="Segoe UI"/>
          <w:b/>
          <w:sz w:val="6"/>
          <w:lang w:val="el-GR"/>
        </w:rPr>
      </w:pPr>
      <w:r w:rsidRPr="00167286">
        <w:rPr>
          <w:rFonts w:ascii="Segoe UI" w:hAnsi="Segoe UI" w:cs="Segoe UI"/>
          <w:b/>
          <w:sz w:val="6"/>
          <w:lang w:val="el-GR"/>
        </w:rPr>
        <w:br w:type="page"/>
      </w:r>
    </w:p>
    <w:p w:rsidR="000C3F12" w:rsidRPr="00751AEB" w:rsidRDefault="000C3F12" w:rsidP="004929D8">
      <w:pPr>
        <w:spacing w:after="160"/>
        <w:jc w:val="both"/>
        <w:rPr>
          <w:rFonts w:ascii="Segoe UI" w:hAnsi="Segoe UI" w:cs="Segoe UI"/>
          <w:b/>
          <w:sz w:val="16"/>
          <w:lang w:val="el-GR"/>
        </w:rPr>
      </w:pPr>
      <w:r w:rsidRPr="00751AEB">
        <w:rPr>
          <w:rFonts w:ascii="Segoe UI" w:hAnsi="Segoe UI" w:cs="Segoe UI"/>
          <w:b/>
          <w:sz w:val="16"/>
          <w:lang w:val="el-GR"/>
        </w:rPr>
        <w:t>ΑΠΟΠΟΙΗΣΗΣ ΕΥΘΥΝΗΣ</w:t>
      </w:r>
    </w:p>
    <w:p w:rsidR="00C571E4" w:rsidRPr="0096431C" w:rsidRDefault="00F66527" w:rsidP="00C571E4">
      <w:pPr>
        <w:spacing w:after="160"/>
        <w:jc w:val="both"/>
        <w:rPr>
          <w:rFonts w:ascii="Segoe UI" w:hAnsi="Segoe UI" w:cs="Segoe UI"/>
          <w:sz w:val="13"/>
          <w:szCs w:val="13"/>
          <w:highlight w:val="yellow"/>
          <w:lang w:val="el-GR"/>
        </w:rPr>
      </w:pPr>
      <w:r w:rsidRPr="0096431C">
        <w:rPr>
          <w:rFonts w:ascii="Segoe UI" w:hAnsi="Segoe UI" w:cs="Segoe UI"/>
          <w:sz w:val="13"/>
          <w:szCs w:val="13"/>
          <w:lang w:val="el-GR"/>
        </w:rPr>
        <w:t xml:space="preserve">Οι πληροφορίες, οι δηλώσεις και οι γνώμες που παρατίθενται στο παρών Δελτίο Τύπου Αποτελεσμάτων </w:t>
      </w:r>
      <w:r w:rsidR="004C2E71">
        <w:rPr>
          <w:rFonts w:ascii="Segoe UI" w:hAnsi="Segoe UI" w:cs="Segoe UI"/>
          <w:sz w:val="13"/>
          <w:szCs w:val="13"/>
          <w:lang w:val="el-GR"/>
        </w:rPr>
        <w:t>Γ</w:t>
      </w:r>
      <w:r w:rsidRPr="0096431C">
        <w:rPr>
          <w:rFonts w:ascii="Segoe UI" w:hAnsi="Segoe UI" w:cs="Segoe UI"/>
          <w:sz w:val="13"/>
          <w:szCs w:val="13"/>
          <w:lang w:val="el-GR"/>
        </w:rPr>
        <w:t>’ τριμήνου και η συνοδευτική συζήτηση (το «Δελτίο Τύπου») έχουν παρασχεθεί από την Εθνική Τράπεζα της Ελλάδας Α.Ε. (η «Τράπεζα») (μαζί με τις ενοποιούμενες θυγατρικές της (</w:t>
      </w:r>
      <w:r w:rsidRPr="0096431C">
        <w:rPr>
          <w:rFonts w:ascii="Segoe UI" w:hAnsi="Segoe UI" w:cs="Segoe UI"/>
          <w:sz w:val="13"/>
          <w:szCs w:val="13"/>
          <w:lang w:val="en-US"/>
        </w:rPr>
        <w:t>o</w:t>
      </w:r>
      <w:r w:rsidRPr="0096431C">
        <w:rPr>
          <w:rFonts w:ascii="Segoe UI" w:hAnsi="Segoe UI" w:cs="Segoe UI"/>
          <w:sz w:val="13"/>
          <w:szCs w:val="13"/>
          <w:lang w:val="el-GR"/>
        </w:rPr>
        <w:t xml:space="preserve"> «Όμιλος»)). Εξυπηρετούν αποκλειστικά ενημερωτικούς σκοπούς και δεν θα πρέπει να θεωρούνται ως συμβουλή ή σύσταση προς τους επενδυτές ή τους δυνητικούς επενδυτές σε σχέση με την κατοχή, την αγορά ή την πώληση κινητών αξιών ή άλλων χρηματοπιστωτικών προϊόντων ή μέσων, και δεν λαμβάνουν υπόψη συγκεκριμένους επενδυτικούς στόχους, οικονομική κατάσταση ή ανάγκες. Δεν συνιστούν έρευνα στον τομέα των επενδύσεων, επιβεβαίωση συναλλαγής ή για προσφορά ή πρόσκληση για αγορά/πώληση οποιωνδήποτε χρηματοπιστωτικών μέσων. </w:t>
      </w:r>
    </w:p>
    <w:p w:rsidR="00E82F6E" w:rsidRPr="0096431C" w:rsidRDefault="00E82F6E" w:rsidP="00E82F6E">
      <w:pPr>
        <w:spacing w:after="0"/>
        <w:jc w:val="both"/>
        <w:rPr>
          <w:rFonts w:ascii="Segoe UI" w:hAnsi="Segoe UI" w:cs="Segoe UI"/>
          <w:b/>
          <w:sz w:val="13"/>
          <w:szCs w:val="13"/>
          <w:lang w:val="el-GR"/>
        </w:rPr>
      </w:pPr>
      <w:r w:rsidRPr="0096431C">
        <w:rPr>
          <w:rFonts w:ascii="Segoe UI" w:hAnsi="Segoe UI" w:cs="Segoe UI"/>
          <w:b/>
          <w:sz w:val="13"/>
          <w:szCs w:val="13"/>
          <w:lang w:val="el-GR"/>
        </w:rPr>
        <w:t>Ακρίβεια Πληροφοριών και Περιορισμός Ευθύνης</w:t>
      </w:r>
    </w:p>
    <w:p w:rsidR="00E82F6E" w:rsidRPr="0096431C" w:rsidRDefault="00E82F6E" w:rsidP="0048333C">
      <w:pPr>
        <w:spacing w:after="160"/>
        <w:jc w:val="both"/>
        <w:rPr>
          <w:rFonts w:ascii="Segoe UI" w:hAnsi="Segoe UI" w:cs="Segoe UI"/>
          <w:sz w:val="13"/>
          <w:szCs w:val="13"/>
          <w:lang w:val="el-GR"/>
        </w:rPr>
      </w:pPr>
      <w:r w:rsidRPr="0096431C">
        <w:rPr>
          <w:rFonts w:ascii="Segoe UI" w:hAnsi="Segoe UI" w:cs="Segoe UI"/>
          <w:sz w:val="13"/>
          <w:szCs w:val="13"/>
          <w:lang w:val="el-GR"/>
        </w:rPr>
        <w:t xml:space="preserve">Μολονότι έχει ληφθεί εύλογη επιμέλεια για να διασφαλιστεί ότι το περιεχόμενό του Δελτίου Τύπου είναι αληθές και ακριβές, δεν παρέχονται δηλώσεις ή εγγυήσεις, ρητές ή σιωπηρές, όσον αφορά την ακρίβεια ή την πληρότητα των πληροφοριών που περιλαμβάνονται στο Δελτίο Τύπου. Στον μέγιστο βαθμό που επιτρέπεται από το νόμο, σε καμία περίπτωση η Τράπεζα, ή οποιαδήποτε από τις θυγατρικές της, οι μέτοχοι, οι συνδεδεμένες εταιρείες, οι εκπρόσωποι, οι διευθυντές, τα στελέχη, οι υπάλληλοι, οι σύμβουλοι ή οι αντιπρόσωποι δεν ευθύνονται για οποιαδήποτε άμεση, έμμεση ή επακόλουθη ζημία ή διαφυγόν κέρδος που τυχόν θα προκύψει από τη χρήση </w:t>
      </w:r>
      <w:r w:rsidR="00635611" w:rsidRPr="0096431C">
        <w:rPr>
          <w:rFonts w:ascii="Segoe UI" w:hAnsi="Segoe UI" w:cs="Segoe UI"/>
          <w:sz w:val="13"/>
          <w:szCs w:val="13"/>
          <w:lang w:val="el-GR"/>
        </w:rPr>
        <w:t>του</w:t>
      </w:r>
      <w:r w:rsidRPr="0096431C">
        <w:rPr>
          <w:rFonts w:ascii="Segoe UI" w:hAnsi="Segoe UI" w:cs="Segoe UI"/>
          <w:sz w:val="13"/>
          <w:szCs w:val="13"/>
          <w:lang w:val="el-GR"/>
        </w:rPr>
        <w:t xml:space="preserve"> </w:t>
      </w:r>
      <w:r w:rsidR="00635611" w:rsidRPr="0096431C">
        <w:rPr>
          <w:rFonts w:ascii="Segoe UI" w:hAnsi="Segoe UI" w:cs="Segoe UI"/>
          <w:sz w:val="13"/>
          <w:szCs w:val="13"/>
          <w:lang w:val="el-GR"/>
        </w:rPr>
        <w:t>Δελτίου Τύπου</w:t>
      </w:r>
      <w:r w:rsidRPr="0096431C">
        <w:rPr>
          <w:rFonts w:ascii="Segoe UI" w:hAnsi="Segoe UI" w:cs="Segoe UI"/>
          <w:sz w:val="13"/>
          <w:szCs w:val="13"/>
          <w:lang w:val="el-GR"/>
        </w:rPr>
        <w:t xml:space="preserve">, το περιεχόμενό </w:t>
      </w:r>
      <w:r w:rsidR="00635611" w:rsidRPr="0096431C">
        <w:rPr>
          <w:rFonts w:ascii="Segoe UI" w:hAnsi="Segoe UI" w:cs="Segoe UI"/>
          <w:sz w:val="13"/>
          <w:szCs w:val="13"/>
          <w:lang w:val="el-GR"/>
        </w:rPr>
        <w:t>του</w:t>
      </w:r>
      <w:r w:rsidRPr="0096431C">
        <w:rPr>
          <w:rFonts w:ascii="Segoe UI" w:hAnsi="Segoe UI" w:cs="Segoe UI"/>
          <w:sz w:val="13"/>
          <w:szCs w:val="13"/>
          <w:lang w:val="el-GR"/>
        </w:rPr>
        <w:t xml:space="preserve"> (συμπεριλαμβανομένων των εσωτερικών οικονομικών μοντέλων), τις παραλείψεις της, την εξάρτηση από τις πληροφορίες που περιέχονται σε </w:t>
      </w:r>
      <w:r w:rsidR="00994F14" w:rsidRPr="0096431C">
        <w:rPr>
          <w:rFonts w:ascii="Segoe UI" w:hAnsi="Segoe UI" w:cs="Segoe UI"/>
          <w:sz w:val="13"/>
          <w:szCs w:val="13"/>
          <w:lang w:val="el-GR"/>
        </w:rPr>
        <w:t>αυτό</w:t>
      </w:r>
      <w:r w:rsidRPr="0096431C">
        <w:rPr>
          <w:rFonts w:ascii="Segoe UI" w:hAnsi="Segoe UI" w:cs="Segoe UI"/>
          <w:sz w:val="13"/>
          <w:szCs w:val="13"/>
          <w:lang w:val="el-GR"/>
        </w:rPr>
        <w:t xml:space="preserve">, ή τις απόψεις που διατυπώνονται σε σχέση με </w:t>
      </w:r>
      <w:r w:rsidR="00994F14" w:rsidRPr="0096431C">
        <w:rPr>
          <w:rFonts w:ascii="Segoe UI" w:hAnsi="Segoe UI" w:cs="Segoe UI"/>
          <w:sz w:val="13"/>
          <w:szCs w:val="13"/>
          <w:lang w:val="el-GR"/>
        </w:rPr>
        <w:t>αυτό</w:t>
      </w:r>
      <w:r w:rsidRPr="0096431C">
        <w:rPr>
          <w:rFonts w:ascii="Segoe UI" w:hAnsi="Segoe UI" w:cs="Segoe UI"/>
          <w:sz w:val="13"/>
          <w:szCs w:val="13"/>
          <w:lang w:val="el-GR"/>
        </w:rPr>
        <w:t xml:space="preserve"> ή άλλως που προκύπτουν σε σχέση με </w:t>
      </w:r>
      <w:r w:rsidR="00994F14" w:rsidRPr="0096431C">
        <w:rPr>
          <w:rFonts w:ascii="Segoe UI" w:hAnsi="Segoe UI" w:cs="Segoe UI"/>
          <w:sz w:val="13"/>
          <w:szCs w:val="13"/>
          <w:lang w:val="el-GR"/>
        </w:rPr>
        <w:t>αυτό</w:t>
      </w:r>
      <w:r w:rsidRPr="0096431C">
        <w:rPr>
          <w:rFonts w:ascii="Segoe UI" w:hAnsi="Segoe UI" w:cs="Segoe UI"/>
          <w:sz w:val="13"/>
          <w:szCs w:val="13"/>
          <w:lang w:val="el-GR"/>
        </w:rPr>
        <w:t>. Οι πληροφορίες που εμπεριέχονται στ</w:t>
      </w:r>
      <w:r w:rsidR="00635611" w:rsidRPr="0096431C">
        <w:rPr>
          <w:rFonts w:ascii="Segoe UI" w:hAnsi="Segoe UI" w:cs="Segoe UI"/>
          <w:sz w:val="13"/>
          <w:szCs w:val="13"/>
          <w:lang w:val="el-GR"/>
        </w:rPr>
        <w:t>ο Δελτίο Τύπου</w:t>
      </w:r>
      <w:r w:rsidRPr="0096431C">
        <w:rPr>
          <w:rFonts w:ascii="Segoe UI" w:hAnsi="Segoe UI" w:cs="Segoe UI"/>
          <w:sz w:val="13"/>
          <w:szCs w:val="13"/>
          <w:lang w:val="el-GR"/>
        </w:rPr>
        <w:t xml:space="preserve"> δεν έχουν επαληθευτεί από ανεξάρτητο τρίτο μέρος.</w:t>
      </w:r>
    </w:p>
    <w:p w:rsidR="00E82F6E" w:rsidRPr="0096431C" w:rsidRDefault="00E82F6E" w:rsidP="00E82F6E">
      <w:pPr>
        <w:spacing w:after="160"/>
        <w:jc w:val="both"/>
        <w:rPr>
          <w:rFonts w:ascii="Segoe UI" w:hAnsi="Segoe UI" w:cs="Segoe UI"/>
          <w:sz w:val="13"/>
          <w:szCs w:val="13"/>
          <w:lang w:val="el-GR"/>
        </w:rPr>
      </w:pPr>
      <w:r w:rsidRPr="0096431C">
        <w:rPr>
          <w:rFonts w:ascii="Segoe UI" w:hAnsi="Segoe UI" w:cs="Segoe UI"/>
          <w:sz w:val="13"/>
          <w:szCs w:val="13"/>
          <w:lang w:val="el-GR"/>
        </w:rPr>
        <w:t xml:space="preserve">Οι παραλήπτες </w:t>
      </w:r>
      <w:r w:rsidR="00635611" w:rsidRPr="0096431C">
        <w:rPr>
          <w:rFonts w:ascii="Segoe UI" w:hAnsi="Segoe UI" w:cs="Segoe UI"/>
          <w:sz w:val="13"/>
          <w:szCs w:val="13"/>
          <w:lang w:val="el-GR"/>
        </w:rPr>
        <w:t xml:space="preserve">του Δελτίου Τύπου </w:t>
      </w:r>
      <w:r w:rsidRPr="0096431C">
        <w:rPr>
          <w:rFonts w:ascii="Segoe UI" w:hAnsi="Segoe UI" w:cs="Segoe UI"/>
          <w:sz w:val="13"/>
          <w:szCs w:val="13"/>
          <w:lang w:val="el-GR"/>
        </w:rPr>
        <w:t xml:space="preserve">δεν θα πρέπει να ερμηνεύσουν το περιεχόμενό </w:t>
      </w:r>
      <w:r w:rsidR="00635611" w:rsidRPr="0096431C">
        <w:rPr>
          <w:rFonts w:ascii="Segoe UI" w:hAnsi="Segoe UI" w:cs="Segoe UI"/>
          <w:sz w:val="13"/>
          <w:szCs w:val="13"/>
          <w:lang w:val="el-GR"/>
        </w:rPr>
        <w:t>του</w:t>
      </w:r>
      <w:r w:rsidRPr="0096431C">
        <w:rPr>
          <w:rFonts w:ascii="Segoe UI" w:hAnsi="Segoe UI" w:cs="Segoe UI"/>
          <w:sz w:val="13"/>
          <w:szCs w:val="13"/>
          <w:lang w:val="el-GR"/>
        </w:rPr>
        <w:t xml:space="preserve">, ή οποιαδήποτε προηγούμενη ή μεταγενέστερη επικοινωνία από ή με την Τράπεζα ή τους εκπροσώπους της, ως χρηματοοικονομική, επενδυτική, νομική, φορολογική, επιχειρηματική ή άλλη επαγγελματική συμβουλή. Επιπρόσθετα, </w:t>
      </w:r>
      <w:r w:rsidR="00994F14" w:rsidRPr="0096431C">
        <w:rPr>
          <w:rFonts w:ascii="Segoe UI" w:hAnsi="Segoe UI" w:cs="Segoe UI"/>
          <w:sz w:val="13"/>
          <w:szCs w:val="13"/>
          <w:lang w:val="el-GR"/>
        </w:rPr>
        <w:t>το Δελτίο Τύπου</w:t>
      </w:r>
      <w:r w:rsidRPr="0096431C">
        <w:rPr>
          <w:rFonts w:ascii="Segoe UI" w:hAnsi="Segoe UI" w:cs="Segoe UI"/>
          <w:sz w:val="13"/>
          <w:szCs w:val="13"/>
          <w:lang w:val="el-GR"/>
        </w:rPr>
        <w:t xml:space="preserve"> δεν θεωρείται ότι είναι εξαντλητικ</w:t>
      </w:r>
      <w:r w:rsidR="0048333C" w:rsidRPr="0096431C">
        <w:rPr>
          <w:rFonts w:ascii="Segoe UI" w:hAnsi="Segoe UI" w:cs="Segoe UI"/>
          <w:sz w:val="13"/>
          <w:szCs w:val="13"/>
          <w:lang w:val="el-GR"/>
        </w:rPr>
        <w:t>ό</w:t>
      </w:r>
      <w:r w:rsidRPr="0096431C">
        <w:rPr>
          <w:rFonts w:ascii="Segoe UI" w:hAnsi="Segoe UI" w:cs="Segoe UI"/>
          <w:sz w:val="13"/>
          <w:szCs w:val="13"/>
          <w:lang w:val="el-GR"/>
        </w:rPr>
        <w:t xml:space="preserve"> ή περιέχει όλες τις πληροφορίες που ενδεχομένως απαιτούνται για την πλήρη ανάλυση της Τράπεζας. Οι παραλήπτες </w:t>
      </w:r>
      <w:r w:rsidR="0048333C" w:rsidRPr="0096431C">
        <w:rPr>
          <w:rFonts w:ascii="Segoe UI" w:hAnsi="Segoe UI" w:cs="Segoe UI"/>
          <w:sz w:val="13"/>
          <w:szCs w:val="13"/>
          <w:lang w:val="el-GR"/>
        </w:rPr>
        <w:t>του Δελτίου Τύπου</w:t>
      </w:r>
      <w:r w:rsidRPr="0096431C">
        <w:rPr>
          <w:rFonts w:ascii="Segoe UI" w:hAnsi="Segoe UI" w:cs="Segoe UI"/>
          <w:sz w:val="13"/>
          <w:szCs w:val="13"/>
          <w:lang w:val="el-GR"/>
        </w:rPr>
        <w:t xml:space="preserve"> θα πρέπει να απευθύνονται στους δικούς τους συμβούλους καθώς και να πραγματοποιούν έκαστος τις δικές τους αξιολογήσεις σε σχέση με την Τράπεζα και την καταλληλότητα και την επάρκεια των πληροφοριών. </w:t>
      </w:r>
    </w:p>
    <w:p w:rsidR="00E82F6E" w:rsidRPr="0096431C" w:rsidRDefault="00FE6C16" w:rsidP="00E82F6E">
      <w:pPr>
        <w:spacing w:after="160"/>
        <w:jc w:val="both"/>
        <w:rPr>
          <w:rFonts w:ascii="Segoe UI" w:hAnsi="Segoe UI" w:cs="Segoe UI"/>
          <w:sz w:val="13"/>
          <w:szCs w:val="13"/>
          <w:lang w:val="el-GR"/>
        </w:rPr>
      </w:pPr>
      <w:r w:rsidRPr="0096431C">
        <w:rPr>
          <w:rFonts w:ascii="Segoe UI" w:hAnsi="Segoe UI" w:cs="Segoe UI"/>
          <w:sz w:val="13"/>
          <w:szCs w:val="13"/>
          <w:lang w:val="el-GR"/>
        </w:rPr>
        <w:t xml:space="preserve">Το Δελτίο Τύπου </w:t>
      </w:r>
      <w:r w:rsidR="00E82F6E" w:rsidRPr="0096431C">
        <w:rPr>
          <w:rFonts w:ascii="Segoe UI" w:hAnsi="Segoe UI" w:cs="Segoe UI"/>
          <w:sz w:val="13"/>
          <w:szCs w:val="13"/>
          <w:lang w:val="el-GR"/>
        </w:rPr>
        <w:t>περιλαμβάνει αναφορές σε συγκεκριμένα χρηματοοικονομικά μεγέθη, τα οποία δεν ορίζονται από τα ΔΠΧΑ. Τα εν λόγω μεγέθη παρουσιάζονται στην ενότητα «Ορισμός των χρηματοοικονομικών στοιχείων και των δεικτών που χρησιμοποιήθηκαν» (“</w:t>
      </w:r>
      <w:r w:rsidRPr="0096431C">
        <w:rPr>
          <w:rFonts w:ascii="Segoe UI" w:hAnsi="Segoe UI" w:cs="Segoe UI"/>
          <w:sz w:val="13"/>
          <w:szCs w:val="13"/>
          <w:lang w:val="el-GR"/>
        </w:rPr>
        <w:t>Definition of financial data, ratios used and alternative performance measures</w:t>
      </w:r>
      <w:r w:rsidR="00E82F6E" w:rsidRPr="0096431C">
        <w:rPr>
          <w:rFonts w:ascii="Segoe UI" w:hAnsi="Segoe UI" w:cs="Segoe UI"/>
          <w:sz w:val="13"/>
          <w:szCs w:val="13"/>
          <w:lang w:val="el-GR"/>
        </w:rPr>
        <w:t>”) και ενδέχεται να μην είναι συγκρίσιμα με εκείνα έτερων πιστωτικών ιδρυμάτων. Η αναφορά στα εν λόγω μεγέθη, τα οποία δεν ορίζονται από τα ΔΠΧΑ, θα πρέπει να λαμβάνει υπόψη και τα χρηματοοικονομικά μεγέθη κατά τα ΔΠΧΑ, χωρίς να θεωρείται ωστόσο ότι υποκαθιστούν καθ’ οποιονδήποτε τρόπο τα αποτελέσματα που παρουσιάζονται σύμφωνα με τα ΔΠΧΑ.</w:t>
      </w:r>
    </w:p>
    <w:p w:rsidR="00E82F6E" w:rsidRPr="0096431C" w:rsidRDefault="00E82F6E" w:rsidP="00E82F6E">
      <w:pPr>
        <w:spacing w:after="160"/>
        <w:jc w:val="both"/>
        <w:rPr>
          <w:rFonts w:ascii="Segoe UI" w:hAnsi="Segoe UI" w:cs="Segoe UI"/>
          <w:sz w:val="13"/>
          <w:szCs w:val="13"/>
          <w:lang w:val="el-GR"/>
        </w:rPr>
      </w:pPr>
      <w:r w:rsidRPr="0096431C">
        <w:rPr>
          <w:rFonts w:ascii="Segoe UI" w:hAnsi="Segoe UI" w:cs="Segoe UI"/>
          <w:sz w:val="13"/>
          <w:szCs w:val="13"/>
          <w:lang w:val="el-GR"/>
        </w:rPr>
        <w:t xml:space="preserve">Λόγω στρογγυλοποίησης, τα σύνολα των αριθμών που παρουσιάζονται στο σύνολο </w:t>
      </w:r>
      <w:r w:rsidR="002E2D85" w:rsidRPr="0096431C">
        <w:rPr>
          <w:rFonts w:ascii="Segoe UI" w:hAnsi="Segoe UI" w:cs="Segoe UI"/>
          <w:sz w:val="13"/>
          <w:szCs w:val="13"/>
          <w:lang w:val="el-GR"/>
        </w:rPr>
        <w:t>του Δελτίου Τύπου</w:t>
      </w:r>
      <w:r w:rsidRPr="0096431C">
        <w:rPr>
          <w:rFonts w:ascii="Segoe UI" w:hAnsi="Segoe UI" w:cs="Segoe UI"/>
          <w:sz w:val="13"/>
          <w:szCs w:val="13"/>
          <w:lang w:val="el-GR"/>
        </w:rPr>
        <w:t xml:space="preserve"> ενδέχεται να μην αθροίζονται στο ακέραιο και τα ποσοστά ενδέχεται να μην αντικατοπτρίζουν με ακρίβεια τις απόλυτες τιμές. </w:t>
      </w:r>
    </w:p>
    <w:p w:rsidR="00E82F6E" w:rsidRPr="0096431C" w:rsidRDefault="00E82F6E" w:rsidP="00475827">
      <w:pPr>
        <w:spacing w:after="0"/>
        <w:jc w:val="both"/>
        <w:rPr>
          <w:rFonts w:ascii="Segoe UI" w:hAnsi="Segoe UI" w:cs="Segoe UI"/>
          <w:b/>
          <w:sz w:val="13"/>
          <w:szCs w:val="13"/>
          <w:lang w:val="el-GR"/>
        </w:rPr>
      </w:pPr>
      <w:r w:rsidRPr="0096431C">
        <w:rPr>
          <w:rFonts w:ascii="Segoe UI" w:hAnsi="Segoe UI" w:cs="Segoe UI"/>
          <w:b/>
          <w:sz w:val="13"/>
          <w:szCs w:val="13"/>
          <w:lang w:val="el-GR"/>
        </w:rPr>
        <w:t>Δηλώσεις σχετικά με το μέλλον (Forward Looking Statements)</w:t>
      </w:r>
    </w:p>
    <w:p w:rsidR="00E82F6E" w:rsidRPr="0096431C" w:rsidRDefault="00127917" w:rsidP="00475827">
      <w:pPr>
        <w:spacing w:after="160"/>
        <w:jc w:val="both"/>
        <w:rPr>
          <w:rFonts w:ascii="Segoe UI" w:hAnsi="Segoe UI" w:cs="Segoe UI"/>
          <w:sz w:val="13"/>
          <w:szCs w:val="13"/>
          <w:lang w:val="el-GR"/>
        </w:rPr>
      </w:pPr>
      <w:r w:rsidRPr="0096431C">
        <w:rPr>
          <w:rFonts w:ascii="Segoe UI" w:hAnsi="Segoe UI" w:cs="Segoe UI"/>
          <w:sz w:val="13"/>
          <w:szCs w:val="13"/>
          <w:lang w:val="el-GR"/>
        </w:rPr>
        <w:t xml:space="preserve">Το Δελτίο Τύπου </w:t>
      </w:r>
      <w:r w:rsidR="00E82F6E" w:rsidRPr="0096431C">
        <w:rPr>
          <w:rFonts w:ascii="Segoe UI" w:hAnsi="Segoe UI" w:cs="Segoe UI"/>
          <w:sz w:val="13"/>
          <w:szCs w:val="13"/>
          <w:lang w:val="el-GR"/>
        </w:rPr>
        <w:t>περιέχει δηλώσεις σχετικά με το μέλλον (forward-looking statements) που αφορούν την πρόθεση της Διοίκησης, τις πεποιθήσεις ή τις σημερινές προσδοκίες σχετικά, μεταξύ άλλων, με τις δραστηριότητες και τις λειτουργίες της Τράπεζας, τις συνθήκες της αγοράς, τα αποτελέσματα της λειτουργίας και τη χρηματοοικονομική κατάσταση, την κεφαλαιακή επάρκεια, τις πρακτικές διαχείρισης κινδύνων, τη ρευστότητα, τις προοπτικές, την ανάπτυξη και τις στρατηγικές («δηλώσεις σχετικά με το μέλλον»). Οι δηλώσεις σχετικά με το μέλλον αφορούν μελλοντικές περιστάσεις και αποτελέσματα και άλλες δηλώσεις που δεν αποτελούν ιστορικά γεγονότα και ορισμένες φορές προσδιορίζονται από τους όρους «ενδεχομένως», «θα», «πιστεύει», «αναμένει», «προβλέπει», «σκοπεύει», «προβάλει», «σχεδιάζει», «εκτιμά», «στοχεύει», «διαβλέπει», «προσδοκά», «στοχοθετεί», «θα επιθυμούσε», «θα μπορούσε» ή παρόμοιες εκφράσεις ή τα αρνητικά αυτών.</w:t>
      </w:r>
    </w:p>
    <w:p w:rsidR="00E82F6E" w:rsidRPr="0096431C" w:rsidRDefault="00E82F6E" w:rsidP="00475827">
      <w:pPr>
        <w:spacing w:after="160"/>
        <w:jc w:val="both"/>
        <w:rPr>
          <w:rFonts w:ascii="Segoe UI" w:hAnsi="Segoe UI" w:cs="Segoe UI"/>
          <w:sz w:val="13"/>
          <w:szCs w:val="13"/>
          <w:lang w:val="el-GR"/>
        </w:rPr>
      </w:pPr>
      <w:r w:rsidRPr="0096431C">
        <w:rPr>
          <w:rFonts w:ascii="Segoe UI" w:hAnsi="Segoe UI" w:cs="Segoe UI"/>
          <w:sz w:val="13"/>
          <w:szCs w:val="13"/>
          <w:lang w:val="el-GR"/>
        </w:rPr>
        <w:t xml:space="preserve">Οι δηλώσεις σχετικά με το μέλλον αντικατοπτρίζουν τις γνώσεις και τις πληροφορίες που είναι διαθέσιμες κατά την ημερομηνία </w:t>
      </w:r>
      <w:r w:rsidR="009407DC">
        <w:rPr>
          <w:rFonts w:ascii="Segoe UI" w:hAnsi="Segoe UI" w:cs="Segoe UI"/>
          <w:sz w:val="13"/>
          <w:szCs w:val="13"/>
          <w:lang w:val="el-GR"/>
        </w:rPr>
        <w:t>του Δελτίου Τύπου</w:t>
      </w:r>
      <w:r w:rsidRPr="0096431C">
        <w:rPr>
          <w:rFonts w:ascii="Segoe UI" w:hAnsi="Segoe UI" w:cs="Segoe UI"/>
          <w:sz w:val="13"/>
          <w:szCs w:val="13"/>
          <w:lang w:val="el-GR"/>
        </w:rPr>
        <w:t xml:space="preserve"> και υπόκεινται σε εγγενείς αβεβαιότητες και σε ποικίλες παραδοχές, είτε αυτές αναφέρονται ρητά </w:t>
      </w:r>
      <w:r w:rsidR="00636687" w:rsidRPr="0096431C">
        <w:rPr>
          <w:rFonts w:ascii="Segoe UI" w:hAnsi="Segoe UI" w:cs="Segoe UI"/>
          <w:sz w:val="13"/>
          <w:szCs w:val="13"/>
          <w:lang w:val="el-GR"/>
        </w:rPr>
        <w:t>στο Δελτίο Τύπου</w:t>
      </w:r>
      <w:r w:rsidRPr="0096431C">
        <w:rPr>
          <w:rFonts w:ascii="Segoe UI" w:hAnsi="Segoe UI" w:cs="Segoe UI"/>
          <w:sz w:val="13"/>
          <w:szCs w:val="13"/>
          <w:lang w:val="el-GR"/>
        </w:rPr>
        <w:t xml:space="preserve"> είτε όχι. Μολονότι οι δηλώσεις σχετικά με το μέλλον που περιλαμβάνονται </w:t>
      </w:r>
      <w:r w:rsidR="00636687" w:rsidRPr="0096431C">
        <w:rPr>
          <w:rFonts w:ascii="Segoe UI" w:hAnsi="Segoe UI" w:cs="Segoe UI"/>
          <w:sz w:val="13"/>
          <w:szCs w:val="13"/>
          <w:lang w:val="el-GR"/>
        </w:rPr>
        <w:t>στο Δελτίο Τύπου</w:t>
      </w:r>
      <w:r w:rsidRPr="0096431C">
        <w:rPr>
          <w:rFonts w:ascii="Segoe UI" w:hAnsi="Segoe UI" w:cs="Segoe UI"/>
          <w:sz w:val="13"/>
          <w:szCs w:val="13"/>
          <w:lang w:val="el-GR"/>
        </w:rPr>
        <w:t xml:space="preserve"> βασίζονται σε, κατά την πεποίθηση της Διοίκησης της Τράπεζας, λογικές παραδοχές, δεδομένου ότι οι παραδοχές αυτές υπόκεινται εγγενώς σε σημαντικές αβεβαιότητες και αλληλεξαρτήσεις που είναι δύσκολο ή αδύνατο να προβλεφθούν και κείνται εκτός του ελέγχου της Τράπεζας, δεν μπορεί να παρασχεθεί διαβεβαίωση ότι η Τράπεζα θα επιτύχει ή θα εκπληρώσει αυτές τις προσδοκίες, πεποιθήσεις ή προβλέψεις. Οι δηλώσεις σχετικά με το μέλλον παρέχονται μόνο για επεξηγηματικούς σκοπούς και δεν προορίζονται και δεν πρέπει να θεωρούνται ως εγγύηση, διαβεβαίωση, πρόβλεψη ή οριστική δήλωση πραγματικών γεγονότων ή πιθανοτήτων.</w:t>
      </w:r>
    </w:p>
    <w:p w:rsidR="00E82F6E" w:rsidRPr="0096431C" w:rsidRDefault="00E82F6E" w:rsidP="00475827">
      <w:pPr>
        <w:spacing w:after="160"/>
        <w:jc w:val="both"/>
        <w:rPr>
          <w:rFonts w:ascii="Segoe UI" w:hAnsi="Segoe UI" w:cs="Segoe UI"/>
          <w:sz w:val="13"/>
          <w:szCs w:val="13"/>
          <w:lang w:val="el-GR"/>
        </w:rPr>
      </w:pPr>
      <w:r w:rsidRPr="0096431C">
        <w:rPr>
          <w:rFonts w:ascii="Segoe UI" w:hAnsi="Segoe UI" w:cs="Segoe UI"/>
          <w:sz w:val="13"/>
          <w:szCs w:val="13"/>
          <w:lang w:val="el-GR"/>
        </w:rPr>
        <w:t>Τα πραγματικά αποτελέσματα της Τράπεζας ενδέχεται να διαφέρουν σημαντικά από τα αναφερόμενα στις δηλώσεις σχετικά με το μέλλον. Ορισμένοι σημαντικοί παράγοντες που θα μπορούσαν να διαφοροποιήσουν τα πραγματικά αποτελέσματα από τα αναφερόμενα στις δηλώσεις σχετικά με το μέλλον θα μπορούσαν να περιλαμβάνουν, μεταξύ άλλων, αλλαγές στις εγχώριες και ξένες επιχειρήσεις, στην αγορά, σε χρηματοοικονομικές, πολιτικές και νομικές συνθήκες, συμπεριλαμβανομένων των ρυθμιστικών αλλαγών του κλάδου, δυσμενείς αποφάσεις από εγχώριες ή διεθνείς ρυθμιστικές και εποπτικές αρχές, τον αντίκτυπο της μείωσης του μεγέθους της αγοράς, την ικανότητα διατήρησης των αξιολογήσεων πιστοληπτικής ικανότητας, τους κεφαλαιακούς πόρους και τις κεφαλαιακές δαπάνες, τις δυσμενείς δικαστικές εκβάσεις και την επίδραση τούτων στη χρηματοοικονομική κατάσταση του Ομίλου.</w:t>
      </w:r>
    </w:p>
    <w:p w:rsidR="00E82F6E" w:rsidRPr="0096431C" w:rsidRDefault="00E82F6E" w:rsidP="00475827">
      <w:pPr>
        <w:spacing w:after="160"/>
        <w:jc w:val="both"/>
        <w:rPr>
          <w:rFonts w:ascii="Segoe UI" w:hAnsi="Segoe UI" w:cs="Segoe UI"/>
          <w:sz w:val="13"/>
          <w:szCs w:val="13"/>
          <w:lang w:val="el-GR"/>
        </w:rPr>
      </w:pPr>
      <w:r w:rsidRPr="0096431C">
        <w:rPr>
          <w:rFonts w:ascii="Segoe UI" w:hAnsi="Segoe UI" w:cs="Segoe UI"/>
          <w:sz w:val="13"/>
          <w:szCs w:val="13"/>
          <w:lang w:val="el-GR"/>
        </w:rPr>
        <w:t>Δεν μπορεί να υπάρξει διαβεβαίωση ότι οιεσδήποτε δηλώσεις σχετικά με το μέλλον θα πραγματοποιηθούν, και η Τράπεζα ρητά αποποιείται οποιαδήποτε υποχρέωση ή δέσμευση για την επικαιροποίηση ή αναθεώρηση πληροφοριών σε οποιαδήποτε δήλωση σχετικά με το μέλλον ώστε να αντικατοπτρίζει τυχόν αλλαγές στις προσδοκίες της Τράπεζας σε σχέση με αυτές ή τυχόν αλλαγές στα γεγονότα, τις συνθήκες ή τις περιστάσεις στις οποίες βασίζεται οποιαδήποτε δήλωση σχετικά με το μέλλον. Ως εκ τούτου, εφιστάται η προσοχή του αναγνώστη να μη βασίζεται υπέρ το δέον στις δηλώσεις σχετικά με το μέλλον.</w:t>
      </w:r>
    </w:p>
    <w:p w:rsidR="00E82F6E" w:rsidRPr="0096431C" w:rsidRDefault="00E82F6E" w:rsidP="004C1D7C">
      <w:pPr>
        <w:spacing w:after="0"/>
        <w:jc w:val="both"/>
        <w:rPr>
          <w:rFonts w:ascii="Segoe UI" w:hAnsi="Segoe UI" w:cs="Segoe UI"/>
          <w:b/>
          <w:sz w:val="13"/>
          <w:szCs w:val="13"/>
          <w:lang w:val="el-GR"/>
        </w:rPr>
      </w:pPr>
      <w:r w:rsidRPr="0096431C">
        <w:rPr>
          <w:rFonts w:ascii="Segoe UI" w:hAnsi="Segoe UI" w:cs="Segoe UI"/>
          <w:b/>
          <w:sz w:val="13"/>
          <w:szCs w:val="13"/>
          <w:lang w:val="el-GR"/>
        </w:rPr>
        <w:t>Μη επικαιροποίηση</w:t>
      </w:r>
    </w:p>
    <w:p w:rsidR="00E82F6E" w:rsidRPr="0096431C" w:rsidRDefault="00E82F6E" w:rsidP="004C1D7C">
      <w:pPr>
        <w:spacing w:after="160"/>
        <w:jc w:val="both"/>
        <w:rPr>
          <w:rFonts w:ascii="Segoe UI" w:hAnsi="Segoe UI" w:cs="Segoe UI"/>
          <w:sz w:val="13"/>
          <w:szCs w:val="13"/>
          <w:lang w:val="el-GR"/>
        </w:rPr>
      </w:pPr>
      <w:r w:rsidRPr="0096431C">
        <w:rPr>
          <w:rFonts w:ascii="Segoe UI" w:hAnsi="Segoe UI" w:cs="Segoe UI"/>
          <w:sz w:val="13"/>
          <w:szCs w:val="13"/>
          <w:lang w:val="el-GR"/>
        </w:rPr>
        <w:t xml:space="preserve">Εκτός εάν ορίζεται διαφορετικά, όλες οι πληροφορίες </w:t>
      </w:r>
      <w:r w:rsidR="004C1D7C" w:rsidRPr="0096431C">
        <w:rPr>
          <w:rFonts w:ascii="Segoe UI" w:hAnsi="Segoe UI" w:cs="Segoe UI"/>
          <w:sz w:val="13"/>
          <w:szCs w:val="13"/>
          <w:lang w:val="el-GR"/>
        </w:rPr>
        <w:t xml:space="preserve">στο Δελτίο Τύπου </w:t>
      </w:r>
      <w:r w:rsidRPr="0096431C">
        <w:rPr>
          <w:rFonts w:ascii="Segoe UI" w:hAnsi="Segoe UI" w:cs="Segoe UI"/>
          <w:sz w:val="13"/>
          <w:szCs w:val="13"/>
          <w:lang w:val="el-GR"/>
        </w:rPr>
        <w:t xml:space="preserve">φέρουν ημερομηνία αναφοράς την ημερομηνία </w:t>
      </w:r>
      <w:r w:rsidR="004C1D7C" w:rsidRPr="0096431C">
        <w:rPr>
          <w:rFonts w:ascii="Segoe UI" w:hAnsi="Segoe UI" w:cs="Segoe UI"/>
          <w:sz w:val="13"/>
          <w:szCs w:val="13"/>
          <w:lang w:val="el-GR"/>
        </w:rPr>
        <w:t>του Δελτίου Τύπου</w:t>
      </w:r>
      <w:r w:rsidRPr="0096431C">
        <w:rPr>
          <w:rFonts w:ascii="Segoe UI" w:hAnsi="Segoe UI" w:cs="Segoe UI"/>
          <w:sz w:val="13"/>
          <w:szCs w:val="13"/>
          <w:lang w:val="el-GR"/>
        </w:rPr>
        <w:t xml:space="preserve">. Ούτε η παράδοση </w:t>
      </w:r>
      <w:r w:rsidR="004C1D7C" w:rsidRPr="0096431C">
        <w:rPr>
          <w:rFonts w:ascii="Segoe UI" w:hAnsi="Segoe UI" w:cs="Segoe UI"/>
          <w:sz w:val="13"/>
          <w:szCs w:val="13"/>
          <w:lang w:val="el-GR"/>
        </w:rPr>
        <w:t>του Δελτίου Τύπου,</w:t>
      </w:r>
      <w:r w:rsidRPr="0096431C">
        <w:rPr>
          <w:rFonts w:ascii="Segoe UI" w:hAnsi="Segoe UI" w:cs="Segoe UI"/>
          <w:sz w:val="13"/>
          <w:szCs w:val="13"/>
          <w:lang w:val="el-GR"/>
        </w:rPr>
        <w:t xml:space="preserve"> ούτε οποιαδήποτε άλλη επικοινωνία με τους παραλήπτες </w:t>
      </w:r>
      <w:r w:rsidR="004C1D7C" w:rsidRPr="0096431C">
        <w:rPr>
          <w:rFonts w:ascii="Segoe UI" w:hAnsi="Segoe UI" w:cs="Segoe UI"/>
          <w:sz w:val="13"/>
          <w:szCs w:val="13"/>
          <w:lang w:val="el-GR"/>
        </w:rPr>
        <w:t>του</w:t>
      </w:r>
      <w:r w:rsidRPr="0096431C">
        <w:rPr>
          <w:rFonts w:ascii="Segoe UI" w:hAnsi="Segoe UI" w:cs="Segoe UI"/>
          <w:sz w:val="13"/>
          <w:szCs w:val="13"/>
          <w:lang w:val="el-GR"/>
        </w:rPr>
        <w:t xml:space="preserve">, υπό οποιαδήποτε συνθήκη, θα πρέπει να οδηγεί στο συμπέρασμα ότι δεν έχει υπάρξει καμία αλλαγή στα θέματα της Τράπεζας από την ημερομηνία αυτή. Εκτός εάν αναφέρεται διαφορετικά </w:t>
      </w:r>
      <w:r w:rsidR="004C1D7C" w:rsidRPr="0096431C">
        <w:rPr>
          <w:rFonts w:ascii="Segoe UI" w:hAnsi="Segoe UI" w:cs="Segoe UI"/>
          <w:sz w:val="13"/>
          <w:szCs w:val="13"/>
          <w:lang w:val="el-GR"/>
        </w:rPr>
        <w:t>στο παρ</w:t>
      </w:r>
      <w:r w:rsidR="007823AE">
        <w:rPr>
          <w:rFonts w:ascii="Segoe UI" w:hAnsi="Segoe UI" w:cs="Segoe UI"/>
          <w:sz w:val="13"/>
          <w:szCs w:val="13"/>
          <w:lang w:val="el-GR"/>
        </w:rPr>
        <w:t>ό</w:t>
      </w:r>
      <w:r w:rsidR="004C1D7C" w:rsidRPr="0096431C">
        <w:rPr>
          <w:rFonts w:ascii="Segoe UI" w:hAnsi="Segoe UI" w:cs="Segoe UI"/>
          <w:sz w:val="13"/>
          <w:szCs w:val="13"/>
          <w:lang w:val="el-GR"/>
        </w:rPr>
        <w:t>ν</w:t>
      </w:r>
      <w:r w:rsidRPr="0096431C">
        <w:rPr>
          <w:rFonts w:ascii="Segoe UI" w:hAnsi="Segoe UI" w:cs="Segoe UI"/>
          <w:sz w:val="13"/>
          <w:szCs w:val="13"/>
          <w:lang w:val="el-GR"/>
        </w:rPr>
        <w:t xml:space="preserve">, η Τράπεζα δεν σκοπεύει, ούτε θα αναλάβει υποχρέωση, να επικαιροποιήσει </w:t>
      </w:r>
      <w:r w:rsidR="004C1D7C" w:rsidRPr="0096431C">
        <w:rPr>
          <w:rFonts w:ascii="Segoe UI" w:hAnsi="Segoe UI" w:cs="Segoe UI"/>
          <w:sz w:val="13"/>
          <w:szCs w:val="13"/>
          <w:lang w:val="el-GR"/>
        </w:rPr>
        <w:t>το Δελτίο Τύπου</w:t>
      </w:r>
      <w:r w:rsidRPr="0096431C">
        <w:rPr>
          <w:rFonts w:ascii="Segoe UI" w:hAnsi="Segoe UI" w:cs="Segoe UI"/>
          <w:sz w:val="13"/>
          <w:szCs w:val="13"/>
          <w:lang w:val="el-GR"/>
        </w:rPr>
        <w:t xml:space="preserve"> ή οποιαδήποτε από τις πληροφορίες που περιλαμβάνονται σε </w:t>
      </w:r>
      <w:r w:rsidR="00804B21" w:rsidRPr="0096431C">
        <w:rPr>
          <w:rFonts w:ascii="Segoe UI" w:hAnsi="Segoe UI" w:cs="Segoe UI"/>
          <w:sz w:val="13"/>
          <w:szCs w:val="13"/>
          <w:lang w:val="el-GR"/>
        </w:rPr>
        <w:t>αυτό</w:t>
      </w:r>
      <w:r w:rsidRPr="0096431C">
        <w:rPr>
          <w:rFonts w:ascii="Segoe UI" w:hAnsi="Segoe UI" w:cs="Segoe UI"/>
          <w:sz w:val="13"/>
          <w:szCs w:val="13"/>
          <w:lang w:val="el-GR"/>
        </w:rPr>
        <w:t>.</w:t>
      </w:r>
    </w:p>
    <w:p w:rsidR="000C3F12" w:rsidRPr="00486B14" w:rsidRDefault="00851702" w:rsidP="004C1D7C">
      <w:pPr>
        <w:spacing w:after="160"/>
        <w:jc w:val="both"/>
        <w:rPr>
          <w:rFonts w:ascii="Segoe UI" w:hAnsi="Segoe UI" w:cs="Segoe UI"/>
          <w:sz w:val="14"/>
          <w:lang w:val="el-GR"/>
        </w:rPr>
      </w:pPr>
      <w:r w:rsidRPr="0096431C">
        <w:rPr>
          <w:rFonts w:ascii="Segoe UI" w:hAnsi="Segoe UI" w:cs="Segoe UI"/>
          <w:sz w:val="13"/>
          <w:szCs w:val="13"/>
          <w:lang w:val="el-GR"/>
        </w:rPr>
        <w:t xml:space="preserve">Το Δελτίο Τύπου </w:t>
      </w:r>
      <w:r w:rsidR="00E82F6E" w:rsidRPr="0096431C">
        <w:rPr>
          <w:rFonts w:ascii="Segoe UI" w:hAnsi="Segoe UI" w:cs="Segoe UI"/>
          <w:sz w:val="13"/>
          <w:szCs w:val="13"/>
          <w:lang w:val="el-GR"/>
        </w:rPr>
        <w:t xml:space="preserve">υπόκειται στο ελληνικό δίκαιο, και κάθε διαφορά που ανακύπτει σε σχέση με </w:t>
      </w:r>
      <w:r w:rsidRPr="0096431C">
        <w:rPr>
          <w:rFonts w:ascii="Segoe UI" w:hAnsi="Segoe UI" w:cs="Segoe UI"/>
          <w:sz w:val="13"/>
          <w:szCs w:val="13"/>
          <w:lang w:val="el-GR"/>
        </w:rPr>
        <w:t>το Δελτίο Τύπου</w:t>
      </w:r>
      <w:r w:rsidR="00E82F6E" w:rsidRPr="0096431C">
        <w:rPr>
          <w:rFonts w:ascii="Segoe UI" w:hAnsi="Segoe UI" w:cs="Segoe UI"/>
          <w:sz w:val="13"/>
          <w:szCs w:val="13"/>
          <w:lang w:val="el-GR"/>
        </w:rPr>
        <w:t xml:space="preserve"> υπόκειται στην αποκλειστική δικαιοδοσία των Δικαστηρίων της Αθήνας</w:t>
      </w:r>
      <w:r w:rsidR="004C1D7C" w:rsidRPr="0096431C">
        <w:rPr>
          <w:rFonts w:ascii="Segoe UI" w:hAnsi="Segoe UI" w:cs="Segoe UI"/>
          <w:sz w:val="13"/>
          <w:szCs w:val="13"/>
          <w:lang w:val="el-GR"/>
        </w:rPr>
        <w:t>.</w:t>
      </w:r>
    </w:p>
    <w:sectPr w:rsidR="000C3F12" w:rsidRPr="00486B14" w:rsidSect="0096101A">
      <w:headerReference w:type="default" r:id="rId15"/>
      <w:footerReference w:type="default" r:id="rId16"/>
      <w:footerReference w:type="first" r:id="rId17"/>
      <w:footnotePr>
        <w:numRestart w:val="eachPage"/>
      </w:footnotePr>
      <w:pgSz w:w="11906" w:h="16838"/>
      <w:pgMar w:top="1388" w:right="1274" w:bottom="709" w:left="1985"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3B3" w:rsidRDefault="00E543B3">
      <w:pPr>
        <w:spacing w:after="0" w:line="240" w:lineRule="auto"/>
      </w:pPr>
      <w:r>
        <w:separator/>
      </w:r>
    </w:p>
  </w:endnote>
  <w:endnote w:type="continuationSeparator" w:id="0">
    <w:p w:rsidR="00E543B3" w:rsidRDefault="00E5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n-c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70060"/>
      <w:docPartObj>
        <w:docPartGallery w:val="Page Numbers (Bottom of Page)"/>
        <w:docPartUnique/>
      </w:docPartObj>
    </w:sdtPr>
    <w:sdtEndPr>
      <w:rPr>
        <w:sz w:val="16"/>
      </w:rPr>
    </w:sdtEndPr>
    <w:sdtContent>
      <w:p w:rsidR="005726A5" w:rsidRPr="007218B0" w:rsidRDefault="00486D0B">
        <w:pPr>
          <w:pStyle w:val="a6"/>
          <w:jc w:val="right"/>
          <w:rPr>
            <w:sz w:val="16"/>
          </w:rPr>
        </w:pPr>
        <w:r w:rsidRPr="00EE1E78">
          <w:fldChar w:fldCharType="begin"/>
        </w:r>
        <w:r w:rsidR="005726A5" w:rsidRPr="00EE1E78">
          <w:instrText xml:space="preserve"> PAGE   \* MERGEFORMAT </w:instrText>
        </w:r>
        <w:r w:rsidRPr="00EE1E78">
          <w:fldChar w:fldCharType="separate"/>
        </w:r>
        <w:r w:rsidR="003702B1">
          <w:rPr>
            <w:noProof/>
          </w:rPr>
          <w:t>1</w:t>
        </w:r>
        <w:r w:rsidRPr="00EE1E78">
          <w:rPr>
            <w:noProof/>
          </w:rPr>
          <w:fldChar w:fldCharType="end"/>
        </w:r>
      </w:p>
    </w:sdtContent>
  </w:sdt>
  <w:p w:rsidR="005726A5" w:rsidRPr="00BA6671" w:rsidRDefault="005726A5" w:rsidP="00D22CCD">
    <w:pPr>
      <w:pStyle w:val="a6"/>
      <w:jc w:val="right"/>
      <w:rPr>
        <w:color w:val="A6A6A6"/>
        <w:sz w:val="18"/>
        <w:szCs w:val="20"/>
        <w:lang w:val="el-G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180683"/>
      <w:docPartObj>
        <w:docPartGallery w:val="Page Numbers (Bottom of Page)"/>
        <w:docPartUnique/>
      </w:docPartObj>
    </w:sdtPr>
    <w:sdtContent>
      <w:p w:rsidR="005726A5" w:rsidRDefault="00486D0B">
        <w:pPr>
          <w:pStyle w:val="a6"/>
          <w:jc w:val="right"/>
        </w:pPr>
        <w:r>
          <w:fldChar w:fldCharType="begin"/>
        </w:r>
        <w:r w:rsidR="005726A5">
          <w:instrText xml:space="preserve"> PAGE   \* MERGEFORMAT </w:instrText>
        </w:r>
        <w:r>
          <w:fldChar w:fldCharType="separate"/>
        </w:r>
        <w:r w:rsidR="005726A5">
          <w:rPr>
            <w:noProof/>
          </w:rPr>
          <w:t>1</w:t>
        </w:r>
        <w:r>
          <w:rPr>
            <w:noProof/>
          </w:rPr>
          <w:fldChar w:fldCharType="end"/>
        </w:r>
      </w:p>
    </w:sdtContent>
  </w:sdt>
  <w:p w:rsidR="005726A5" w:rsidRDefault="005726A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3B3" w:rsidRDefault="00E543B3">
      <w:pPr>
        <w:spacing w:after="0" w:line="240" w:lineRule="auto"/>
      </w:pPr>
      <w:r>
        <w:separator/>
      </w:r>
    </w:p>
  </w:footnote>
  <w:footnote w:type="continuationSeparator" w:id="0">
    <w:p w:rsidR="00E543B3" w:rsidRDefault="00E543B3">
      <w:pPr>
        <w:spacing w:after="0" w:line="240" w:lineRule="auto"/>
      </w:pPr>
      <w:r>
        <w:continuationSeparator/>
      </w:r>
    </w:p>
  </w:footnote>
  <w:footnote w:id="1">
    <w:p w:rsidR="005726A5" w:rsidRPr="004223DC" w:rsidRDefault="005726A5" w:rsidP="00AB37C9">
      <w:pPr>
        <w:pStyle w:val="a8"/>
        <w:tabs>
          <w:tab w:val="left" w:pos="4806"/>
        </w:tabs>
        <w:jc w:val="both"/>
        <w:rPr>
          <w:rFonts w:ascii="Segoe UI" w:hAnsi="Segoe UI" w:cs="Segoe UI"/>
          <w:sz w:val="12"/>
          <w:szCs w:val="12"/>
          <w:lang w:val="el-GR"/>
        </w:rPr>
      </w:pPr>
      <w:r w:rsidRPr="004223DC">
        <w:rPr>
          <w:rStyle w:val="a9"/>
          <w:rFonts w:ascii="Segoe UI" w:hAnsi="Segoe UI" w:cs="Segoe UI"/>
          <w:sz w:val="12"/>
          <w:szCs w:val="12"/>
        </w:rPr>
        <w:footnoteRef/>
      </w:r>
      <w:r w:rsidRPr="004223DC">
        <w:rPr>
          <w:rFonts w:ascii="Segoe UI" w:hAnsi="Segoe UI" w:cs="Segoe UI"/>
          <w:sz w:val="12"/>
          <w:szCs w:val="12"/>
          <w:lang w:val="el-GR"/>
        </w:rPr>
        <w:t xml:space="preserve"> Περιλαμβάν</w:t>
      </w:r>
      <w:r>
        <w:rPr>
          <w:rFonts w:ascii="Segoe UI" w:hAnsi="Segoe UI" w:cs="Segoe UI"/>
          <w:sz w:val="12"/>
          <w:szCs w:val="12"/>
          <w:lang w:val="el-GR"/>
        </w:rPr>
        <w:t>ουν</w:t>
      </w:r>
      <w:r w:rsidRPr="004223DC">
        <w:rPr>
          <w:rFonts w:ascii="Segoe UI" w:hAnsi="Segoe UI" w:cs="Segoe UI"/>
          <w:sz w:val="12"/>
          <w:szCs w:val="12"/>
          <w:lang w:val="el-GR"/>
        </w:rPr>
        <w:t xml:space="preserve"> τις δραστηριότητες του Ομίλου </w:t>
      </w:r>
      <w:r w:rsidRPr="00BF76ED">
        <w:rPr>
          <w:rFonts w:ascii="Segoe UI" w:hAnsi="Segoe UI" w:cs="Segoe UI"/>
          <w:sz w:val="12"/>
          <w:szCs w:val="12"/>
          <w:lang w:val="el-GR"/>
        </w:rPr>
        <w:t xml:space="preserve">στη </w:t>
      </w:r>
      <w:r w:rsidRPr="00846D99">
        <w:rPr>
          <w:rFonts w:ascii="Segoe UI" w:hAnsi="Segoe UI" w:cs="Segoe UI"/>
          <w:sz w:val="12"/>
          <w:szCs w:val="12"/>
          <w:lang w:val="el-GR"/>
        </w:rPr>
        <w:t xml:space="preserve">Βόρεια Μακεδονία (Stopanska), Μάλτα (NBG Malta) </w:t>
      </w:r>
      <w:r>
        <w:rPr>
          <w:rFonts w:ascii="Segoe UI" w:hAnsi="Segoe UI" w:cs="Segoe UI"/>
          <w:sz w:val="12"/>
          <w:szCs w:val="12"/>
          <w:lang w:val="el-GR"/>
        </w:rPr>
        <w:t>και</w:t>
      </w:r>
      <w:r w:rsidRPr="00846D99">
        <w:rPr>
          <w:rFonts w:ascii="Segoe UI" w:hAnsi="Segoe UI" w:cs="Segoe UI"/>
          <w:sz w:val="12"/>
          <w:szCs w:val="12"/>
          <w:lang w:val="el-GR"/>
        </w:rPr>
        <w:t xml:space="preserve"> Κύπρο (CAC Coral)</w:t>
      </w:r>
    </w:p>
  </w:footnote>
  <w:footnote w:id="2">
    <w:p w:rsidR="005726A5" w:rsidRPr="00BF76ED" w:rsidRDefault="005726A5" w:rsidP="0022286B">
      <w:pPr>
        <w:pStyle w:val="a8"/>
        <w:jc w:val="both"/>
        <w:rPr>
          <w:rFonts w:ascii="Segoe UI" w:hAnsi="Segoe UI" w:cs="Segoe UI"/>
          <w:sz w:val="12"/>
          <w:szCs w:val="12"/>
          <w:lang w:val="el-GR"/>
        </w:rPr>
      </w:pPr>
      <w:r w:rsidRPr="004223DC">
        <w:rPr>
          <w:rStyle w:val="a9"/>
          <w:rFonts w:ascii="Segoe UI" w:hAnsi="Segoe UI" w:cs="Segoe UI"/>
          <w:sz w:val="12"/>
          <w:szCs w:val="12"/>
        </w:rPr>
        <w:footnoteRef/>
      </w:r>
      <w:r>
        <w:rPr>
          <w:rFonts w:ascii="Segoe UI" w:hAnsi="Segoe UI" w:cs="Segoe UI"/>
          <w:sz w:val="12"/>
          <w:szCs w:val="12"/>
          <w:lang w:val="el-GR"/>
        </w:rPr>
        <w:t xml:space="preserve"> Περιλαμβάνουν</w:t>
      </w:r>
      <w:r w:rsidRPr="004223DC">
        <w:rPr>
          <w:rFonts w:ascii="Segoe UI" w:hAnsi="Segoe UI" w:cs="Segoe UI"/>
          <w:sz w:val="12"/>
          <w:szCs w:val="12"/>
          <w:lang w:val="el-GR"/>
        </w:rPr>
        <w:t xml:space="preserve"> τις δραστηριότητες του Ομίλου </w:t>
      </w:r>
      <w:r>
        <w:rPr>
          <w:rFonts w:ascii="Segoe UI" w:hAnsi="Segoe UI" w:cs="Segoe UI"/>
          <w:sz w:val="12"/>
          <w:szCs w:val="12"/>
          <w:lang w:val="el-GR"/>
        </w:rPr>
        <w:t>στη</w:t>
      </w:r>
      <w:r w:rsidRPr="004223DC">
        <w:rPr>
          <w:rFonts w:ascii="Segoe UI" w:hAnsi="Segoe UI" w:cs="Segoe UI"/>
          <w:sz w:val="12"/>
          <w:szCs w:val="12"/>
          <w:lang w:val="el-GR"/>
        </w:rPr>
        <w:t xml:space="preserve"> </w:t>
      </w:r>
      <w:r>
        <w:rPr>
          <w:rFonts w:ascii="Segoe UI" w:hAnsi="Segoe UI" w:cs="Segoe UI"/>
          <w:sz w:val="12"/>
          <w:szCs w:val="12"/>
          <w:lang w:val="el-GR"/>
        </w:rPr>
        <w:t>Βόρεια Μακεδονία (</w:t>
      </w:r>
      <w:r>
        <w:rPr>
          <w:rFonts w:ascii="Segoe UI" w:hAnsi="Segoe UI" w:cs="Segoe UI"/>
          <w:sz w:val="12"/>
          <w:szCs w:val="12"/>
          <w:lang w:val="en-US"/>
        </w:rPr>
        <w:t>Stopanska</w:t>
      </w:r>
      <w:r>
        <w:rPr>
          <w:rFonts w:ascii="Segoe UI" w:hAnsi="Segoe UI" w:cs="Segoe UI"/>
          <w:sz w:val="12"/>
          <w:szCs w:val="12"/>
          <w:lang w:val="el-GR"/>
        </w:rPr>
        <w:t xml:space="preserve"> </w:t>
      </w:r>
      <w:r>
        <w:rPr>
          <w:rFonts w:ascii="Segoe UI" w:hAnsi="Segoe UI" w:cs="Segoe UI"/>
          <w:sz w:val="12"/>
          <w:szCs w:val="12"/>
          <w:lang w:val="en-US"/>
        </w:rPr>
        <w:t>Banka</w:t>
      </w:r>
      <w:r w:rsidRPr="00BF76ED">
        <w:rPr>
          <w:rFonts w:ascii="Segoe UI" w:hAnsi="Segoe UI" w:cs="Segoe UI"/>
          <w:sz w:val="12"/>
          <w:szCs w:val="12"/>
          <w:lang w:val="el-GR"/>
        </w:rPr>
        <w:t>)</w:t>
      </w:r>
      <w:r w:rsidRPr="00846D99">
        <w:rPr>
          <w:rFonts w:ascii="Segoe UI" w:hAnsi="Segoe UI" w:cs="Segoe UI"/>
          <w:sz w:val="12"/>
          <w:szCs w:val="12"/>
          <w:lang w:val="el-GR"/>
        </w:rPr>
        <w:t xml:space="preserve">, </w:t>
      </w:r>
      <w:r>
        <w:rPr>
          <w:rFonts w:ascii="Segoe UI" w:hAnsi="Segoe UI" w:cs="Segoe UI"/>
          <w:sz w:val="12"/>
          <w:szCs w:val="12"/>
          <w:lang w:val="el-GR"/>
        </w:rPr>
        <w:t>Μάλτα</w:t>
      </w:r>
      <w:r w:rsidRPr="00846D99">
        <w:rPr>
          <w:rFonts w:ascii="Segoe UI" w:hAnsi="Segoe UI" w:cs="Segoe UI"/>
          <w:sz w:val="12"/>
          <w:szCs w:val="12"/>
          <w:lang w:val="el-GR"/>
        </w:rPr>
        <w:t xml:space="preserve"> (NBG Malta) </w:t>
      </w:r>
      <w:r>
        <w:rPr>
          <w:rFonts w:ascii="Segoe UI" w:hAnsi="Segoe UI" w:cs="Segoe UI"/>
          <w:sz w:val="12"/>
          <w:szCs w:val="12"/>
          <w:lang w:val="el-GR"/>
        </w:rPr>
        <w:t>και</w:t>
      </w:r>
      <w:r w:rsidRPr="00846D99">
        <w:rPr>
          <w:rFonts w:ascii="Segoe UI" w:hAnsi="Segoe UI" w:cs="Segoe UI"/>
          <w:sz w:val="12"/>
          <w:szCs w:val="12"/>
          <w:lang w:val="el-GR"/>
        </w:rPr>
        <w:t xml:space="preserve"> </w:t>
      </w:r>
      <w:r>
        <w:rPr>
          <w:rFonts w:ascii="Segoe UI" w:hAnsi="Segoe UI" w:cs="Segoe UI"/>
          <w:sz w:val="12"/>
          <w:szCs w:val="12"/>
          <w:lang w:val="el-GR"/>
        </w:rPr>
        <w:t>Κύπρο</w:t>
      </w:r>
      <w:r w:rsidRPr="00846D99">
        <w:rPr>
          <w:rFonts w:ascii="Segoe UI" w:hAnsi="Segoe UI" w:cs="Segoe UI"/>
          <w:sz w:val="12"/>
          <w:szCs w:val="12"/>
          <w:lang w:val="el-GR"/>
        </w:rPr>
        <w:t xml:space="preserve"> (CAC Coral)</w:t>
      </w:r>
    </w:p>
  </w:footnote>
  <w:footnote w:id="3">
    <w:p w:rsidR="005726A5" w:rsidRPr="00BF76ED" w:rsidRDefault="005726A5" w:rsidP="007F4858">
      <w:pPr>
        <w:pStyle w:val="a8"/>
        <w:jc w:val="both"/>
        <w:rPr>
          <w:rFonts w:ascii="Segoe UI" w:hAnsi="Segoe UI" w:cs="Segoe UI"/>
          <w:sz w:val="12"/>
          <w:szCs w:val="12"/>
          <w:lang w:val="el-GR"/>
        </w:rPr>
      </w:pPr>
      <w:r w:rsidRPr="004223DC">
        <w:rPr>
          <w:rStyle w:val="a9"/>
          <w:rFonts w:ascii="Segoe UI" w:hAnsi="Segoe UI" w:cs="Segoe UI"/>
          <w:sz w:val="12"/>
          <w:szCs w:val="12"/>
        </w:rPr>
        <w:footnoteRef/>
      </w:r>
      <w:r>
        <w:rPr>
          <w:rFonts w:ascii="Segoe UI" w:hAnsi="Segoe UI" w:cs="Segoe UI"/>
          <w:sz w:val="12"/>
          <w:szCs w:val="12"/>
          <w:lang w:val="el-GR"/>
        </w:rPr>
        <w:t xml:space="preserve"> Περιλαμβάνουν</w:t>
      </w:r>
      <w:r w:rsidRPr="004223DC">
        <w:rPr>
          <w:rFonts w:ascii="Segoe UI" w:hAnsi="Segoe UI" w:cs="Segoe UI"/>
          <w:sz w:val="12"/>
          <w:szCs w:val="12"/>
          <w:lang w:val="el-GR"/>
        </w:rPr>
        <w:t xml:space="preserve"> τις δραστηριότητες του Ομίλου </w:t>
      </w:r>
      <w:r>
        <w:rPr>
          <w:rFonts w:ascii="Segoe UI" w:hAnsi="Segoe UI" w:cs="Segoe UI"/>
          <w:sz w:val="12"/>
          <w:szCs w:val="12"/>
          <w:lang w:val="el-GR"/>
        </w:rPr>
        <w:t>στη</w:t>
      </w:r>
      <w:r w:rsidRPr="004223DC">
        <w:rPr>
          <w:rFonts w:ascii="Segoe UI" w:hAnsi="Segoe UI" w:cs="Segoe UI"/>
          <w:sz w:val="12"/>
          <w:szCs w:val="12"/>
          <w:lang w:val="el-GR"/>
        </w:rPr>
        <w:t xml:space="preserve"> </w:t>
      </w:r>
      <w:r>
        <w:rPr>
          <w:rFonts w:ascii="Segoe UI" w:hAnsi="Segoe UI" w:cs="Segoe UI"/>
          <w:sz w:val="12"/>
          <w:szCs w:val="12"/>
          <w:lang w:val="el-GR"/>
        </w:rPr>
        <w:t>Βόρεια Μακεδονία (</w:t>
      </w:r>
      <w:r>
        <w:rPr>
          <w:rFonts w:ascii="Segoe UI" w:hAnsi="Segoe UI" w:cs="Segoe UI"/>
          <w:sz w:val="12"/>
          <w:szCs w:val="12"/>
          <w:lang w:val="en-US"/>
        </w:rPr>
        <w:t>Stopanska</w:t>
      </w:r>
      <w:r>
        <w:rPr>
          <w:rFonts w:ascii="Segoe UI" w:hAnsi="Segoe UI" w:cs="Segoe UI"/>
          <w:sz w:val="12"/>
          <w:szCs w:val="12"/>
          <w:lang w:val="el-GR"/>
        </w:rPr>
        <w:t xml:space="preserve"> </w:t>
      </w:r>
      <w:r>
        <w:rPr>
          <w:rFonts w:ascii="Segoe UI" w:hAnsi="Segoe UI" w:cs="Segoe UI"/>
          <w:sz w:val="12"/>
          <w:szCs w:val="12"/>
          <w:lang w:val="en-US"/>
        </w:rPr>
        <w:t>Banka</w:t>
      </w:r>
      <w:r w:rsidRPr="00BF76ED">
        <w:rPr>
          <w:rFonts w:ascii="Segoe UI" w:hAnsi="Segoe UI" w:cs="Segoe UI"/>
          <w:sz w:val="12"/>
          <w:szCs w:val="12"/>
          <w:lang w:val="el-GR"/>
        </w:rPr>
        <w:t>)</w:t>
      </w:r>
      <w:r w:rsidRPr="00846D99">
        <w:rPr>
          <w:rFonts w:ascii="Segoe UI" w:hAnsi="Segoe UI" w:cs="Segoe UI"/>
          <w:sz w:val="12"/>
          <w:szCs w:val="12"/>
          <w:lang w:val="el-GR"/>
        </w:rPr>
        <w:t xml:space="preserve">, </w:t>
      </w:r>
      <w:r>
        <w:rPr>
          <w:rFonts w:ascii="Segoe UI" w:hAnsi="Segoe UI" w:cs="Segoe UI"/>
          <w:sz w:val="12"/>
          <w:szCs w:val="12"/>
          <w:lang w:val="el-GR"/>
        </w:rPr>
        <w:t>Μάλτα</w:t>
      </w:r>
      <w:r w:rsidRPr="00846D99">
        <w:rPr>
          <w:rFonts w:ascii="Segoe UI" w:hAnsi="Segoe UI" w:cs="Segoe UI"/>
          <w:sz w:val="12"/>
          <w:szCs w:val="12"/>
          <w:lang w:val="el-GR"/>
        </w:rPr>
        <w:t xml:space="preserve"> (NBG Malta) </w:t>
      </w:r>
      <w:r>
        <w:rPr>
          <w:rFonts w:ascii="Segoe UI" w:hAnsi="Segoe UI" w:cs="Segoe UI"/>
          <w:sz w:val="12"/>
          <w:szCs w:val="12"/>
          <w:lang w:val="el-GR"/>
        </w:rPr>
        <w:t>και</w:t>
      </w:r>
      <w:r w:rsidRPr="00846D99">
        <w:rPr>
          <w:rFonts w:ascii="Segoe UI" w:hAnsi="Segoe UI" w:cs="Segoe UI"/>
          <w:sz w:val="12"/>
          <w:szCs w:val="12"/>
          <w:lang w:val="el-GR"/>
        </w:rPr>
        <w:t xml:space="preserve"> </w:t>
      </w:r>
      <w:r>
        <w:rPr>
          <w:rFonts w:ascii="Segoe UI" w:hAnsi="Segoe UI" w:cs="Segoe UI"/>
          <w:sz w:val="12"/>
          <w:szCs w:val="12"/>
          <w:lang w:val="el-GR"/>
        </w:rPr>
        <w:t>Κύπρο</w:t>
      </w:r>
      <w:r w:rsidRPr="00846D99">
        <w:rPr>
          <w:rFonts w:ascii="Segoe UI" w:hAnsi="Segoe UI" w:cs="Segoe UI"/>
          <w:sz w:val="12"/>
          <w:szCs w:val="12"/>
          <w:lang w:val="el-GR"/>
        </w:rPr>
        <w:t xml:space="preserve"> (CAC Coral)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A5" w:rsidRPr="00C95096" w:rsidRDefault="005726A5" w:rsidP="00112658">
    <w:pPr>
      <w:pStyle w:val="a5"/>
      <w:pBdr>
        <w:bottom w:val="single" w:sz="4" w:space="1" w:color="BFBFBF"/>
      </w:pBdr>
      <w:tabs>
        <w:tab w:val="clear" w:pos="8306"/>
      </w:tabs>
      <w:spacing w:after="0"/>
      <w:rPr>
        <w:color w:val="808080"/>
        <w:sz w:val="18"/>
        <w:lang w:val="el-GR"/>
      </w:rPr>
    </w:pPr>
    <w:r>
      <w:rPr>
        <w:noProof/>
        <w:color w:val="808080"/>
        <w:sz w:val="18"/>
        <w:lang w:val="el-GR" w:eastAsia="el-GR"/>
      </w:rPr>
      <w:drawing>
        <wp:anchor distT="0" distB="0" distL="114300" distR="114300" simplePos="0" relativeHeight="251645952"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34" name="Picture 34"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noProof/>
        <w:color w:val="808080"/>
        <w:sz w:val="18"/>
        <w:lang w:val="el-GR" w:eastAsia="el-GR"/>
      </w:rPr>
      <w:drawing>
        <wp:anchor distT="0" distB="0" distL="114300" distR="114300" simplePos="0" relativeHeight="251652096"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35" name="Picture 1"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color w:val="808080"/>
        <w:sz w:val="18"/>
        <w:lang w:val="el-GR"/>
      </w:rPr>
      <w:t xml:space="preserve">Εθνική Τράπεζα της Ελλάδος                                                                                                    </w:t>
    </w:r>
    <w:r>
      <w:rPr>
        <w:lang w:val="el-GR"/>
      </w:rPr>
      <w:t xml:space="preserve"> </w:t>
    </w:r>
    <w:r>
      <w:rPr>
        <w:color w:val="808080"/>
        <w:sz w:val="18"/>
        <w:lang w:val="el-GR"/>
      </w:rPr>
      <w:t>Αποτελέσματα Γ’ τριμήνου 2019</w:t>
    </w:r>
  </w:p>
  <w:p w:rsidR="005726A5" w:rsidRPr="00E525FE" w:rsidRDefault="005726A5" w:rsidP="00D22CCD">
    <w:pPr>
      <w:pStyle w:val="a5"/>
      <w:pBdr>
        <w:bottom w:val="single" w:sz="4" w:space="1" w:color="BFBFBF"/>
      </w:pBdr>
      <w:tabs>
        <w:tab w:val="clear" w:pos="8306"/>
        <w:tab w:val="right" w:pos="8647"/>
      </w:tabs>
      <w:spacing w:after="0" w:line="120" w:lineRule="auto"/>
      <w:rPr>
        <w:color w:val="808080"/>
        <w:sz w:val="18"/>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65F2C"/>
    <w:multiLevelType w:val="hybridMultilevel"/>
    <w:tmpl w:val="0E8C9684"/>
    <w:lvl w:ilvl="0" w:tplc="0408000B">
      <w:start w:val="1"/>
      <w:numFmt w:val="bullet"/>
      <w:lvlText w:val=""/>
      <w:lvlJc w:val="left"/>
      <w:pPr>
        <w:ind w:left="360" w:hanging="360"/>
      </w:pPr>
      <w:rPr>
        <w:rFonts w:ascii="Wingdings" w:hAnsi="Wingdings" w:hint="default"/>
      </w:rPr>
    </w:lvl>
    <w:lvl w:ilvl="1" w:tplc="B16E79F0">
      <w:start w:val="1"/>
      <w:numFmt w:val="bullet"/>
      <w:lvlText w:val="o"/>
      <w:lvlJc w:val="left"/>
      <w:pPr>
        <w:ind w:left="644" w:hanging="360"/>
      </w:pPr>
      <w:rPr>
        <w:rFonts w:ascii="Courier New" w:hAnsi="Courier New" w:cs="Courier New" w:hint="default"/>
        <w:sz w:val="18"/>
        <w:szCs w:val="18"/>
      </w:rPr>
    </w:lvl>
    <w:lvl w:ilvl="2" w:tplc="04080005" w:tentative="1">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53651327"/>
    <w:multiLevelType w:val="hybridMultilevel"/>
    <w:tmpl w:val="E920F830"/>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65374B62"/>
    <w:multiLevelType w:val="hybridMultilevel"/>
    <w:tmpl w:val="5E2AC402"/>
    <w:lvl w:ilvl="0" w:tplc="04080003">
      <w:start w:val="1"/>
      <w:numFmt w:val="bullet"/>
      <w:lvlText w:val="o"/>
      <w:lvlJc w:val="left"/>
      <w:pPr>
        <w:ind w:left="786" w:hanging="360"/>
      </w:pPr>
      <w:rPr>
        <w:rFonts w:ascii="Courier New" w:hAnsi="Courier New" w:cs="Courier New" w:hint="default"/>
      </w:rPr>
    </w:lvl>
    <w:lvl w:ilvl="1" w:tplc="1C8EF472">
      <w:start w:val="1"/>
      <w:numFmt w:val="bullet"/>
      <w:lvlText w:val="o"/>
      <w:lvlJc w:val="left"/>
      <w:pPr>
        <w:ind w:left="786" w:hanging="360"/>
      </w:pPr>
      <w:rPr>
        <w:rFonts w:ascii="Courier New" w:hAnsi="Courier New" w:cs="Courier New" w:hint="default"/>
        <w:sz w:val="18"/>
        <w:szCs w:val="18"/>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3">
    <w:nsid w:val="6F637C93"/>
    <w:multiLevelType w:val="hybridMultilevel"/>
    <w:tmpl w:val="ECE6B198"/>
    <w:lvl w:ilvl="0" w:tplc="04080003">
      <w:start w:val="1"/>
      <w:numFmt w:val="bullet"/>
      <w:lvlText w:val="o"/>
      <w:lvlJc w:val="left"/>
      <w:pPr>
        <w:ind w:left="717" w:hanging="360"/>
      </w:pPr>
      <w:rPr>
        <w:rFonts w:ascii="Courier New" w:hAnsi="Courier New" w:cs="Courier New"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6082"/>
  </w:hdrShapeDefaults>
  <w:footnotePr>
    <w:numRestart w:val="eachPage"/>
    <w:footnote w:id="-1"/>
    <w:footnote w:id="0"/>
  </w:footnotePr>
  <w:endnotePr>
    <w:endnote w:id="-1"/>
    <w:endnote w:id="0"/>
  </w:endnotePr>
  <w:compat>
    <w:useFELayout/>
  </w:compat>
  <w:rsids>
    <w:rsidRoot w:val="00FB32F9"/>
    <w:rsid w:val="000007D5"/>
    <w:rsid w:val="00001300"/>
    <w:rsid w:val="000014D0"/>
    <w:rsid w:val="0000174E"/>
    <w:rsid w:val="00001919"/>
    <w:rsid w:val="00001964"/>
    <w:rsid w:val="00001A5A"/>
    <w:rsid w:val="00001C39"/>
    <w:rsid w:val="00001F2A"/>
    <w:rsid w:val="00002113"/>
    <w:rsid w:val="000021FC"/>
    <w:rsid w:val="0000245F"/>
    <w:rsid w:val="00002901"/>
    <w:rsid w:val="00002C80"/>
    <w:rsid w:val="00003678"/>
    <w:rsid w:val="00004F5D"/>
    <w:rsid w:val="00005326"/>
    <w:rsid w:val="000053F6"/>
    <w:rsid w:val="00005427"/>
    <w:rsid w:val="0000589F"/>
    <w:rsid w:val="00005C8D"/>
    <w:rsid w:val="00006440"/>
    <w:rsid w:val="0000651D"/>
    <w:rsid w:val="000067C5"/>
    <w:rsid w:val="00006988"/>
    <w:rsid w:val="00006FCF"/>
    <w:rsid w:val="000071B7"/>
    <w:rsid w:val="00007203"/>
    <w:rsid w:val="00007384"/>
    <w:rsid w:val="000074E5"/>
    <w:rsid w:val="000077D6"/>
    <w:rsid w:val="00007B1F"/>
    <w:rsid w:val="00010326"/>
    <w:rsid w:val="000105CF"/>
    <w:rsid w:val="000109A1"/>
    <w:rsid w:val="00011093"/>
    <w:rsid w:val="00011437"/>
    <w:rsid w:val="00011F85"/>
    <w:rsid w:val="00012193"/>
    <w:rsid w:val="00012D86"/>
    <w:rsid w:val="00012E56"/>
    <w:rsid w:val="000130E6"/>
    <w:rsid w:val="00013421"/>
    <w:rsid w:val="0001365F"/>
    <w:rsid w:val="00013668"/>
    <w:rsid w:val="00013683"/>
    <w:rsid w:val="00013AC7"/>
    <w:rsid w:val="00013BF4"/>
    <w:rsid w:val="00013D67"/>
    <w:rsid w:val="00013E09"/>
    <w:rsid w:val="0001418A"/>
    <w:rsid w:val="0001426B"/>
    <w:rsid w:val="0001455A"/>
    <w:rsid w:val="00014C7A"/>
    <w:rsid w:val="00015168"/>
    <w:rsid w:val="00015205"/>
    <w:rsid w:val="00015243"/>
    <w:rsid w:val="00015EF7"/>
    <w:rsid w:val="00016A28"/>
    <w:rsid w:val="00016C0C"/>
    <w:rsid w:val="00016F69"/>
    <w:rsid w:val="0001730E"/>
    <w:rsid w:val="000175F5"/>
    <w:rsid w:val="00017698"/>
    <w:rsid w:val="00020033"/>
    <w:rsid w:val="00020211"/>
    <w:rsid w:val="0002079B"/>
    <w:rsid w:val="000207FC"/>
    <w:rsid w:val="0002103B"/>
    <w:rsid w:val="00021D73"/>
    <w:rsid w:val="000229A0"/>
    <w:rsid w:val="00022FE7"/>
    <w:rsid w:val="0002300D"/>
    <w:rsid w:val="0002321A"/>
    <w:rsid w:val="0002325C"/>
    <w:rsid w:val="00023361"/>
    <w:rsid w:val="00023659"/>
    <w:rsid w:val="00023661"/>
    <w:rsid w:val="00023AFC"/>
    <w:rsid w:val="00023B7A"/>
    <w:rsid w:val="00023BE5"/>
    <w:rsid w:val="00023E07"/>
    <w:rsid w:val="00023E4F"/>
    <w:rsid w:val="00024232"/>
    <w:rsid w:val="00024398"/>
    <w:rsid w:val="000245B9"/>
    <w:rsid w:val="00024CF5"/>
    <w:rsid w:val="00025100"/>
    <w:rsid w:val="000251A9"/>
    <w:rsid w:val="00025646"/>
    <w:rsid w:val="000257F3"/>
    <w:rsid w:val="0002597A"/>
    <w:rsid w:val="00025D2D"/>
    <w:rsid w:val="00025E3C"/>
    <w:rsid w:val="000261B0"/>
    <w:rsid w:val="000264C8"/>
    <w:rsid w:val="0002686A"/>
    <w:rsid w:val="00026C41"/>
    <w:rsid w:val="00026CB6"/>
    <w:rsid w:val="00026F4E"/>
    <w:rsid w:val="00027A8D"/>
    <w:rsid w:val="00027B50"/>
    <w:rsid w:val="00027BCC"/>
    <w:rsid w:val="00027E53"/>
    <w:rsid w:val="00027F17"/>
    <w:rsid w:val="00030A04"/>
    <w:rsid w:val="00030A2D"/>
    <w:rsid w:val="00030FF6"/>
    <w:rsid w:val="000310BB"/>
    <w:rsid w:val="0003113C"/>
    <w:rsid w:val="0003153D"/>
    <w:rsid w:val="0003171B"/>
    <w:rsid w:val="00031A35"/>
    <w:rsid w:val="00032465"/>
    <w:rsid w:val="00032DCB"/>
    <w:rsid w:val="00033439"/>
    <w:rsid w:val="000342C5"/>
    <w:rsid w:val="000346AE"/>
    <w:rsid w:val="00034C7B"/>
    <w:rsid w:val="00034CD6"/>
    <w:rsid w:val="00034D0D"/>
    <w:rsid w:val="00035079"/>
    <w:rsid w:val="00035206"/>
    <w:rsid w:val="0003528C"/>
    <w:rsid w:val="0003614B"/>
    <w:rsid w:val="00036348"/>
    <w:rsid w:val="00036AE3"/>
    <w:rsid w:val="00036B83"/>
    <w:rsid w:val="00036BBA"/>
    <w:rsid w:val="00036EF8"/>
    <w:rsid w:val="00037030"/>
    <w:rsid w:val="0003714D"/>
    <w:rsid w:val="00037642"/>
    <w:rsid w:val="00037C26"/>
    <w:rsid w:val="00037C72"/>
    <w:rsid w:val="00037EAC"/>
    <w:rsid w:val="00037FE4"/>
    <w:rsid w:val="00040075"/>
    <w:rsid w:val="00040267"/>
    <w:rsid w:val="00040E21"/>
    <w:rsid w:val="00040FE3"/>
    <w:rsid w:val="000418DB"/>
    <w:rsid w:val="00042174"/>
    <w:rsid w:val="000426FB"/>
    <w:rsid w:val="00042B4C"/>
    <w:rsid w:val="00043237"/>
    <w:rsid w:val="00043262"/>
    <w:rsid w:val="000432CD"/>
    <w:rsid w:val="00043317"/>
    <w:rsid w:val="0004336F"/>
    <w:rsid w:val="00043436"/>
    <w:rsid w:val="00043BE1"/>
    <w:rsid w:val="00043C0B"/>
    <w:rsid w:val="00043DE2"/>
    <w:rsid w:val="0004448D"/>
    <w:rsid w:val="00044516"/>
    <w:rsid w:val="00044F06"/>
    <w:rsid w:val="0004524C"/>
    <w:rsid w:val="00045682"/>
    <w:rsid w:val="000456A7"/>
    <w:rsid w:val="00045AA8"/>
    <w:rsid w:val="00045CCD"/>
    <w:rsid w:val="00045CD9"/>
    <w:rsid w:val="00046115"/>
    <w:rsid w:val="0004647D"/>
    <w:rsid w:val="00046481"/>
    <w:rsid w:val="000471C9"/>
    <w:rsid w:val="00047765"/>
    <w:rsid w:val="0004777B"/>
    <w:rsid w:val="00047967"/>
    <w:rsid w:val="00047B7C"/>
    <w:rsid w:val="00050007"/>
    <w:rsid w:val="00050250"/>
    <w:rsid w:val="000507E1"/>
    <w:rsid w:val="00050F72"/>
    <w:rsid w:val="00051825"/>
    <w:rsid w:val="00051856"/>
    <w:rsid w:val="0005194D"/>
    <w:rsid w:val="00051F3A"/>
    <w:rsid w:val="000523E3"/>
    <w:rsid w:val="0005242D"/>
    <w:rsid w:val="00052B8A"/>
    <w:rsid w:val="000533FC"/>
    <w:rsid w:val="000539DC"/>
    <w:rsid w:val="00053A57"/>
    <w:rsid w:val="00054695"/>
    <w:rsid w:val="00054AEF"/>
    <w:rsid w:val="00054C76"/>
    <w:rsid w:val="00054CE3"/>
    <w:rsid w:val="00054ED7"/>
    <w:rsid w:val="0005500F"/>
    <w:rsid w:val="000551B6"/>
    <w:rsid w:val="00055207"/>
    <w:rsid w:val="00055291"/>
    <w:rsid w:val="000555ED"/>
    <w:rsid w:val="00055679"/>
    <w:rsid w:val="00055DB6"/>
    <w:rsid w:val="00056063"/>
    <w:rsid w:val="0005677D"/>
    <w:rsid w:val="00056C7E"/>
    <w:rsid w:val="00057564"/>
    <w:rsid w:val="00057B80"/>
    <w:rsid w:val="0006038B"/>
    <w:rsid w:val="00060531"/>
    <w:rsid w:val="00060B4B"/>
    <w:rsid w:val="00060CE9"/>
    <w:rsid w:val="000613CF"/>
    <w:rsid w:val="00061524"/>
    <w:rsid w:val="000618BB"/>
    <w:rsid w:val="00061F44"/>
    <w:rsid w:val="00062069"/>
    <w:rsid w:val="00062469"/>
    <w:rsid w:val="00062974"/>
    <w:rsid w:val="00062B7A"/>
    <w:rsid w:val="00062E4C"/>
    <w:rsid w:val="00062F6E"/>
    <w:rsid w:val="00063085"/>
    <w:rsid w:val="000632AD"/>
    <w:rsid w:val="00063741"/>
    <w:rsid w:val="00063949"/>
    <w:rsid w:val="00063F5C"/>
    <w:rsid w:val="0006453A"/>
    <w:rsid w:val="0006453B"/>
    <w:rsid w:val="000645FB"/>
    <w:rsid w:val="00064C4F"/>
    <w:rsid w:val="00064CC0"/>
    <w:rsid w:val="00065227"/>
    <w:rsid w:val="0006523A"/>
    <w:rsid w:val="00065396"/>
    <w:rsid w:val="00066403"/>
    <w:rsid w:val="00066671"/>
    <w:rsid w:val="00066769"/>
    <w:rsid w:val="00066D98"/>
    <w:rsid w:val="000675B2"/>
    <w:rsid w:val="0006760B"/>
    <w:rsid w:val="0006780F"/>
    <w:rsid w:val="00067DB7"/>
    <w:rsid w:val="00067EE7"/>
    <w:rsid w:val="0007009A"/>
    <w:rsid w:val="000700CE"/>
    <w:rsid w:val="00070118"/>
    <w:rsid w:val="00070A43"/>
    <w:rsid w:val="00070E9C"/>
    <w:rsid w:val="0007153C"/>
    <w:rsid w:val="0007166F"/>
    <w:rsid w:val="00071777"/>
    <w:rsid w:val="00071AC5"/>
    <w:rsid w:val="00071C7E"/>
    <w:rsid w:val="0007242B"/>
    <w:rsid w:val="00072463"/>
    <w:rsid w:val="0007269A"/>
    <w:rsid w:val="0007283F"/>
    <w:rsid w:val="000728A0"/>
    <w:rsid w:val="00072A6D"/>
    <w:rsid w:val="000731E6"/>
    <w:rsid w:val="00073215"/>
    <w:rsid w:val="00073248"/>
    <w:rsid w:val="0007326E"/>
    <w:rsid w:val="00073402"/>
    <w:rsid w:val="00073680"/>
    <w:rsid w:val="000737E0"/>
    <w:rsid w:val="000738B1"/>
    <w:rsid w:val="00073A16"/>
    <w:rsid w:val="00073F93"/>
    <w:rsid w:val="000740D1"/>
    <w:rsid w:val="00074165"/>
    <w:rsid w:val="00074236"/>
    <w:rsid w:val="000744EA"/>
    <w:rsid w:val="00074557"/>
    <w:rsid w:val="00074780"/>
    <w:rsid w:val="0007484E"/>
    <w:rsid w:val="00074B97"/>
    <w:rsid w:val="00074DEF"/>
    <w:rsid w:val="00074F67"/>
    <w:rsid w:val="00075077"/>
    <w:rsid w:val="000750FB"/>
    <w:rsid w:val="0007589C"/>
    <w:rsid w:val="00075965"/>
    <w:rsid w:val="00075A55"/>
    <w:rsid w:val="00075AD0"/>
    <w:rsid w:val="00075B08"/>
    <w:rsid w:val="00075FF9"/>
    <w:rsid w:val="00076030"/>
    <w:rsid w:val="0007762E"/>
    <w:rsid w:val="00077D8F"/>
    <w:rsid w:val="000801C3"/>
    <w:rsid w:val="00080C21"/>
    <w:rsid w:val="00080EAA"/>
    <w:rsid w:val="0008106E"/>
    <w:rsid w:val="000810DB"/>
    <w:rsid w:val="00081CEA"/>
    <w:rsid w:val="00083A02"/>
    <w:rsid w:val="00083D31"/>
    <w:rsid w:val="00084892"/>
    <w:rsid w:val="000848A3"/>
    <w:rsid w:val="000849F1"/>
    <w:rsid w:val="0008514E"/>
    <w:rsid w:val="000851C5"/>
    <w:rsid w:val="000851DE"/>
    <w:rsid w:val="0008600B"/>
    <w:rsid w:val="000862CC"/>
    <w:rsid w:val="000867E0"/>
    <w:rsid w:val="0008684E"/>
    <w:rsid w:val="00086AD7"/>
    <w:rsid w:val="00087526"/>
    <w:rsid w:val="000876D0"/>
    <w:rsid w:val="00090068"/>
    <w:rsid w:val="00090A15"/>
    <w:rsid w:val="00091289"/>
    <w:rsid w:val="000914ED"/>
    <w:rsid w:val="00091AD3"/>
    <w:rsid w:val="00091B04"/>
    <w:rsid w:val="000923FC"/>
    <w:rsid w:val="000929D6"/>
    <w:rsid w:val="00092E36"/>
    <w:rsid w:val="00092F1C"/>
    <w:rsid w:val="00092F74"/>
    <w:rsid w:val="0009300A"/>
    <w:rsid w:val="0009326E"/>
    <w:rsid w:val="00093803"/>
    <w:rsid w:val="00093B33"/>
    <w:rsid w:val="00093D3C"/>
    <w:rsid w:val="000945FD"/>
    <w:rsid w:val="00094783"/>
    <w:rsid w:val="00094D4D"/>
    <w:rsid w:val="00094D98"/>
    <w:rsid w:val="00095338"/>
    <w:rsid w:val="000954B2"/>
    <w:rsid w:val="0009554A"/>
    <w:rsid w:val="000955DD"/>
    <w:rsid w:val="0009637D"/>
    <w:rsid w:val="000965B6"/>
    <w:rsid w:val="000967B8"/>
    <w:rsid w:val="0009680C"/>
    <w:rsid w:val="00096A88"/>
    <w:rsid w:val="00096CCB"/>
    <w:rsid w:val="00096DCA"/>
    <w:rsid w:val="00097487"/>
    <w:rsid w:val="0009771F"/>
    <w:rsid w:val="000978DA"/>
    <w:rsid w:val="00097920"/>
    <w:rsid w:val="000A0042"/>
    <w:rsid w:val="000A0120"/>
    <w:rsid w:val="000A0206"/>
    <w:rsid w:val="000A0267"/>
    <w:rsid w:val="000A03BC"/>
    <w:rsid w:val="000A04EB"/>
    <w:rsid w:val="000A06DD"/>
    <w:rsid w:val="000A0B8E"/>
    <w:rsid w:val="000A20CE"/>
    <w:rsid w:val="000A2EDC"/>
    <w:rsid w:val="000A3501"/>
    <w:rsid w:val="000A35D7"/>
    <w:rsid w:val="000A3B87"/>
    <w:rsid w:val="000A41CC"/>
    <w:rsid w:val="000A4E0C"/>
    <w:rsid w:val="000A5D9E"/>
    <w:rsid w:val="000A6802"/>
    <w:rsid w:val="000A72E0"/>
    <w:rsid w:val="000A736F"/>
    <w:rsid w:val="000A7378"/>
    <w:rsid w:val="000A7707"/>
    <w:rsid w:val="000A7B5A"/>
    <w:rsid w:val="000A7BAE"/>
    <w:rsid w:val="000A7CB5"/>
    <w:rsid w:val="000A7F24"/>
    <w:rsid w:val="000B03B3"/>
    <w:rsid w:val="000B03D0"/>
    <w:rsid w:val="000B06ED"/>
    <w:rsid w:val="000B0B11"/>
    <w:rsid w:val="000B1094"/>
    <w:rsid w:val="000B150B"/>
    <w:rsid w:val="000B180A"/>
    <w:rsid w:val="000B18D0"/>
    <w:rsid w:val="000B1CE5"/>
    <w:rsid w:val="000B22A4"/>
    <w:rsid w:val="000B24FE"/>
    <w:rsid w:val="000B2DFF"/>
    <w:rsid w:val="000B306D"/>
    <w:rsid w:val="000B3191"/>
    <w:rsid w:val="000B350E"/>
    <w:rsid w:val="000B3805"/>
    <w:rsid w:val="000B3D68"/>
    <w:rsid w:val="000B3E65"/>
    <w:rsid w:val="000B3FC5"/>
    <w:rsid w:val="000B3FDF"/>
    <w:rsid w:val="000B4174"/>
    <w:rsid w:val="000B42F3"/>
    <w:rsid w:val="000B46B3"/>
    <w:rsid w:val="000B568E"/>
    <w:rsid w:val="000B5AAC"/>
    <w:rsid w:val="000B5DC3"/>
    <w:rsid w:val="000B5F45"/>
    <w:rsid w:val="000B6234"/>
    <w:rsid w:val="000B655C"/>
    <w:rsid w:val="000B6973"/>
    <w:rsid w:val="000B6BD1"/>
    <w:rsid w:val="000B6E0D"/>
    <w:rsid w:val="000B7178"/>
    <w:rsid w:val="000B7A30"/>
    <w:rsid w:val="000C0145"/>
    <w:rsid w:val="000C018A"/>
    <w:rsid w:val="000C0361"/>
    <w:rsid w:val="000C06B8"/>
    <w:rsid w:val="000C0813"/>
    <w:rsid w:val="000C0FC3"/>
    <w:rsid w:val="000C1B21"/>
    <w:rsid w:val="000C1CCF"/>
    <w:rsid w:val="000C2096"/>
    <w:rsid w:val="000C27E7"/>
    <w:rsid w:val="000C2CF8"/>
    <w:rsid w:val="000C2F58"/>
    <w:rsid w:val="000C30BD"/>
    <w:rsid w:val="000C31F0"/>
    <w:rsid w:val="000C35CB"/>
    <w:rsid w:val="000C3F12"/>
    <w:rsid w:val="000C3F1C"/>
    <w:rsid w:val="000C49B8"/>
    <w:rsid w:val="000C4A10"/>
    <w:rsid w:val="000C4D24"/>
    <w:rsid w:val="000C4DD9"/>
    <w:rsid w:val="000C514A"/>
    <w:rsid w:val="000C5517"/>
    <w:rsid w:val="000C55E5"/>
    <w:rsid w:val="000C56BF"/>
    <w:rsid w:val="000C57FE"/>
    <w:rsid w:val="000C5B30"/>
    <w:rsid w:val="000C5EF0"/>
    <w:rsid w:val="000C60A9"/>
    <w:rsid w:val="000C6463"/>
    <w:rsid w:val="000C6D86"/>
    <w:rsid w:val="000C7759"/>
    <w:rsid w:val="000C7A34"/>
    <w:rsid w:val="000C7A6E"/>
    <w:rsid w:val="000C7C30"/>
    <w:rsid w:val="000C7EFA"/>
    <w:rsid w:val="000D01F1"/>
    <w:rsid w:val="000D02F3"/>
    <w:rsid w:val="000D0304"/>
    <w:rsid w:val="000D075B"/>
    <w:rsid w:val="000D078D"/>
    <w:rsid w:val="000D14A8"/>
    <w:rsid w:val="000D15DD"/>
    <w:rsid w:val="000D217A"/>
    <w:rsid w:val="000D251C"/>
    <w:rsid w:val="000D3499"/>
    <w:rsid w:val="000D3AFE"/>
    <w:rsid w:val="000D478F"/>
    <w:rsid w:val="000D506A"/>
    <w:rsid w:val="000D5217"/>
    <w:rsid w:val="000D52B3"/>
    <w:rsid w:val="000D5637"/>
    <w:rsid w:val="000D5AD1"/>
    <w:rsid w:val="000D6419"/>
    <w:rsid w:val="000D64E8"/>
    <w:rsid w:val="000D7062"/>
    <w:rsid w:val="000D79E0"/>
    <w:rsid w:val="000E01B1"/>
    <w:rsid w:val="000E088A"/>
    <w:rsid w:val="000E09AE"/>
    <w:rsid w:val="000E0EB9"/>
    <w:rsid w:val="000E0F36"/>
    <w:rsid w:val="000E0F7F"/>
    <w:rsid w:val="000E0FB1"/>
    <w:rsid w:val="000E1357"/>
    <w:rsid w:val="000E146E"/>
    <w:rsid w:val="000E19BB"/>
    <w:rsid w:val="000E2160"/>
    <w:rsid w:val="000E2F7C"/>
    <w:rsid w:val="000E3543"/>
    <w:rsid w:val="000E36CD"/>
    <w:rsid w:val="000E37BF"/>
    <w:rsid w:val="000E3861"/>
    <w:rsid w:val="000E3A61"/>
    <w:rsid w:val="000E42AC"/>
    <w:rsid w:val="000E4378"/>
    <w:rsid w:val="000E442B"/>
    <w:rsid w:val="000E4AAD"/>
    <w:rsid w:val="000E4C13"/>
    <w:rsid w:val="000E5038"/>
    <w:rsid w:val="000E50A9"/>
    <w:rsid w:val="000E5798"/>
    <w:rsid w:val="000E57A5"/>
    <w:rsid w:val="000E5A4C"/>
    <w:rsid w:val="000E6C1C"/>
    <w:rsid w:val="000E6CB8"/>
    <w:rsid w:val="000E6D6C"/>
    <w:rsid w:val="000E6D96"/>
    <w:rsid w:val="000E6FCC"/>
    <w:rsid w:val="000E7154"/>
    <w:rsid w:val="000E73BE"/>
    <w:rsid w:val="000E75AF"/>
    <w:rsid w:val="000E75CD"/>
    <w:rsid w:val="000E76DA"/>
    <w:rsid w:val="000E7F32"/>
    <w:rsid w:val="000F00D6"/>
    <w:rsid w:val="000F021E"/>
    <w:rsid w:val="000F02F9"/>
    <w:rsid w:val="000F054A"/>
    <w:rsid w:val="000F093D"/>
    <w:rsid w:val="000F0C47"/>
    <w:rsid w:val="000F0CE3"/>
    <w:rsid w:val="000F0DC3"/>
    <w:rsid w:val="000F15A3"/>
    <w:rsid w:val="000F1817"/>
    <w:rsid w:val="000F1C24"/>
    <w:rsid w:val="000F1E30"/>
    <w:rsid w:val="000F27F2"/>
    <w:rsid w:val="000F281D"/>
    <w:rsid w:val="000F290C"/>
    <w:rsid w:val="000F2C52"/>
    <w:rsid w:val="000F35E5"/>
    <w:rsid w:val="000F3AC0"/>
    <w:rsid w:val="000F42BB"/>
    <w:rsid w:val="000F4394"/>
    <w:rsid w:val="000F459A"/>
    <w:rsid w:val="000F4900"/>
    <w:rsid w:val="000F4AF0"/>
    <w:rsid w:val="000F4B1D"/>
    <w:rsid w:val="000F4D74"/>
    <w:rsid w:val="000F5137"/>
    <w:rsid w:val="000F5936"/>
    <w:rsid w:val="000F5BE4"/>
    <w:rsid w:val="000F5EF5"/>
    <w:rsid w:val="000F5FA1"/>
    <w:rsid w:val="000F63A5"/>
    <w:rsid w:val="000F6FE0"/>
    <w:rsid w:val="000F70B4"/>
    <w:rsid w:val="000F79F1"/>
    <w:rsid w:val="000F7A39"/>
    <w:rsid w:val="000F7F31"/>
    <w:rsid w:val="00100830"/>
    <w:rsid w:val="001009FE"/>
    <w:rsid w:val="001010B0"/>
    <w:rsid w:val="001011E5"/>
    <w:rsid w:val="0010193F"/>
    <w:rsid w:val="00101CF5"/>
    <w:rsid w:val="00101E53"/>
    <w:rsid w:val="00102009"/>
    <w:rsid w:val="00102E97"/>
    <w:rsid w:val="00102F3F"/>
    <w:rsid w:val="00102F8E"/>
    <w:rsid w:val="00103227"/>
    <w:rsid w:val="0010338F"/>
    <w:rsid w:val="001036FD"/>
    <w:rsid w:val="001037D3"/>
    <w:rsid w:val="00103A4D"/>
    <w:rsid w:val="00103EA0"/>
    <w:rsid w:val="00104592"/>
    <w:rsid w:val="001045E5"/>
    <w:rsid w:val="00104C39"/>
    <w:rsid w:val="001052E6"/>
    <w:rsid w:val="001059FB"/>
    <w:rsid w:val="00105C72"/>
    <w:rsid w:val="00105E56"/>
    <w:rsid w:val="00106072"/>
    <w:rsid w:val="001065D1"/>
    <w:rsid w:val="00106692"/>
    <w:rsid w:val="00106F44"/>
    <w:rsid w:val="001070E3"/>
    <w:rsid w:val="001079D0"/>
    <w:rsid w:val="00107F15"/>
    <w:rsid w:val="00107FE8"/>
    <w:rsid w:val="00110695"/>
    <w:rsid w:val="00110A09"/>
    <w:rsid w:val="00110A92"/>
    <w:rsid w:val="00110B6E"/>
    <w:rsid w:val="00110C97"/>
    <w:rsid w:val="001112E7"/>
    <w:rsid w:val="00111370"/>
    <w:rsid w:val="001113D1"/>
    <w:rsid w:val="00111493"/>
    <w:rsid w:val="00111CB8"/>
    <w:rsid w:val="00112658"/>
    <w:rsid w:val="0011298F"/>
    <w:rsid w:val="00113769"/>
    <w:rsid w:val="00113885"/>
    <w:rsid w:val="00113B1B"/>
    <w:rsid w:val="0011402C"/>
    <w:rsid w:val="00114508"/>
    <w:rsid w:val="001147D0"/>
    <w:rsid w:val="00114EBD"/>
    <w:rsid w:val="00114F29"/>
    <w:rsid w:val="0011514A"/>
    <w:rsid w:val="001157F9"/>
    <w:rsid w:val="00115CC2"/>
    <w:rsid w:val="00115F3C"/>
    <w:rsid w:val="001160B7"/>
    <w:rsid w:val="001160DB"/>
    <w:rsid w:val="001162E9"/>
    <w:rsid w:val="0011643B"/>
    <w:rsid w:val="00116448"/>
    <w:rsid w:val="001165E6"/>
    <w:rsid w:val="001168B2"/>
    <w:rsid w:val="00116A39"/>
    <w:rsid w:val="00116B51"/>
    <w:rsid w:val="00117366"/>
    <w:rsid w:val="0011772C"/>
    <w:rsid w:val="001179E3"/>
    <w:rsid w:val="00117AE9"/>
    <w:rsid w:val="001206C0"/>
    <w:rsid w:val="001211C9"/>
    <w:rsid w:val="001216CE"/>
    <w:rsid w:val="0012175D"/>
    <w:rsid w:val="00121935"/>
    <w:rsid w:val="001219D5"/>
    <w:rsid w:val="00121C2C"/>
    <w:rsid w:val="00121C43"/>
    <w:rsid w:val="00121E8F"/>
    <w:rsid w:val="00122087"/>
    <w:rsid w:val="00122525"/>
    <w:rsid w:val="00122991"/>
    <w:rsid w:val="00122AA0"/>
    <w:rsid w:val="00122ACF"/>
    <w:rsid w:val="001234BC"/>
    <w:rsid w:val="00123702"/>
    <w:rsid w:val="0012380E"/>
    <w:rsid w:val="00123DFB"/>
    <w:rsid w:val="001243E1"/>
    <w:rsid w:val="001243E8"/>
    <w:rsid w:val="0012468B"/>
    <w:rsid w:val="001249B7"/>
    <w:rsid w:val="001250FE"/>
    <w:rsid w:val="0012526A"/>
    <w:rsid w:val="001254C4"/>
    <w:rsid w:val="0012553F"/>
    <w:rsid w:val="00125C75"/>
    <w:rsid w:val="00125C83"/>
    <w:rsid w:val="001260A1"/>
    <w:rsid w:val="001260DE"/>
    <w:rsid w:val="00126C5E"/>
    <w:rsid w:val="00126E31"/>
    <w:rsid w:val="00126EBE"/>
    <w:rsid w:val="0012729F"/>
    <w:rsid w:val="00127917"/>
    <w:rsid w:val="00127AA1"/>
    <w:rsid w:val="00127EB1"/>
    <w:rsid w:val="00130786"/>
    <w:rsid w:val="00130850"/>
    <w:rsid w:val="00131043"/>
    <w:rsid w:val="001311B1"/>
    <w:rsid w:val="0013132B"/>
    <w:rsid w:val="001316FD"/>
    <w:rsid w:val="0013172B"/>
    <w:rsid w:val="00131D58"/>
    <w:rsid w:val="00131D7D"/>
    <w:rsid w:val="00132020"/>
    <w:rsid w:val="00132241"/>
    <w:rsid w:val="001328F0"/>
    <w:rsid w:val="00132D8B"/>
    <w:rsid w:val="00132EF4"/>
    <w:rsid w:val="001330EB"/>
    <w:rsid w:val="001339E5"/>
    <w:rsid w:val="00133D2B"/>
    <w:rsid w:val="0013400B"/>
    <w:rsid w:val="00134CF1"/>
    <w:rsid w:val="00134E09"/>
    <w:rsid w:val="00135168"/>
    <w:rsid w:val="00135931"/>
    <w:rsid w:val="001359E8"/>
    <w:rsid w:val="001364CD"/>
    <w:rsid w:val="00136639"/>
    <w:rsid w:val="001368FD"/>
    <w:rsid w:val="00136A3E"/>
    <w:rsid w:val="00136D24"/>
    <w:rsid w:val="00137D8C"/>
    <w:rsid w:val="001403D6"/>
    <w:rsid w:val="0014043B"/>
    <w:rsid w:val="00140A09"/>
    <w:rsid w:val="001410A6"/>
    <w:rsid w:val="00141323"/>
    <w:rsid w:val="00141853"/>
    <w:rsid w:val="00141A62"/>
    <w:rsid w:val="001422AC"/>
    <w:rsid w:val="00142B63"/>
    <w:rsid w:val="00142C37"/>
    <w:rsid w:val="00143093"/>
    <w:rsid w:val="0014381D"/>
    <w:rsid w:val="00143FB6"/>
    <w:rsid w:val="001442D2"/>
    <w:rsid w:val="00144610"/>
    <w:rsid w:val="00145064"/>
    <w:rsid w:val="0014570E"/>
    <w:rsid w:val="001462B9"/>
    <w:rsid w:val="00146851"/>
    <w:rsid w:val="00146CC2"/>
    <w:rsid w:val="00147137"/>
    <w:rsid w:val="00147209"/>
    <w:rsid w:val="001474FD"/>
    <w:rsid w:val="00147F33"/>
    <w:rsid w:val="00150011"/>
    <w:rsid w:val="0015083B"/>
    <w:rsid w:val="00150E00"/>
    <w:rsid w:val="00150E89"/>
    <w:rsid w:val="001510A6"/>
    <w:rsid w:val="001510AA"/>
    <w:rsid w:val="001516CA"/>
    <w:rsid w:val="0015187C"/>
    <w:rsid w:val="00151BCF"/>
    <w:rsid w:val="00151D5C"/>
    <w:rsid w:val="00151E63"/>
    <w:rsid w:val="00151F63"/>
    <w:rsid w:val="001520D8"/>
    <w:rsid w:val="001523EE"/>
    <w:rsid w:val="00152810"/>
    <w:rsid w:val="0015288C"/>
    <w:rsid w:val="00153319"/>
    <w:rsid w:val="0015350A"/>
    <w:rsid w:val="00153BE9"/>
    <w:rsid w:val="001542F9"/>
    <w:rsid w:val="00154666"/>
    <w:rsid w:val="00154801"/>
    <w:rsid w:val="00154849"/>
    <w:rsid w:val="00154D69"/>
    <w:rsid w:val="00154F32"/>
    <w:rsid w:val="00155031"/>
    <w:rsid w:val="0015507B"/>
    <w:rsid w:val="001558FA"/>
    <w:rsid w:val="00155A6B"/>
    <w:rsid w:val="001560A1"/>
    <w:rsid w:val="00156C6D"/>
    <w:rsid w:val="00156ED2"/>
    <w:rsid w:val="00156F04"/>
    <w:rsid w:val="00157F7D"/>
    <w:rsid w:val="00160A32"/>
    <w:rsid w:val="00160A55"/>
    <w:rsid w:val="00160D99"/>
    <w:rsid w:val="001615F8"/>
    <w:rsid w:val="0016194C"/>
    <w:rsid w:val="00161968"/>
    <w:rsid w:val="00161D2D"/>
    <w:rsid w:val="00161FE8"/>
    <w:rsid w:val="0016215C"/>
    <w:rsid w:val="001623BE"/>
    <w:rsid w:val="001626A1"/>
    <w:rsid w:val="00162890"/>
    <w:rsid w:val="0016290F"/>
    <w:rsid w:val="00162A28"/>
    <w:rsid w:val="00162E7D"/>
    <w:rsid w:val="00162FB7"/>
    <w:rsid w:val="00162FEF"/>
    <w:rsid w:val="001632BE"/>
    <w:rsid w:val="001637A4"/>
    <w:rsid w:val="00163887"/>
    <w:rsid w:val="00163FB9"/>
    <w:rsid w:val="0016461B"/>
    <w:rsid w:val="00164708"/>
    <w:rsid w:val="00164939"/>
    <w:rsid w:val="001649AD"/>
    <w:rsid w:val="00164D9C"/>
    <w:rsid w:val="001657A7"/>
    <w:rsid w:val="00165897"/>
    <w:rsid w:val="00165B49"/>
    <w:rsid w:val="00165B5D"/>
    <w:rsid w:val="00165DCD"/>
    <w:rsid w:val="00165E10"/>
    <w:rsid w:val="00167286"/>
    <w:rsid w:val="00167679"/>
    <w:rsid w:val="001678D5"/>
    <w:rsid w:val="0017009A"/>
    <w:rsid w:val="0017031D"/>
    <w:rsid w:val="001706D9"/>
    <w:rsid w:val="00170AD8"/>
    <w:rsid w:val="00170D00"/>
    <w:rsid w:val="00170D53"/>
    <w:rsid w:val="00171226"/>
    <w:rsid w:val="00171633"/>
    <w:rsid w:val="00171809"/>
    <w:rsid w:val="00171B9D"/>
    <w:rsid w:val="00171EA8"/>
    <w:rsid w:val="001720D5"/>
    <w:rsid w:val="001722C3"/>
    <w:rsid w:val="0017257C"/>
    <w:rsid w:val="0017294D"/>
    <w:rsid w:val="00172B3C"/>
    <w:rsid w:val="00173467"/>
    <w:rsid w:val="0017346E"/>
    <w:rsid w:val="001738A3"/>
    <w:rsid w:val="00173946"/>
    <w:rsid w:val="00173966"/>
    <w:rsid w:val="00173FBB"/>
    <w:rsid w:val="0017540B"/>
    <w:rsid w:val="001758B3"/>
    <w:rsid w:val="00176350"/>
    <w:rsid w:val="00176A13"/>
    <w:rsid w:val="00176FB9"/>
    <w:rsid w:val="001770EF"/>
    <w:rsid w:val="00177390"/>
    <w:rsid w:val="0017781F"/>
    <w:rsid w:val="00177B04"/>
    <w:rsid w:val="00177D4F"/>
    <w:rsid w:val="00177E47"/>
    <w:rsid w:val="00177E7C"/>
    <w:rsid w:val="00180255"/>
    <w:rsid w:val="001803ED"/>
    <w:rsid w:val="0018050D"/>
    <w:rsid w:val="001809D3"/>
    <w:rsid w:val="00180A44"/>
    <w:rsid w:val="00180CC7"/>
    <w:rsid w:val="00180DEB"/>
    <w:rsid w:val="00180E1D"/>
    <w:rsid w:val="00180E33"/>
    <w:rsid w:val="0018131A"/>
    <w:rsid w:val="0018173F"/>
    <w:rsid w:val="0018176A"/>
    <w:rsid w:val="0018179F"/>
    <w:rsid w:val="00181801"/>
    <w:rsid w:val="00181F1A"/>
    <w:rsid w:val="001823D4"/>
    <w:rsid w:val="001826C7"/>
    <w:rsid w:val="00182C8C"/>
    <w:rsid w:val="00182D05"/>
    <w:rsid w:val="00183490"/>
    <w:rsid w:val="0018385B"/>
    <w:rsid w:val="00183BA7"/>
    <w:rsid w:val="00183C14"/>
    <w:rsid w:val="00184103"/>
    <w:rsid w:val="001843DC"/>
    <w:rsid w:val="001844B7"/>
    <w:rsid w:val="0018477E"/>
    <w:rsid w:val="00185AF1"/>
    <w:rsid w:val="001863AA"/>
    <w:rsid w:val="001865C7"/>
    <w:rsid w:val="0018685D"/>
    <w:rsid w:val="00186B40"/>
    <w:rsid w:val="00186C2C"/>
    <w:rsid w:val="00186C6D"/>
    <w:rsid w:val="00186EF9"/>
    <w:rsid w:val="001870BB"/>
    <w:rsid w:val="001870D7"/>
    <w:rsid w:val="0018713C"/>
    <w:rsid w:val="00187503"/>
    <w:rsid w:val="00187791"/>
    <w:rsid w:val="00187C4D"/>
    <w:rsid w:val="00191210"/>
    <w:rsid w:val="0019148D"/>
    <w:rsid w:val="0019196C"/>
    <w:rsid w:val="001920EE"/>
    <w:rsid w:val="00192188"/>
    <w:rsid w:val="0019232F"/>
    <w:rsid w:val="00192400"/>
    <w:rsid w:val="001930DE"/>
    <w:rsid w:val="0019323F"/>
    <w:rsid w:val="001937FE"/>
    <w:rsid w:val="0019390C"/>
    <w:rsid w:val="0019457C"/>
    <w:rsid w:val="001947FB"/>
    <w:rsid w:val="00195081"/>
    <w:rsid w:val="00195460"/>
    <w:rsid w:val="001955C2"/>
    <w:rsid w:val="001955E8"/>
    <w:rsid w:val="00195D5F"/>
    <w:rsid w:val="0019603A"/>
    <w:rsid w:val="00196056"/>
    <w:rsid w:val="00196313"/>
    <w:rsid w:val="001963A9"/>
    <w:rsid w:val="00196971"/>
    <w:rsid w:val="00196C99"/>
    <w:rsid w:val="00197191"/>
    <w:rsid w:val="001975AA"/>
    <w:rsid w:val="00197751"/>
    <w:rsid w:val="001977F4"/>
    <w:rsid w:val="001978DC"/>
    <w:rsid w:val="0019796F"/>
    <w:rsid w:val="00197A23"/>
    <w:rsid w:val="00197D0E"/>
    <w:rsid w:val="001A02F2"/>
    <w:rsid w:val="001A09BC"/>
    <w:rsid w:val="001A0A03"/>
    <w:rsid w:val="001A1F81"/>
    <w:rsid w:val="001A2132"/>
    <w:rsid w:val="001A2602"/>
    <w:rsid w:val="001A2BCB"/>
    <w:rsid w:val="001A2F88"/>
    <w:rsid w:val="001A306B"/>
    <w:rsid w:val="001A30B3"/>
    <w:rsid w:val="001A3396"/>
    <w:rsid w:val="001A359A"/>
    <w:rsid w:val="001A36CA"/>
    <w:rsid w:val="001A37F3"/>
    <w:rsid w:val="001A39FF"/>
    <w:rsid w:val="001A3A20"/>
    <w:rsid w:val="001A3D08"/>
    <w:rsid w:val="001A3DC2"/>
    <w:rsid w:val="001A3FC1"/>
    <w:rsid w:val="001A4320"/>
    <w:rsid w:val="001A44A6"/>
    <w:rsid w:val="001A458B"/>
    <w:rsid w:val="001A4823"/>
    <w:rsid w:val="001A4F78"/>
    <w:rsid w:val="001A4F9C"/>
    <w:rsid w:val="001A4FF9"/>
    <w:rsid w:val="001A579F"/>
    <w:rsid w:val="001A5CF7"/>
    <w:rsid w:val="001A5DF3"/>
    <w:rsid w:val="001A685C"/>
    <w:rsid w:val="001A6AF6"/>
    <w:rsid w:val="001A6CB7"/>
    <w:rsid w:val="001A6F4E"/>
    <w:rsid w:val="001A71BD"/>
    <w:rsid w:val="001A7561"/>
    <w:rsid w:val="001A76A8"/>
    <w:rsid w:val="001A77DD"/>
    <w:rsid w:val="001A78B9"/>
    <w:rsid w:val="001B0038"/>
    <w:rsid w:val="001B0216"/>
    <w:rsid w:val="001B062C"/>
    <w:rsid w:val="001B0641"/>
    <w:rsid w:val="001B088D"/>
    <w:rsid w:val="001B094F"/>
    <w:rsid w:val="001B0996"/>
    <w:rsid w:val="001B0CEB"/>
    <w:rsid w:val="001B11DE"/>
    <w:rsid w:val="001B1210"/>
    <w:rsid w:val="001B273C"/>
    <w:rsid w:val="001B2A84"/>
    <w:rsid w:val="001B2CD8"/>
    <w:rsid w:val="001B2ECC"/>
    <w:rsid w:val="001B34C0"/>
    <w:rsid w:val="001B3758"/>
    <w:rsid w:val="001B3C36"/>
    <w:rsid w:val="001B3D32"/>
    <w:rsid w:val="001B3D8D"/>
    <w:rsid w:val="001B4B84"/>
    <w:rsid w:val="001B5468"/>
    <w:rsid w:val="001B577E"/>
    <w:rsid w:val="001B5791"/>
    <w:rsid w:val="001B6148"/>
    <w:rsid w:val="001B628E"/>
    <w:rsid w:val="001B67F9"/>
    <w:rsid w:val="001B78B3"/>
    <w:rsid w:val="001B795C"/>
    <w:rsid w:val="001B7A93"/>
    <w:rsid w:val="001B7C04"/>
    <w:rsid w:val="001C0326"/>
    <w:rsid w:val="001C06D1"/>
    <w:rsid w:val="001C0C88"/>
    <w:rsid w:val="001C0CC3"/>
    <w:rsid w:val="001C10A3"/>
    <w:rsid w:val="001C225F"/>
    <w:rsid w:val="001C228B"/>
    <w:rsid w:val="001C27A6"/>
    <w:rsid w:val="001C3488"/>
    <w:rsid w:val="001C45E4"/>
    <w:rsid w:val="001C4D06"/>
    <w:rsid w:val="001C4FB5"/>
    <w:rsid w:val="001C50CE"/>
    <w:rsid w:val="001C540F"/>
    <w:rsid w:val="001C549E"/>
    <w:rsid w:val="001C568C"/>
    <w:rsid w:val="001C5855"/>
    <w:rsid w:val="001C682B"/>
    <w:rsid w:val="001C6AEB"/>
    <w:rsid w:val="001C6D80"/>
    <w:rsid w:val="001C7234"/>
    <w:rsid w:val="001C7A06"/>
    <w:rsid w:val="001C7C39"/>
    <w:rsid w:val="001D040E"/>
    <w:rsid w:val="001D072E"/>
    <w:rsid w:val="001D0ED6"/>
    <w:rsid w:val="001D15F8"/>
    <w:rsid w:val="001D165E"/>
    <w:rsid w:val="001D16D7"/>
    <w:rsid w:val="001D2385"/>
    <w:rsid w:val="001D2F48"/>
    <w:rsid w:val="001D33D2"/>
    <w:rsid w:val="001D34EB"/>
    <w:rsid w:val="001D4470"/>
    <w:rsid w:val="001D4A42"/>
    <w:rsid w:val="001D4BF4"/>
    <w:rsid w:val="001D514C"/>
    <w:rsid w:val="001D551E"/>
    <w:rsid w:val="001D5821"/>
    <w:rsid w:val="001D5B73"/>
    <w:rsid w:val="001D5F92"/>
    <w:rsid w:val="001D62D6"/>
    <w:rsid w:val="001D63ED"/>
    <w:rsid w:val="001D6424"/>
    <w:rsid w:val="001D64CF"/>
    <w:rsid w:val="001D6D0C"/>
    <w:rsid w:val="001D7595"/>
    <w:rsid w:val="001D7DE9"/>
    <w:rsid w:val="001E003E"/>
    <w:rsid w:val="001E01D7"/>
    <w:rsid w:val="001E0523"/>
    <w:rsid w:val="001E05E2"/>
    <w:rsid w:val="001E0A93"/>
    <w:rsid w:val="001E1220"/>
    <w:rsid w:val="001E18C9"/>
    <w:rsid w:val="001E2091"/>
    <w:rsid w:val="001E22CB"/>
    <w:rsid w:val="001E2488"/>
    <w:rsid w:val="001E297A"/>
    <w:rsid w:val="001E2992"/>
    <w:rsid w:val="001E2BA1"/>
    <w:rsid w:val="001E31B5"/>
    <w:rsid w:val="001E38AD"/>
    <w:rsid w:val="001E4036"/>
    <w:rsid w:val="001E40D7"/>
    <w:rsid w:val="001E5617"/>
    <w:rsid w:val="001E5789"/>
    <w:rsid w:val="001E5B1D"/>
    <w:rsid w:val="001E5B28"/>
    <w:rsid w:val="001E62B7"/>
    <w:rsid w:val="001E6AA4"/>
    <w:rsid w:val="001E6C6E"/>
    <w:rsid w:val="001E6D0A"/>
    <w:rsid w:val="001E705B"/>
    <w:rsid w:val="001F0091"/>
    <w:rsid w:val="001F02A8"/>
    <w:rsid w:val="001F062B"/>
    <w:rsid w:val="001F072F"/>
    <w:rsid w:val="001F1976"/>
    <w:rsid w:val="001F20D3"/>
    <w:rsid w:val="001F23C2"/>
    <w:rsid w:val="001F2583"/>
    <w:rsid w:val="001F2BF8"/>
    <w:rsid w:val="001F2CA3"/>
    <w:rsid w:val="001F3519"/>
    <w:rsid w:val="001F4259"/>
    <w:rsid w:val="001F5332"/>
    <w:rsid w:val="001F5761"/>
    <w:rsid w:val="001F5B91"/>
    <w:rsid w:val="001F5EA4"/>
    <w:rsid w:val="001F650D"/>
    <w:rsid w:val="001F66EC"/>
    <w:rsid w:val="001F68F6"/>
    <w:rsid w:val="001F6A34"/>
    <w:rsid w:val="001F6BB0"/>
    <w:rsid w:val="001F7A6B"/>
    <w:rsid w:val="001F7E3A"/>
    <w:rsid w:val="00200073"/>
    <w:rsid w:val="00200597"/>
    <w:rsid w:val="002006A2"/>
    <w:rsid w:val="0020082C"/>
    <w:rsid w:val="0020097C"/>
    <w:rsid w:val="00201890"/>
    <w:rsid w:val="002020C4"/>
    <w:rsid w:val="0020216D"/>
    <w:rsid w:val="002025E0"/>
    <w:rsid w:val="002026AB"/>
    <w:rsid w:val="00202862"/>
    <w:rsid w:val="00202876"/>
    <w:rsid w:val="0020298F"/>
    <w:rsid w:val="00202CD2"/>
    <w:rsid w:val="00202DD5"/>
    <w:rsid w:val="00203369"/>
    <w:rsid w:val="00203497"/>
    <w:rsid w:val="00204A9F"/>
    <w:rsid w:val="00204B7C"/>
    <w:rsid w:val="00204CD1"/>
    <w:rsid w:val="00205356"/>
    <w:rsid w:val="00205466"/>
    <w:rsid w:val="002058D2"/>
    <w:rsid w:val="00205A68"/>
    <w:rsid w:val="00205D63"/>
    <w:rsid w:val="00205E56"/>
    <w:rsid w:val="002060DE"/>
    <w:rsid w:val="00206640"/>
    <w:rsid w:val="00206923"/>
    <w:rsid w:val="00206ACC"/>
    <w:rsid w:val="00207024"/>
    <w:rsid w:val="00207089"/>
    <w:rsid w:val="002078D2"/>
    <w:rsid w:val="00210260"/>
    <w:rsid w:val="00210427"/>
    <w:rsid w:val="00210848"/>
    <w:rsid w:val="00210D90"/>
    <w:rsid w:val="00210E3E"/>
    <w:rsid w:val="00211263"/>
    <w:rsid w:val="0021131F"/>
    <w:rsid w:val="00211600"/>
    <w:rsid w:val="002117BE"/>
    <w:rsid w:val="00211834"/>
    <w:rsid w:val="00211D7B"/>
    <w:rsid w:val="00212325"/>
    <w:rsid w:val="002125EF"/>
    <w:rsid w:val="00212F93"/>
    <w:rsid w:val="00213CB3"/>
    <w:rsid w:val="0021446A"/>
    <w:rsid w:val="0021479A"/>
    <w:rsid w:val="00215169"/>
    <w:rsid w:val="0021533E"/>
    <w:rsid w:val="0021542B"/>
    <w:rsid w:val="00215449"/>
    <w:rsid w:val="002159D3"/>
    <w:rsid w:val="00215B10"/>
    <w:rsid w:val="00215CCD"/>
    <w:rsid w:val="00215FE4"/>
    <w:rsid w:val="00216850"/>
    <w:rsid w:val="00216B02"/>
    <w:rsid w:val="00216B18"/>
    <w:rsid w:val="00216D02"/>
    <w:rsid w:val="002173A1"/>
    <w:rsid w:val="002175A0"/>
    <w:rsid w:val="00217B9E"/>
    <w:rsid w:val="00217E7C"/>
    <w:rsid w:val="00217ED4"/>
    <w:rsid w:val="00220182"/>
    <w:rsid w:val="00220312"/>
    <w:rsid w:val="002203A0"/>
    <w:rsid w:val="002204AF"/>
    <w:rsid w:val="00220589"/>
    <w:rsid w:val="00220770"/>
    <w:rsid w:val="00220A98"/>
    <w:rsid w:val="00220F36"/>
    <w:rsid w:val="0022206C"/>
    <w:rsid w:val="002222B2"/>
    <w:rsid w:val="002223A9"/>
    <w:rsid w:val="0022286B"/>
    <w:rsid w:val="00222B58"/>
    <w:rsid w:val="002234B0"/>
    <w:rsid w:val="00224BD6"/>
    <w:rsid w:val="00224F0B"/>
    <w:rsid w:val="00224FEC"/>
    <w:rsid w:val="002251CF"/>
    <w:rsid w:val="00225260"/>
    <w:rsid w:val="002252BA"/>
    <w:rsid w:val="00226834"/>
    <w:rsid w:val="00227824"/>
    <w:rsid w:val="0022794A"/>
    <w:rsid w:val="00227B4D"/>
    <w:rsid w:val="00227BB5"/>
    <w:rsid w:val="00227D39"/>
    <w:rsid w:val="002300D4"/>
    <w:rsid w:val="002301D7"/>
    <w:rsid w:val="0023040E"/>
    <w:rsid w:val="00230486"/>
    <w:rsid w:val="002304D5"/>
    <w:rsid w:val="0023051F"/>
    <w:rsid w:val="002306A6"/>
    <w:rsid w:val="002309E9"/>
    <w:rsid w:val="00230CCC"/>
    <w:rsid w:val="00230F6E"/>
    <w:rsid w:val="00231220"/>
    <w:rsid w:val="00231386"/>
    <w:rsid w:val="00231E39"/>
    <w:rsid w:val="00232720"/>
    <w:rsid w:val="0023289E"/>
    <w:rsid w:val="00232C24"/>
    <w:rsid w:val="0023301C"/>
    <w:rsid w:val="00233761"/>
    <w:rsid w:val="002337A1"/>
    <w:rsid w:val="00233B72"/>
    <w:rsid w:val="00233D48"/>
    <w:rsid w:val="00233E16"/>
    <w:rsid w:val="0023400D"/>
    <w:rsid w:val="00234324"/>
    <w:rsid w:val="002347A9"/>
    <w:rsid w:val="002359FE"/>
    <w:rsid w:val="00235C95"/>
    <w:rsid w:val="00235FDE"/>
    <w:rsid w:val="0023602C"/>
    <w:rsid w:val="00236175"/>
    <w:rsid w:val="002361A6"/>
    <w:rsid w:val="00236B1D"/>
    <w:rsid w:val="00236C6B"/>
    <w:rsid w:val="00236DAD"/>
    <w:rsid w:val="00237129"/>
    <w:rsid w:val="0023746C"/>
    <w:rsid w:val="00237AE2"/>
    <w:rsid w:val="00237C20"/>
    <w:rsid w:val="00237C70"/>
    <w:rsid w:val="00237E56"/>
    <w:rsid w:val="00237F74"/>
    <w:rsid w:val="002409FF"/>
    <w:rsid w:val="00240BB7"/>
    <w:rsid w:val="00240D95"/>
    <w:rsid w:val="00240D97"/>
    <w:rsid w:val="0024127D"/>
    <w:rsid w:val="0024150A"/>
    <w:rsid w:val="00241532"/>
    <w:rsid w:val="00241A86"/>
    <w:rsid w:val="00241AA5"/>
    <w:rsid w:val="00241FE7"/>
    <w:rsid w:val="00242913"/>
    <w:rsid w:val="00242AD0"/>
    <w:rsid w:val="00242CD6"/>
    <w:rsid w:val="00242EB7"/>
    <w:rsid w:val="00242F4F"/>
    <w:rsid w:val="00243BB7"/>
    <w:rsid w:val="00243F6A"/>
    <w:rsid w:val="00243FE5"/>
    <w:rsid w:val="0024437A"/>
    <w:rsid w:val="00244654"/>
    <w:rsid w:val="00244741"/>
    <w:rsid w:val="002449D5"/>
    <w:rsid w:val="00244A28"/>
    <w:rsid w:val="00244A75"/>
    <w:rsid w:val="002455D2"/>
    <w:rsid w:val="00245804"/>
    <w:rsid w:val="0024616D"/>
    <w:rsid w:val="00246250"/>
    <w:rsid w:val="002464CA"/>
    <w:rsid w:val="00246731"/>
    <w:rsid w:val="00246B07"/>
    <w:rsid w:val="00246C0F"/>
    <w:rsid w:val="00246C7B"/>
    <w:rsid w:val="00246FDF"/>
    <w:rsid w:val="00247422"/>
    <w:rsid w:val="002476AF"/>
    <w:rsid w:val="0024785C"/>
    <w:rsid w:val="00247EC2"/>
    <w:rsid w:val="002506DF"/>
    <w:rsid w:val="00250814"/>
    <w:rsid w:val="00250ACE"/>
    <w:rsid w:val="002510BB"/>
    <w:rsid w:val="002512F7"/>
    <w:rsid w:val="0025137F"/>
    <w:rsid w:val="0025167A"/>
    <w:rsid w:val="00251DDE"/>
    <w:rsid w:val="0025205A"/>
    <w:rsid w:val="00252063"/>
    <w:rsid w:val="0025236D"/>
    <w:rsid w:val="00252373"/>
    <w:rsid w:val="0025263C"/>
    <w:rsid w:val="00252695"/>
    <w:rsid w:val="00253582"/>
    <w:rsid w:val="0025365B"/>
    <w:rsid w:val="00253AE0"/>
    <w:rsid w:val="00253BAC"/>
    <w:rsid w:val="00253C75"/>
    <w:rsid w:val="00253F1A"/>
    <w:rsid w:val="00253F4F"/>
    <w:rsid w:val="0025453B"/>
    <w:rsid w:val="0025459C"/>
    <w:rsid w:val="00254D75"/>
    <w:rsid w:val="00254E22"/>
    <w:rsid w:val="002569A3"/>
    <w:rsid w:val="00256A3E"/>
    <w:rsid w:val="00260225"/>
    <w:rsid w:val="0026079F"/>
    <w:rsid w:val="00260F8C"/>
    <w:rsid w:val="002614AA"/>
    <w:rsid w:val="00261672"/>
    <w:rsid w:val="00261697"/>
    <w:rsid w:val="0026177B"/>
    <w:rsid w:val="00261857"/>
    <w:rsid w:val="002625CA"/>
    <w:rsid w:val="00262C9F"/>
    <w:rsid w:val="00262E9E"/>
    <w:rsid w:val="002630EB"/>
    <w:rsid w:val="00263256"/>
    <w:rsid w:val="00264182"/>
    <w:rsid w:val="00265003"/>
    <w:rsid w:val="002652FA"/>
    <w:rsid w:val="00265458"/>
    <w:rsid w:val="002654EA"/>
    <w:rsid w:val="00265B78"/>
    <w:rsid w:val="00265D60"/>
    <w:rsid w:val="00266098"/>
    <w:rsid w:val="002663FE"/>
    <w:rsid w:val="00266D30"/>
    <w:rsid w:val="00267F0B"/>
    <w:rsid w:val="002700FB"/>
    <w:rsid w:val="002701C3"/>
    <w:rsid w:val="00270995"/>
    <w:rsid w:val="00270F47"/>
    <w:rsid w:val="0027110D"/>
    <w:rsid w:val="00271210"/>
    <w:rsid w:val="002713BE"/>
    <w:rsid w:val="0027149C"/>
    <w:rsid w:val="0027172F"/>
    <w:rsid w:val="00271D08"/>
    <w:rsid w:val="00271F46"/>
    <w:rsid w:val="0027233D"/>
    <w:rsid w:val="00272B70"/>
    <w:rsid w:val="00272D62"/>
    <w:rsid w:val="00272E95"/>
    <w:rsid w:val="00272FA3"/>
    <w:rsid w:val="00273010"/>
    <w:rsid w:val="00273310"/>
    <w:rsid w:val="00273CFB"/>
    <w:rsid w:val="0027427F"/>
    <w:rsid w:val="00274641"/>
    <w:rsid w:val="0027506C"/>
    <w:rsid w:val="00275701"/>
    <w:rsid w:val="00276951"/>
    <w:rsid w:val="00276ABB"/>
    <w:rsid w:val="00276DA1"/>
    <w:rsid w:val="002770AE"/>
    <w:rsid w:val="00277836"/>
    <w:rsid w:val="00277A17"/>
    <w:rsid w:val="00277FB2"/>
    <w:rsid w:val="0028008F"/>
    <w:rsid w:val="002800E2"/>
    <w:rsid w:val="00280170"/>
    <w:rsid w:val="0028089D"/>
    <w:rsid w:val="00280D0F"/>
    <w:rsid w:val="002814CE"/>
    <w:rsid w:val="0028191D"/>
    <w:rsid w:val="00281955"/>
    <w:rsid w:val="00281C68"/>
    <w:rsid w:val="00281EDE"/>
    <w:rsid w:val="00281F58"/>
    <w:rsid w:val="002821FE"/>
    <w:rsid w:val="0028253B"/>
    <w:rsid w:val="00282B67"/>
    <w:rsid w:val="00282B86"/>
    <w:rsid w:val="002830C1"/>
    <w:rsid w:val="0028314E"/>
    <w:rsid w:val="002833D8"/>
    <w:rsid w:val="00283C9D"/>
    <w:rsid w:val="00283F68"/>
    <w:rsid w:val="00284093"/>
    <w:rsid w:val="002849AF"/>
    <w:rsid w:val="00284C47"/>
    <w:rsid w:val="00285158"/>
    <w:rsid w:val="00285454"/>
    <w:rsid w:val="0028564C"/>
    <w:rsid w:val="00285F4B"/>
    <w:rsid w:val="00286472"/>
    <w:rsid w:val="00286955"/>
    <w:rsid w:val="00286A1B"/>
    <w:rsid w:val="00287240"/>
    <w:rsid w:val="00287270"/>
    <w:rsid w:val="00287471"/>
    <w:rsid w:val="00287924"/>
    <w:rsid w:val="002908E3"/>
    <w:rsid w:val="00290C55"/>
    <w:rsid w:val="0029119B"/>
    <w:rsid w:val="0029119C"/>
    <w:rsid w:val="0029132B"/>
    <w:rsid w:val="00291873"/>
    <w:rsid w:val="002919C6"/>
    <w:rsid w:val="00291EF9"/>
    <w:rsid w:val="002927D1"/>
    <w:rsid w:val="002929A8"/>
    <w:rsid w:val="0029343D"/>
    <w:rsid w:val="0029347E"/>
    <w:rsid w:val="0029358F"/>
    <w:rsid w:val="002936F8"/>
    <w:rsid w:val="002937C5"/>
    <w:rsid w:val="00293A39"/>
    <w:rsid w:val="00293D79"/>
    <w:rsid w:val="00293DF6"/>
    <w:rsid w:val="00294713"/>
    <w:rsid w:val="0029491B"/>
    <w:rsid w:val="00294B9C"/>
    <w:rsid w:val="00294C44"/>
    <w:rsid w:val="00294F4E"/>
    <w:rsid w:val="0029549F"/>
    <w:rsid w:val="002958E8"/>
    <w:rsid w:val="00295A47"/>
    <w:rsid w:val="00296218"/>
    <w:rsid w:val="0029656E"/>
    <w:rsid w:val="002973A2"/>
    <w:rsid w:val="00297E2D"/>
    <w:rsid w:val="00297FC6"/>
    <w:rsid w:val="002A0202"/>
    <w:rsid w:val="002A04DE"/>
    <w:rsid w:val="002A074E"/>
    <w:rsid w:val="002A0EE6"/>
    <w:rsid w:val="002A1102"/>
    <w:rsid w:val="002A124E"/>
    <w:rsid w:val="002A1258"/>
    <w:rsid w:val="002A15D5"/>
    <w:rsid w:val="002A16DF"/>
    <w:rsid w:val="002A175B"/>
    <w:rsid w:val="002A1C37"/>
    <w:rsid w:val="002A1D24"/>
    <w:rsid w:val="002A1FE6"/>
    <w:rsid w:val="002A220C"/>
    <w:rsid w:val="002A2313"/>
    <w:rsid w:val="002A239F"/>
    <w:rsid w:val="002A242F"/>
    <w:rsid w:val="002A26DF"/>
    <w:rsid w:val="002A27B6"/>
    <w:rsid w:val="002A2BE1"/>
    <w:rsid w:val="002A2ECE"/>
    <w:rsid w:val="002A316F"/>
    <w:rsid w:val="002A31EE"/>
    <w:rsid w:val="002A5145"/>
    <w:rsid w:val="002A52A2"/>
    <w:rsid w:val="002A538A"/>
    <w:rsid w:val="002A57BD"/>
    <w:rsid w:val="002A5B20"/>
    <w:rsid w:val="002A5C3E"/>
    <w:rsid w:val="002A614B"/>
    <w:rsid w:val="002A620A"/>
    <w:rsid w:val="002A6B43"/>
    <w:rsid w:val="002A6EE8"/>
    <w:rsid w:val="002A6FB6"/>
    <w:rsid w:val="002A70C4"/>
    <w:rsid w:val="002A76F4"/>
    <w:rsid w:val="002A771E"/>
    <w:rsid w:val="002A79FB"/>
    <w:rsid w:val="002A7A77"/>
    <w:rsid w:val="002A7C80"/>
    <w:rsid w:val="002A7FBA"/>
    <w:rsid w:val="002B07AD"/>
    <w:rsid w:val="002B1020"/>
    <w:rsid w:val="002B131D"/>
    <w:rsid w:val="002B1457"/>
    <w:rsid w:val="002B1BAC"/>
    <w:rsid w:val="002B1C81"/>
    <w:rsid w:val="002B2167"/>
    <w:rsid w:val="002B2393"/>
    <w:rsid w:val="002B240C"/>
    <w:rsid w:val="002B285F"/>
    <w:rsid w:val="002B2C2A"/>
    <w:rsid w:val="002B3041"/>
    <w:rsid w:val="002B350A"/>
    <w:rsid w:val="002B362C"/>
    <w:rsid w:val="002B3797"/>
    <w:rsid w:val="002B39C4"/>
    <w:rsid w:val="002B3E50"/>
    <w:rsid w:val="002B4498"/>
    <w:rsid w:val="002B4A0C"/>
    <w:rsid w:val="002B4AAB"/>
    <w:rsid w:val="002B5373"/>
    <w:rsid w:val="002B537E"/>
    <w:rsid w:val="002B55D4"/>
    <w:rsid w:val="002B5771"/>
    <w:rsid w:val="002B5791"/>
    <w:rsid w:val="002B5FC4"/>
    <w:rsid w:val="002B6200"/>
    <w:rsid w:val="002B6423"/>
    <w:rsid w:val="002B64BB"/>
    <w:rsid w:val="002B65DE"/>
    <w:rsid w:val="002B7350"/>
    <w:rsid w:val="002B7615"/>
    <w:rsid w:val="002B7C39"/>
    <w:rsid w:val="002C024F"/>
    <w:rsid w:val="002C1878"/>
    <w:rsid w:val="002C1B1A"/>
    <w:rsid w:val="002C2704"/>
    <w:rsid w:val="002C2ABB"/>
    <w:rsid w:val="002C30CB"/>
    <w:rsid w:val="002C32D0"/>
    <w:rsid w:val="002C36D0"/>
    <w:rsid w:val="002C38CC"/>
    <w:rsid w:val="002C418C"/>
    <w:rsid w:val="002C4D57"/>
    <w:rsid w:val="002C4EBA"/>
    <w:rsid w:val="002C4FBF"/>
    <w:rsid w:val="002C5358"/>
    <w:rsid w:val="002C56CA"/>
    <w:rsid w:val="002C5845"/>
    <w:rsid w:val="002C5981"/>
    <w:rsid w:val="002C61C0"/>
    <w:rsid w:val="002C6B7A"/>
    <w:rsid w:val="002C6BBE"/>
    <w:rsid w:val="002C6D25"/>
    <w:rsid w:val="002C7771"/>
    <w:rsid w:val="002D0A4D"/>
    <w:rsid w:val="002D0B15"/>
    <w:rsid w:val="002D136B"/>
    <w:rsid w:val="002D1556"/>
    <w:rsid w:val="002D1906"/>
    <w:rsid w:val="002D193C"/>
    <w:rsid w:val="002D1D0A"/>
    <w:rsid w:val="002D2095"/>
    <w:rsid w:val="002D215F"/>
    <w:rsid w:val="002D26A0"/>
    <w:rsid w:val="002D2DF3"/>
    <w:rsid w:val="002D3005"/>
    <w:rsid w:val="002D330D"/>
    <w:rsid w:val="002D339D"/>
    <w:rsid w:val="002D3660"/>
    <w:rsid w:val="002D3B01"/>
    <w:rsid w:val="002D3FCF"/>
    <w:rsid w:val="002D42DB"/>
    <w:rsid w:val="002D4AC3"/>
    <w:rsid w:val="002D4B29"/>
    <w:rsid w:val="002D4F79"/>
    <w:rsid w:val="002D4FA6"/>
    <w:rsid w:val="002D51C6"/>
    <w:rsid w:val="002D52D2"/>
    <w:rsid w:val="002D586C"/>
    <w:rsid w:val="002D59D3"/>
    <w:rsid w:val="002D5E7B"/>
    <w:rsid w:val="002D6739"/>
    <w:rsid w:val="002D74B2"/>
    <w:rsid w:val="002E03A4"/>
    <w:rsid w:val="002E03C2"/>
    <w:rsid w:val="002E0596"/>
    <w:rsid w:val="002E0E3E"/>
    <w:rsid w:val="002E1548"/>
    <w:rsid w:val="002E1F8B"/>
    <w:rsid w:val="002E20FC"/>
    <w:rsid w:val="002E218E"/>
    <w:rsid w:val="002E2601"/>
    <w:rsid w:val="002E299B"/>
    <w:rsid w:val="002E2A85"/>
    <w:rsid w:val="002E2AE4"/>
    <w:rsid w:val="002E2D85"/>
    <w:rsid w:val="002E2F93"/>
    <w:rsid w:val="002E32E5"/>
    <w:rsid w:val="002E354B"/>
    <w:rsid w:val="002E358C"/>
    <w:rsid w:val="002E35FA"/>
    <w:rsid w:val="002E3934"/>
    <w:rsid w:val="002E399A"/>
    <w:rsid w:val="002E3EDB"/>
    <w:rsid w:val="002E3F12"/>
    <w:rsid w:val="002E41BD"/>
    <w:rsid w:val="002E4936"/>
    <w:rsid w:val="002E4AF6"/>
    <w:rsid w:val="002E52B2"/>
    <w:rsid w:val="002E5428"/>
    <w:rsid w:val="002E5443"/>
    <w:rsid w:val="002E5BFD"/>
    <w:rsid w:val="002E6559"/>
    <w:rsid w:val="002E66AA"/>
    <w:rsid w:val="002E6A65"/>
    <w:rsid w:val="002E722B"/>
    <w:rsid w:val="002E76CF"/>
    <w:rsid w:val="002F005E"/>
    <w:rsid w:val="002F0933"/>
    <w:rsid w:val="002F0AEE"/>
    <w:rsid w:val="002F0BA5"/>
    <w:rsid w:val="002F0DBE"/>
    <w:rsid w:val="002F1360"/>
    <w:rsid w:val="002F1648"/>
    <w:rsid w:val="002F16BA"/>
    <w:rsid w:val="002F1975"/>
    <w:rsid w:val="002F1C48"/>
    <w:rsid w:val="002F2069"/>
    <w:rsid w:val="002F2179"/>
    <w:rsid w:val="002F262E"/>
    <w:rsid w:val="002F2B78"/>
    <w:rsid w:val="002F3651"/>
    <w:rsid w:val="002F3713"/>
    <w:rsid w:val="002F3E65"/>
    <w:rsid w:val="002F410E"/>
    <w:rsid w:val="002F473F"/>
    <w:rsid w:val="002F4C0A"/>
    <w:rsid w:val="002F4CC2"/>
    <w:rsid w:val="002F541D"/>
    <w:rsid w:val="002F5858"/>
    <w:rsid w:val="002F593D"/>
    <w:rsid w:val="002F5B22"/>
    <w:rsid w:val="002F5C32"/>
    <w:rsid w:val="002F68CC"/>
    <w:rsid w:val="002F6E68"/>
    <w:rsid w:val="002F6ED2"/>
    <w:rsid w:val="002F71E2"/>
    <w:rsid w:val="002F7782"/>
    <w:rsid w:val="002F7CFC"/>
    <w:rsid w:val="00300317"/>
    <w:rsid w:val="00300752"/>
    <w:rsid w:val="00300B05"/>
    <w:rsid w:val="003011A3"/>
    <w:rsid w:val="0030120F"/>
    <w:rsid w:val="003013BC"/>
    <w:rsid w:val="00301595"/>
    <w:rsid w:val="00301C4D"/>
    <w:rsid w:val="00301DB8"/>
    <w:rsid w:val="003020A1"/>
    <w:rsid w:val="00302543"/>
    <w:rsid w:val="0030266E"/>
    <w:rsid w:val="0030279A"/>
    <w:rsid w:val="00302A01"/>
    <w:rsid w:val="00302AAE"/>
    <w:rsid w:val="00302E5F"/>
    <w:rsid w:val="00302EB9"/>
    <w:rsid w:val="00302F54"/>
    <w:rsid w:val="00302FB4"/>
    <w:rsid w:val="00303036"/>
    <w:rsid w:val="0030304E"/>
    <w:rsid w:val="00304411"/>
    <w:rsid w:val="00304423"/>
    <w:rsid w:val="0030445F"/>
    <w:rsid w:val="003044D0"/>
    <w:rsid w:val="003047E9"/>
    <w:rsid w:val="00304ACD"/>
    <w:rsid w:val="00304BE0"/>
    <w:rsid w:val="0030508C"/>
    <w:rsid w:val="0030539F"/>
    <w:rsid w:val="0030549B"/>
    <w:rsid w:val="00305B2E"/>
    <w:rsid w:val="00305DCB"/>
    <w:rsid w:val="003061F4"/>
    <w:rsid w:val="0030654A"/>
    <w:rsid w:val="0030695A"/>
    <w:rsid w:val="00307D82"/>
    <w:rsid w:val="00310768"/>
    <w:rsid w:val="003108CF"/>
    <w:rsid w:val="00310A06"/>
    <w:rsid w:val="00310E04"/>
    <w:rsid w:val="00311399"/>
    <w:rsid w:val="003114AF"/>
    <w:rsid w:val="0031169E"/>
    <w:rsid w:val="003116C5"/>
    <w:rsid w:val="00311F0B"/>
    <w:rsid w:val="00311F6B"/>
    <w:rsid w:val="00311F6E"/>
    <w:rsid w:val="0031227D"/>
    <w:rsid w:val="003123C3"/>
    <w:rsid w:val="00312416"/>
    <w:rsid w:val="003127D7"/>
    <w:rsid w:val="00312E11"/>
    <w:rsid w:val="0031313D"/>
    <w:rsid w:val="00313364"/>
    <w:rsid w:val="00314258"/>
    <w:rsid w:val="00314320"/>
    <w:rsid w:val="00314468"/>
    <w:rsid w:val="003147F1"/>
    <w:rsid w:val="00314882"/>
    <w:rsid w:val="00314CE4"/>
    <w:rsid w:val="00314D3A"/>
    <w:rsid w:val="00314D49"/>
    <w:rsid w:val="00314DA4"/>
    <w:rsid w:val="003150E0"/>
    <w:rsid w:val="00315785"/>
    <w:rsid w:val="00315912"/>
    <w:rsid w:val="00315DD6"/>
    <w:rsid w:val="003161D6"/>
    <w:rsid w:val="0031626D"/>
    <w:rsid w:val="00316623"/>
    <w:rsid w:val="00317A2F"/>
    <w:rsid w:val="00317AEF"/>
    <w:rsid w:val="00317FB6"/>
    <w:rsid w:val="00320788"/>
    <w:rsid w:val="00320884"/>
    <w:rsid w:val="003209D6"/>
    <w:rsid w:val="00320A73"/>
    <w:rsid w:val="00320CDF"/>
    <w:rsid w:val="00321645"/>
    <w:rsid w:val="00321808"/>
    <w:rsid w:val="00321B16"/>
    <w:rsid w:val="00321E32"/>
    <w:rsid w:val="00322250"/>
    <w:rsid w:val="00322692"/>
    <w:rsid w:val="00322C6F"/>
    <w:rsid w:val="00322D9A"/>
    <w:rsid w:val="00322E39"/>
    <w:rsid w:val="0032338A"/>
    <w:rsid w:val="00323FDA"/>
    <w:rsid w:val="003243BF"/>
    <w:rsid w:val="003244D4"/>
    <w:rsid w:val="003245B3"/>
    <w:rsid w:val="003251C7"/>
    <w:rsid w:val="00325339"/>
    <w:rsid w:val="003256B1"/>
    <w:rsid w:val="00325864"/>
    <w:rsid w:val="00325CA2"/>
    <w:rsid w:val="00325F5A"/>
    <w:rsid w:val="003260AD"/>
    <w:rsid w:val="00326254"/>
    <w:rsid w:val="00326309"/>
    <w:rsid w:val="00326641"/>
    <w:rsid w:val="00327B16"/>
    <w:rsid w:val="00327DB1"/>
    <w:rsid w:val="00327E4E"/>
    <w:rsid w:val="00330556"/>
    <w:rsid w:val="0033083C"/>
    <w:rsid w:val="00331531"/>
    <w:rsid w:val="003316FA"/>
    <w:rsid w:val="00331752"/>
    <w:rsid w:val="00331A29"/>
    <w:rsid w:val="003320AE"/>
    <w:rsid w:val="00332324"/>
    <w:rsid w:val="0033258C"/>
    <w:rsid w:val="003334E4"/>
    <w:rsid w:val="00333AA2"/>
    <w:rsid w:val="00333B2B"/>
    <w:rsid w:val="00334933"/>
    <w:rsid w:val="00334C4C"/>
    <w:rsid w:val="00334D8D"/>
    <w:rsid w:val="00334F93"/>
    <w:rsid w:val="00335749"/>
    <w:rsid w:val="003359FE"/>
    <w:rsid w:val="00335CFE"/>
    <w:rsid w:val="00335D10"/>
    <w:rsid w:val="0033614C"/>
    <w:rsid w:val="003362A9"/>
    <w:rsid w:val="003367B4"/>
    <w:rsid w:val="00336878"/>
    <w:rsid w:val="003368F5"/>
    <w:rsid w:val="00336BC7"/>
    <w:rsid w:val="00336EF3"/>
    <w:rsid w:val="0033703F"/>
    <w:rsid w:val="003370A8"/>
    <w:rsid w:val="00337302"/>
    <w:rsid w:val="00337506"/>
    <w:rsid w:val="00337BDA"/>
    <w:rsid w:val="00341112"/>
    <w:rsid w:val="0034111E"/>
    <w:rsid w:val="0034144F"/>
    <w:rsid w:val="00341582"/>
    <w:rsid w:val="003418EA"/>
    <w:rsid w:val="00341BD3"/>
    <w:rsid w:val="00341C54"/>
    <w:rsid w:val="003428AE"/>
    <w:rsid w:val="003428F4"/>
    <w:rsid w:val="00342D48"/>
    <w:rsid w:val="0034351D"/>
    <w:rsid w:val="003435F4"/>
    <w:rsid w:val="0034367A"/>
    <w:rsid w:val="003437CF"/>
    <w:rsid w:val="00343A87"/>
    <w:rsid w:val="00343CBC"/>
    <w:rsid w:val="00343FCE"/>
    <w:rsid w:val="003445B9"/>
    <w:rsid w:val="00344733"/>
    <w:rsid w:val="003447A3"/>
    <w:rsid w:val="003449B9"/>
    <w:rsid w:val="00344C47"/>
    <w:rsid w:val="00345104"/>
    <w:rsid w:val="003451E8"/>
    <w:rsid w:val="00345D75"/>
    <w:rsid w:val="003461D2"/>
    <w:rsid w:val="0034637B"/>
    <w:rsid w:val="00346715"/>
    <w:rsid w:val="00346ACC"/>
    <w:rsid w:val="00346EB1"/>
    <w:rsid w:val="003473CB"/>
    <w:rsid w:val="003474B2"/>
    <w:rsid w:val="003474F2"/>
    <w:rsid w:val="00347AE1"/>
    <w:rsid w:val="00347B65"/>
    <w:rsid w:val="00347EFF"/>
    <w:rsid w:val="00347F03"/>
    <w:rsid w:val="00347FDB"/>
    <w:rsid w:val="00350448"/>
    <w:rsid w:val="003504F6"/>
    <w:rsid w:val="00350679"/>
    <w:rsid w:val="00350E32"/>
    <w:rsid w:val="0035207E"/>
    <w:rsid w:val="0035230A"/>
    <w:rsid w:val="00352562"/>
    <w:rsid w:val="00352B63"/>
    <w:rsid w:val="0035307B"/>
    <w:rsid w:val="0035317C"/>
    <w:rsid w:val="00353211"/>
    <w:rsid w:val="003537F5"/>
    <w:rsid w:val="003542A3"/>
    <w:rsid w:val="003546E9"/>
    <w:rsid w:val="00354BD7"/>
    <w:rsid w:val="00354C4B"/>
    <w:rsid w:val="00354EA3"/>
    <w:rsid w:val="00354F5E"/>
    <w:rsid w:val="0035559E"/>
    <w:rsid w:val="00355775"/>
    <w:rsid w:val="00355ED7"/>
    <w:rsid w:val="003564FF"/>
    <w:rsid w:val="00356819"/>
    <w:rsid w:val="003569BB"/>
    <w:rsid w:val="00357A5A"/>
    <w:rsid w:val="00357BB2"/>
    <w:rsid w:val="00357ECA"/>
    <w:rsid w:val="00357FAE"/>
    <w:rsid w:val="0036018E"/>
    <w:rsid w:val="00360259"/>
    <w:rsid w:val="00360FAA"/>
    <w:rsid w:val="0036208F"/>
    <w:rsid w:val="00362E50"/>
    <w:rsid w:val="003632B4"/>
    <w:rsid w:val="003633D4"/>
    <w:rsid w:val="0036384F"/>
    <w:rsid w:val="0036396D"/>
    <w:rsid w:val="003639BC"/>
    <w:rsid w:val="00363D97"/>
    <w:rsid w:val="00364442"/>
    <w:rsid w:val="00364B00"/>
    <w:rsid w:val="00364CA3"/>
    <w:rsid w:val="00364EDC"/>
    <w:rsid w:val="00365046"/>
    <w:rsid w:val="003651E0"/>
    <w:rsid w:val="0036549D"/>
    <w:rsid w:val="00365593"/>
    <w:rsid w:val="0036562E"/>
    <w:rsid w:val="003656A1"/>
    <w:rsid w:val="00365A38"/>
    <w:rsid w:val="00365A74"/>
    <w:rsid w:val="00365C0A"/>
    <w:rsid w:val="00366A55"/>
    <w:rsid w:val="00366D98"/>
    <w:rsid w:val="00366F93"/>
    <w:rsid w:val="00367079"/>
    <w:rsid w:val="003675FE"/>
    <w:rsid w:val="00367735"/>
    <w:rsid w:val="00367E62"/>
    <w:rsid w:val="00370239"/>
    <w:rsid w:val="003702B1"/>
    <w:rsid w:val="0037057F"/>
    <w:rsid w:val="00370A91"/>
    <w:rsid w:val="00371116"/>
    <w:rsid w:val="00371187"/>
    <w:rsid w:val="003716AA"/>
    <w:rsid w:val="00372146"/>
    <w:rsid w:val="00372147"/>
    <w:rsid w:val="00372327"/>
    <w:rsid w:val="003724EF"/>
    <w:rsid w:val="00372AE9"/>
    <w:rsid w:val="00372C5E"/>
    <w:rsid w:val="00373715"/>
    <w:rsid w:val="00373D16"/>
    <w:rsid w:val="00374925"/>
    <w:rsid w:val="0037498A"/>
    <w:rsid w:val="00374D82"/>
    <w:rsid w:val="00374DAA"/>
    <w:rsid w:val="00375188"/>
    <w:rsid w:val="003751C9"/>
    <w:rsid w:val="00375536"/>
    <w:rsid w:val="003759CD"/>
    <w:rsid w:val="00375B37"/>
    <w:rsid w:val="00375CE8"/>
    <w:rsid w:val="00376394"/>
    <w:rsid w:val="003768B0"/>
    <w:rsid w:val="00376A85"/>
    <w:rsid w:val="00376C1C"/>
    <w:rsid w:val="00376D5C"/>
    <w:rsid w:val="0037712B"/>
    <w:rsid w:val="00377C6F"/>
    <w:rsid w:val="00377D04"/>
    <w:rsid w:val="0038121C"/>
    <w:rsid w:val="0038129A"/>
    <w:rsid w:val="003820ED"/>
    <w:rsid w:val="003823EB"/>
    <w:rsid w:val="0038339E"/>
    <w:rsid w:val="0038373E"/>
    <w:rsid w:val="00383AF8"/>
    <w:rsid w:val="003847F5"/>
    <w:rsid w:val="00384A49"/>
    <w:rsid w:val="00384A8C"/>
    <w:rsid w:val="00385282"/>
    <w:rsid w:val="003853AD"/>
    <w:rsid w:val="0038549D"/>
    <w:rsid w:val="0038559B"/>
    <w:rsid w:val="00385643"/>
    <w:rsid w:val="00385693"/>
    <w:rsid w:val="0038585D"/>
    <w:rsid w:val="00385A53"/>
    <w:rsid w:val="00385C9F"/>
    <w:rsid w:val="00386091"/>
    <w:rsid w:val="003862CB"/>
    <w:rsid w:val="003863C7"/>
    <w:rsid w:val="00386656"/>
    <w:rsid w:val="00386A9B"/>
    <w:rsid w:val="00386BCB"/>
    <w:rsid w:val="00386E41"/>
    <w:rsid w:val="003870F8"/>
    <w:rsid w:val="00387243"/>
    <w:rsid w:val="003879FE"/>
    <w:rsid w:val="00387ADE"/>
    <w:rsid w:val="00387DE6"/>
    <w:rsid w:val="00390647"/>
    <w:rsid w:val="00390B48"/>
    <w:rsid w:val="00390F5D"/>
    <w:rsid w:val="00391335"/>
    <w:rsid w:val="003915DB"/>
    <w:rsid w:val="00391917"/>
    <w:rsid w:val="00391DE8"/>
    <w:rsid w:val="00391E76"/>
    <w:rsid w:val="00391E9A"/>
    <w:rsid w:val="003922AC"/>
    <w:rsid w:val="0039286F"/>
    <w:rsid w:val="00392BB6"/>
    <w:rsid w:val="00392F13"/>
    <w:rsid w:val="0039303C"/>
    <w:rsid w:val="003930AE"/>
    <w:rsid w:val="003932AC"/>
    <w:rsid w:val="003933CD"/>
    <w:rsid w:val="0039368E"/>
    <w:rsid w:val="00393877"/>
    <w:rsid w:val="00393C04"/>
    <w:rsid w:val="0039411A"/>
    <w:rsid w:val="00394D91"/>
    <w:rsid w:val="003954DC"/>
    <w:rsid w:val="00395CCA"/>
    <w:rsid w:val="00396495"/>
    <w:rsid w:val="003968BE"/>
    <w:rsid w:val="00396CA2"/>
    <w:rsid w:val="00396E58"/>
    <w:rsid w:val="00396F8A"/>
    <w:rsid w:val="00397053"/>
    <w:rsid w:val="00397424"/>
    <w:rsid w:val="003974C5"/>
    <w:rsid w:val="003975D8"/>
    <w:rsid w:val="00397DE9"/>
    <w:rsid w:val="00397E8E"/>
    <w:rsid w:val="00397F2C"/>
    <w:rsid w:val="003A0218"/>
    <w:rsid w:val="003A0259"/>
    <w:rsid w:val="003A0557"/>
    <w:rsid w:val="003A127E"/>
    <w:rsid w:val="003A1461"/>
    <w:rsid w:val="003A1C5C"/>
    <w:rsid w:val="003A1F22"/>
    <w:rsid w:val="003A21B2"/>
    <w:rsid w:val="003A269A"/>
    <w:rsid w:val="003A35F0"/>
    <w:rsid w:val="003A37E2"/>
    <w:rsid w:val="003A3F72"/>
    <w:rsid w:val="003A3FCB"/>
    <w:rsid w:val="003A4B21"/>
    <w:rsid w:val="003A5151"/>
    <w:rsid w:val="003A5A52"/>
    <w:rsid w:val="003A5D2B"/>
    <w:rsid w:val="003A5D9F"/>
    <w:rsid w:val="003A662E"/>
    <w:rsid w:val="003A6E57"/>
    <w:rsid w:val="003A72D8"/>
    <w:rsid w:val="003A78C0"/>
    <w:rsid w:val="003A7A39"/>
    <w:rsid w:val="003B078A"/>
    <w:rsid w:val="003B0A7B"/>
    <w:rsid w:val="003B0C6C"/>
    <w:rsid w:val="003B17B2"/>
    <w:rsid w:val="003B18AA"/>
    <w:rsid w:val="003B2804"/>
    <w:rsid w:val="003B29B0"/>
    <w:rsid w:val="003B2B4A"/>
    <w:rsid w:val="003B2DB2"/>
    <w:rsid w:val="003B2FB4"/>
    <w:rsid w:val="003B3311"/>
    <w:rsid w:val="003B36F0"/>
    <w:rsid w:val="003B39FB"/>
    <w:rsid w:val="003B41B7"/>
    <w:rsid w:val="003B4240"/>
    <w:rsid w:val="003B469F"/>
    <w:rsid w:val="003B4E2B"/>
    <w:rsid w:val="003B4FD3"/>
    <w:rsid w:val="003B504C"/>
    <w:rsid w:val="003B53CD"/>
    <w:rsid w:val="003B57CB"/>
    <w:rsid w:val="003B57F4"/>
    <w:rsid w:val="003B586C"/>
    <w:rsid w:val="003B5916"/>
    <w:rsid w:val="003B5B5C"/>
    <w:rsid w:val="003B5F1D"/>
    <w:rsid w:val="003B608F"/>
    <w:rsid w:val="003B663F"/>
    <w:rsid w:val="003B6FAB"/>
    <w:rsid w:val="003B6FFD"/>
    <w:rsid w:val="003B719F"/>
    <w:rsid w:val="003B785D"/>
    <w:rsid w:val="003B7C0B"/>
    <w:rsid w:val="003C03E1"/>
    <w:rsid w:val="003C0814"/>
    <w:rsid w:val="003C0C3C"/>
    <w:rsid w:val="003C0DD8"/>
    <w:rsid w:val="003C1336"/>
    <w:rsid w:val="003C18B3"/>
    <w:rsid w:val="003C19A9"/>
    <w:rsid w:val="003C1A21"/>
    <w:rsid w:val="003C1C0F"/>
    <w:rsid w:val="003C1F34"/>
    <w:rsid w:val="003C219F"/>
    <w:rsid w:val="003C26AF"/>
    <w:rsid w:val="003C2AA2"/>
    <w:rsid w:val="003C2B3D"/>
    <w:rsid w:val="003C2D07"/>
    <w:rsid w:val="003C3EB3"/>
    <w:rsid w:val="003C3F7D"/>
    <w:rsid w:val="003C42A6"/>
    <w:rsid w:val="003C44CC"/>
    <w:rsid w:val="003C465F"/>
    <w:rsid w:val="003C4785"/>
    <w:rsid w:val="003C4D83"/>
    <w:rsid w:val="003C5063"/>
    <w:rsid w:val="003C51C3"/>
    <w:rsid w:val="003C5467"/>
    <w:rsid w:val="003C559E"/>
    <w:rsid w:val="003C5A51"/>
    <w:rsid w:val="003C5B38"/>
    <w:rsid w:val="003C6660"/>
    <w:rsid w:val="003C6730"/>
    <w:rsid w:val="003C67E8"/>
    <w:rsid w:val="003C6878"/>
    <w:rsid w:val="003C7098"/>
    <w:rsid w:val="003C74A1"/>
    <w:rsid w:val="003C7663"/>
    <w:rsid w:val="003C783E"/>
    <w:rsid w:val="003C7CF4"/>
    <w:rsid w:val="003D0446"/>
    <w:rsid w:val="003D0768"/>
    <w:rsid w:val="003D0910"/>
    <w:rsid w:val="003D0F81"/>
    <w:rsid w:val="003D1AF8"/>
    <w:rsid w:val="003D2325"/>
    <w:rsid w:val="003D236A"/>
    <w:rsid w:val="003D2629"/>
    <w:rsid w:val="003D28E2"/>
    <w:rsid w:val="003D313F"/>
    <w:rsid w:val="003D353F"/>
    <w:rsid w:val="003D36E5"/>
    <w:rsid w:val="003D3B80"/>
    <w:rsid w:val="003D3F57"/>
    <w:rsid w:val="003D4744"/>
    <w:rsid w:val="003D4843"/>
    <w:rsid w:val="003D4878"/>
    <w:rsid w:val="003D5064"/>
    <w:rsid w:val="003D5712"/>
    <w:rsid w:val="003D5BDB"/>
    <w:rsid w:val="003D5DC1"/>
    <w:rsid w:val="003D6237"/>
    <w:rsid w:val="003D6360"/>
    <w:rsid w:val="003D6734"/>
    <w:rsid w:val="003D6ADE"/>
    <w:rsid w:val="003D74CB"/>
    <w:rsid w:val="003D7EE7"/>
    <w:rsid w:val="003E0045"/>
    <w:rsid w:val="003E0085"/>
    <w:rsid w:val="003E06B2"/>
    <w:rsid w:val="003E0AE3"/>
    <w:rsid w:val="003E115C"/>
    <w:rsid w:val="003E1FEC"/>
    <w:rsid w:val="003E2362"/>
    <w:rsid w:val="003E26C3"/>
    <w:rsid w:val="003E28B8"/>
    <w:rsid w:val="003E2DDD"/>
    <w:rsid w:val="003E3582"/>
    <w:rsid w:val="003E35C9"/>
    <w:rsid w:val="003E3D30"/>
    <w:rsid w:val="003E3E16"/>
    <w:rsid w:val="003E3FD8"/>
    <w:rsid w:val="003E4109"/>
    <w:rsid w:val="003E43F7"/>
    <w:rsid w:val="003E4C51"/>
    <w:rsid w:val="003E4DDE"/>
    <w:rsid w:val="003E4FE7"/>
    <w:rsid w:val="003E5367"/>
    <w:rsid w:val="003E64E6"/>
    <w:rsid w:val="003E6ABB"/>
    <w:rsid w:val="003E7173"/>
    <w:rsid w:val="003E72DB"/>
    <w:rsid w:val="003E7E1E"/>
    <w:rsid w:val="003E7E8E"/>
    <w:rsid w:val="003F00A4"/>
    <w:rsid w:val="003F021A"/>
    <w:rsid w:val="003F10AB"/>
    <w:rsid w:val="003F1100"/>
    <w:rsid w:val="003F1383"/>
    <w:rsid w:val="003F13D6"/>
    <w:rsid w:val="003F163F"/>
    <w:rsid w:val="003F168A"/>
    <w:rsid w:val="003F19DC"/>
    <w:rsid w:val="003F2244"/>
    <w:rsid w:val="003F2454"/>
    <w:rsid w:val="003F24B0"/>
    <w:rsid w:val="003F3441"/>
    <w:rsid w:val="003F3B11"/>
    <w:rsid w:val="003F3BA0"/>
    <w:rsid w:val="003F3C7F"/>
    <w:rsid w:val="003F4809"/>
    <w:rsid w:val="003F48EC"/>
    <w:rsid w:val="003F4DDC"/>
    <w:rsid w:val="003F600C"/>
    <w:rsid w:val="003F6189"/>
    <w:rsid w:val="003F67B9"/>
    <w:rsid w:val="003F6FC6"/>
    <w:rsid w:val="003F71F4"/>
    <w:rsid w:val="003F74FE"/>
    <w:rsid w:val="003F7E3C"/>
    <w:rsid w:val="003F7E94"/>
    <w:rsid w:val="0040068E"/>
    <w:rsid w:val="004007C0"/>
    <w:rsid w:val="00400F2A"/>
    <w:rsid w:val="00401009"/>
    <w:rsid w:val="0040111E"/>
    <w:rsid w:val="004011B2"/>
    <w:rsid w:val="00401440"/>
    <w:rsid w:val="004018A4"/>
    <w:rsid w:val="00401E0A"/>
    <w:rsid w:val="00402A9B"/>
    <w:rsid w:val="00402D99"/>
    <w:rsid w:val="00403389"/>
    <w:rsid w:val="00403B5C"/>
    <w:rsid w:val="00403CC5"/>
    <w:rsid w:val="00403F0D"/>
    <w:rsid w:val="004045FB"/>
    <w:rsid w:val="00404861"/>
    <w:rsid w:val="00404BA4"/>
    <w:rsid w:val="00404CE5"/>
    <w:rsid w:val="00404EC3"/>
    <w:rsid w:val="00404F66"/>
    <w:rsid w:val="004050BE"/>
    <w:rsid w:val="00405320"/>
    <w:rsid w:val="004058C5"/>
    <w:rsid w:val="00405BFC"/>
    <w:rsid w:val="00405D84"/>
    <w:rsid w:val="004060B3"/>
    <w:rsid w:val="00406D20"/>
    <w:rsid w:val="00406F4C"/>
    <w:rsid w:val="004071ED"/>
    <w:rsid w:val="00407785"/>
    <w:rsid w:val="00407A41"/>
    <w:rsid w:val="00407B00"/>
    <w:rsid w:val="00407BE6"/>
    <w:rsid w:val="00407D76"/>
    <w:rsid w:val="00410247"/>
    <w:rsid w:val="0041064D"/>
    <w:rsid w:val="00410A65"/>
    <w:rsid w:val="004111C2"/>
    <w:rsid w:val="00411699"/>
    <w:rsid w:val="004117C9"/>
    <w:rsid w:val="0041183F"/>
    <w:rsid w:val="004119B7"/>
    <w:rsid w:val="00411B8F"/>
    <w:rsid w:val="00412BE8"/>
    <w:rsid w:val="00413159"/>
    <w:rsid w:val="00413345"/>
    <w:rsid w:val="00413809"/>
    <w:rsid w:val="00413C57"/>
    <w:rsid w:val="00414AAB"/>
    <w:rsid w:val="004157BF"/>
    <w:rsid w:val="00416567"/>
    <w:rsid w:val="00416D2C"/>
    <w:rsid w:val="00416FE9"/>
    <w:rsid w:val="00417477"/>
    <w:rsid w:val="004175DC"/>
    <w:rsid w:val="00417BDA"/>
    <w:rsid w:val="0042008E"/>
    <w:rsid w:val="00420162"/>
    <w:rsid w:val="00420B91"/>
    <w:rsid w:val="00420CB6"/>
    <w:rsid w:val="00420CF7"/>
    <w:rsid w:val="00420DA8"/>
    <w:rsid w:val="00421470"/>
    <w:rsid w:val="004215ED"/>
    <w:rsid w:val="00421C7C"/>
    <w:rsid w:val="00421E79"/>
    <w:rsid w:val="00422341"/>
    <w:rsid w:val="004223DC"/>
    <w:rsid w:val="004225D5"/>
    <w:rsid w:val="00422732"/>
    <w:rsid w:val="004227AA"/>
    <w:rsid w:val="00422FAB"/>
    <w:rsid w:val="00423A99"/>
    <w:rsid w:val="00423AC4"/>
    <w:rsid w:val="00424093"/>
    <w:rsid w:val="0042442A"/>
    <w:rsid w:val="004244DF"/>
    <w:rsid w:val="004251A4"/>
    <w:rsid w:val="004270E1"/>
    <w:rsid w:val="00427C12"/>
    <w:rsid w:val="00427CF4"/>
    <w:rsid w:val="0043006B"/>
    <w:rsid w:val="00430370"/>
    <w:rsid w:val="00430671"/>
    <w:rsid w:val="00430B27"/>
    <w:rsid w:val="0043182E"/>
    <w:rsid w:val="00431A37"/>
    <w:rsid w:val="00431D68"/>
    <w:rsid w:val="004322A1"/>
    <w:rsid w:val="00432D5B"/>
    <w:rsid w:val="004337E4"/>
    <w:rsid w:val="00433BC7"/>
    <w:rsid w:val="00433FDA"/>
    <w:rsid w:val="00434088"/>
    <w:rsid w:val="00434597"/>
    <w:rsid w:val="00434740"/>
    <w:rsid w:val="004348FA"/>
    <w:rsid w:val="00434B42"/>
    <w:rsid w:val="00434C3F"/>
    <w:rsid w:val="00434C68"/>
    <w:rsid w:val="004350E3"/>
    <w:rsid w:val="00435371"/>
    <w:rsid w:val="004354D0"/>
    <w:rsid w:val="0043599B"/>
    <w:rsid w:val="00435E08"/>
    <w:rsid w:val="00435E4F"/>
    <w:rsid w:val="0043694F"/>
    <w:rsid w:val="00437263"/>
    <w:rsid w:val="00437D3E"/>
    <w:rsid w:val="00437D48"/>
    <w:rsid w:val="00437FF5"/>
    <w:rsid w:val="0044032C"/>
    <w:rsid w:val="004403D3"/>
    <w:rsid w:val="0044044D"/>
    <w:rsid w:val="00440703"/>
    <w:rsid w:val="00440D67"/>
    <w:rsid w:val="00440FD0"/>
    <w:rsid w:val="0044109C"/>
    <w:rsid w:val="00441185"/>
    <w:rsid w:val="00441555"/>
    <w:rsid w:val="00441D5E"/>
    <w:rsid w:val="0044266F"/>
    <w:rsid w:val="00442770"/>
    <w:rsid w:val="004427A0"/>
    <w:rsid w:val="00442939"/>
    <w:rsid w:val="00442A55"/>
    <w:rsid w:val="00442B89"/>
    <w:rsid w:val="00442DEA"/>
    <w:rsid w:val="00442EA6"/>
    <w:rsid w:val="00442F5A"/>
    <w:rsid w:val="00442FC9"/>
    <w:rsid w:val="004433CD"/>
    <w:rsid w:val="004435C4"/>
    <w:rsid w:val="004435DC"/>
    <w:rsid w:val="00443696"/>
    <w:rsid w:val="00444398"/>
    <w:rsid w:val="00444523"/>
    <w:rsid w:val="004449AE"/>
    <w:rsid w:val="00444C5E"/>
    <w:rsid w:val="0044512A"/>
    <w:rsid w:val="004456EC"/>
    <w:rsid w:val="00445749"/>
    <w:rsid w:val="00445DB6"/>
    <w:rsid w:val="004462A9"/>
    <w:rsid w:val="00446378"/>
    <w:rsid w:val="00446F77"/>
    <w:rsid w:val="004470D3"/>
    <w:rsid w:val="0044796A"/>
    <w:rsid w:val="00447A26"/>
    <w:rsid w:val="00447CF9"/>
    <w:rsid w:val="00447D8F"/>
    <w:rsid w:val="00450198"/>
    <w:rsid w:val="0045073C"/>
    <w:rsid w:val="004509F8"/>
    <w:rsid w:val="00450BFF"/>
    <w:rsid w:val="0045112D"/>
    <w:rsid w:val="004517FE"/>
    <w:rsid w:val="00451991"/>
    <w:rsid w:val="004520DF"/>
    <w:rsid w:val="00452A6F"/>
    <w:rsid w:val="00452C57"/>
    <w:rsid w:val="00452FDC"/>
    <w:rsid w:val="0045315E"/>
    <w:rsid w:val="004538F4"/>
    <w:rsid w:val="00453F1B"/>
    <w:rsid w:val="00453F29"/>
    <w:rsid w:val="0045445F"/>
    <w:rsid w:val="004549C0"/>
    <w:rsid w:val="00454A63"/>
    <w:rsid w:val="0045587C"/>
    <w:rsid w:val="0045588E"/>
    <w:rsid w:val="00455909"/>
    <w:rsid w:val="00455DD1"/>
    <w:rsid w:val="00455E65"/>
    <w:rsid w:val="00455EBF"/>
    <w:rsid w:val="00455F67"/>
    <w:rsid w:val="0045602C"/>
    <w:rsid w:val="00456395"/>
    <w:rsid w:val="004564DB"/>
    <w:rsid w:val="00456AA6"/>
    <w:rsid w:val="00456BEF"/>
    <w:rsid w:val="00456D70"/>
    <w:rsid w:val="004579DB"/>
    <w:rsid w:val="00457A06"/>
    <w:rsid w:val="0046019F"/>
    <w:rsid w:val="0046056C"/>
    <w:rsid w:val="00460AAF"/>
    <w:rsid w:val="00460BAE"/>
    <w:rsid w:val="00460CD4"/>
    <w:rsid w:val="00461031"/>
    <w:rsid w:val="0046109A"/>
    <w:rsid w:val="004611DA"/>
    <w:rsid w:val="004617E5"/>
    <w:rsid w:val="004618C2"/>
    <w:rsid w:val="00461D92"/>
    <w:rsid w:val="00462516"/>
    <w:rsid w:val="00462E76"/>
    <w:rsid w:val="0046301E"/>
    <w:rsid w:val="0046349C"/>
    <w:rsid w:val="00463AB4"/>
    <w:rsid w:val="00463AE8"/>
    <w:rsid w:val="00463F80"/>
    <w:rsid w:val="0046403C"/>
    <w:rsid w:val="004641C4"/>
    <w:rsid w:val="004649EF"/>
    <w:rsid w:val="00464A19"/>
    <w:rsid w:val="00464C05"/>
    <w:rsid w:val="00464DEA"/>
    <w:rsid w:val="00465DC2"/>
    <w:rsid w:val="00465FC8"/>
    <w:rsid w:val="00465FFC"/>
    <w:rsid w:val="00466229"/>
    <w:rsid w:val="004668BE"/>
    <w:rsid w:val="0046719F"/>
    <w:rsid w:val="00467213"/>
    <w:rsid w:val="004678C3"/>
    <w:rsid w:val="004705D5"/>
    <w:rsid w:val="004710CE"/>
    <w:rsid w:val="0047120D"/>
    <w:rsid w:val="00471B60"/>
    <w:rsid w:val="00471DBB"/>
    <w:rsid w:val="00472135"/>
    <w:rsid w:val="0047299C"/>
    <w:rsid w:val="00472A0B"/>
    <w:rsid w:val="004730B1"/>
    <w:rsid w:val="004730C8"/>
    <w:rsid w:val="004733E3"/>
    <w:rsid w:val="00473473"/>
    <w:rsid w:val="004736B9"/>
    <w:rsid w:val="00473F60"/>
    <w:rsid w:val="0047473B"/>
    <w:rsid w:val="00474FB6"/>
    <w:rsid w:val="004751EE"/>
    <w:rsid w:val="00475292"/>
    <w:rsid w:val="00475608"/>
    <w:rsid w:val="0047570A"/>
    <w:rsid w:val="00475827"/>
    <w:rsid w:val="004759F6"/>
    <w:rsid w:val="004761D6"/>
    <w:rsid w:val="004764E1"/>
    <w:rsid w:val="00477035"/>
    <w:rsid w:val="004771C9"/>
    <w:rsid w:val="004773DD"/>
    <w:rsid w:val="004775DD"/>
    <w:rsid w:val="004775E9"/>
    <w:rsid w:val="00477E70"/>
    <w:rsid w:val="00477F17"/>
    <w:rsid w:val="00480A19"/>
    <w:rsid w:val="004812F3"/>
    <w:rsid w:val="004814BB"/>
    <w:rsid w:val="00481A3D"/>
    <w:rsid w:val="00481B31"/>
    <w:rsid w:val="00481DA3"/>
    <w:rsid w:val="0048249D"/>
    <w:rsid w:val="00482BD4"/>
    <w:rsid w:val="00482C4A"/>
    <w:rsid w:val="004830D0"/>
    <w:rsid w:val="0048333C"/>
    <w:rsid w:val="00483424"/>
    <w:rsid w:val="00483490"/>
    <w:rsid w:val="00483777"/>
    <w:rsid w:val="004837E2"/>
    <w:rsid w:val="00483B7F"/>
    <w:rsid w:val="004844BF"/>
    <w:rsid w:val="00484A63"/>
    <w:rsid w:val="00484FBD"/>
    <w:rsid w:val="0048536F"/>
    <w:rsid w:val="0048585D"/>
    <w:rsid w:val="00485AAD"/>
    <w:rsid w:val="00485BE6"/>
    <w:rsid w:val="00485FD4"/>
    <w:rsid w:val="0048653A"/>
    <w:rsid w:val="004866E1"/>
    <w:rsid w:val="00486B04"/>
    <w:rsid w:val="00486B14"/>
    <w:rsid w:val="00486C54"/>
    <w:rsid w:val="00486D0B"/>
    <w:rsid w:val="004872B6"/>
    <w:rsid w:val="0048747D"/>
    <w:rsid w:val="0048780C"/>
    <w:rsid w:val="00487A52"/>
    <w:rsid w:val="00487AD7"/>
    <w:rsid w:val="00487CBA"/>
    <w:rsid w:val="00487ED3"/>
    <w:rsid w:val="00487F34"/>
    <w:rsid w:val="00490A6D"/>
    <w:rsid w:val="00491876"/>
    <w:rsid w:val="00491900"/>
    <w:rsid w:val="0049201B"/>
    <w:rsid w:val="004920DA"/>
    <w:rsid w:val="0049214E"/>
    <w:rsid w:val="004929B7"/>
    <w:rsid w:val="004929D8"/>
    <w:rsid w:val="004940A6"/>
    <w:rsid w:val="0049432B"/>
    <w:rsid w:val="00494576"/>
    <w:rsid w:val="00494B0F"/>
    <w:rsid w:val="00494B19"/>
    <w:rsid w:val="00494B2D"/>
    <w:rsid w:val="00494FA6"/>
    <w:rsid w:val="004957B9"/>
    <w:rsid w:val="00495A83"/>
    <w:rsid w:val="004960F5"/>
    <w:rsid w:val="004962ED"/>
    <w:rsid w:val="004964F5"/>
    <w:rsid w:val="004974BC"/>
    <w:rsid w:val="00497BC6"/>
    <w:rsid w:val="00497BD8"/>
    <w:rsid w:val="004A00C4"/>
    <w:rsid w:val="004A0634"/>
    <w:rsid w:val="004A0E3B"/>
    <w:rsid w:val="004A0EA2"/>
    <w:rsid w:val="004A1112"/>
    <w:rsid w:val="004A119B"/>
    <w:rsid w:val="004A1383"/>
    <w:rsid w:val="004A14BE"/>
    <w:rsid w:val="004A1621"/>
    <w:rsid w:val="004A1CAC"/>
    <w:rsid w:val="004A1E32"/>
    <w:rsid w:val="004A2B01"/>
    <w:rsid w:val="004A382B"/>
    <w:rsid w:val="004A3C3C"/>
    <w:rsid w:val="004A3F1D"/>
    <w:rsid w:val="004A53A0"/>
    <w:rsid w:val="004A56B0"/>
    <w:rsid w:val="004A591E"/>
    <w:rsid w:val="004A5920"/>
    <w:rsid w:val="004A5B2E"/>
    <w:rsid w:val="004A6225"/>
    <w:rsid w:val="004A646A"/>
    <w:rsid w:val="004A66D8"/>
    <w:rsid w:val="004A6972"/>
    <w:rsid w:val="004A741C"/>
    <w:rsid w:val="004A7657"/>
    <w:rsid w:val="004B00C7"/>
    <w:rsid w:val="004B0D94"/>
    <w:rsid w:val="004B0F61"/>
    <w:rsid w:val="004B0FB3"/>
    <w:rsid w:val="004B15AA"/>
    <w:rsid w:val="004B17C0"/>
    <w:rsid w:val="004B1B86"/>
    <w:rsid w:val="004B215E"/>
    <w:rsid w:val="004B2373"/>
    <w:rsid w:val="004B302C"/>
    <w:rsid w:val="004B3230"/>
    <w:rsid w:val="004B390B"/>
    <w:rsid w:val="004B3975"/>
    <w:rsid w:val="004B3B44"/>
    <w:rsid w:val="004B3FCA"/>
    <w:rsid w:val="004B45A0"/>
    <w:rsid w:val="004B47CC"/>
    <w:rsid w:val="004B4C55"/>
    <w:rsid w:val="004B6573"/>
    <w:rsid w:val="004B6BE1"/>
    <w:rsid w:val="004B6FA5"/>
    <w:rsid w:val="004B761B"/>
    <w:rsid w:val="004B7958"/>
    <w:rsid w:val="004C0431"/>
    <w:rsid w:val="004C06A7"/>
    <w:rsid w:val="004C0760"/>
    <w:rsid w:val="004C0BE0"/>
    <w:rsid w:val="004C0E3B"/>
    <w:rsid w:val="004C1AD1"/>
    <w:rsid w:val="004C1D7C"/>
    <w:rsid w:val="004C29E9"/>
    <w:rsid w:val="004C2A98"/>
    <w:rsid w:val="004C2B94"/>
    <w:rsid w:val="004C2E71"/>
    <w:rsid w:val="004C31A0"/>
    <w:rsid w:val="004C383F"/>
    <w:rsid w:val="004C433F"/>
    <w:rsid w:val="004C457C"/>
    <w:rsid w:val="004C4634"/>
    <w:rsid w:val="004C4919"/>
    <w:rsid w:val="004C5005"/>
    <w:rsid w:val="004C5144"/>
    <w:rsid w:val="004C5199"/>
    <w:rsid w:val="004C525A"/>
    <w:rsid w:val="004C58A3"/>
    <w:rsid w:val="004C5C05"/>
    <w:rsid w:val="004C5F4C"/>
    <w:rsid w:val="004C6124"/>
    <w:rsid w:val="004C678F"/>
    <w:rsid w:val="004C684E"/>
    <w:rsid w:val="004C6CC5"/>
    <w:rsid w:val="004C7336"/>
    <w:rsid w:val="004C74BB"/>
    <w:rsid w:val="004C7802"/>
    <w:rsid w:val="004C7887"/>
    <w:rsid w:val="004D01D0"/>
    <w:rsid w:val="004D0769"/>
    <w:rsid w:val="004D079B"/>
    <w:rsid w:val="004D090D"/>
    <w:rsid w:val="004D0A0D"/>
    <w:rsid w:val="004D1C83"/>
    <w:rsid w:val="004D20CF"/>
    <w:rsid w:val="004D272B"/>
    <w:rsid w:val="004D2A59"/>
    <w:rsid w:val="004D2B04"/>
    <w:rsid w:val="004D2D4E"/>
    <w:rsid w:val="004D2DD3"/>
    <w:rsid w:val="004D31D4"/>
    <w:rsid w:val="004D342F"/>
    <w:rsid w:val="004D344B"/>
    <w:rsid w:val="004D3522"/>
    <w:rsid w:val="004D388C"/>
    <w:rsid w:val="004D3BEB"/>
    <w:rsid w:val="004D446D"/>
    <w:rsid w:val="004D557F"/>
    <w:rsid w:val="004D5ACB"/>
    <w:rsid w:val="004D5BFB"/>
    <w:rsid w:val="004D5FC7"/>
    <w:rsid w:val="004D613C"/>
    <w:rsid w:val="004D62D6"/>
    <w:rsid w:val="004D6370"/>
    <w:rsid w:val="004D67D4"/>
    <w:rsid w:val="004D6A8E"/>
    <w:rsid w:val="004D7124"/>
    <w:rsid w:val="004D7414"/>
    <w:rsid w:val="004D7966"/>
    <w:rsid w:val="004D7ABB"/>
    <w:rsid w:val="004D7B22"/>
    <w:rsid w:val="004D7CD6"/>
    <w:rsid w:val="004D7F38"/>
    <w:rsid w:val="004E043F"/>
    <w:rsid w:val="004E126B"/>
    <w:rsid w:val="004E12C3"/>
    <w:rsid w:val="004E1578"/>
    <w:rsid w:val="004E168B"/>
    <w:rsid w:val="004E1D31"/>
    <w:rsid w:val="004E25E5"/>
    <w:rsid w:val="004E296A"/>
    <w:rsid w:val="004E299C"/>
    <w:rsid w:val="004E2EEF"/>
    <w:rsid w:val="004E35A6"/>
    <w:rsid w:val="004E40E7"/>
    <w:rsid w:val="004E41CF"/>
    <w:rsid w:val="004E47B2"/>
    <w:rsid w:val="004E4D04"/>
    <w:rsid w:val="004E52F7"/>
    <w:rsid w:val="004E5639"/>
    <w:rsid w:val="004E5B00"/>
    <w:rsid w:val="004E5BF6"/>
    <w:rsid w:val="004E5C7D"/>
    <w:rsid w:val="004E5DAB"/>
    <w:rsid w:val="004E5DB2"/>
    <w:rsid w:val="004E5EDF"/>
    <w:rsid w:val="004E5F3A"/>
    <w:rsid w:val="004E69D3"/>
    <w:rsid w:val="004E6B42"/>
    <w:rsid w:val="004E6F7C"/>
    <w:rsid w:val="004E6FEB"/>
    <w:rsid w:val="004E72B5"/>
    <w:rsid w:val="004F0074"/>
    <w:rsid w:val="004F03B5"/>
    <w:rsid w:val="004F03ED"/>
    <w:rsid w:val="004F07E4"/>
    <w:rsid w:val="004F125D"/>
    <w:rsid w:val="004F1A4B"/>
    <w:rsid w:val="004F1AAF"/>
    <w:rsid w:val="004F1B20"/>
    <w:rsid w:val="004F1BFB"/>
    <w:rsid w:val="004F1CEB"/>
    <w:rsid w:val="004F1DBF"/>
    <w:rsid w:val="004F2346"/>
    <w:rsid w:val="004F2691"/>
    <w:rsid w:val="004F2A3B"/>
    <w:rsid w:val="004F2DA9"/>
    <w:rsid w:val="004F2F46"/>
    <w:rsid w:val="004F3B79"/>
    <w:rsid w:val="004F43DC"/>
    <w:rsid w:val="004F4A1D"/>
    <w:rsid w:val="004F4A26"/>
    <w:rsid w:val="004F4AAB"/>
    <w:rsid w:val="004F5524"/>
    <w:rsid w:val="004F5B3F"/>
    <w:rsid w:val="004F5BE5"/>
    <w:rsid w:val="004F5D48"/>
    <w:rsid w:val="004F5F4D"/>
    <w:rsid w:val="004F6055"/>
    <w:rsid w:val="004F6348"/>
    <w:rsid w:val="004F63CE"/>
    <w:rsid w:val="004F65CE"/>
    <w:rsid w:val="004F6757"/>
    <w:rsid w:val="004F6AEC"/>
    <w:rsid w:val="004F7164"/>
    <w:rsid w:val="004F760C"/>
    <w:rsid w:val="004F77DC"/>
    <w:rsid w:val="004F7E92"/>
    <w:rsid w:val="0050079B"/>
    <w:rsid w:val="005008D6"/>
    <w:rsid w:val="0050124B"/>
    <w:rsid w:val="0050211E"/>
    <w:rsid w:val="00502205"/>
    <w:rsid w:val="00502B3E"/>
    <w:rsid w:val="00502F50"/>
    <w:rsid w:val="00503703"/>
    <w:rsid w:val="00503C4B"/>
    <w:rsid w:val="0050418B"/>
    <w:rsid w:val="005041EF"/>
    <w:rsid w:val="00504B7D"/>
    <w:rsid w:val="00504BEB"/>
    <w:rsid w:val="00504DD6"/>
    <w:rsid w:val="00504E7B"/>
    <w:rsid w:val="0050549D"/>
    <w:rsid w:val="00505B4A"/>
    <w:rsid w:val="00505B87"/>
    <w:rsid w:val="00506043"/>
    <w:rsid w:val="005061B2"/>
    <w:rsid w:val="00506280"/>
    <w:rsid w:val="005063AF"/>
    <w:rsid w:val="0050653C"/>
    <w:rsid w:val="00506727"/>
    <w:rsid w:val="00506BF6"/>
    <w:rsid w:val="00506D67"/>
    <w:rsid w:val="00506E49"/>
    <w:rsid w:val="00507241"/>
    <w:rsid w:val="00507898"/>
    <w:rsid w:val="005078A0"/>
    <w:rsid w:val="00507C07"/>
    <w:rsid w:val="00510421"/>
    <w:rsid w:val="00510536"/>
    <w:rsid w:val="00510851"/>
    <w:rsid w:val="00510952"/>
    <w:rsid w:val="00511000"/>
    <w:rsid w:val="00511682"/>
    <w:rsid w:val="005123F0"/>
    <w:rsid w:val="00512E21"/>
    <w:rsid w:val="005135AB"/>
    <w:rsid w:val="0051398F"/>
    <w:rsid w:val="00513D3D"/>
    <w:rsid w:val="0051453F"/>
    <w:rsid w:val="00515014"/>
    <w:rsid w:val="00515811"/>
    <w:rsid w:val="005158A3"/>
    <w:rsid w:val="005158EA"/>
    <w:rsid w:val="005159A3"/>
    <w:rsid w:val="00515C53"/>
    <w:rsid w:val="00515D00"/>
    <w:rsid w:val="00516607"/>
    <w:rsid w:val="00516D4E"/>
    <w:rsid w:val="00517057"/>
    <w:rsid w:val="0051717F"/>
    <w:rsid w:val="00517D3E"/>
    <w:rsid w:val="00521311"/>
    <w:rsid w:val="005216F2"/>
    <w:rsid w:val="00521E0D"/>
    <w:rsid w:val="005221C9"/>
    <w:rsid w:val="0052224E"/>
    <w:rsid w:val="005222DC"/>
    <w:rsid w:val="00522CB1"/>
    <w:rsid w:val="00522EE7"/>
    <w:rsid w:val="0052359C"/>
    <w:rsid w:val="00523A5A"/>
    <w:rsid w:val="00523FA5"/>
    <w:rsid w:val="005243B5"/>
    <w:rsid w:val="00524400"/>
    <w:rsid w:val="005246A4"/>
    <w:rsid w:val="00524777"/>
    <w:rsid w:val="00524A2F"/>
    <w:rsid w:val="00524D60"/>
    <w:rsid w:val="00525470"/>
    <w:rsid w:val="0052575B"/>
    <w:rsid w:val="00525CBC"/>
    <w:rsid w:val="0052602A"/>
    <w:rsid w:val="00526D63"/>
    <w:rsid w:val="00527287"/>
    <w:rsid w:val="00527DE9"/>
    <w:rsid w:val="00527E04"/>
    <w:rsid w:val="0053018E"/>
    <w:rsid w:val="005301E3"/>
    <w:rsid w:val="005302B2"/>
    <w:rsid w:val="00530451"/>
    <w:rsid w:val="00530B64"/>
    <w:rsid w:val="00530C94"/>
    <w:rsid w:val="00530CD5"/>
    <w:rsid w:val="00530DC6"/>
    <w:rsid w:val="00530E77"/>
    <w:rsid w:val="00531075"/>
    <w:rsid w:val="00531412"/>
    <w:rsid w:val="00531567"/>
    <w:rsid w:val="00531974"/>
    <w:rsid w:val="00531CB1"/>
    <w:rsid w:val="00531D7E"/>
    <w:rsid w:val="00532665"/>
    <w:rsid w:val="005326A3"/>
    <w:rsid w:val="005341DB"/>
    <w:rsid w:val="00534396"/>
    <w:rsid w:val="0053497E"/>
    <w:rsid w:val="00534B9E"/>
    <w:rsid w:val="00534D28"/>
    <w:rsid w:val="00534D6E"/>
    <w:rsid w:val="005352BD"/>
    <w:rsid w:val="00535868"/>
    <w:rsid w:val="005362EE"/>
    <w:rsid w:val="00536302"/>
    <w:rsid w:val="005363A1"/>
    <w:rsid w:val="00536C6E"/>
    <w:rsid w:val="00536CC0"/>
    <w:rsid w:val="005371AE"/>
    <w:rsid w:val="005371B5"/>
    <w:rsid w:val="0053768A"/>
    <w:rsid w:val="005376C5"/>
    <w:rsid w:val="00537702"/>
    <w:rsid w:val="005377C9"/>
    <w:rsid w:val="005378C6"/>
    <w:rsid w:val="005379F2"/>
    <w:rsid w:val="00537A9C"/>
    <w:rsid w:val="00537D4B"/>
    <w:rsid w:val="00537DEB"/>
    <w:rsid w:val="00537EBC"/>
    <w:rsid w:val="00537F03"/>
    <w:rsid w:val="00537F0E"/>
    <w:rsid w:val="00540297"/>
    <w:rsid w:val="0054095B"/>
    <w:rsid w:val="00540A40"/>
    <w:rsid w:val="00540D59"/>
    <w:rsid w:val="00540E21"/>
    <w:rsid w:val="00541430"/>
    <w:rsid w:val="005415F9"/>
    <w:rsid w:val="00541636"/>
    <w:rsid w:val="005416B0"/>
    <w:rsid w:val="00541C7F"/>
    <w:rsid w:val="005424B4"/>
    <w:rsid w:val="005426D8"/>
    <w:rsid w:val="00542A85"/>
    <w:rsid w:val="0054353C"/>
    <w:rsid w:val="00543ABA"/>
    <w:rsid w:val="00543F96"/>
    <w:rsid w:val="005445D2"/>
    <w:rsid w:val="00544B9D"/>
    <w:rsid w:val="00544F82"/>
    <w:rsid w:val="0054520B"/>
    <w:rsid w:val="005454BF"/>
    <w:rsid w:val="0054599A"/>
    <w:rsid w:val="005467F8"/>
    <w:rsid w:val="00546A6C"/>
    <w:rsid w:val="00546F09"/>
    <w:rsid w:val="0054747D"/>
    <w:rsid w:val="00547EC5"/>
    <w:rsid w:val="00550073"/>
    <w:rsid w:val="005500AB"/>
    <w:rsid w:val="00550153"/>
    <w:rsid w:val="0055047B"/>
    <w:rsid w:val="00550A91"/>
    <w:rsid w:val="00550D04"/>
    <w:rsid w:val="0055178C"/>
    <w:rsid w:val="00551A77"/>
    <w:rsid w:val="00551E7F"/>
    <w:rsid w:val="00551F92"/>
    <w:rsid w:val="0055245D"/>
    <w:rsid w:val="00552DB6"/>
    <w:rsid w:val="00552E2E"/>
    <w:rsid w:val="0055363C"/>
    <w:rsid w:val="00553702"/>
    <w:rsid w:val="00553B16"/>
    <w:rsid w:val="00553DE8"/>
    <w:rsid w:val="00553E7F"/>
    <w:rsid w:val="005543A2"/>
    <w:rsid w:val="005543B8"/>
    <w:rsid w:val="0055494C"/>
    <w:rsid w:val="00554B28"/>
    <w:rsid w:val="0055505D"/>
    <w:rsid w:val="0055546A"/>
    <w:rsid w:val="00555523"/>
    <w:rsid w:val="005559C1"/>
    <w:rsid w:val="00555B37"/>
    <w:rsid w:val="00556FAA"/>
    <w:rsid w:val="00556FD8"/>
    <w:rsid w:val="0055734E"/>
    <w:rsid w:val="00557492"/>
    <w:rsid w:val="005575E4"/>
    <w:rsid w:val="00557702"/>
    <w:rsid w:val="005578E2"/>
    <w:rsid w:val="00557A37"/>
    <w:rsid w:val="00557FB3"/>
    <w:rsid w:val="0056016C"/>
    <w:rsid w:val="0056027F"/>
    <w:rsid w:val="005609AD"/>
    <w:rsid w:val="00560C34"/>
    <w:rsid w:val="00560F71"/>
    <w:rsid w:val="00560FEF"/>
    <w:rsid w:val="00561220"/>
    <w:rsid w:val="00561246"/>
    <w:rsid w:val="00561848"/>
    <w:rsid w:val="00561F22"/>
    <w:rsid w:val="00561FD2"/>
    <w:rsid w:val="005623B7"/>
    <w:rsid w:val="005626C4"/>
    <w:rsid w:val="0056270C"/>
    <w:rsid w:val="0056275E"/>
    <w:rsid w:val="00562E33"/>
    <w:rsid w:val="005634AF"/>
    <w:rsid w:val="00563828"/>
    <w:rsid w:val="00563B91"/>
    <w:rsid w:val="00564403"/>
    <w:rsid w:val="005646CF"/>
    <w:rsid w:val="00565391"/>
    <w:rsid w:val="0056574D"/>
    <w:rsid w:val="00565812"/>
    <w:rsid w:val="0056593E"/>
    <w:rsid w:val="00565D21"/>
    <w:rsid w:val="00566376"/>
    <w:rsid w:val="005664C0"/>
    <w:rsid w:val="00566699"/>
    <w:rsid w:val="005670CD"/>
    <w:rsid w:val="005672B0"/>
    <w:rsid w:val="0056735C"/>
    <w:rsid w:val="005673DF"/>
    <w:rsid w:val="0056767A"/>
    <w:rsid w:val="005678CB"/>
    <w:rsid w:val="00567B66"/>
    <w:rsid w:val="0057054B"/>
    <w:rsid w:val="005705D9"/>
    <w:rsid w:val="00570611"/>
    <w:rsid w:val="00570877"/>
    <w:rsid w:val="0057102E"/>
    <w:rsid w:val="005712FD"/>
    <w:rsid w:val="00571CA3"/>
    <w:rsid w:val="005726A5"/>
    <w:rsid w:val="00573855"/>
    <w:rsid w:val="00573920"/>
    <w:rsid w:val="00574246"/>
    <w:rsid w:val="0057430C"/>
    <w:rsid w:val="00574744"/>
    <w:rsid w:val="005747DD"/>
    <w:rsid w:val="0057480F"/>
    <w:rsid w:val="005749C2"/>
    <w:rsid w:val="00574C26"/>
    <w:rsid w:val="005750B2"/>
    <w:rsid w:val="005758C6"/>
    <w:rsid w:val="00575B1D"/>
    <w:rsid w:val="00575C19"/>
    <w:rsid w:val="00575C53"/>
    <w:rsid w:val="00575F9C"/>
    <w:rsid w:val="005766AA"/>
    <w:rsid w:val="005767FA"/>
    <w:rsid w:val="00576C6A"/>
    <w:rsid w:val="0057736A"/>
    <w:rsid w:val="00577892"/>
    <w:rsid w:val="005778B4"/>
    <w:rsid w:val="00580BB9"/>
    <w:rsid w:val="005814A2"/>
    <w:rsid w:val="00581763"/>
    <w:rsid w:val="005825EA"/>
    <w:rsid w:val="00582E29"/>
    <w:rsid w:val="00583745"/>
    <w:rsid w:val="00583831"/>
    <w:rsid w:val="00583E8D"/>
    <w:rsid w:val="00584431"/>
    <w:rsid w:val="00584631"/>
    <w:rsid w:val="00584BAF"/>
    <w:rsid w:val="00584F19"/>
    <w:rsid w:val="0058518F"/>
    <w:rsid w:val="005854F8"/>
    <w:rsid w:val="00585739"/>
    <w:rsid w:val="00586268"/>
    <w:rsid w:val="00586538"/>
    <w:rsid w:val="00586F9F"/>
    <w:rsid w:val="00587177"/>
    <w:rsid w:val="00587495"/>
    <w:rsid w:val="00587B4D"/>
    <w:rsid w:val="00587C97"/>
    <w:rsid w:val="005900E8"/>
    <w:rsid w:val="00590AC4"/>
    <w:rsid w:val="00590DFC"/>
    <w:rsid w:val="00590F31"/>
    <w:rsid w:val="00591684"/>
    <w:rsid w:val="0059182A"/>
    <w:rsid w:val="00591D4A"/>
    <w:rsid w:val="00591E6B"/>
    <w:rsid w:val="00591FB6"/>
    <w:rsid w:val="005924C8"/>
    <w:rsid w:val="005929B9"/>
    <w:rsid w:val="00592AA5"/>
    <w:rsid w:val="00592D93"/>
    <w:rsid w:val="00593775"/>
    <w:rsid w:val="0059390C"/>
    <w:rsid w:val="0059398F"/>
    <w:rsid w:val="005939F7"/>
    <w:rsid w:val="00594111"/>
    <w:rsid w:val="0059443C"/>
    <w:rsid w:val="00594A34"/>
    <w:rsid w:val="00594ADE"/>
    <w:rsid w:val="00594AFF"/>
    <w:rsid w:val="00594F98"/>
    <w:rsid w:val="00595A21"/>
    <w:rsid w:val="00595B37"/>
    <w:rsid w:val="00595DDD"/>
    <w:rsid w:val="00596353"/>
    <w:rsid w:val="00596639"/>
    <w:rsid w:val="005973BF"/>
    <w:rsid w:val="005975F9"/>
    <w:rsid w:val="005978D4"/>
    <w:rsid w:val="00597DA4"/>
    <w:rsid w:val="00597ED3"/>
    <w:rsid w:val="005A05C6"/>
    <w:rsid w:val="005A0724"/>
    <w:rsid w:val="005A0DA7"/>
    <w:rsid w:val="005A0F84"/>
    <w:rsid w:val="005A1112"/>
    <w:rsid w:val="005A13BD"/>
    <w:rsid w:val="005A21C2"/>
    <w:rsid w:val="005A24A4"/>
    <w:rsid w:val="005A24D4"/>
    <w:rsid w:val="005A2DA6"/>
    <w:rsid w:val="005A3123"/>
    <w:rsid w:val="005A3A8B"/>
    <w:rsid w:val="005A3CAC"/>
    <w:rsid w:val="005A3CFF"/>
    <w:rsid w:val="005A3D49"/>
    <w:rsid w:val="005A4931"/>
    <w:rsid w:val="005A52BE"/>
    <w:rsid w:val="005A5411"/>
    <w:rsid w:val="005A5728"/>
    <w:rsid w:val="005A5F58"/>
    <w:rsid w:val="005A6385"/>
    <w:rsid w:val="005A69EF"/>
    <w:rsid w:val="005A6A71"/>
    <w:rsid w:val="005A6B79"/>
    <w:rsid w:val="005A70B4"/>
    <w:rsid w:val="005A7233"/>
    <w:rsid w:val="005A724D"/>
    <w:rsid w:val="005A745B"/>
    <w:rsid w:val="005A75CE"/>
    <w:rsid w:val="005A7603"/>
    <w:rsid w:val="005A766A"/>
    <w:rsid w:val="005B0384"/>
    <w:rsid w:val="005B05B9"/>
    <w:rsid w:val="005B07F8"/>
    <w:rsid w:val="005B089A"/>
    <w:rsid w:val="005B127B"/>
    <w:rsid w:val="005B1285"/>
    <w:rsid w:val="005B153A"/>
    <w:rsid w:val="005B1DBB"/>
    <w:rsid w:val="005B1EFB"/>
    <w:rsid w:val="005B2425"/>
    <w:rsid w:val="005B2480"/>
    <w:rsid w:val="005B26F4"/>
    <w:rsid w:val="005B3106"/>
    <w:rsid w:val="005B329D"/>
    <w:rsid w:val="005B350A"/>
    <w:rsid w:val="005B3981"/>
    <w:rsid w:val="005B3B99"/>
    <w:rsid w:val="005B3F3A"/>
    <w:rsid w:val="005B4CE0"/>
    <w:rsid w:val="005B5218"/>
    <w:rsid w:val="005B5265"/>
    <w:rsid w:val="005B55D2"/>
    <w:rsid w:val="005B59CC"/>
    <w:rsid w:val="005B606A"/>
    <w:rsid w:val="005B6152"/>
    <w:rsid w:val="005B699C"/>
    <w:rsid w:val="005B6E13"/>
    <w:rsid w:val="005B72FE"/>
    <w:rsid w:val="005B77D2"/>
    <w:rsid w:val="005B7DB8"/>
    <w:rsid w:val="005C00F4"/>
    <w:rsid w:val="005C0405"/>
    <w:rsid w:val="005C0964"/>
    <w:rsid w:val="005C0D73"/>
    <w:rsid w:val="005C0E1F"/>
    <w:rsid w:val="005C0E91"/>
    <w:rsid w:val="005C101E"/>
    <w:rsid w:val="005C1319"/>
    <w:rsid w:val="005C169C"/>
    <w:rsid w:val="005C2081"/>
    <w:rsid w:val="005C2257"/>
    <w:rsid w:val="005C3169"/>
    <w:rsid w:val="005C32E6"/>
    <w:rsid w:val="005C355C"/>
    <w:rsid w:val="005C3661"/>
    <w:rsid w:val="005C36D4"/>
    <w:rsid w:val="005C3898"/>
    <w:rsid w:val="005C3CCD"/>
    <w:rsid w:val="005C4448"/>
    <w:rsid w:val="005C4CED"/>
    <w:rsid w:val="005C58D1"/>
    <w:rsid w:val="005C5BAD"/>
    <w:rsid w:val="005C5C56"/>
    <w:rsid w:val="005C5F0A"/>
    <w:rsid w:val="005C63DC"/>
    <w:rsid w:val="005C6849"/>
    <w:rsid w:val="005C68B1"/>
    <w:rsid w:val="005C69AE"/>
    <w:rsid w:val="005C6CB6"/>
    <w:rsid w:val="005C6CF1"/>
    <w:rsid w:val="005C6E7A"/>
    <w:rsid w:val="005C7017"/>
    <w:rsid w:val="005C71A4"/>
    <w:rsid w:val="005C7333"/>
    <w:rsid w:val="005C7C8F"/>
    <w:rsid w:val="005C7CBD"/>
    <w:rsid w:val="005C7E8F"/>
    <w:rsid w:val="005D02FF"/>
    <w:rsid w:val="005D0994"/>
    <w:rsid w:val="005D0BAC"/>
    <w:rsid w:val="005D0F1F"/>
    <w:rsid w:val="005D1A20"/>
    <w:rsid w:val="005D1EA9"/>
    <w:rsid w:val="005D215A"/>
    <w:rsid w:val="005D2337"/>
    <w:rsid w:val="005D270F"/>
    <w:rsid w:val="005D2EA5"/>
    <w:rsid w:val="005D305A"/>
    <w:rsid w:val="005D30A4"/>
    <w:rsid w:val="005D31BE"/>
    <w:rsid w:val="005D3218"/>
    <w:rsid w:val="005D32CA"/>
    <w:rsid w:val="005D33D9"/>
    <w:rsid w:val="005D39B1"/>
    <w:rsid w:val="005D39C6"/>
    <w:rsid w:val="005D42AA"/>
    <w:rsid w:val="005D47BD"/>
    <w:rsid w:val="005D4999"/>
    <w:rsid w:val="005D4A54"/>
    <w:rsid w:val="005D4D2E"/>
    <w:rsid w:val="005D4F2D"/>
    <w:rsid w:val="005D563C"/>
    <w:rsid w:val="005D613D"/>
    <w:rsid w:val="005D639A"/>
    <w:rsid w:val="005D6663"/>
    <w:rsid w:val="005D691D"/>
    <w:rsid w:val="005D6ABB"/>
    <w:rsid w:val="005D7224"/>
    <w:rsid w:val="005D75E0"/>
    <w:rsid w:val="005D7A4A"/>
    <w:rsid w:val="005D7B80"/>
    <w:rsid w:val="005E0071"/>
    <w:rsid w:val="005E0C29"/>
    <w:rsid w:val="005E0DDF"/>
    <w:rsid w:val="005E1739"/>
    <w:rsid w:val="005E1DFD"/>
    <w:rsid w:val="005E1F12"/>
    <w:rsid w:val="005E234D"/>
    <w:rsid w:val="005E24C3"/>
    <w:rsid w:val="005E2582"/>
    <w:rsid w:val="005E2A8A"/>
    <w:rsid w:val="005E2E64"/>
    <w:rsid w:val="005E31B2"/>
    <w:rsid w:val="005E39A7"/>
    <w:rsid w:val="005E4B6F"/>
    <w:rsid w:val="005E558F"/>
    <w:rsid w:val="005E5C27"/>
    <w:rsid w:val="005E5F24"/>
    <w:rsid w:val="005E7672"/>
    <w:rsid w:val="005E7F60"/>
    <w:rsid w:val="005F1500"/>
    <w:rsid w:val="005F1761"/>
    <w:rsid w:val="005F17B8"/>
    <w:rsid w:val="005F1838"/>
    <w:rsid w:val="005F1BF5"/>
    <w:rsid w:val="005F1C6D"/>
    <w:rsid w:val="005F1D73"/>
    <w:rsid w:val="005F23E1"/>
    <w:rsid w:val="005F2941"/>
    <w:rsid w:val="005F29CA"/>
    <w:rsid w:val="005F2AB1"/>
    <w:rsid w:val="005F2D01"/>
    <w:rsid w:val="005F31F2"/>
    <w:rsid w:val="005F344E"/>
    <w:rsid w:val="005F3881"/>
    <w:rsid w:val="005F38E2"/>
    <w:rsid w:val="005F3AAD"/>
    <w:rsid w:val="005F3B4F"/>
    <w:rsid w:val="005F42F0"/>
    <w:rsid w:val="005F48ED"/>
    <w:rsid w:val="005F4E11"/>
    <w:rsid w:val="005F558F"/>
    <w:rsid w:val="005F55FC"/>
    <w:rsid w:val="005F5BC0"/>
    <w:rsid w:val="005F6629"/>
    <w:rsid w:val="005F6827"/>
    <w:rsid w:val="005F7068"/>
    <w:rsid w:val="005F70C5"/>
    <w:rsid w:val="005F7F3E"/>
    <w:rsid w:val="0060018B"/>
    <w:rsid w:val="006001DD"/>
    <w:rsid w:val="00600423"/>
    <w:rsid w:val="00600630"/>
    <w:rsid w:val="00600FFC"/>
    <w:rsid w:val="00601320"/>
    <w:rsid w:val="00601646"/>
    <w:rsid w:val="00601A1B"/>
    <w:rsid w:val="00601E57"/>
    <w:rsid w:val="006022B7"/>
    <w:rsid w:val="006022EF"/>
    <w:rsid w:val="00603078"/>
    <w:rsid w:val="00603466"/>
    <w:rsid w:val="006035B3"/>
    <w:rsid w:val="00603648"/>
    <w:rsid w:val="00604426"/>
    <w:rsid w:val="006044CF"/>
    <w:rsid w:val="00604AD2"/>
    <w:rsid w:val="00604E06"/>
    <w:rsid w:val="006069CC"/>
    <w:rsid w:val="00606E54"/>
    <w:rsid w:val="00607028"/>
    <w:rsid w:val="00607C95"/>
    <w:rsid w:val="006102B8"/>
    <w:rsid w:val="00610DCB"/>
    <w:rsid w:val="00611454"/>
    <w:rsid w:val="006114AF"/>
    <w:rsid w:val="006117CC"/>
    <w:rsid w:val="0061182C"/>
    <w:rsid w:val="0061198F"/>
    <w:rsid w:val="006121B5"/>
    <w:rsid w:val="00612775"/>
    <w:rsid w:val="006128C5"/>
    <w:rsid w:val="00612E35"/>
    <w:rsid w:val="0061342A"/>
    <w:rsid w:val="00613751"/>
    <w:rsid w:val="00613916"/>
    <w:rsid w:val="0061454A"/>
    <w:rsid w:val="00614DBE"/>
    <w:rsid w:val="006158DF"/>
    <w:rsid w:val="0061640D"/>
    <w:rsid w:val="00616DC3"/>
    <w:rsid w:val="006174EA"/>
    <w:rsid w:val="006177B1"/>
    <w:rsid w:val="00617CD8"/>
    <w:rsid w:val="00617E07"/>
    <w:rsid w:val="00617EE6"/>
    <w:rsid w:val="00620E1F"/>
    <w:rsid w:val="00621130"/>
    <w:rsid w:val="006212F2"/>
    <w:rsid w:val="006214F4"/>
    <w:rsid w:val="0062157F"/>
    <w:rsid w:val="00621BF8"/>
    <w:rsid w:val="00621D8F"/>
    <w:rsid w:val="00621EF9"/>
    <w:rsid w:val="00622008"/>
    <w:rsid w:val="00622550"/>
    <w:rsid w:val="006227AF"/>
    <w:rsid w:val="006228AE"/>
    <w:rsid w:val="00622947"/>
    <w:rsid w:val="00622E18"/>
    <w:rsid w:val="0062328E"/>
    <w:rsid w:val="006238D0"/>
    <w:rsid w:val="0062402D"/>
    <w:rsid w:val="00624947"/>
    <w:rsid w:val="00624966"/>
    <w:rsid w:val="006249A5"/>
    <w:rsid w:val="00624B30"/>
    <w:rsid w:val="00625449"/>
    <w:rsid w:val="00625451"/>
    <w:rsid w:val="0062550B"/>
    <w:rsid w:val="00625682"/>
    <w:rsid w:val="00625886"/>
    <w:rsid w:val="00625DAD"/>
    <w:rsid w:val="00625EE3"/>
    <w:rsid w:val="00626236"/>
    <w:rsid w:val="00626F00"/>
    <w:rsid w:val="00627003"/>
    <w:rsid w:val="00627A2D"/>
    <w:rsid w:val="00627F8C"/>
    <w:rsid w:val="00630033"/>
    <w:rsid w:val="0063006A"/>
    <w:rsid w:val="006309B5"/>
    <w:rsid w:val="00630CFE"/>
    <w:rsid w:val="00630F4D"/>
    <w:rsid w:val="006311FC"/>
    <w:rsid w:val="00631377"/>
    <w:rsid w:val="00631BA8"/>
    <w:rsid w:val="00631E39"/>
    <w:rsid w:val="00631F11"/>
    <w:rsid w:val="0063213B"/>
    <w:rsid w:val="00632170"/>
    <w:rsid w:val="00632684"/>
    <w:rsid w:val="00632779"/>
    <w:rsid w:val="00632A34"/>
    <w:rsid w:val="00632AAD"/>
    <w:rsid w:val="00632B4A"/>
    <w:rsid w:val="0063362A"/>
    <w:rsid w:val="00633AF5"/>
    <w:rsid w:val="00633CC1"/>
    <w:rsid w:val="00634503"/>
    <w:rsid w:val="00634E6F"/>
    <w:rsid w:val="00634F86"/>
    <w:rsid w:val="00635611"/>
    <w:rsid w:val="0063584E"/>
    <w:rsid w:val="00635910"/>
    <w:rsid w:val="00636271"/>
    <w:rsid w:val="0063630E"/>
    <w:rsid w:val="0063642C"/>
    <w:rsid w:val="00636687"/>
    <w:rsid w:val="00636723"/>
    <w:rsid w:val="00636D92"/>
    <w:rsid w:val="00636F02"/>
    <w:rsid w:val="00637323"/>
    <w:rsid w:val="0063791A"/>
    <w:rsid w:val="0063792A"/>
    <w:rsid w:val="00637932"/>
    <w:rsid w:val="0064044C"/>
    <w:rsid w:val="0064078A"/>
    <w:rsid w:val="0064096F"/>
    <w:rsid w:val="00640B59"/>
    <w:rsid w:val="00641953"/>
    <w:rsid w:val="00641CF7"/>
    <w:rsid w:val="00641EC6"/>
    <w:rsid w:val="00642287"/>
    <w:rsid w:val="0064237B"/>
    <w:rsid w:val="00642D1D"/>
    <w:rsid w:val="00642F8B"/>
    <w:rsid w:val="00643703"/>
    <w:rsid w:val="006438F6"/>
    <w:rsid w:val="00643C34"/>
    <w:rsid w:val="00643F0F"/>
    <w:rsid w:val="00643F3F"/>
    <w:rsid w:val="0064412E"/>
    <w:rsid w:val="00644198"/>
    <w:rsid w:val="0064430C"/>
    <w:rsid w:val="00644736"/>
    <w:rsid w:val="00645271"/>
    <w:rsid w:val="006466A7"/>
    <w:rsid w:val="00646871"/>
    <w:rsid w:val="006469B1"/>
    <w:rsid w:val="00650809"/>
    <w:rsid w:val="00650AA4"/>
    <w:rsid w:val="00650B75"/>
    <w:rsid w:val="00650BA6"/>
    <w:rsid w:val="0065132B"/>
    <w:rsid w:val="006513A5"/>
    <w:rsid w:val="00651611"/>
    <w:rsid w:val="006517B0"/>
    <w:rsid w:val="00652EFB"/>
    <w:rsid w:val="00653C95"/>
    <w:rsid w:val="00653CBF"/>
    <w:rsid w:val="00653FC6"/>
    <w:rsid w:val="00654823"/>
    <w:rsid w:val="00654E96"/>
    <w:rsid w:val="00655354"/>
    <w:rsid w:val="006554F6"/>
    <w:rsid w:val="00655D0A"/>
    <w:rsid w:val="00656653"/>
    <w:rsid w:val="00656A7C"/>
    <w:rsid w:val="00656B55"/>
    <w:rsid w:val="00656CCB"/>
    <w:rsid w:val="00656D8F"/>
    <w:rsid w:val="006577AA"/>
    <w:rsid w:val="006578AA"/>
    <w:rsid w:val="0065796C"/>
    <w:rsid w:val="00657AFC"/>
    <w:rsid w:val="00657D01"/>
    <w:rsid w:val="006601A7"/>
    <w:rsid w:val="00660F85"/>
    <w:rsid w:val="00661093"/>
    <w:rsid w:val="00662683"/>
    <w:rsid w:val="00662E1F"/>
    <w:rsid w:val="00662EDB"/>
    <w:rsid w:val="0066317B"/>
    <w:rsid w:val="006636F4"/>
    <w:rsid w:val="006639F0"/>
    <w:rsid w:val="00663A2B"/>
    <w:rsid w:val="00664705"/>
    <w:rsid w:val="00664761"/>
    <w:rsid w:val="00664E37"/>
    <w:rsid w:val="00665528"/>
    <w:rsid w:val="00665B45"/>
    <w:rsid w:val="00665B60"/>
    <w:rsid w:val="00665D77"/>
    <w:rsid w:val="006664B2"/>
    <w:rsid w:val="00666A27"/>
    <w:rsid w:val="00666C1A"/>
    <w:rsid w:val="00667ABB"/>
    <w:rsid w:val="00670375"/>
    <w:rsid w:val="006704E2"/>
    <w:rsid w:val="00670A9C"/>
    <w:rsid w:val="00670C59"/>
    <w:rsid w:val="00670D50"/>
    <w:rsid w:val="00670D94"/>
    <w:rsid w:val="00670F21"/>
    <w:rsid w:val="0067121C"/>
    <w:rsid w:val="0067148A"/>
    <w:rsid w:val="0067148E"/>
    <w:rsid w:val="00671DC1"/>
    <w:rsid w:val="00672C82"/>
    <w:rsid w:val="00673201"/>
    <w:rsid w:val="00673215"/>
    <w:rsid w:val="00673487"/>
    <w:rsid w:val="0067350B"/>
    <w:rsid w:val="006739CE"/>
    <w:rsid w:val="0067438E"/>
    <w:rsid w:val="006743D2"/>
    <w:rsid w:val="0067466D"/>
    <w:rsid w:val="00674717"/>
    <w:rsid w:val="00674AA3"/>
    <w:rsid w:val="00674E3A"/>
    <w:rsid w:val="00675ED1"/>
    <w:rsid w:val="0067607C"/>
    <w:rsid w:val="00676280"/>
    <w:rsid w:val="006765E5"/>
    <w:rsid w:val="00676AB0"/>
    <w:rsid w:val="00676D1B"/>
    <w:rsid w:val="00676FA8"/>
    <w:rsid w:val="00677158"/>
    <w:rsid w:val="00677FD1"/>
    <w:rsid w:val="006803D8"/>
    <w:rsid w:val="006804ED"/>
    <w:rsid w:val="0068079D"/>
    <w:rsid w:val="00680C27"/>
    <w:rsid w:val="00680DFC"/>
    <w:rsid w:val="00680E60"/>
    <w:rsid w:val="00680EE4"/>
    <w:rsid w:val="00680EF0"/>
    <w:rsid w:val="006810C4"/>
    <w:rsid w:val="00681F5A"/>
    <w:rsid w:val="00682525"/>
    <w:rsid w:val="006826F2"/>
    <w:rsid w:val="00682E4E"/>
    <w:rsid w:val="0068330A"/>
    <w:rsid w:val="00683780"/>
    <w:rsid w:val="0068384F"/>
    <w:rsid w:val="00684283"/>
    <w:rsid w:val="006847CD"/>
    <w:rsid w:val="00684B4D"/>
    <w:rsid w:val="00684E30"/>
    <w:rsid w:val="00685A28"/>
    <w:rsid w:val="0068607A"/>
    <w:rsid w:val="006863FC"/>
    <w:rsid w:val="00686836"/>
    <w:rsid w:val="00686B94"/>
    <w:rsid w:val="00686D5F"/>
    <w:rsid w:val="00686D70"/>
    <w:rsid w:val="00686EB6"/>
    <w:rsid w:val="00687158"/>
    <w:rsid w:val="006871DF"/>
    <w:rsid w:val="00687223"/>
    <w:rsid w:val="0068725C"/>
    <w:rsid w:val="0069150B"/>
    <w:rsid w:val="0069173C"/>
    <w:rsid w:val="006917F6"/>
    <w:rsid w:val="006921A2"/>
    <w:rsid w:val="00692C27"/>
    <w:rsid w:val="00692D67"/>
    <w:rsid w:val="0069325D"/>
    <w:rsid w:val="006932F5"/>
    <w:rsid w:val="00693602"/>
    <w:rsid w:val="0069391D"/>
    <w:rsid w:val="00693A7A"/>
    <w:rsid w:val="00693D57"/>
    <w:rsid w:val="00693DED"/>
    <w:rsid w:val="00694048"/>
    <w:rsid w:val="006949FB"/>
    <w:rsid w:val="00694A36"/>
    <w:rsid w:val="00694B13"/>
    <w:rsid w:val="0069518A"/>
    <w:rsid w:val="0069527F"/>
    <w:rsid w:val="006954AC"/>
    <w:rsid w:val="00695548"/>
    <w:rsid w:val="00695A89"/>
    <w:rsid w:val="00695C93"/>
    <w:rsid w:val="00695DFF"/>
    <w:rsid w:val="006960AD"/>
    <w:rsid w:val="006963FD"/>
    <w:rsid w:val="006964B8"/>
    <w:rsid w:val="0069687E"/>
    <w:rsid w:val="006969AD"/>
    <w:rsid w:val="006969B5"/>
    <w:rsid w:val="00696F6E"/>
    <w:rsid w:val="006971F1"/>
    <w:rsid w:val="00697377"/>
    <w:rsid w:val="00697B64"/>
    <w:rsid w:val="00697CF6"/>
    <w:rsid w:val="006A021A"/>
    <w:rsid w:val="006A0722"/>
    <w:rsid w:val="006A0C76"/>
    <w:rsid w:val="006A0CE7"/>
    <w:rsid w:val="006A103D"/>
    <w:rsid w:val="006A1623"/>
    <w:rsid w:val="006A1ABE"/>
    <w:rsid w:val="006A1BB9"/>
    <w:rsid w:val="006A1C4A"/>
    <w:rsid w:val="006A1E22"/>
    <w:rsid w:val="006A2778"/>
    <w:rsid w:val="006A2873"/>
    <w:rsid w:val="006A2BBE"/>
    <w:rsid w:val="006A3385"/>
    <w:rsid w:val="006A341A"/>
    <w:rsid w:val="006A38DD"/>
    <w:rsid w:val="006A3B9A"/>
    <w:rsid w:val="006A4A27"/>
    <w:rsid w:val="006A4B90"/>
    <w:rsid w:val="006A5490"/>
    <w:rsid w:val="006A5F19"/>
    <w:rsid w:val="006A61A7"/>
    <w:rsid w:val="006A639F"/>
    <w:rsid w:val="006A6497"/>
    <w:rsid w:val="006A6896"/>
    <w:rsid w:val="006A69C3"/>
    <w:rsid w:val="006A6F73"/>
    <w:rsid w:val="006A713E"/>
    <w:rsid w:val="006A75D1"/>
    <w:rsid w:val="006A761F"/>
    <w:rsid w:val="006A77B3"/>
    <w:rsid w:val="006A7F8D"/>
    <w:rsid w:val="006B014D"/>
    <w:rsid w:val="006B0180"/>
    <w:rsid w:val="006B03DE"/>
    <w:rsid w:val="006B06E0"/>
    <w:rsid w:val="006B1787"/>
    <w:rsid w:val="006B191E"/>
    <w:rsid w:val="006B1A9C"/>
    <w:rsid w:val="006B1FDA"/>
    <w:rsid w:val="006B27B6"/>
    <w:rsid w:val="006B2A67"/>
    <w:rsid w:val="006B3014"/>
    <w:rsid w:val="006B30C4"/>
    <w:rsid w:val="006B30EF"/>
    <w:rsid w:val="006B37FC"/>
    <w:rsid w:val="006B3FDC"/>
    <w:rsid w:val="006B417E"/>
    <w:rsid w:val="006B4244"/>
    <w:rsid w:val="006B436E"/>
    <w:rsid w:val="006B4840"/>
    <w:rsid w:val="006B4B34"/>
    <w:rsid w:val="006B4C77"/>
    <w:rsid w:val="006B4EC7"/>
    <w:rsid w:val="006B5555"/>
    <w:rsid w:val="006B5567"/>
    <w:rsid w:val="006B55B4"/>
    <w:rsid w:val="006B58CA"/>
    <w:rsid w:val="006B59E3"/>
    <w:rsid w:val="006B5A49"/>
    <w:rsid w:val="006B5B6F"/>
    <w:rsid w:val="006B5DBC"/>
    <w:rsid w:val="006B5F55"/>
    <w:rsid w:val="006B5F58"/>
    <w:rsid w:val="006B60C8"/>
    <w:rsid w:val="006B63E3"/>
    <w:rsid w:val="006B6830"/>
    <w:rsid w:val="006B6D57"/>
    <w:rsid w:val="006B72CC"/>
    <w:rsid w:val="006B72DE"/>
    <w:rsid w:val="006B73DC"/>
    <w:rsid w:val="006B770A"/>
    <w:rsid w:val="006B79BA"/>
    <w:rsid w:val="006B7A09"/>
    <w:rsid w:val="006C0524"/>
    <w:rsid w:val="006C0652"/>
    <w:rsid w:val="006C067D"/>
    <w:rsid w:val="006C06EC"/>
    <w:rsid w:val="006C094A"/>
    <w:rsid w:val="006C176C"/>
    <w:rsid w:val="006C1A8F"/>
    <w:rsid w:val="006C1EBB"/>
    <w:rsid w:val="006C226A"/>
    <w:rsid w:val="006C2277"/>
    <w:rsid w:val="006C25BF"/>
    <w:rsid w:val="006C2754"/>
    <w:rsid w:val="006C324C"/>
    <w:rsid w:val="006C3A82"/>
    <w:rsid w:val="006C3AB0"/>
    <w:rsid w:val="006C3D86"/>
    <w:rsid w:val="006C3F27"/>
    <w:rsid w:val="006C4087"/>
    <w:rsid w:val="006C4A10"/>
    <w:rsid w:val="006C4BFE"/>
    <w:rsid w:val="006C4D19"/>
    <w:rsid w:val="006C50C1"/>
    <w:rsid w:val="006C5709"/>
    <w:rsid w:val="006C5B5E"/>
    <w:rsid w:val="006C5E08"/>
    <w:rsid w:val="006C5E6C"/>
    <w:rsid w:val="006C62E0"/>
    <w:rsid w:val="006C6713"/>
    <w:rsid w:val="006C720D"/>
    <w:rsid w:val="006C7A7F"/>
    <w:rsid w:val="006C7E1B"/>
    <w:rsid w:val="006C7E8A"/>
    <w:rsid w:val="006D010D"/>
    <w:rsid w:val="006D0119"/>
    <w:rsid w:val="006D0161"/>
    <w:rsid w:val="006D084F"/>
    <w:rsid w:val="006D09A6"/>
    <w:rsid w:val="006D13C4"/>
    <w:rsid w:val="006D170A"/>
    <w:rsid w:val="006D18C5"/>
    <w:rsid w:val="006D1C8E"/>
    <w:rsid w:val="006D1E80"/>
    <w:rsid w:val="006D20C7"/>
    <w:rsid w:val="006D2189"/>
    <w:rsid w:val="006D24F2"/>
    <w:rsid w:val="006D2605"/>
    <w:rsid w:val="006D2615"/>
    <w:rsid w:val="006D276B"/>
    <w:rsid w:val="006D2B56"/>
    <w:rsid w:val="006D2CE5"/>
    <w:rsid w:val="006D2DFE"/>
    <w:rsid w:val="006D2E5C"/>
    <w:rsid w:val="006D2F47"/>
    <w:rsid w:val="006D32F5"/>
    <w:rsid w:val="006D3523"/>
    <w:rsid w:val="006D3593"/>
    <w:rsid w:val="006D3891"/>
    <w:rsid w:val="006D39E0"/>
    <w:rsid w:val="006D3FED"/>
    <w:rsid w:val="006D47C2"/>
    <w:rsid w:val="006D4D3E"/>
    <w:rsid w:val="006D5546"/>
    <w:rsid w:val="006D6226"/>
    <w:rsid w:val="006D6879"/>
    <w:rsid w:val="006D6AD3"/>
    <w:rsid w:val="006D6EFE"/>
    <w:rsid w:val="006D705B"/>
    <w:rsid w:val="006D729F"/>
    <w:rsid w:val="006D76EB"/>
    <w:rsid w:val="006D786A"/>
    <w:rsid w:val="006D79FD"/>
    <w:rsid w:val="006E0397"/>
    <w:rsid w:val="006E0468"/>
    <w:rsid w:val="006E11B9"/>
    <w:rsid w:val="006E13E5"/>
    <w:rsid w:val="006E1657"/>
    <w:rsid w:val="006E1BB2"/>
    <w:rsid w:val="006E21A4"/>
    <w:rsid w:val="006E2308"/>
    <w:rsid w:val="006E2D82"/>
    <w:rsid w:val="006E2FCE"/>
    <w:rsid w:val="006E373C"/>
    <w:rsid w:val="006E3830"/>
    <w:rsid w:val="006E4CB7"/>
    <w:rsid w:val="006E4D1C"/>
    <w:rsid w:val="006E5773"/>
    <w:rsid w:val="006E613A"/>
    <w:rsid w:val="006E61BE"/>
    <w:rsid w:val="006E6F76"/>
    <w:rsid w:val="006E713E"/>
    <w:rsid w:val="006E759C"/>
    <w:rsid w:val="006E7668"/>
    <w:rsid w:val="006E7803"/>
    <w:rsid w:val="006E7905"/>
    <w:rsid w:val="006F01C4"/>
    <w:rsid w:val="006F01EC"/>
    <w:rsid w:val="006F0385"/>
    <w:rsid w:val="006F12E1"/>
    <w:rsid w:val="006F182C"/>
    <w:rsid w:val="006F1B58"/>
    <w:rsid w:val="006F2606"/>
    <w:rsid w:val="006F31B2"/>
    <w:rsid w:val="006F35C1"/>
    <w:rsid w:val="006F376E"/>
    <w:rsid w:val="006F3B0C"/>
    <w:rsid w:val="006F3D75"/>
    <w:rsid w:val="006F4643"/>
    <w:rsid w:val="006F4879"/>
    <w:rsid w:val="006F48BF"/>
    <w:rsid w:val="006F494C"/>
    <w:rsid w:val="006F4BA8"/>
    <w:rsid w:val="006F4CF5"/>
    <w:rsid w:val="006F5399"/>
    <w:rsid w:val="006F5DC2"/>
    <w:rsid w:val="006F6080"/>
    <w:rsid w:val="006F6291"/>
    <w:rsid w:val="006F64CB"/>
    <w:rsid w:val="006F69D0"/>
    <w:rsid w:val="006F6AA0"/>
    <w:rsid w:val="006F6B96"/>
    <w:rsid w:val="006F7126"/>
    <w:rsid w:val="006F7325"/>
    <w:rsid w:val="006F74C1"/>
    <w:rsid w:val="006F7624"/>
    <w:rsid w:val="006F7BE5"/>
    <w:rsid w:val="007004FC"/>
    <w:rsid w:val="00700531"/>
    <w:rsid w:val="00700826"/>
    <w:rsid w:val="00700A35"/>
    <w:rsid w:val="00700F11"/>
    <w:rsid w:val="00700FE3"/>
    <w:rsid w:val="007013C3"/>
    <w:rsid w:val="0070161A"/>
    <w:rsid w:val="007016C5"/>
    <w:rsid w:val="00701A4C"/>
    <w:rsid w:val="00701E57"/>
    <w:rsid w:val="00702732"/>
    <w:rsid w:val="00702EFB"/>
    <w:rsid w:val="00703709"/>
    <w:rsid w:val="00703A68"/>
    <w:rsid w:val="00703F98"/>
    <w:rsid w:val="0070406C"/>
    <w:rsid w:val="007043E4"/>
    <w:rsid w:val="0070473D"/>
    <w:rsid w:val="0070486B"/>
    <w:rsid w:val="007050C0"/>
    <w:rsid w:val="00705452"/>
    <w:rsid w:val="00705573"/>
    <w:rsid w:val="00705B07"/>
    <w:rsid w:val="00706216"/>
    <w:rsid w:val="00706A17"/>
    <w:rsid w:val="00706BE4"/>
    <w:rsid w:val="00706E4A"/>
    <w:rsid w:val="00710135"/>
    <w:rsid w:val="0071043E"/>
    <w:rsid w:val="00710846"/>
    <w:rsid w:val="0071084A"/>
    <w:rsid w:val="00710A8B"/>
    <w:rsid w:val="00710BDE"/>
    <w:rsid w:val="00710E2F"/>
    <w:rsid w:val="00711144"/>
    <w:rsid w:val="007112C3"/>
    <w:rsid w:val="00711322"/>
    <w:rsid w:val="0071156B"/>
    <w:rsid w:val="007115C7"/>
    <w:rsid w:val="0071164E"/>
    <w:rsid w:val="00711AE5"/>
    <w:rsid w:val="00711CFF"/>
    <w:rsid w:val="00711E28"/>
    <w:rsid w:val="007120EE"/>
    <w:rsid w:val="007126A9"/>
    <w:rsid w:val="00712AE0"/>
    <w:rsid w:val="007131DD"/>
    <w:rsid w:val="007137A3"/>
    <w:rsid w:val="00713903"/>
    <w:rsid w:val="007139FE"/>
    <w:rsid w:val="00714616"/>
    <w:rsid w:val="007146AE"/>
    <w:rsid w:val="007151B1"/>
    <w:rsid w:val="00715530"/>
    <w:rsid w:val="007156A4"/>
    <w:rsid w:val="007157B6"/>
    <w:rsid w:val="007158AC"/>
    <w:rsid w:val="00715D45"/>
    <w:rsid w:val="0071604C"/>
    <w:rsid w:val="0071628A"/>
    <w:rsid w:val="007165DE"/>
    <w:rsid w:val="0071664C"/>
    <w:rsid w:val="0071675A"/>
    <w:rsid w:val="007167E1"/>
    <w:rsid w:val="00716E40"/>
    <w:rsid w:val="00716E60"/>
    <w:rsid w:val="00717016"/>
    <w:rsid w:val="007171F5"/>
    <w:rsid w:val="007175A0"/>
    <w:rsid w:val="00717616"/>
    <w:rsid w:val="00720232"/>
    <w:rsid w:val="00720261"/>
    <w:rsid w:val="0072026E"/>
    <w:rsid w:val="007204F0"/>
    <w:rsid w:val="00720683"/>
    <w:rsid w:val="00720857"/>
    <w:rsid w:val="00720B21"/>
    <w:rsid w:val="00720F6A"/>
    <w:rsid w:val="0072127C"/>
    <w:rsid w:val="00721358"/>
    <w:rsid w:val="0072136C"/>
    <w:rsid w:val="007218B0"/>
    <w:rsid w:val="00722040"/>
    <w:rsid w:val="0072228D"/>
    <w:rsid w:val="007229CB"/>
    <w:rsid w:val="00722B79"/>
    <w:rsid w:val="0072318A"/>
    <w:rsid w:val="007236D0"/>
    <w:rsid w:val="00723D94"/>
    <w:rsid w:val="007240D1"/>
    <w:rsid w:val="0072433C"/>
    <w:rsid w:val="007251CB"/>
    <w:rsid w:val="00725406"/>
    <w:rsid w:val="007259C2"/>
    <w:rsid w:val="00725E1E"/>
    <w:rsid w:val="007261D2"/>
    <w:rsid w:val="00727212"/>
    <w:rsid w:val="007272F6"/>
    <w:rsid w:val="0072739D"/>
    <w:rsid w:val="00727987"/>
    <w:rsid w:val="00727CE8"/>
    <w:rsid w:val="00727E77"/>
    <w:rsid w:val="00730289"/>
    <w:rsid w:val="007302AE"/>
    <w:rsid w:val="0073053B"/>
    <w:rsid w:val="0073087C"/>
    <w:rsid w:val="00730A7E"/>
    <w:rsid w:val="00730B3C"/>
    <w:rsid w:val="00731345"/>
    <w:rsid w:val="00731EAE"/>
    <w:rsid w:val="00731EB1"/>
    <w:rsid w:val="0073225D"/>
    <w:rsid w:val="00733228"/>
    <w:rsid w:val="00733293"/>
    <w:rsid w:val="007332AA"/>
    <w:rsid w:val="0073356B"/>
    <w:rsid w:val="007338D2"/>
    <w:rsid w:val="00733E5E"/>
    <w:rsid w:val="0073411C"/>
    <w:rsid w:val="00734139"/>
    <w:rsid w:val="00734328"/>
    <w:rsid w:val="007344D2"/>
    <w:rsid w:val="00734652"/>
    <w:rsid w:val="00734BDE"/>
    <w:rsid w:val="00734C06"/>
    <w:rsid w:val="00734C41"/>
    <w:rsid w:val="00734EF7"/>
    <w:rsid w:val="00734F9E"/>
    <w:rsid w:val="007350C8"/>
    <w:rsid w:val="00735F0C"/>
    <w:rsid w:val="007364FE"/>
    <w:rsid w:val="00736AC8"/>
    <w:rsid w:val="0073744F"/>
    <w:rsid w:val="00737B62"/>
    <w:rsid w:val="00737C67"/>
    <w:rsid w:val="00737C68"/>
    <w:rsid w:val="00737F34"/>
    <w:rsid w:val="00737FEF"/>
    <w:rsid w:val="007400D4"/>
    <w:rsid w:val="007400F5"/>
    <w:rsid w:val="00740328"/>
    <w:rsid w:val="00740747"/>
    <w:rsid w:val="00740801"/>
    <w:rsid w:val="00740934"/>
    <w:rsid w:val="00741608"/>
    <w:rsid w:val="00741682"/>
    <w:rsid w:val="0074177B"/>
    <w:rsid w:val="00741A44"/>
    <w:rsid w:val="00741A7F"/>
    <w:rsid w:val="0074232C"/>
    <w:rsid w:val="0074243E"/>
    <w:rsid w:val="00742532"/>
    <w:rsid w:val="00742AC7"/>
    <w:rsid w:val="00742DCA"/>
    <w:rsid w:val="00743156"/>
    <w:rsid w:val="007431C6"/>
    <w:rsid w:val="007435CF"/>
    <w:rsid w:val="00743A01"/>
    <w:rsid w:val="00743DCE"/>
    <w:rsid w:val="00744342"/>
    <w:rsid w:val="00744BE3"/>
    <w:rsid w:val="00744CD1"/>
    <w:rsid w:val="00744CE0"/>
    <w:rsid w:val="00745D70"/>
    <w:rsid w:val="00745D76"/>
    <w:rsid w:val="0074665A"/>
    <w:rsid w:val="0074752A"/>
    <w:rsid w:val="00747880"/>
    <w:rsid w:val="007478A2"/>
    <w:rsid w:val="00747FC2"/>
    <w:rsid w:val="007503C6"/>
    <w:rsid w:val="0075066F"/>
    <w:rsid w:val="00750722"/>
    <w:rsid w:val="0075076D"/>
    <w:rsid w:val="00750FCC"/>
    <w:rsid w:val="00751108"/>
    <w:rsid w:val="00751AEB"/>
    <w:rsid w:val="00751FE2"/>
    <w:rsid w:val="007520BD"/>
    <w:rsid w:val="00752333"/>
    <w:rsid w:val="0075240C"/>
    <w:rsid w:val="00752B57"/>
    <w:rsid w:val="00752DCD"/>
    <w:rsid w:val="00752E70"/>
    <w:rsid w:val="0075328D"/>
    <w:rsid w:val="0075330E"/>
    <w:rsid w:val="007533D7"/>
    <w:rsid w:val="00753A86"/>
    <w:rsid w:val="00753CB4"/>
    <w:rsid w:val="007542A7"/>
    <w:rsid w:val="00754645"/>
    <w:rsid w:val="00754736"/>
    <w:rsid w:val="007547C3"/>
    <w:rsid w:val="00754C53"/>
    <w:rsid w:val="00755284"/>
    <w:rsid w:val="00755A41"/>
    <w:rsid w:val="00755B3B"/>
    <w:rsid w:val="00755C88"/>
    <w:rsid w:val="007562F8"/>
    <w:rsid w:val="00756A64"/>
    <w:rsid w:val="00756D69"/>
    <w:rsid w:val="0075713C"/>
    <w:rsid w:val="00757178"/>
    <w:rsid w:val="00757361"/>
    <w:rsid w:val="007574AF"/>
    <w:rsid w:val="007576A4"/>
    <w:rsid w:val="00757B66"/>
    <w:rsid w:val="00757CE4"/>
    <w:rsid w:val="00760312"/>
    <w:rsid w:val="007605C4"/>
    <w:rsid w:val="007607A0"/>
    <w:rsid w:val="00760AF6"/>
    <w:rsid w:val="00761055"/>
    <w:rsid w:val="007617DE"/>
    <w:rsid w:val="0076180F"/>
    <w:rsid w:val="00761890"/>
    <w:rsid w:val="007619C7"/>
    <w:rsid w:val="00761A15"/>
    <w:rsid w:val="00761B36"/>
    <w:rsid w:val="00762649"/>
    <w:rsid w:val="00762BC2"/>
    <w:rsid w:val="007638B2"/>
    <w:rsid w:val="00763B81"/>
    <w:rsid w:val="007646E4"/>
    <w:rsid w:val="007647B9"/>
    <w:rsid w:val="007649C4"/>
    <w:rsid w:val="007653BA"/>
    <w:rsid w:val="00765482"/>
    <w:rsid w:val="007654F1"/>
    <w:rsid w:val="007657F4"/>
    <w:rsid w:val="00765D53"/>
    <w:rsid w:val="007660C1"/>
    <w:rsid w:val="0076614A"/>
    <w:rsid w:val="007662E5"/>
    <w:rsid w:val="00766313"/>
    <w:rsid w:val="007664A0"/>
    <w:rsid w:val="00766B71"/>
    <w:rsid w:val="00766FA8"/>
    <w:rsid w:val="00767E87"/>
    <w:rsid w:val="0077030D"/>
    <w:rsid w:val="00770BBB"/>
    <w:rsid w:val="00770FDA"/>
    <w:rsid w:val="007717DE"/>
    <w:rsid w:val="00771BC7"/>
    <w:rsid w:val="0077221E"/>
    <w:rsid w:val="00772910"/>
    <w:rsid w:val="00772ADB"/>
    <w:rsid w:val="00772C75"/>
    <w:rsid w:val="00772FA9"/>
    <w:rsid w:val="007734B3"/>
    <w:rsid w:val="00773517"/>
    <w:rsid w:val="007735FF"/>
    <w:rsid w:val="00773624"/>
    <w:rsid w:val="0077366C"/>
    <w:rsid w:val="00773693"/>
    <w:rsid w:val="00774C10"/>
    <w:rsid w:val="00774C8E"/>
    <w:rsid w:val="007756B8"/>
    <w:rsid w:val="007761E2"/>
    <w:rsid w:val="007763F3"/>
    <w:rsid w:val="007767DB"/>
    <w:rsid w:val="00776824"/>
    <w:rsid w:val="00776DE2"/>
    <w:rsid w:val="00776F45"/>
    <w:rsid w:val="00777209"/>
    <w:rsid w:val="00777C69"/>
    <w:rsid w:val="00777E1B"/>
    <w:rsid w:val="0078035F"/>
    <w:rsid w:val="007807B5"/>
    <w:rsid w:val="007809EB"/>
    <w:rsid w:val="007813F5"/>
    <w:rsid w:val="0078141C"/>
    <w:rsid w:val="00781454"/>
    <w:rsid w:val="00781643"/>
    <w:rsid w:val="007816C6"/>
    <w:rsid w:val="007823AE"/>
    <w:rsid w:val="007825CC"/>
    <w:rsid w:val="007825F9"/>
    <w:rsid w:val="00782A1F"/>
    <w:rsid w:val="00782E13"/>
    <w:rsid w:val="0078308C"/>
    <w:rsid w:val="00783528"/>
    <w:rsid w:val="007838D4"/>
    <w:rsid w:val="00783A14"/>
    <w:rsid w:val="00783C37"/>
    <w:rsid w:val="0078418D"/>
    <w:rsid w:val="00784638"/>
    <w:rsid w:val="007848E7"/>
    <w:rsid w:val="00784D33"/>
    <w:rsid w:val="00785097"/>
    <w:rsid w:val="00785649"/>
    <w:rsid w:val="0078589C"/>
    <w:rsid w:val="00785B72"/>
    <w:rsid w:val="00785E39"/>
    <w:rsid w:val="00785E46"/>
    <w:rsid w:val="0078692E"/>
    <w:rsid w:val="00786B9F"/>
    <w:rsid w:val="00786D20"/>
    <w:rsid w:val="00786D66"/>
    <w:rsid w:val="00786EBD"/>
    <w:rsid w:val="00787375"/>
    <w:rsid w:val="007874C8"/>
    <w:rsid w:val="007876DC"/>
    <w:rsid w:val="00787C6E"/>
    <w:rsid w:val="00787E27"/>
    <w:rsid w:val="007900F4"/>
    <w:rsid w:val="007907B3"/>
    <w:rsid w:val="00790826"/>
    <w:rsid w:val="00790F08"/>
    <w:rsid w:val="00790F4E"/>
    <w:rsid w:val="007913B8"/>
    <w:rsid w:val="00791605"/>
    <w:rsid w:val="00791791"/>
    <w:rsid w:val="00791A3F"/>
    <w:rsid w:val="0079212E"/>
    <w:rsid w:val="00792369"/>
    <w:rsid w:val="0079240A"/>
    <w:rsid w:val="00792BBB"/>
    <w:rsid w:val="00792CE8"/>
    <w:rsid w:val="00792F22"/>
    <w:rsid w:val="00793A4B"/>
    <w:rsid w:val="00793BC0"/>
    <w:rsid w:val="00793EB4"/>
    <w:rsid w:val="00794334"/>
    <w:rsid w:val="00794ABB"/>
    <w:rsid w:val="00794C5A"/>
    <w:rsid w:val="00794CAF"/>
    <w:rsid w:val="0079511F"/>
    <w:rsid w:val="00795129"/>
    <w:rsid w:val="00795286"/>
    <w:rsid w:val="00795603"/>
    <w:rsid w:val="00796106"/>
    <w:rsid w:val="00796306"/>
    <w:rsid w:val="007964EF"/>
    <w:rsid w:val="007974A0"/>
    <w:rsid w:val="00797B0F"/>
    <w:rsid w:val="00797D81"/>
    <w:rsid w:val="007A0CDF"/>
    <w:rsid w:val="007A0E69"/>
    <w:rsid w:val="007A1526"/>
    <w:rsid w:val="007A1618"/>
    <w:rsid w:val="007A1E0F"/>
    <w:rsid w:val="007A25C4"/>
    <w:rsid w:val="007A2E14"/>
    <w:rsid w:val="007A2E63"/>
    <w:rsid w:val="007A3299"/>
    <w:rsid w:val="007A3486"/>
    <w:rsid w:val="007A369B"/>
    <w:rsid w:val="007A3A1E"/>
    <w:rsid w:val="007A3E68"/>
    <w:rsid w:val="007A3FB5"/>
    <w:rsid w:val="007A4431"/>
    <w:rsid w:val="007A4581"/>
    <w:rsid w:val="007A4607"/>
    <w:rsid w:val="007A47FF"/>
    <w:rsid w:val="007A4E78"/>
    <w:rsid w:val="007A51A6"/>
    <w:rsid w:val="007A5487"/>
    <w:rsid w:val="007A5696"/>
    <w:rsid w:val="007A57CF"/>
    <w:rsid w:val="007A5DB3"/>
    <w:rsid w:val="007A5F28"/>
    <w:rsid w:val="007A5FD5"/>
    <w:rsid w:val="007A6370"/>
    <w:rsid w:val="007A6666"/>
    <w:rsid w:val="007A69D1"/>
    <w:rsid w:val="007A6BBC"/>
    <w:rsid w:val="007A6D32"/>
    <w:rsid w:val="007A7BB5"/>
    <w:rsid w:val="007A7D60"/>
    <w:rsid w:val="007A7E73"/>
    <w:rsid w:val="007B098D"/>
    <w:rsid w:val="007B1A79"/>
    <w:rsid w:val="007B1BEF"/>
    <w:rsid w:val="007B1F41"/>
    <w:rsid w:val="007B23CD"/>
    <w:rsid w:val="007B245C"/>
    <w:rsid w:val="007B24E4"/>
    <w:rsid w:val="007B2A2B"/>
    <w:rsid w:val="007B2AB7"/>
    <w:rsid w:val="007B2B74"/>
    <w:rsid w:val="007B2BA4"/>
    <w:rsid w:val="007B3574"/>
    <w:rsid w:val="007B3E05"/>
    <w:rsid w:val="007B44A1"/>
    <w:rsid w:val="007B4637"/>
    <w:rsid w:val="007B48F8"/>
    <w:rsid w:val="007B61F5"/>
    <w:rsid w:val="007B64FC"/>
    <w:rsid w:val="007B65B8"/>
    <w:rsid w:val="007B7A03"/>
    <w:rsid w:val="007C061A"/>
    <w:rsid w:val="007C0B58"/>
    <w:rsid w:val="007C0D1F"/>
    <w:rsid w:val="007C127C"/>
    <w:rsid w:val="007C2040"/>
    <w:rsid w:val="007C2BAB"/>
    <w:rsid w:val="007C2CE3"/>
    <w:rsid w:val="007C313C"/>
    <w:rsid w:val="007C3E74"/>
    <w:rsid w:val="007C3FF6"/>
    <w:rsid w:val="007C4919"/>
    <w:rsid w:val="007C50C8"/>
    <w:rsid w:val="007C565C"/>
    <w:rsid w:val="007C5684"/>
    <w:rsid w:val="007C5802"/>
    <w:rsid w:val="007C5817"/>
    <w:rsid w:val="007C5B58"/>
    <w:rsid w:val="007C5D8F"/>
    <w:rsid w:val="007C5F22"/>
    <w:rsid w:val="007C6468"/>
    <w:rsid w:val="007C65DD"/>
    <w:rsid w:val="007C6711"/>
    <w:rsid w:val="007C6A17"/>
    <w:rsid w:val="007C6AFC"/>
    <w:rsid w:val="007C77A1"/>
    <w:rsid w:val="007C7A57"/>
    <w:rsid w:val="007C7C35"/>
    <w:rsid w:val="007D0D7C"/>
    <w:rsid w:val="007D127D"/>
    <w:rsid w:val="007D1416"/>
    <w:rsid w:val="007D1632"/>
    <w:rsid w:val="007D1E30"/>
    <w:rsid w:val="007D1E7C"/>
    <w:rsid w:val="007D1EA2"/>
    <w:rsid w:val="007D2068"/>
    <w:rsid w:val="007D26F0"/>
    <w:rsid w:val="007D2A98"/>
    <w:rsid w:val="007D316B"/>
    <w:rsid w:val="007D347A"/>
    <w:rsid w:val="007D350C"/>
    <w:rsid w:val="007D37D8"/>
    <w:rsid w:val="007D3925"/>
    <w:rsid w:val="007D3E5F"/>
    <w:rsid w:val="007D4427"/>
    <w:rsid w:val="007D4480"/>
    <w:rsid w:val="007D47DD"/>
    <w:rsid w:val="007D51FD"/>
    <w:rsid w:val="007D5F95"/>
    <w:rsid w:val="007D6467"/>
    <w:rsid w:val="007D64D1"/>
    <w:rsid w:val="007D66E8"/>
    <w:rsid w:val="007D67DC"/>
    <w:rsid w:val="007D6D3A"/>
    <w:rsid w:val="007D70DF"/>
    <w:rsid w:val="007D7500"/>
    <w:rsid w:val="007D7505"/>
    <w:rsid w:val="007D7699"/>
    <w:rsid w:val="007D7BEE"/>
    <w:rsid w:val="007D7D0A"/>
    <w:rsid w:val="007E02F0"/>
    <w:rsid w:val="007E03E9"/>
    <w:rsid w:val="007E0D2F"/>
    <w:rsid w:val="007E1176"/>
    <w:rsid w:val="007E1268"/>
    <w:rsid w:val="007E1497"/>
    <w:rsid w:val="007E1A69"/>
    <w:rsid w:val="007E2209"/>
    <w:rsid w:val="007E24ED"/>
    <w:rsid w:val="007E270A"/>
    <w:rsid w:val="007E292E"/>
    <w:rsid w:val="007E2A87"/>
    <w:rsid w:val="007E3201"/>
    <w:rsid w:val="007E337D"/>
    <w:rsid w:val="007E3628"/>
    <w:rsid w:val="007E40F5"/>
    <w:rsid w:val="007E4767"/>
    <w:rsid w:val="007E47BA"/>
    <w:rsid w:val="007E47CD"/>
    <w:rsid w:val="007E541E"/>
    <w:rsid w:val="007E57DB"/>
    <w:rsid w:val="007E5B2C"/>
    <w:rsid w:val="007E5BC9"/>
    <w:rsid w:val="007E5E5C"/>
    <w:rsid w:val="007E5ED0"/>
    <w:rsid w:val="007E6442"/>
    <w:rsid w:val="007E6574"/>
    <w:rsid w:val="007E65A6"/>
    <w:rsid w:val="007E682C"/>
    <w:rsid w:val="007E6856"/>
    <w:rsid w:val="007E6C7E"/>
    <w:rsid w:val="007E6D11"/>
    <w:rsid w:val="007E7090"/>
    <w:rsid w:val="007E7195"/>
    <w:rsid w:val="007E7347"/>
    <w:rsid w:val="007E769A"/>
    <w:rsid w:val="007E7718"/>
    <w:rsid w:val="007E7A6F"/>
    <w:rsid w:val="007E7BA5"/>
    <w:rsid w:val="007E7BE8"/>
    <w:rsid w:val="007E7E4C"/>
    <w:rsid w:val="007F00B1"/>
    <w:rsid w:val="007F058D"/>
    <w:rsid w:val="007F185E"/>
    <w:rsid w:val="007F1D40"/>
    <w:rsid w:val="007F1EA6"/>
    <w:rsid w:val="007F2104"/>
    <w:rsid w:val="007F241C"/>
    <w:rsid w:val="007F2835"/>
    <w:rsid w:val="007F2C71"/>
    <w:rsid w:val="007F2DC3"/>
    <w:rsid w:val="007F3133"/>
    <w:rsid w:val="007F3147"/>
    <w:rsid w:val="007F3496"/>
    <w:rsid w:val="007F3501"/>
    <w:rsid w:val="007F3C6B"/>
    <w:rsid w:val="007F3DA7"/>
    <w:rsid w:val="007F4163"/>
    <w:rsid w:val="007F45B6"/>
    <w:rsid w:val="007F46A7"/>
    <w:rsid w:val="007F4858"/>
    <w:rsid w:val="007F4D7B"/>
    <w:rsid w:val="007F51B4"/>
    <w:rsid w:val="007F5262"/>
    <w:rsid w:val="007F533C"/>
    <w:rsid w:val="007F5411"/>
    <w:rsid w:val="007F5AEB"/>
    <w:rsid w:val="007F5E14"/>
    <w:rsid w:val="007F6049"/>
    <w:rsid w:val="007F62E5"/>
    <w:rsid w:val="007F6379"/>
    <w:rsid w:val="007F70FD"/>
    <w:rsid w:val="007F767C"/>
    <w:rsid w:val="007F7B70"/>
    <w:rsid w:val="007F7C4E"/>
    <w:rsid w:val="007F7EE2"/>
    <w:rsid w:val="00800567"/>
    <w:rsid w:val="008006B6"/>
    <w:rsid w:val="00800BB6"/>
    <w:rsid w:val="00800BB9"/>
    <w:rsid w:val="0080131E"/>
    <w:rsid w:val="00801597"/>
    <w:rsid w:val="00801667"/>
    <w:rsid w:val="008024EE"/>
    <w:rsid w:val="0080329C"/>
    <w:rsid w:val="00803A8B"/>
    <w:rsid w:val="00803FAD"/>
    <w:rsid w:val="0080463F"/>
    <w:rsid w:val="008046D7"/>
    <w:rsid w:val="008048DC"/>
    <w:rsid w:val="00804A04"/>
    <w:rsid w:val="00804A05"/>
    <w:rsid w:val="00804A27"/>
    <w:rsid w:val="00804B21"/>
    <w:rsid w:val="00804D92"/>
    <w:rsid w:val="00804EFE"/>
    <w:rsid w:val="00805194"/>
    <w:rsid w:val="00805ADC"/>
    <w:rsid w:val="00805E08"/>
    <w:rsid w:val="00805F19"/>
    <w:rsid w:val="0080627D"/>
    <w:rsid w:val="00806701"/>
    <w:rsid w:val="0080672B"/>
    <w:rsid w:val="00806BDD"/>
    <w:rsid w:val="008076DB"/>
    <w:rsid w:val="0080772D"/>
    <w:rsid w:val="008077C3"/>
    <w:rsid w:val="00810058"/>
    <w:rsid w:val="00810444"/>
    <w:rsid w:val="008106E7"/>
    <w:rsid w:val="00810D19"/>
    <w:rsid w:val="008110B3"/>
    <w:rsid w:val="008112CA"/>
    <w:rsid w:val="008113D6"/>
    <w:rsid w:val="00811466"/>
    <w:rsid w:val="008115B2"/>
    <w:rsid w:val="008116CB"/>
    <w:rsid w:val="008116DC"/>
    <w:rsid w:val="0081180B"/>
    <w:rsid w:val="008119E5"/>
    <w:rsid w:val="00811C4A"/>
    <w:rsid w:val="00811CB0"/>
    <w:rsid w:val="008128C6"/>
    <w:rsid w:val="00812BB2"/>
    <w:rsid w:val="0081342E"/>
    <w:rsid w:val="00813893"/>
    <w:rsid w:val="00813A54"/>
    <w:rsid w:val="00813A8E"/>
    <w:rsid w:val="00814264"/>
    <w:rsid w:val="008142A2"/>
    <w:rsid w:val="0081447A"/>
    <w:rsid w:val="008149EA"/>
    <w:rsid w:val="00815233"/>
    <w:rsid w:val="00815452"/>
    <w:rsid w:val="00815E16"/>
    <w:rsid w:val="00815E1E"/>
    <w:rsid w:val="0081670C"/>
    <w:rsid w:val="00816B4B"/>
    <w:rsid w:val="00817B13"/>
    <w:rsid w:val="0082034B"/>
    <w:rsid w:val="0082071F"/>
    <w:rsid w:val="00820B51"/>
    <w:rsid w:val="008211A5"/>
    <w:rsid w:val="008215BF"/>
    <w:rsid w:val="00821799"/>
    <w:rsid w:val="00821897"/>
    <w:rsid w:val="008218E7"/>
    <w:rsid w:val="00821988"/>
    <w:rsid w:val="00821A03"/>
    <w:rsid w:val="008226DE"/>
    <w:rsid w:val="00822B10"/>
    <w:rsid w:val="00822FE9"/>
    <w:rsid w:val="008230EF"/>
    <w:rsid w:val="00823204"/>
    <w:rsid w:val="0082348F"/>
    <w:rsid w:val="00823744"/>
    <w:rsid w:val="00824723"/>
    <w:rsid w:val="00824AE4"/>
    <w:rsid w:val="0082576B"/>
    <w:rsid w:val="00825877"/>
    <w:rsid w:val="00825CAB"/>
    <w:rsid w:val="0082657D"/>
    <w:rsid w:val="00826A72"/>
    <w:rsid w:val="00826B4A"/>
    <w:rsid w:val="00827299"/>
    <w:rsid w:val="00827766"/>
    <w:rsid w:val="00831A39"/>
    <w:rsid w:val="00831A6A"/>
    <w:rsid w:val="00831C98"/>
    <w:rsid w:val="008323B5"/>
    <w:rsid w:val="008330FC"/>
    <w:rsid w:val="0083344A"/>
    <w:rsid w:val="008337AE"/>
    <w:rsid w:val="00833974"/>
    <w:rsid w:val="00833B5F"/>
    <w:rsid w:val="00834A30"/>
    <w:rsid w:val="00834A43"/>
    <w:rsid w:val="00834EE0"/>
    <w:rsid w:val="0083506C"/>
    <w:rsid w:val="0083521C"/>
    <w:rsid w:val="008352E0"/>
    <w:rsid w:val="00835451"/>
    <w:rsid w:val="0083565C"/>
    <w:rsid w:val="00835898"/>
    <w:rsid w:val="00835C9A"/>
    <w:rsid w:val="00835EA7"/>
    <w:rsid w:val="0083617B"/>
    <w:rsid w:val="008361FB"/>
    <w:rsid w:val="00836CF5"/>
    <w:rsid w:val="00836E6B"/>
    <w:rsid w:val="00836FBB"/>
    <w:rsid w:val="00837108"/>
    <w:rsid w:val="00837347"/>
    <w:rsid w:val="00837ACD"/>
    <w:rsid w:val="00837C05"/>
    <w:rsid w:val="00840053"/>
    <w:rsid w:val="0084046C"/>
    <w:rsid w:val="008405E5"/>
    <w:rsid w:val="00840A36"/>
    <w:rsid w:val="00840C52"/>
    <w:rsid w:val="00841164"/>
    <w:rsid w:val="008412EC"/>
    <w:rsid w:val="0084178E"/>
    <w:rsid w:val="00841B91"/>
    <w:rsid w:val="00842236"/>
    <w:rsid w:val="00842587"/>
    <w:rsid w:val="00842965"/>
    <w:rsid w:val="00842C02"/>
    <w:rsid w:val="00842FE6"/>
    <w:rsid w:val="00843056"/>
    <w:rsid w:val="008430A6"/>
    <w:rsid w:val="00843553"/>
    <w:rsid w:val="008436B4"/>
    <w:rsid w:val="00843DE7"/>
    <w:rsid w:val="00844365"/>
    <w:rsid w:val="00844412"/>
    <w:rsid w:val="00844AB9"/>
    <w:rsid w:val="00844DE8"/>
    <w:rsid w:val="00845074"/>
    <w:rsid w:val="008454AD"/>
    <w:rsid w:val="008458B3"/>
    <w:rsid w:val="00845C14"/>
    <w:rsid w:val="008460F8"/>
    <w:rsid w:val="008469EF"/>
    <w:rsid w:val="00846A2D"/>
    <w:rsid w:val="00846D99"/>
    <w:rsid w:val="00846F48"/>
    <w:rsid w:val="00846F9A"/>
    <w:rsid w:val="008470A1"/>
    <w:rsid w:val="008471E4"/>
    <w:rsid w:val="00847252"/>
    <w:rsid w:val="00847313"/>
    <w:rsid w:val="008476C0"/>
    <w:rsid w:val="0084792F"/>
    <w:rsid w:val="00847FAD"/>
    <w:rsid w:val="00850001"/>
    <w:rsid w:val="00850575"/>
    <w:rsid w:val="00850669"/>
    <w:rsid w:val="008510E3"/>
    <w:rsid w:val="008513DD"/>
    <w:rsid w:val="00851702"/>
    <w:rsid w:val="00851B18"/>
    <w:rsid w:val="00851BBF"/>
    <w:rsid w:val="00851ED1"/>
    <w:rsid w:val="00852102"/>
    <w:rsid w:val="008522D9"/>
    <w:rsid w:val="008523BB"/>
    <w:rsid w:val="0085286E"/>
    <w:rsid w:val="00852C0E"/>
    <w:rsid w:val="00852D6E"/>
    <w:rsid w:val="00852F3B"/>
    <w:rsid w:val="00853018"/>
    <w:rsid w:val="00853317"/>
    <w:rsid w:val="00853C3F"/>
    <w:rsid w:val="00854359"/>
    <w:rsid w:val="008547DC"/>
    <w:rsid w:val="00854BC0"/>
    <w:rsid w:val="00854E6C"/>
    <w:rsid w:val="008550D1"/>
    <w:rsid w:val="008553CA"/>
    <w:rsid w:val="0085600B"/>
    <w:rsid w:val="008560FC"/>
    <w:rsid w:val="008566C2"/>
    <w:rsid w:val="00856730"/>
    <w:rsid w:val="00856ACA"/>
    <w:rsid w:val="00856B5E"/>
    <w:rsid w:val="00856F91"/>
    <w:rsid w:val="0085703E"/>
    <w:rsid w:val="00857A40"/>
    <w:rsid w:val="0086020F"/>
    <w:rsid w:val="00860379"/>
    <w:rsid w:val="00860552"/>
    <w:rsid w:val="00860C4A"/>
    <w:rsid w:val="00861794"/>
    <w:rsid w:val="008618C4"/>
    <w:rsid w:val="00861C22"/>
    <w:rsid w:val="008624FE"/>
    <w:rsid w:val="00862536"/>
    <w:rsid w:val="00862674"/>
    <w:rsid w:val="008627DF"/>
    <w:rsid w:val="0086286B"/>
    <w:rsid w:val="00862B14"/>
    <w:rsid w:val="00862DA8"/>
    <w:rsid w:val="00862E43"/>
    <w:rsid w:val="00863A4B"/>
    <w:rsid w:val="00863E57"/>
    <w:rsid w:val="008646C6"/>
    <w:rsid w:val="008646D6"/>
    <w:rsid w:val="0086475A"/>
    <w:rsid w:val="008649C7"/>
    <w:rsid w:val="00864E0B"/>
    <w:rsid w:val="00864FF2"/>
    <w:rsid w:val="00865181"/>
    <w:rsid w:val="00865EC0"/>
    <w:rsid w:val="00865FBF"/>
    <w:rsid w:val="00866165"/>
    <w:rsid w:val="00866AF1"/>
    <w:rsid w:val="00866D78"/>
    <w:rsid w:val="008670D4"/>
    <w:rsid w:val="0086776A"/>
    <w:rsid w:val="00867938"/>
    <w:rsid w:val="0087013D"/>
    <w:rsid w:val="00870246"/>
    <w:rsid w:val="00870509"/>
    <w:rsid w:val="00870839"/>
    <w:rsid w:val="00870874"/>
    <w:rsid w:val="008711D4"/>
    <w:rsid w:val="00872069"/>
    <w:rsid w:val="0087219F"/>
    <w:rsid w:val="00872369"/>
    <w:rsid w:val="0087257F"/>
    <w:rsid w:val="00872CA9"/>
    <w:rsid w:val="00872EF7"/>
    <w:rsid w:val="00873473"/>
    <w:rsid w:val="00873B21"/>
    <w:rsid w:val="00873BA4"/>
    <w:rsid w:val="00873EDF"/>
    <w:rsid w:val="00874431"/>
    <w:rsid w:val="00874996"/>
    <w:rsid w:val="00874C30"/>
    <w:rsid w:val="00875094"/>
    <w:rsid w:val="008765A1"/>
    <w:rsid w:val="00876699"/>
    <w:rsid w:val="00876975"/>
    <w:rsid w:val="00876CB7"/>
    <w:rsid w:val="00877642"/>
    <w:rsid w:val="00877BED"/>
    <w:rsid w:val="00877F61"/>
    <w:rsid w:val="00880025"/>
    <w:rsid w:val="0088049A"/>
    <w:rsid w:val="00881667"/>
    <w:rsid w:val="008816A6"/>
    <w:rsid w:val="00881B2A"/>
    <w:rsid w:val="00881D21"/>
    <w:rsid w:val="00882635"/>
    <w:rsid w:val="0088265B"/>
    <w:rsid w:val="0088296A"/>
    <w:rsid w:val="008838E6"/>
    <w:rsid w:val="00883A41"/>
    <w:rsid w:val="00884004"/>
    <w:rsid w:val="008842F1"/>
    <w:rsid w:val="008849FE"/>
    <w:rsid w:val="00884BDB"/>
    <w:rsid w:val="00884D7F"/>
    <w:rsid w:val="00885494"/>
    <w:rsid w:val="0088563A"/>
    <w:rsid w:val="00885AA1"/>
    <w:rsid w:val="00885BC0"/>
    <w:rsid w:val="00885F17"/>
    <w:rsid w:val="00885F8A"/>
    <w:rsid w:val="008864EE"/>
    <w:rsid w:val="00887401"/>
    <w:rsid w:val="00887520"/>
    <w:rsid w:val="00887E1C"/>
    <w:rsid w:val="00887F26"/>
    <w:rsid w:val="0089011B"/>
    <w:rsid w:val="008901F0"/>
    <w:rsid w:val="008903DC"/>
    <w:rsid w:val="00890565"/>
    <w:rsid w:val="00890908"/>
    <w:rsid w:val="00890934"/>
    <w:rsid w:val="00890A10"/>
    <w:rsid w:val="00890AD5"/>
    <w:rsid w:val="008917E9"/>
    <w:rsid w:val="00891989"/>
    <w:rsid w:val="00891DD7"/>
    <w:rsid w:val="00892346"/>
    <w:rsid w:val="0089284D"/>
    <w:rsid w:val="0089289F"/>
    <w:rsid w:val="00892BFF"/>
    <w:rsid w:val="00893259"/>
    <w:rsid w:val="008938AA"/>
    <w:rsid w:val="00893AC3"/>
    <w:rsid w:val="00893B3A"/>
    <w:rsid w:val="00893FFE"/>
    <w:rsid w:val="00894984"/>
    <w:rsid w:val="008958D2"/>
    <w:rsid w:val="00895D07"/>
    <w:rsid w:val="00895E5F"/>
    <w:rsid w:val="00896A14"/>
    <w:rsid w:val="00897C06"/>
    <w:rsid w:val="00897DBA"/>
    <w:rsid w:val="008A0675"/>
    <w:rsid w:val="008A0AF8"/>
    <w:rsid w:val="008A0DBD"/>
    <w:rsid w:val="008A105D"/>
    <w:rsid w:val="008A1225"/>
    <w:rsid w:val="008A1274"/>
    <w:rsid w:val="008A19CD"/>
    <w:rsid w:val="008A27FC"/>
    <w:rsid w:val="008A29B2"/>
    <w:rsid w:val="008A29D7"/>
    <w:rsid w:val="008A2E98"/>
    <w:rsid w:val="008A2FCC"/>
    <w:rsid w:val="008A3093"/>
    <w:rsid w:val="008A34FE"/>
    <w:rsid w:val="008A3A88"/>
    <w:rsid w:val="008A3BC6"/>
    <w:rsid w:val="008A48ED"/>
    <w:rsid w:val="008A4957"/>
    <w:rsid w:val="008A4AEF"/>
    <w:rsid w:val="008A56DB"/>
    <w:rsid w:val="008A6327"/>
    <w:rsid w:val="008A695A"/>
    <w:rsid w:val="008B07DF"/>
    <w:rsid w:val="008B1187"/>
    <w:rsid w:val="008B120E"/>
    <w:rsid w:val="008B12C3"/>
    <w:rsid w:val="008B19E9"/>
    <w:rsid w:val="008B1ABD"/>
    <w:rsid w:val="008B2280"/>
    <w:rsid w:val="008B29F9"/>
    <w:rsid w:val="008B2D7F"/>
    <w:rsid w:val="008B350A"/>
    <w:rsid w:val="008B3571"/>
    <w:rsid w:val="008B372C"/>
    <w:rsid w:val="008B3AB5"/>
    <w:rsid w:val="008B4DDA"/>
    <w:rsid w:val="008B4F30"/>
    <w:rsid w:val="008B5299"/>
    <w:rsid w:val="008B5868"/>
    <w:rsid w:val="008B596E"/>
    <w:rsid w:val="008B5B01"/>
    <w:rsid w:val="008B5C68"/>
    <w:rsid w:val="008B5D75"/>
    <w:rsid w:val="008B5FC9"/>
    <w:rsid w:val="008B61B4"/>
    <w:rsid w:val="008B6275"/>
    <w:rsid w:val="008B6397"/>
    <w:rsid w:val="008B656F"/>
    <w:rsid w:val="008B6A02"/>
    <w:rsid w:val="008B7140"/>
    <w:rsid w:val="008B7177"/>
    <w:rsid w:val="008B744B"/>
    <w:rsid w:val="008B7687"/>
    <w:rsid w:val="008B7AA7"/>
    <w:rsid w:val="008C000F"/>
    <w:rsid w:val="008C03B2"/>
    <w:rsid w:val="008C0429"/>
    <w:rsid w:val="008C0581"/>
    <w:rsid w:val="008C0C83"/>
    <w:rsid w:val="008C125F"/>
    <w:rsid w:val="008C19B5"/>
    <w:rsid w:val="008C19DE"/>
    <w:rsid w:val="008C200F"/>
    <w:rsid w:val="008C21AE"/>
    <w:rsid w:val="008C245F"/>
    <w:rsid w:val="008C24BF"/>
    <w:rsid w:val="008C2680"/>
    <w:rsid w:val="008C2A16"/>
    <w:rsid w:val="008C309D"/>
    <w:rsid w:val="008C3724"/>
    <w:rsid w:val="008C3EDE"/>
    <w:rsid w:val="008C465C"/>
    <w:rsid w:val="008C4BE9"/>
    <w:rsid w:val="008C53E0"/>
    <w:rsid w:val="008C5711"/>
    <w:rsid w:val="008C57F9"/>
    <w:rsid w:val="008C5C4E"/>
    <w:rsid w:val="008C5CEF"/>
    <w:rsid w:val="008C5F6C"/>
    <w:rsid w:val="008C606D"/>
    <w:rsid w:val="008C648A"/>
    <w:rsid w:val="008C686E"/>
    <w:rsid w:val="008C6E11"/>
    <w:rsid w:val="008C6E36"/>
    <w:rsid w:val="008C6F99"/>
    <w:rsid w:val="008C73EB"/>
    <w:rsid w:val="008C7789"/>
    <w:rsid w:val="008C7975"/>
    <w:rsid w:val="008C79E5"/>
    <w:rsid w:val="008C7E30"/>
    <w:rsid w:val="008D0250"/>
    <w:rsid w:val="008D0D46"/>
    <w:rsid w:val="008D0F1A"/>
    <w:rsid w:val="008D158F"/>
    <w:rsid w:val="008D2B2C"/>
    <w:rsid w:val="008D2C90"/>
    <w:rsid w:val="008D2D6B"/>
    <w:rsid w:val="008D2DDB"/>
    <w:rsid w:val="008D2F86"/>
    <w:rsid w:val="008D3180"/>
    <w:rsid w:val="008D33E3"/>
    <w:rsid w:val="008D4217"/>
    <w:rsid w:val="008D49CE"/>
    <w:rsid w:val="008D4CD3"/>
    <w:rsid w:val="008D552F"/>
    <w:rsid w:val="008D5681"/>
    <w:rsid w:val="008D5C03"/>
    <w:rsid w:val="008D6551"/>
    <w:rsid w:val="008D666B"/>
    <w:rsid w:val="008D6B16"/>
    <w:rsid w:val="008D6B39"/>
    <w:rsid w:val="008D71D5"/>
    <w:rsid w:val="008D726E"/>
    <w:rsid w:val="008D7F85"/>
    <w:rsid w:val="008E0123"/>
    <w:rsid w:val="008E0428"/>
    <w:rsid w:val="008E0E04"/>
    <w:rsid w:val="008E0EBD"/>
    <w:rsid w:val="008E1006"/>
    <w:rsid w:val="008E13FB"/>
    <w:rsid w:val="008E141F"/>
    <w:rsid w:val="008E1481"/>
    <w:rsid w:val="008E14BE"/>
    <w:rsid w:val="008E19FE"/>
    <w:rsid w:val="008E1A12"/>
    <w:rsid w:val="008E1D50"/>
    <w:rsid w:val="008E1EF5"/>
    <w:rsid w:val="008E201F"/>
    <w:rsid w:val="008E2045"/>
    <w:rsid w:val="008E206D"/>
    <w:rsid w:val="008E21B0"/>
    <w:rsid w:val="008E22E5"/>
    <w:rsid w:val="008E2658"/>
    <w:rsid w:val="008E2E2B"/>
    <w:rsid w:val="008E2FF6"/>
    <w:rsid w:val="008E31CE"/>
    <w:rsid w:val="008E3343"/>
    <w:rsid w:val="008E3809"/>
    <w:rsid w:val="008E42A7"/>
    <w:rsid w:val="008E4889"/>
    <w:rsid w:val="008E48D3"/>
    <w:rsid w:val="008E48EF"/>
    <w:rsid w:val="008E4909"/>
    <w:rsid w:val="008E4BC9"/>
    <w:rsid w:val="008E4E76"/>
    <w:rsid w:val="008E4F3F"/>
    <w:rsid w:val="008E55CA"/>
    <w:rsid w:val="008E6100"/>
    <w:rsid w:val="008E64A5"/>
    <w:rsid w:val="008E6AD9"/>
    <w:rsid w:val="008E6C4A"/>
    <w:rsid w:val="008E6D6A"/>
    <w:rsid w:val="008E6DFA"/>
    <w:rsid w:val="008E72F1"/>
    <w:rsid w:val="008E7B34"/>
    <w:rsid w:val="008F00B1"/>
    <w:rsid w:val="008F0414"/>
    <w:rsid w:val="008F06DA"/>
    <w:rsid w:val="008F14C8"/>
    <w:rsid w:val="008F1612"/>
    <w:rsid w:val="008F1E7D"/>
    <w:rsid w:val="008F2061"/>
    <w:rsid w:val="008F2323"/>
    <w:rsid w:val="008F236F"/>
    <w:rsid w:val="008F32AF"/>
    <w:rsid w:val="008F37E2"/>
    <w:rsid w:val="008F381E"/>
    <w:rsid w:val="008F38E5"/>
    <w:rsid w:val="008F3DD5"/>
    <w:rsid w:val="008F4069"/>
    <w:rsid w:val="008F48D8"/>
    <w:rsid w:val="008F4C05"/>
    <w:rsid w:val="008F5578"/>
    <w:rsid w:val="008F5B0E"/>
    <w:rsid w:val="008F5ED3"/>
    <w:rsid w:val="008F6935"/>
    <w:rsid w:val="008F711A"/>
    <w:rsid w:val="0090026B"/>
    <w:rsid w:val="00900CFD"/>
    <w:rsid w:val="00900D4D"/>
    <w:rsid w:val="00901013"/>
    <w:rsid w:val="00901454"/>
    <w:rsid w:val="00901CDD"/>
    <w:rsid w:val="009021C1"/>
    <w:rsid w:val="00902852"/>
    <w:rsid w:val="00902BE2"/>
    <w:rsid w:val="00902D5F"/>
    <w:rsid w:val="0090382D"/>
    <w:rsid w:val="0090389D"/>
    <w:rsid w:val="00903932"/>
    <w:rsid w:val="00903D2C"/>
    <w:rsid w:val="00903EC6"/>
    <w:rsid w:val="00904311"/>
    <w:rsid w:val="009053BD"/>
    <w:rsid w:val="0090607A"/>
    <w:rsid w:val="009063E0"/>
    <w:rsid w:val="0090664C"/>
    <w:rsid w:val="009066FE"/>
    <w:rsid w:val="009067EC"/>
    <w:rsid w:val="00906970"/>
    <w:rsid w:val="009072D3"/>
    <w:rsid w:val="009072F2"/>
    <w:rsid w:val="00907562"/>
    <w:rsid w:val="00907608"/>
    <w:rsid w:val="00907637"/>
    <w:rsid w:val="00907664"/>
    <w:rsid w:val="009078C5"/>
    <w:rsid w:val="009079CF"/>
    <w:rsid w:val="009079D2"/>
    <w:rsid w:val="00907B67"/>
    <w:rsid w:val="009104B8"/>
    <w:rsid w:val="0091074B"/>
    <w:rsid w:val="009107E9"/>
    <w:rsid w:val="00910AE5"/>
    <w:rsid w:val="00910D5E"/>
    <w:rsid w:val="00911587"/>
    <w:rsid w:val="009115AC"/>
    <w:rsid w:val="009118F8"/>
    <w:rsid w:val="00911AD5"/>
    <w:rsid w:val="00911B20"/>
    <w:rsid w:val="009120A1"/>
    <w:rsid w:val="009122E7"/>
    <w:rsid w:val="00912670"/>
    <w:rsid w:val="0091270D"/>
    <w:rsid w:val="00912870"/>
    <w:rsid w:val="00912B7F"/>
    <w:rsid w:val="00912F8E"/>
    <w:rsid w:val="009134F6"/>
    <w:rsid w:val="009137A0"/>
    <w:rsid w:val="00913D75"/>
    <w:rsid w:val="00914058"/>
    <w:rsid w:val="0091454E"/>
    <w:rsid w:val="00914567"/>
    <w:rsid w:val="0091470A"/>
    <w:rsid w:val="00914979"/>
    <w:rsid w:val="00914D01"/>
    <w:rsid w:val="00914FB3"/>
    <w:rsid w:val="00915D70"/>
    <w:rsid w:val="009164E1"/>
    <w:rsid w:val="009169FC"/>
    <w:rsid w:val="00916A11"/>
    <w:rsid w:val="009171B9"/>
    <w:rsid w:val="0091725F"/>
    <w:rsid w:val="009172C3"/>
    <w:rsid w:val="00917CA4"/>
    <w:rsid w:val="00917E30"/>
    <w:rsid w:val="0092015A"/>
    <w:rsid w:val="009201F8"/>
    <w:rsid w:val="009206E2"/>
    <w:rsid w:val="00920700"/>
    <w:rsid w:val="00920783"/>
    <w:rsid w:val="009207B5"/>
    <w:rsid w:val="00920D76"/>
    <w:rsid w:val="00921170"/>
    <w:rsid w:val="009211E6"/>
    <w:rsid w:val="00921714"/>
    <w:rsid w:val="009218F2"/>
    <w:rsid w:val="0092198F"/>
    <w:rsid w:val="00921E6E"/>
    <w:rsid w:val="00922424"/>
    <w:rsid w:val="00922498"/>
    <w:rsid w:val="0092281E"/>
    <w:rsid w:val="009228CD"/>
    <w:rsid w:val="00922CE3"/>
    <w:rsid w:val="009238CC"/>
    <w:rsid w:val="009240EF"/>
    <w:rsid w:val="00924A9C"/>
    <w:rsid w:val="009260DE"/>
    <w:rsid w:val="00926131"/>
    <w:rsid w:val="00926509"/>
    <w:rsid w:val="00926A43"/>
    <w:rsid w:val="00926BD5"/>
    <w:rsid w:val="00927122"/>
    <w:rsid w:val="00927172"/>
    <w:rsid w:val="00927CB4"/>
    <w:rsid w:val="00930169"/>
    <w:rsid w:val="00930174"/>
    <w:rsid w:val="00930395"/>
    <w:rsid w:val="0093098C"/>
    <w:rsid w:val="00930D8D"/>
    <w:rsid w:val="00931536"/>
    <w:rsid w:val="0093178C"/>
    <w:rsid w:val="00932103"/>
    <w:rsid w:val="0093234D"/>
    <w:rsid w:val="009328F2"/>
    <w:rsid w:val="00932A07"/>
    <w:rsid w:val="00932B7B"/>
    <w:rsid w:val="00932BD6"/>
    <w:rsid w:val="00932BE3"/>
    <w:rsid w:val="00932C32"/>
    <w:rsid w:val="00932FE9"/>
    <w:rsid w:val="009333C9"/>
    <w:rsid w:val="00933668"/>
    <w:rsid w:val="009337B9"/>
    <w:rsid w:val="00933A5B"/>
    <w:rsid w:val="00934328"/>
    <w:rsid w:val="0093447C"/>
    <w:rsid w:val="009345D0"/>
    <w:rsid w:val="00935279"/>
    <w:rsid w:val="009354B9"/>
    <w:rsid w:val="00935595"/>
    <w:rsid w:val="00935A85"/>
    <w:rsid w:val="009360CA"/>
    <w:rsid w:val="00936A3D"/>
    <w:rsid w:val="00936C65"/>
    <w:rsid w:val="00936FAD"/>
    <w:rsid w:val="00937052"/>
    <w:rsid w:val="009375ED"/>
    <w:rsid w:val="00937688"/>
    <w:rsid w:val="00937C24"/>
    <w:rsid w:val="00940107"/>
    <w:rsid w:val="009401B1"/>
    <w:rsid w:val="009407DC"/>
    <w:rsid w:val="00940897"/>
    <w:rsid w:val="00940C1E"/>
    <w:rsid w:val="009411AE"/>
    <w:rsid w:val="0094128E"/>
    <w:rsid w:val="009419EA"/>
    <w:rsid w:val="00941BBA"/>
    <w:rsid w:val="00942462"/>
    <w:rsid w:val="009425A7"/>
    <w:rsid w:val="00942D8B"/>
    <w:rsid w:val="009430FF"/>
    <w:rsid w:val="0094340D"/>
    <w:rsid w:val="0094344D"/>
    <w:rsid w:val="009439D9"/>
    <w:rsid w:val="009440A2"/>
    <w:rsid w:val="00944708"/>
    <w:rsid w:val="00944B34"/>
    <w:rsid w:val="00944B51"/>
    <w:rsid w:val="00944D44"/>
    <w:rsid w:val="009458C2"/>
    <w:rsid w:val="00945B5C"/>
    <w:rsid w:val="00945DFF"/>
    <w:rsid w:val="00945E7C"/>
    <w:rsid w:val="00946153"/>
    <w:rsid w:val="00946390"/>
    <w:rsid w:val="0094743D"/>
    <w:rsid w:val="009474EC"/>
    <w:rsid w:val="00947A7F"/>
    <w:rsid w:val="00947BB6"/>
    <w:rsid w:val="00947D8A"/>
    <w:rsid w:val="00947F31"/>
    <w:rsid w:val="009503C1"/>
    <w:rsid w:val="009503FD"/>
    <w:rsid w:val="009508C0"/>
    <w:rsid w:val="00950AFD"/>
    <w:rsid w:val="00950EBD"/>
    <w:rsid w:val="00951509"/>
    <w:rsid w:val="00951DDD"/>
    <w:rsid w:val="00951ECE"/>
    <w:rsid w:val="00951F60"/>
    <w:rsid w:val="009525E3"/>
    <w:rsid w:val="0095269C"/>
    <w:rsid w:val="00952AA1"/>
    <w:rsid w:val="00952AC3"/>
    <w:rsid w:val="00952BC8"/>
    <w:rsid w:val="00952C15"/>
    <w:rsid w:val="00952FF4"/>
    <w:rsid w:val="00953434"/>
    <w:rsid w:val="0095358A"/>
    <w:rsid w:val="009537ED"/>
    <w:rsid w:val="00953D01"/>
    <w:rsid w:val="0095497C"/>
    <w:rsid w:val="00955172"/>
    <w:rsid w:val="00955B7C"/>
    <w:rsid w:val="00955C0B"/>
    <w:rsid w:val="00955D2F"/>
    <w:rsid w:val="00956289"/>
    <w:rsid w:val="009569B6"/>
    <w:rsid w:val="00956A0C"/>
    <w:rsid w:val="0096012A"/>
    <w:rsid w:val="009602F7"/>
    <w:rsid w:val="00960551"/>
    <w:rsid w:val="00960951"/>
    <w:rsid w:val="00960E24"/>
    <w:rsid w:val="0096101A"/>
    <w:rsid w:val="0096163B"/>
    <w:rsid w:val="00961A40"/>
    <w:rsid w:val="00961A6F"/>
    <w:rsid w:val="00961EC0"/>
    <w:rsid w:val="0096233C"/>
    <w:rsid w:val="0096265D"/>
    <w:rsid w:val="009628A8"/>
    <w:rsid w:val="00962DD6"/>
    <w:rsid w:val="00962F67"/>
    <w:rsid w:val="009630F2"/>
    <w:rsid w:val="009637AA"/>
    <w:rsid w:val="0096416F"/>
    <w:rsid w:val="009641BA"/>
    <w:rsid w:val="0096431C"/>
    <w:rsid w:val="009651BE"/>
    <w:rsid w:val="009653A2"/>
    <w:rsid w:val="00965579"/>
    <w:rsid w:val="009660DF"/>
    <w:rsid w:val="009664A4"/>
    <w:rsid w:val="00966BE7"/>
    <w:rsid w:val="00966C2D"/>
    <w:rsid w:val="00966E75"/>
    <w:rsid w:val="00967EB2"/>
    <w:rsid w:val="00967F6A"/>
    <w:rsid w:val="0097020A"/>
    <w:rsid w:val="00970454"/>
    <w:rsid w:val="00970835"/>
    <w:rsid w:val="00970843"/>
    <w:rsid w:val="00970B5D"/>
    <w:rsid w:val="00970D8E"/>
    <w:rsid w:val="009719D3"/>
    <w:rsid w:val="009719F0"/>
    <w:rsid w:val="00971C21"/>
    <w:rsid w:val="0097214A"/>
    <w:rsid w:val="00972276"/>
    <w:rsid w:val="009724E7"/>
    <w:rsid w:val="00972506"/>
    <w:rsid w:val="00972CCE"/>
    <w:rsid w:val="00972ED7"/>
    <w:rsid w:val="0097310F"/>
    <w:rsid w:val="00973321"/>
    <w:rsid w:val="00973368"/>
    <w:rsid w:val="009733BA"/>
    <w:rsid w:val="009738E3"/>
    <w:rsid w:val="009739C0"/>
    <w:rsid w:val="00973A97"/>
    <w:rsid w:val="00973B5F"/>
    <w:rsid w:val="00973BA2"/>
    <w:rsid w:val="0097417D"/>
    <w:rsid w:val="00974312"/>
    <w:rsid w:val="0097452E"/>
    <w:rsid w:val="009745BC"/>
    <w:rsid w:val="00974727"/>
    <w:rsid w:val="00974E51"/>
    <w:rsid w:val="0097532D"/>
    <w:rsid w:val="00975A30"/>
    <w:rsid w:val="00975F3C"/>
    <w:rsid w:val="009763AD"/>
    <w:rsid w:val="00976CE1"/>
    <w:rsid w:val="00977717"/>
    <w:rsid w:val="00977FA3"/>
    <w:rsid w:val="00980213"/>
    <w:rsid w:val="00980626"/>
    <w:rsid w:val="00980CE3"/>
    <w:rsid w:val="009810F9"/>
    <w:rsid w:val="00981197"/>
    <w:rsid w:val="009818C9"/>
    <w:rsid w:val="0098192B"/>
    <w:rsid w:val="00981F08"/>
    <w:rsid w:val="00981F67"/>
    <w:rsid w:val="00982107"/>
    <w:rsid w:val="009825AA"/>
    <w:rsid w:val="00983215"/>
    <w:rsid w:val="0098367F"/>
    <w:rsid w:val="00983799"/>
    <w:rsid w:val="009837D8"/>
    <w:rsid w:val="00984066"/>
    <w:rsid w:val="009842F7"/>
    <w:rsid w:val="0098493F"/>
    <w:rsid w:val="00984AD1"/>
    <w:rsid w:val="00984BA0"/>
    <w:rsid w:val="00984BAF"/>
    <w:rsid w:val="009856FF"/>
    <w:rsid w:val="009858C0"/>
    <w:rsid w:val="00985E23"/>
    <w:rsid w:val="00986CF2"/>
    <w:rsid w:val="00986EE5"/>
    <w:rsid w:val="00987081"/>
    <w:rsid w:val="009879F4"/>
    <w:rsid w:val="00987CD1"/>
    <w:rsid w:val="00990575"/>
    <w:rsid w:val="00990826"/>
    <w:rsid w:val="00991477"/>
    <w:rsid w:val="00991573"/>
    <w:rsid w:val="00991629"/>
    <w:rsid w:val="009917B6"/>
    <w:rsid w:val="00991AE6"/>
    <w:rsid w:val="00991D22"/>
    <w:rsid w:val="009921F6"/>
    <w:rsid w:val="009923B2"/>
    <w:rsid w:val="00992412"/>
    <w:rsid w:val="00992968"/>
    <w:rsid w:val="00992AE8"/>
    <w:rsid w:val="00992F5B"/>
    <w:rsid w:val="0099315B"/>
    <w:rsid w:val="009933FC"/>
    <w:rsid w:val="009937D1"/>
    <w:rsid w:val="00993D8E"/>
    <w:rsid w:val="00994BCE"/>
    <w:rsid w:val="00994E0D"/>
    <w:rsid w:val="00994EF6"/>
    <w:rsid w:val="00994F11"/>
    <w:rsid w:val="00994F14"/>
    <w:rsid w:val="00995B40"/>
    <w:rsid w:val="00995C5C"/>
    <w:rsid w:val="00995D90"/>
    <w:rsid w:val="009960D6"/>
    <w:rsid w:val="00996395"/>
    <w:rsid w:val="009965CB"/>
    <w:rsid w:val="009966EE"/>
    <w:rsid w:val="00996FA0"/>
    <w:rsid w:val="009971A2"/>
    <w:rsid w:val="009972E3"/>
    <w:rsid w:val="00997712"/>
    <w:rsid w:val="00997EB7"/>
    <w:rsid w:val="009A0052"/>
    <w:rsid w:val="009A005D"/>
    <w:rsid w:val="009A00D4"/>
    <w:rsid w:val="009A030C"/>
    <w:rsid w:val="009A0D5F"/>
    <w:rsid w:val="009A12FB"/>
    <w:rsid w:val="009A1368"/>
    <w:rsid w:val="009A1495"/>
    <w:rsid w:val="009A159A"/>
    <w:rsid w:val="009A1622"/>
    <w:rsid w:val="009A1820"/>
    <w:rsid w:val="009A1FE2"/>
    <w:rsid w:val="009A25D5"/>
    <w:rsid w:val="009A2A9B"/>
    <w:rsid w:val="009A2C23"/>
    <w:rsid w:val="009A2C89"/>
    <w:rsid w:val="009A2D32"/>
    <w:rsid w:val="009A2E24"/>
    <w:rsid w:val="009A35E2"/>
    <w:rsid w:val="009A398A"/>
    <w:rsid w:val="009A3BD4"/>
    <w:rsid w:val="009A4103"/>
    <w:rsid w:val="009A4629"/>
    <w:rsid w:val="009A49C4"/>
    <w:rsid w:val="009A4BD7"/>
    <w:rsid w:val="009A4F83"/>
    <w:rsid w:val="009A5166"/>
    <w:rsid w:val="009A5B5F"/>
    <w:rsid w:val="009A5C09"/>
    <w:rsid w:val="009A5CD9"/>
    <w:rsid w:val="009A5EEA"/>
    <w:rsid w:val="009A6122"/>
    <w:rsid w:val="009A62CD"/>
    <w:rsid w:val="009A6B3E"/>
    <w:rsid w:val="009A6BCB"/>
    <w:rsid w:val="009A6D21"/>
    <w:rsid w:val="009A7613"/>
    <w:rsid w:val="009B0490"/>
    <w:rsid w:val="009B0A4B"/>
    <w:rsid w:val="009B0B03"/>
    <w:rsid w:val="009B0B19"/>
    <w:rsid w:val="009B0B41"/>
    <w:rsid w:val="009B1066"/>
    <w:rsid w:val="009B1164"/>
    <w:rsid w:val="009B1622"/>
    <w:rsid w:val="009B1C0B"/>
    <w:rsid w:val="009B1DD9"/>
    <w:rsid w:val="009B204C"/>
    <w:rsid w:val="009B21CD"/>
    <w:rsid w:val="009B243E"/>
    <w:rsid w:val="009B2499"/>
    <w:rsid w:val="009B3374"/>
    <w:rsid w:val="009B367E"/>
    <w:rsid w:val="009B3BFC"/>
    <w:rsid w:val="009B46F5"/>
    <w:rsid w:val="009B51CB"/>
    <w:rsid w:val="009B5F7C"/>
    <w:rsid w:val="009B6257"/>
    <w:rsid w:val="009B65FA"/>
    <w:rsid w:val="009B6919"/>
    <w:rsid w:val="009B6AE6"/>
    <w:rsid w:val="009B6CD9"/>
    <w:rsid w:val="009B6D3A"/>
    <w:rsid w:val="009B6E75"/>
    <w:rsid w:val="009B7423"/>
    <w:rsid w:val="009B75DC"/>
    <w:rsid w:val="009C0D1A"/>
    <w:rsid w:val="009C18D3"/>
    <w:rsid w:val="009C1D50"/>
    <w:rsid w:val="009C24D6"/>
    <w:rsid w:val="009C2A3D"/>
    <w:rsid w:val="009C2C38"/>
    <w:rsid w:val="009C3A8F"/>
    <w:rsid w:val="009C3D46"/>
    <w:rsid w:val="009C4598"/>
    <w:rsid w:val="009C4A14"/>
    <w:rsid w:val="009C4BE5"/>
    <w:rsid w:val="009C4CD8"/>
    <w:rsid w:val="009C4CF5"/>
    <w:rsid w:val="009C5381"/>
    <w:rsid w:val="009C54CA"/>
    <w:rsid w:val="009C609A"/>
    <w:rsid w:val="009C6538"/>
    <w:rsid w:val="009C6591"/>
    <w:rsid w:val="009C68B7"/>
    <w:rsid w:val="009C69CF"/>
    <w:rsid w:val="009C6E35"/>
    <w:rsid w:val="009C6E82"/>
    <w:rsid w:val="009C727C"/>
    <w:rsid w:val="009C72E8"/>
    <w:rsid w:val="009C75EB"/>
    <w:rsid w:val="009C7AFC"/>
    <w:rsid w:val="009C7B4C"/>
    <w:rsid w:val="009C7E26"/>
    <w:rsid w:val="009D00C4"/>
    <w:rsid w:val="009D02C2"/>
    <w:rsid w:val="009D096D"/>
    <w:rsid w:val="009D0A0C"/>
    <w:rsid w:val="009D0B6A"/>
    <w:rsid w:val="009D0F47"/>
    <w:rsid w:val="009D13D9"/>
    <w:rsid w:val="009D18EA"/>
    <w:rsid w:val="009D1931"/>
    <w:rsid w:val="009D199B"/>
    <w:rsid w:val="009D1ADD"/>
    <w:rsid w:val="009D20B3"/>
    <w:rsid w:val="009D22DF"/>
    <w:rsid w:val="009D2331"/>
    <w:rsid w:val="009D23ED"/>
    <w:rsid w:val="009D2AFD"/>
    <w:rsid w:val="009D37BD"/>
    <w:rsid w:val="009D4F55"/>
    <w:rsid w:val="009D5D7B"/>
    <w:rsid w:val="009D5DC1"/>
    <w:rsid w:val="009D60DA"/>
    <w:rsid w:val="009D636A"/>
    <w:rsid w:val="009D6B8B"/>
    <w:rsid w:val="009D7295"/>
    <w:rsid w:val="009D7304"/>
    <w:rsid w:val="009D7FFD"/>
    <w:rsid w:val="009E04B8"/>
    <w:rsid w:val="009E08BF"/>
    <w:rsid w:val="009E0B17"/>
    <w:rsid w:val="009E0D66"/>
    <w:rsid w:val="009E0DC1"/>
    <w:rsid w:val="009E3112"/>
    <w:rsid w:val="009E363E"/>
    <w:rsid w:val="009E3C3C"/>
    <w:rsid w:val="009E45DB"/>
    <w:rsid w:val="009E4BA4"/>
    <w:rsid w:val="009E4C52"/>
    <w:rsid w:val="009E4FFB"/>
    <w:rsid w:val="009E5208"/>
    <w:rsid w:val="009E5C27"/>
    <w:rsid w:val="009E5E5F"/>
    <w:rsid w:val="009E645A"/>
    <w:rsid w:val="009E694F"/>
    <w:rsid w:val="009E6ADA"/>
    <w:rsid w:val="009E6EB2"/>
    <w:rsid w:val="009E710E"/>
    <w:rsid w:val="009E71DA"/>
    <w:rsid w:val="009E73C9"/>
    <w:rsid w:val="009F0227"/>
    <w:rsid w:val="009F080A"/>
    <w:rsid w:val="009F13E4"/>
    <w:rsid w:val="009F2865"/>
    <w:rsid w:val="009F29B1"/>
    <w:rsid w:val="009F2B5E"/>
    <w:rsid w:val="009F2FD0"/>
    <w:rsid w:val="009F3274"/>
    <w:rsid w:val="009F337F"/>
    <w:rsid w:val="009F3699"/>
    <w:rsid w:val="009F4950"/>
    <w:rsid w:val="009F4980"/>
    <w:rsid w:val="009F4FA5"/>
    <w:rsid w:val="009F5BC2"/>
    <w:rsid w:val="009F5C41"/>
    <w:rsid w:val="009F5D26"/>
    <w:rsid w:val="009F6356"/>
    <w:rsid w:val="009F6648"/>
    <w:rsid w:val="009F6B22"/>
    <w:rsid w:val="009F6BB1"/>
    <w:rsid w:val="009F6FD2"/>
    <w:rsid w:val="009F7036"/>
    <w:rsid w:val="009F7B02"/>
    <w:rsid w:val="00A0073A"/>
    <w:rsid w:val="00A01392"/>
    <w:rsid w:val="00A014F5"/>
    <w:rsid w:val="00A015B3"/>
    <w:rsid w:val="00A021FF"/>
    <w:rsid w:val="00A027AC"/>
    <w:rsid w:val="00A02827"/>
    <w:rsid w:val="00A02D83"/>
    <w:rsid w:val="00A03032"/>
    <w:rsid w:val="00A037E9"/>
    <w:rsid w:val="00A0396E"/>
    <w:rsid w:val="00A03F51"/>
    <w:rsid w:val="00A0432D"/>
    <w:rsid w:val="00A04AFA"/>
    <w:rsid w:val="00A04C84"/>
    <w:rsid w:val="00A0592D"/>
    <w:rsid w:val="00A059AC"/>
    <w:rsid w:val="00A05A61"/>
    <w:rsid w:val="00A05BAC"/>
    <w:rsid w:val="00A05F43"/>
    <w:rsid w:val="00A06273"/>
    <w:rsid w:val="00A06563"/>
    <w:rsid w:val="00A0676E"/>
    <w:rsid w:val="00A0694B"/>
    <w:rsid w:val="00A06A15"/>
    <w:rsid w:val="00A0701B"/>
    <w:rsid w:val="00A072F8"/>
    <w:rsid w:val="00A0744C"/>
    <w:rsid w:val="00A07753"/>
    <w:rsid w:val="00A07D8F"/>
    <w:rsid w:val="00A07E05"/>
    <w:rsid w:val="00A100B6"/>
    <w:rsid w:val="00A105B4"/>
    <w:rsid w:val="00A10A5B"/>
    <w:rsid w:val="00A116BB"/>
    <w:rsid w:val="00A11C26"/>
    <w:rsid w:val="00A11CB5"/>
    <w:rsid w:val="00A11DC1"/>
    <w:rsid w:val="00A12030"/>
    <w:rsid w:val="00A1277C"/>
    <w:rsid w:val="00A1298C"/>
    <w:rsid w:val="00A12D3F"/>
    <w:rsid w:val="00A12E07"/>
    <w:rsid w:val="00A12FA6"/>
    <w:rsid w:val="00A135A3"/>
    <w:rsid w:val="00A136DD"/>
    <w:rsid w:val="00A137C0"/>
    <w:rsid w:val="00A13FB8"/>
    <w:rsid w:val="00A14F72"/>
    <w:rsid w:val="00A15C69"/>
    <w:rsid w:val="00A15C7F"/>
    <w:rsid w:val="00A15DED"/>
    <w:rsid w:val="00A15F5B"/>
    <w:rsid w:val="00A167CB"/>
    <w:rsid w:val="00A16C89"/>
    <w:rsid w:val="00A16D52"/>
    <w:rsid w:val="00A16E91"/>
    <w:rsid w:val="00A16EE6"/>
    <w:rsid w:val="00A17191"/>
    <w:rsid w:val="00A17475"/>
    <w:rsid w:val="00A17597"/>
    <w:rsid w:val="00A175D4"/>
    <w:rsid w:val="00A1760F"/>
    <w:rsid w:val="00A177AE"/>
    <w:rsid w:val="00A177BB"/>
    <w:rsid w:val="00A179FD"/>
    <w:rsid w:val="00A202A0"/>
    <w:rsid w:val="00A20434"/>
    <w:rsid w:val="00A2108E"/>
    <w:rsid w:val="00A213CA"/>
    <w:rsid w:val="00A2149B"/>
    <w:rsid w:val="00A2181B"/>
    <w:rsid w:val="00A21B57"/>
    <w:rsid w:val="00A21EA3"/>
    <w:rsid w:val="00A22564"/>
    <w:rsid w:val="00A229C0"/>
    <w:rsid w:val="00A230ED"/>
    <w:rsid w:val="00A232D9"/>
    <w:rsid w:val="00A23859"/>
    <w:rsid w:val="00A239D1"/>
    <w:rsid w:val="00A23E1F"/>
    <w:rsid w:val="00A243C4"/>
    <w:rsid w:val="00A246FD"/>
    <w:rsid w:val="00A251F1"/>
    <w:rsid w:val="00A25C61"/>
    <w:rsid w:val="00A25DA1"/>
    <w:rsid w:val="00A25F12"/>
    <w:rsid w:val="00A25F17"/>
    <w:rsid w:val="00A26410"/>
    <w:rsid w:val="00A26A57"/>
    <w:rsid w:val="00A26C9E"/>
    <w:rsid w:val="00A26D3F"/>
    <w:rsid w:val="00A26EB7"/>
    <w:rsid w:val="00A273FE"/>
    <w:rsid w:val="00A27730"/>
    <w:rsid w:val="00A278F5"/>
    <w:rsid w:val="00A27D83"/>
    <w:rsid w:val="00A27E47"/>
    <w:rsid w:val="00A27EF6"/>
    <w:rsid w:val="00A27F46"/>
    <w:rsid w:val="00A308B5"/>
    <w:rsid w:val="00A30DD3"/>
    <w:rsid w:val="00A30FC0"/>
    <w:rsid w:val="00A3133A"/>
    <w:rsid w:val="00A31694"/>
    <w:rsid w:val="00A31915"/>
    <w:rsid w:val="00A31A36"/>
    <w:rsid w:val="00A31B15"/>
    <w:rsid w:val="00A31C58"/>
    <w:rsid w:val="00A322D1"/>
    <w:rsid w:val="00A33035"/>
    <w:rsid w:val="00A3345A"/>
    <w:rsid w:val="00A34B50"/>
    <w:rsid w:val="00A34B52"/>
    <w:rsid w:val="00A34FC9"/>
    <w:rsid w:val="00A353B0"/>
    <w:rsid w:val="00A35636"/>
    <w:rsid w:val="00A3618C"/>
    <w:rsid w:val="00A369D2"/>
    <w:rsid w:val="00A36A07"/>
    <w:rsid w:val="00A36DD3"/>
    <w:rsid w:val="00A36E42"/>
    <w:rsid w:val="00A36F92"/>
    <w:rsid w:val="00A37739"/>
    <w:rsid w:val="00A37AE0"/>
    <w:rsid w:val="00A37C36"/>
    <w:rsid w:val="00A37D4F"/>
    <w:rsid w:val="00A37F0E"/>
    <w:rsid w:val="00A403A6"/>
    <w:rsid w:val="00A404CB"/>
    <w:rsid w:val="00A4079F"/>
    <w:rsid w:val="00A40BF6"/>
    <w:rsid w:val="00A414FE"/>
    <w:rsid w:val="00A41854"/>
    <w:rsid w:val="00A41C93"/>
    <w:rsid w:val="00A42967"/>
    <w:rsid w:val="00A42CFD"/>
    <w:rsid w:val="00A42E1C"/>
    <w:rsid w:val="00A43128"/>
    <w:rsid w:val="00A436CA"/>
    <w:rsid w:val="00A4374E"/>
    <w:rsid w:val="00A439DC"/>
    <w:rsid w:val="00A43CF4"/>
    <w:rsid w:val="00A43CF5"/>
    <w:rsid w:val="00A4407F"/>
    <w:rsid w:val="00A445DF"/>
    <w:rsid w:val="00A4473A"/>
    <w:rsid w:val="00A458E7"/>
    <w:rsid w:val="00A45ADF"/>
    <w:rsid w:val="00A45CC0"/>
    <w:rsid w:val="00A45ECC"/>
    <w:rsid w:val="00A466A4"/>
    <w:rsid w:val="00A467C1"/>
    <w:rsid w:val="00A46998"/>
    <w:rsid w:val="00A46B15"/>
    <w:rsid w:val="00A46B2D"/>
    <w:rsid w:val="00A4733F"/>
    <w:rsid w:val="00A47676"/>
    <w:rsid w:val="00A4786B"/>
    <w:rsid w:val="00A4799B"/>
    <w:rsid w:val="00A5027B"/>
    <w:rsid w:val="00A50331"/>
    <w:rsid w:val="00A50668"/>
    <w:rsid w:val="00A50890"/>
    <w:rsid w:val="00A50C1C"/>
    <w:rsid w:val="00A51332"/>
    <w:rsid w:val="00A5141A"/>
    <w:rsid w:val="00A51833"/>
    <w:rsid w:val="00A519B6"/>
    <w:rsid w:val="00A51E9C"/>
    <w:rsid w:val="00A52421"/>
    <w:rsid w:val="00A52470"/>
    <w:rsid w:val="00A529E8"/>
    <w:rsid w:val="00A52B35"/>
    <w:rsid w:val="00A52B7F"/>
    <w:rsid w:val="00A52D5B"/>
    <w:rsid w:val="00A5394C"/>
    <w:rsid w:val="00A53A1B"/>
    <w:rsid w:val="00A54474"/>
    <w:rsid w:val="00A549A3"/>
    <w:rsid w:val="00A54E30"/>
    <w:rsid w:val="00A553A6"/>
    <w:rsid w:val="00A5574D"/>
    <w:rsid w:val="00A560D2"/>
    <w:rsid w:val="00A56136"/>
    <w:rsid w:val="00A5622F"/>
    <w:rsid w:val="00A56663"/>
    <w:rsid w:val="00A56823"/>
    <w:rsid w:val="00A56C9D"/>
    <w:rsid w:val="00A56E6D"/>
    <w:rsid w:val="00A5753A"/>
    <w:rsid w:val="00A57DC6"/>
    <w:rsid w:val="00A57EFC"/>
    <w:rsid w:val="00A60286"/>
    <w:rsid w:val="00A60A5D"/>
    <w:rsid w:val="00A60E32"/>
    <w:rsid w:val="00A616D0"/>
    <w:rsid w:val="00A617E6"/>
    <w:rsid w:val="00A61BD7"/>
    <w:rsid w:val="00A61C1C"/>
    <w:rsid w:val="00A61DB2"/>
    <w:rsid w:val="00A62132"/>
    <w:rsid w:val="00A62502"/>
    <w:rsid w:val="00A62B69"/>
    <w:rsid w:val="00A64035"/>
    <w:rsid w:val="00A6430E"/>
    <w:rsid w:val="00A64FB9"/>
    <w:rsid w:val="00A650FF"/>
    <w:rsid w:val="00A6553E"/>
    <w:rsid w:val="00A6568F"/>
    <w:rsid w:val="00A65920"/>
    <w:rsid w:val="00A6599B"/>
    <w:rsid w:val="00A6624A"/>
    <w:rsid w:val="00A66442"/>
    <w:rsid w:val="00A666C2"/>
    <w:rsid w:val="00A667DB"/>
    <w:rsid w:val="00A66886"/>
    <w:rsid w:val="00A6699D"/>
    <w:rsid w:val="00A66EA2"/>
    <w:rsid w:val="00A673C2"/>
    <w:rsid w:val="00A67820"/>
    <w:rsid w:val="00A678E5"/>
    <w:rsid w:val="00A6792B"/>
    <w:rsid w:val="00A67C1A"/>
    <w:rsid w:val="00A67C4F"/>
    <w:rsid w:val="00A7069D"/>
    <w:rsid w:val="00A70A78"/>
    <w:rsid w:val="00A70B0D"/>
    <w:rsid w:val="00A70B9E"/>
    <w:rsid w:val="00A7118E"/>
    <w:rsid w:val="00A7131D"/>
    <w:rsid w:val="00A71398"/>
    <w:rsid w:val="00A71409"/>
    <w:rsid w:val="00A7146C"/>
    <w:rsid w:val="00A71AEF"/>
    <w:rsid w:val="00A71FD5"/>
    <w:rsid w:val="00A721F5"/>
    <w:rsid w:val="00A7238D"/>
    <w:rsid w:val="00A7248F"/>
    <w:rsid w:val="00A728F4"/>
    <w:rsid w:val="00A72E83"/>
    <w:rsid w:val="00A730BD"/>
    <w:rsid w:val="00A73769"/>
    <w:rsid w:val="00A73F65"/>
    <w:rsid w:val="00A7410D"/>
    <w:rsid w:val="00A741CF"/>
    <w:rsid w:val="00A74AA3"/>
    <w:rsid w:val="00A74DF9"/>
    <w:rsid w:val="00A74E95"/>
    <w:rsid w:val="00A74FB4"/>
    <w:rsid w:val="00A74FC1"/>
    <w:rsid w:val="00A7515B"/>
    <w:rsid w:val="00A75336"/>
    <w:rsid w:val="00A75C02"/>
    <w:rsid w:val="00A75EC3"/>
    <w:rsid w:val="00A76310"/>
    <w:rsid w:val="00A76443"/>
    <w:rsid w:val="00A7662E"/>
    <w:rsid w:val="00A77745"/>
    <w:rsid w:val="00A77849"/>
    <w:rsid w:val="00A77E40"/>
    <w:rsid w:val="00A77E4A"/>
    <w:rsid w:val="00A80748"/>
    <w:rsid w:val="00A80900"/>
    <w:rsid w:val="00A80CC7"/>
    <w:rsid w:val="00A80FA9"/>
    <w:rsid w:val="00A81C73"/>
    <w:rsid w:val="00A8234C"/>
    <w:rsid w:val="00A823A9"/>
    <w:rsid w:val="00A82581"/>
    <w:rsid w:val="00A82745"/>
    <w:rsid w:val="00A8287A"/>
    <w:rsid w:val="00A83186"/>
    <w:rsid w:val="00A83509"/>
    <w:rsid w:val="00A83712"/>
    <w:rsid w:val="00A8394B"/>
    <w:rsid w:val="00A83981"/>
    <w:rsid w:val="00A8420F"/>
    <w:rsid w:val="00A84CE8"/>
    <w:rsid w:val="00A850CE"/>
    <w:rsid w:val="00A8549C"/>
    <w:rsid w:val="00A86126"/>
    <w:rsid w:val="00A8646A"/>
    <w:rsid w:val="00A8653B"/>
    <w:rsid w:val="00A87958"/>
    <w:rsid w:val="00A87B52"/>
    <w:rsid w:val="00A87F00"/>
    <w:rsid w:val="00A910C8"/>
    <w:rsid w:val="00A9114A"/>
    <w:rsid w:val="00A91412"/>
    <w:rsid w:val="00A91673"/>
    <w:rsid w:val="00A92212"/>
    <w:rsid w:val="00A92433"/>
    <w:rsid w:val="00A926B0"/>
    <w:rsid w:val="00A92F52"/>
    <w:rsid w:val="00A9363C"/>
    <w:rsid w:val="00A93702"/>
    <w:rsid w:val="00A93B2B"/>
    <w:rsid w:val="00A93D15"/>
    <w:rsid w:val="00A94489"/>
    <w:rsid w:val="00A947E3"/>
    <w:rsid w:val="00A9496C"/>
    <w:rsid w:val="00A94FA5"/>
    <w:rsid w:val="00A95300"/>
    <w:rsid w:val="00A95420"/>
    <w:rsid w:val="00A95603"/>
    <w:rsid w:val="00A957D6"/>
    <w:rsid w:val="00A95947"/>
    <w:rsid w:val="00A95BCE"/>
    <w:rsid w:val="00A95ED1"/>
    <w:rsid w:val="00A96568"/>
    <w:rsid w:val="00A9664C"/>
    <w:rsid w:val="00A969F0"/>
    <w:rsid w:val="00A971C5"/>
    <w:rsid w:val="00A976E9"/>
    <w:rsid w:val="00A97C25"/>
    <w:rsid w:val="00A97E8A"/>
    <w:rsid w:val="00AA00B9"/>
    <w:rsid w:val="00AA06DD"/>
    <w:rsid w:val="00AA090C"/>
    <w:rsid w:val="00AA0AC5"/>
    <w:rsid w:val="00AA14F5"/>
    <w:rsid w:val="00AA17A0"/>
    <w:rsid w:val="00AA227E"/>
    <w:rsid w:val="00AA239A"/>
    <w:rsid w:val="00AA27D6"/>
    <w:rsid w:val="00AA27FF"/>
    <w:rsid w:val="00AA2905"/>
    <w:rsid w:val="00AA29E0"/>
    <w:rsid w:val="00AA2FA9"/>
    <w:rsid w:val="00AA2FAA"/>
    <w:rsid w:val="00AA32B5"/>
    <w:rsid w:val="00AA363A"/>
    <w:rsid w:val="00AA3FD6"/>
    <w:rsid w:val="00AA4109"/>
    <w:rsid w:val="00AA43E4"/>
    <w:rsid w:val="00AA4B5B"/>
    <w:rsid w:val="00AA4D17"/>
    <w:rsid w:val="00AA4F6F"/>
    <w:rsid w:val="00AA50BC"/>
    <w:rsid w:val="00AA5262"/>
    <w:rsid w:val="00AA543E"/>
    <w:rsid w:val="00AA5D47"/>
    <w:rsid w:val="00AA5DB4"/>
    <w:rsid w:val="00AA69FA"/>
    <w:rsid w:val="00AA6A18"/>
    <w:rsid w:val="00AA7572"/>
    <w:rsid w:val="00AA781B"/>
    <w:rsid w:val="00AA7A28"/>
    <w:rsid w:val="00AA7D45"/>
    <w:rsid w:val="00AB0182"/>
    <w:rsid w:val="00AB04B8"/>
    <w:rsid w:val="00AB1178"/>
    <w:rsid w:val="00AB1BF4"/>
    <w:rsid w:val="00AB1C02"/>
    <w:rsid w:val="00AB1F00"/>
    <w:rsid w:val="00AB2402"/>
    <w:rsid w:val="00AB2674"/>
    <w:rsid w:val="00AB2A06"/>
    <w:rsid w:val="00AB328B"/>
    <w:rsid w:val="00AB32F6"/>
    <w:rsid w:val="00AB367F"/>
    <w:rsid w:val="00AB37C9"/>
    <w:rsid w:val="00AB39C0"/>
    <w:rsid w:val="00AB3BCD"/>
    <w:rsid w:val="00AB46BB"/>
    <w:rsid w:val="00AB4879"/>
    <w:rsid w:val="00AB48F9"/>
    <w:rsid w:val="00AB4C86"/>
    <w:rsid w:val="00AB5670"/>
    <w:rsid w:val="00AB591B"/>
    <w:rsid w:val="00AB5967"/>
    <w:rsid w:val="00AB5FCE"/>
    <w:rsid w:val="00AB5FD0"/>
    <w:rsid w:val="00AB612D"/>
    <w:rsid w:val="00AB70A2"/>
    <w:rsid w:val="00AB7307"/>
    <w:rsid w:val="00AB791C"/>
    <w:rsid w:val="00AB7D34"/>
    <w:rsid w:val="00AC0ED7"/>
    <w:rsid w:val="00AC15FF"/>
    <w:rsid w:val="00AC1917"/>
    <w:rsid w:val="00AC1D0D"/>
    <w:rsid w:val="00AC20D4"/>
    <w:rsid w:val="00AC3543"/>
    <w:rsid w:val="00AC3851"/>
    <w:rsid w:val="00AC38D0"/>
    <w:rsid w:val="00AC4450"/>
    <w:rsid w:val="00AC4877"/>
    <w:rsid w:val="00AC4ED1"/>
    <w:rsid w:val="00AC518F"/>
    <w:rsid w:val="00AC5620"/>
    <w:rsid w:val="00AC5693"/>
    <w:rsid w:val="00AC59EE"/>
    <w:rsid w:val="00AC5CFF"/>
    <w:rsid w:val="00AC6B85"/>
    <w:rsid w:val="00AC6C2B"/>
    <w:rsid w:val="00AC71ED"/>
    <w:rsid w:val="00AC7AE4"/>
    <w:rsid w:val="00AC7D64"/>
    <w:rsid w:val="00AD0384"/>
    <w:rsid w:val="00AD0540"/>
    <w:rsid w:val="00AD0616"/>
    <w:rsid w:val="00AD0982"/>
    <w:rsid w:val="00AD09CD"/>
    <w:rsid w:val="00AD0C56"/>
    <w:rsid w:val="00AD0D28"/>
    <w:rsid w:val="00AD0E03"/>
    <w:rsid w:val="00AD0F38"/>
    <w:rsid w:val="00AD1075"/>
    <w:rsid w:val="00AD147D"/>
    <w:rsid w:val="00AD1587"/>
    <w:rsid w:val="00AD19B2"/>
    <w:rsid w:val="00AD226A"/>
    <w:rsid w:val="00AD2A59"/>
    <w:rsid w:val="00AD3CBE"/>
    <w:rsid w:val="00AD3DA5"/>
    <w:rsid w:val="00AD4223"/>
    <w:rsid w:val="00AD42BA"/>
    <w:rsid w:val="00AD4320"/>
    <w:rsid w:val="00AD4392"/>
    <w:rsid w:val="00AD4907"/>
    <w:rsid w:val="00AD4AF5"/>
    <w:rsid w:val="00AD4EAD"/>
    <w:rsid w:val="00AD561B"/>
    <w:rsid w:val="00AD5797"/>
    <w:rsid w:val="00AD5AB3"/>
    <w:rsid w:val="00AD5B6B"/>
    <w:rsid w:val="00AD5C64"/>
    <w:rsid w:val="00AD5D3D"/>
    <w:rsid w:val="00AD5E57"/>
    <w:rsid w:val="00AD610C"/>
    <w:rsid w:val="00AD6119"/>
    <w:rsid w:val="00AD647D"/>
    <w:rsid w:val="00AD67F2"/>
    <w:rsid w:val="00AD6A56"/>
    <w:rsid w:val="00AD6DCD"/>
    <w:rsid w:val="00AD77F3"/>
    <w:rsid w:val="00AE003C"/>
    <w:rsid w:val="00AE0899"/>
    <w:rsid w:val="00AE0AE7"/>
    <w:rsid w:val="00AE0D7E"/>
    <w:rsid w:val="00AE0F0A"/>
    <w:rsid w:val="00AE10D7"/>
    <w:rsid w:val="00AE113E"/>
    <w:rsid w:val="00AE1E21"/>
    <w:rsid w:val="00AE2766"/>
    <w:rsid w:val="00AE2AB8"/>
    <w:rsid w:val="00AE3193"/>
    <w:rsid w:val="00AE3242"/>
    <w:rsid w:val="00AE327C"/>
    <w:rsid w:val="00AE37F9"/>
    <w:rsid w:val="00AE38AE"/>
    <w:rsid w:val="00AE3D15"/>
    <w:rsid w:val="00AE3EB4"/>
    <w:rsid w:val="00AE40DC"/>
    <w:rsid w:val="00AE44AD"/>
    <w:rsid w:val="00AE4517"/>
    <w:rsid w:val="00AE53F9"/>
    <w:rsid w:val="00AE55DA"/>
    <w:rsid w:val="00AE57C4"/>
    <w:rsid w:val="00AE57C9"/>
    <w:rsid w:val="00AE593A"/>
    <w:rsid w:val="00AE6CA1"/>
    <w:rsid w:val="00AE773B"/>
    <w:rsid w:val="00AF047F"/>
    <w:rsid w:val="00AF05C1"/>
    <w:rsid w:val="00AF0C3B"/>
    <w:rsid w:val="00AF11D0"/>
    <w:rsid w:val="00AF1443"/>
    <w:rsid w:val="00AF1679"/>
    <w:rsid w:val="00AF1681"/>
    <w:rsid w:val="00AF1BA2"/>
    <w:rsid w:val="00AF267F"/>
    <w:rsid w:val="00AF29CE"/>
    <w:rsid w:val="00AF2A02"/>
    <w:rsid w:val="00AF2C62"/>
    <w:rsid w:val="00AF338F"/>
    <w:rsid w:val="00AF35FD"/>
    <w:rsid w:val="00AF37AC"/>
    <w:rsid w:val="00AF39CB"/>
    <w:rsid w:val="00AF3D56"/>
    <w:rsid w:val="00AF43D5"/>
    <w:rsid w:val="00AF43D9"/>
    <w:rsid w:val="00AF4814"/>
    <w:rsid w:val="00AF4BC0"/>
    <w:rsid w:val="00AF55C1"/>
    <w:rsid w:val="00AF565A"/>
    <w:rsid w:val="00AF577C"/>
    <w:rsid w:val="00AF5D1A"/>
    <w:rsid w:val="00AF6356"/>
    <w:rsid w:val="00AF642C"/>
    <w:rsid w:val="00AF650E"/>
    <w:rsid w:val="00AF6BE7"/>
    <w:rsid w:val="00AF6F3C"/>
    <w:rsid w:val="00AF6F88"/>
    <w:rsid w:val="00AF70B7"/>
    <w:rsid w:val="00AF71A1"/>
    <w:rsid w:val="00AF735B"/>
    <w:rsid w:val="00AF763D"/>
    <w:rsid w:val="00AF78CA"/>
    <w:rsid w:val="00B000B3"/>
    <w:rsid w:val="00B0043B"/>
    <w:rsid w:val="00B005DB"/>
    <w:rsid w:val="00B0091C"/>
    <w:rsid w:val="00B00CC7"/>
    <w:rsid w:val="00B00DD8"/>
    <w:rsid w:val="00B010CF"/>
    <w:rsid w:val="00B012AD"/>
    <w:rsid w:val="00B0172D"/>
    <w:rsid w:val="00B01F58"/>
    <w:rsid w:val="00B021FE"/>
    <w:rsid w:val="00B02370"/>
    <w:rsid w:val="00B03594"/>
    <w:rsid w:val="00B035F2"/>
    <w:rsid w:val="00B043FF"/>
    <w:rsid w:val="00B04C84"/>
    <w:rsid w:val="00B050D8"/>
    <w:rsid w:val="00B051E3"/>
    <w:rsid w:val="00B05978"/>
    <w:rsid w:val="00B05AFF"/>
    <w:rsid w:val="00B05B93"/>
    <w:rsid w:val="00B05D3A"/>
    <w:rsid w:val="00B063A3"/>
    <w:rsid w:val="00B06FAA"/>
    <w:rsid w:val="00B07184"/>
    <w:rsid w:val="00B07291"/>
    <w:rsid w:val="00B0762A"/>
    <w:rsid w:val="00B07B06"/>
    <w:rsid w:val="00B07E05"/>
    <w:rsid w:val="00B07E99"/>
    <w:rsid w:val="00B10F1E"/>
    <w:rsid w:val="00B1132F"/>
    <w:rsid w:val="00B117FA"/>
    <w:rsid w:val="00B11B34"/>
    <w:rsid w:val="00B11CAA"/>
    <w:rsid w:val="00B11CF7"/>
    <w:rsid w:val="00B1211F"/>
    <w:rsid w:val="00B12C7E"/>
    <w:rsid w:val="00B12E62"/>
    <w:rsid w:val="00B13FFA"/>
    <w:rsid w:val="00B14275"/>
    <w:rsid w:val="00B1444F"/>
    <w:rsid w:val="00B1452B"/>
    <w:rsid w:val="00B14580"/>
    <w:rsid w:val="00B14D88"/>
    <w:rsid w:val="00B14E58"/>
    <w:rsid w:val="00B15271"/>
    <w:rsid w:val="00B15A01"/>
    <w:rsid w:val="00B15BA8"/>
    <w:rsid w:val="00B15D77"/>
    <w:rsid w:val="00B1612B"/>
    <w:rsid w:val="00B162F4"/>
    <w:rsid w:val="00B164EC"/>
    <w:rsid w:val="00B1666D"/>
    <w:rsid w:val="00B16887"/>
    <w:rsid w:val="00B16B52"/>
    <w:rsid w:val="00B174D6"/>
    <w:rsid w:val="00B17525"/>
    <w:rsid w:val="00B17B18"/>
    <w:rsid w:val="00B17E4B"/>
    <w:rsid w:val="00B20175"/>
    <w:rsid w:val="00B205D0"/>
    <w:rsid w:val="00B20C5C"/>
    <w:rsid w:val="00B20CE3"/>
    <w:rsid w:val="00B21029"/>
    <w:rsid w:val="00B210AA"/>
    <w:rsid w:val="00B21509"/>
    <w:rsid w:val="00B21574"/>
    <w:rsid w:val="00B2166F"/>
    <w:rsid w:val="00B21819"/>
    <w:rsid w:val="00B21CAA"/>
    <w:rsid w:val="00B21DF4"/>
    <w:rsid w:val="00B21E24"/>
    <w:rsid w:val="00B21E40"/>
    <w:rsid w:val="00B21F02"/>
    <w:rsid w:val="00B222CE"/>
    <w:rsid w:val="00B2274E"/>
    <w:rsid w:val="00B2306A"/>
    <w:rsid w:val="00B236CE"/>
    <w:rsid w:val="00B23C76"/>
    <w:rsid w:val="00B23D38"/>
    <w:rsid w:val="00B23EA1"/>
    <w:rsid w:val="00B23F6F"/>
    <w:rsid w:val="00B2407C"/>
    <w:rsid w:val="00B24271"/>
    <w:rsid w:val="00B245D7"/>
    <w:rsid w:val="00B24665"/>
    <w:rsid w:val="00B25390"/>
    <w:rsid w:val="00B25487"/>
    <w:rsid w:val="00B254A0"/>
    <w:rsid w:val="00B25879"/>
    <w:rsid w:val="00B259F3"/>
    <w:rsid w:val="00B25B7D"/>
    <w:rsid w:val="00B26466"/>
    <w:rsid w:val="00B264C0"/>
    <w:rsid w:val="00B26A8B"/>
    <w:rsid w:val="00B26B47"/>
    <w:rsid w:val="00B2746E"/>
    <w:rsid w:val="00B275E9"/>
    <w:rsid w:val="00B2765B"/>
    <w:rsid w:val="00B3071A"/>
    <w:rsid w:val="00B308D6"/>
    <w:rsid w:val="00B30C72"/>
    <w:rsid w:val="00B31169"/>
    <w:rsid w:val="00B312ED"/>
    <w:rsid w:val="00B312EE"/>
    <w:rsid w:val="00B31541"/>
    <w:rsid w:val="00B316D5"/>
    <w:rsid w:val="00B317C1"/>
    <w:rsid w:val="00B32072"/>
    <w:rsid w:val="00B329B8"/>
    <w:rsid w:val="00B32C01"/>
    <w:rsid w:val="00B32FEA"/>
    <w:rsid w:val="00B3336D"/>
    <w:rsid w:val="00B33515"/>
    <w:rsid w:val="00B33B74"/>
    <w:rsid w:val="00B33D85"/>
    <w:rsid w:val="00B33E64"/>
    <w:rsid w:val="00B33EEC"/>
    <w:rsid w:val="00B346D7"/>
    <w:rsid w:val="00B34B54"/>
    <w:rsid w:val="00B350A3"/>
    <w:rsid w:val="00B351BB"/>
    <w:rsid w:val="00B3533C"/>
    <w:rsid w:val="00B354DE"/>
    <w:rsid w:val="00B35F3E"/>
    <w:rsid w:val="00B36352"/>
    <w:rsid w:val="00B367EC"/>
    <w:rsid w:val="00B36B8D"/>
    <w:rsid w:val="00B36E60"/>
    <w:rsid w:val="00B372F4"/>
    <w:rsid w:val="00B3734B"/>
    <w:rsid w:val="00B37CE4"/>
    <w:rsid w:val="00B400F8"/>
    <w:rsid w:val="00B4010D"/>
    <w:rsid w:val="00B4073A"/>
    <w:rsid w:val="00B41128"/>
    <w:rsid w:val="00B41653"/>
    <w:rsid w:val="00B41AE4"/>
    <w:rsid w:val="00B420D8"/>
    <w:rsid w:val="00B42160"/>
    <w:rsid w:val="00B42608"/>
    <w:rsid w:val="00B42B38"/>
    <w:rsid w:val="00B42C45"/>
    <w:rsid w:val="00B4347B"/>
    <w:rsid w:val="00B438B6"/>
    <w:rsid w:val="00B43C70"/>
    <w:rsid w:val="00B446DD"/>
    <w:rsid w:val="00B449D2"/>
    <w:rsid w:val="00B44AC7"/>
    <w:rsid w:val="00B453AC"/>
    <w:rsid w:val="00B45476"/>
    <w:rsid w:val="00B459E2"/>
    <w:rsid w:val="00B45FBA"/>
    <w:rsid w:val="00B46224"/>
    <w:rsid w:val="00B465FF"/>
    <w:rsid w:val="00B46A35"/>
    <w:rsid w:val="00B46ABB"/>
    <w:rsid w:val="00B470AF"/>
    <w:rsid w:val="00B47215"/>
    <w:rsid w:val="00B4769B"/>
    <w:rsid w:val="00B47895"/>
    <w:rsid w:val="00B47FF2"/>
    <w:rsid w:val="00B506E6"/>
    <w:rsid w:val="00B50739"/>
    <w:rsid w:val="00B50A7C"/>
    <w:rsid w:val="00B50C1B"/>
    <w:rsid w:val="00B50D4F"/>
    <w:rsid w:val="00B51041"/>
    <w:rsid w:val="00B5163A"/>
    <w:rsid w:val="00B5191F"/>
    <w:rsid w:val="00B519CD"/>
    <w:rsid w:val="00B51B53"/>
    <w:rsid w:val="00B51D88"/>
    <w:rsid w:val="00B522A6"/>
    <w:rsid w:val="00B526A6"/>
    <w:rsid w:val="00B52997"/>
    <w:rsid w:val="00B532E4"/>
    <w:rsid w:val="00B539D3"/>
    <w:rsid w:val="00B53A7A"/>
    <w:rsid w:val="00B53AB4"/>
    <w:rsid w:val="00B54056"/>
    <w:rsid w:val="00B54114"/>
    <w:rsid w:val="00B5418B"/>
    <w:rsid w:val="00B547F1"/>
    <w:rsid w:val="00B549D0"/>
    <w:rsid w:val="00B54E73"/>
    <w:rsid w:val="00B54F10"/>
    <w:rsid w:val="00B54FCB"/>
    <w:rsid w:val="00B54FFA"/>
    <w:rsid w:val="00B55311"/>
    <w:rsid w:val="00B55B02"/>
    <w:rsid w:val="00B55E81"/>
    <w:rsid w:val="00B55FCB"/>
    <w:rsid w:val="00B561B4"/>
    <w:rsid w:val="00B562C8"/>
    <w:rsid w:val="00B570C2"/>
    <w:rsid w:val="00B57163"/>
    <w:rsid w:val="00B57785"/>
    <w:rsid w:val="00B57E95"/>
    <w:rsid w:val="00B57F55"/>
    <w:rsid w:val="00B57F95"/>
    <w:rsid w:val="00B60555"/>
    <w:rsid w:val="00B60A07"/>
    <w:rsid w:val="00B60B8B"/>
    <w:rsid w:val="00B617E8"/>
    <w:rsid w:val="00B61923"/>
    <w:rsid w:val="00B6194D"/>
    <w:rsid w:val="00B61C0A"/>
    <w:rsid w:val="00B622CD"/>
    <w:rsid w:val="00B62388"/>
    <w:rsid w:val="00B627B9"/>
    <w:rsid w:val="00B62EC5"/>
    <w:rsid w:val="00B63129"/>
    <w:rsid w:val="00B6331B"/>
    <w:rsid w:val="00B643B4"/>
    <w:rsid w:val="00B643DF"/>
    <w:rsid w:val="00B64DEC"/>
    <w:rsid w:val="00B64EA0"/>
    <w:rsid w:val="00B65D58"/>
    <w:rsid w:val="00B668F0"/>
    <w:rsid w:val="00B66B84"/>
    <w:rsid w:val="00B66CEB"/>
    <w:rsid w:val="00B66F39"/>
    <w:rsid w:val="00B67561"/>
    <w:rsid w:val="00B67605"/>
    <w:rsid w:val="00B678DD"/>
    <w:rsid w:val="00B67C26"/>
    <w:rsid w:val="00B700B0"/>
    <w:rsid w:val="00B701FF"/>
    <w:rsid w:val="00B70534"/>
    <w:rsid w:val="00B70777"/>
    <w:rsid w:val="00B70DD7"/>
    <w:rsid w:val="00B7158D"/>
    <w:rsid w:val="00B718F5"/>
    <w:rsid w:val="00B7194C"/>
    <w:rsid w:val="00B71B08"/>
    <w:rsid w:val="00B71CC5"/>
    <w:rsid w:val="00B71D6A"/>
    <w:rsid w:val="00B727CD"/>
    <w:rsid w:val="00B72B68"/>
    <w:rsid w:val="00B72C69"/>
    <w:rsid w:val="00B7300C"/>
    <w:rsid w:val="00B73679"/>
    <w:rsid w:val="00B7386D"/>
    <w:rsid w:val="00B7399B"/>
    <w:rsid w:val="00B73B72"/>
    <w:rsid w:val="00B74E94"/>
    <w:rsid w:val="00B74F50"/>
    <w:rsid w:val="00B75315"/>
    <w:rsid w:val="00B753A4"/>
    <w:rsid w:val="00B758E3"/>
    <w:rsid w:val="00B75A77"/>
    <w:rsid w:val="00B75BB4"/>
    <w:rsid w:val="00B75D79"/>
    <w:rsid w:val="00B7603D"/>
    <w:rsid w:val="00B76747"/>
    <w:rsid w:val="00B76F1B"/>
    <w:rsid w:val="00B76FA4"/>
    <w:rsid w:val="00B770DC"/>
    <w:rsid w:val="00B7776D"/>
    <w:rsid w:val="00B7791A"/>
    <w:rsid w:val="00B77C05"/>
    <w:rsid w:val="00B77C55"/>
    <w:rsid w:val="00B80BB3"/>
    <w:rsid w:val="00B80C5F"/>
    <w:rsid w:val="00B80D58"/>
    <w:rsid w:val="00B81118"/>
    <w:rsid w:val="00B8117A"/>
    <w:rsid w:val="00B81DD6"/>
    <w:rsid w:val="00B820DD"/>
    <w:rsid w:val="00B8212E"/>
    <w:rsid w:val="00B82B14"/>
    <w:rsid w:val="00B82B17"/>
    <w:rsid w:val="00B82EAE"/>
    <w:rsid w:val="00B83027"/>
    <w:rsid w:val="00B8350B"/>
    <w:rsid w:val="00B83620"/>
    <w:rsid w:val="00B83D50"/>
    <w:rsid w:val="00B8421B"/>
    <w:rsid w:val="00B8495A"/>
    <w:rsid w:val="00B8504D"/>
    <w:rsid w:val="00B8558B"/>
    <w:rsid w:val="00B8588D"/>
    <w:rsid w:val="00B85D7A"/>
    <w:rsid w:val="00B85DA2"/>
    <w:rsid w:val="00B86062"/>
    <w:rsid w:val="00B865E7"/>
    <w:rsid w:val="00B86BE1"/>
    <w:rsid w:val="00B86EC1"/>
    <w:rsid w:val="00B87455"/>
    <w:rsid w:val="00B878B7"/>
    <w:rsid w:val="00B87DDF"/>
    <w:rsid w:val="00B909A3"/>
    <w:rsid w:val="00B90A41"/>
    <w:rsid w:val="00B91B32"/>
    <w:rsid w:val="00B91E36"/>
    <w:rsid w:val="00B92572"/>
    <w:rsid w:val="00B926E4"/>
    <w:rsid w:val="00B927D9"/>
    <w:rsid w:val="00B92DC1"/>
    <w:rsid w:val="00B931BE"/>
    <w:rsid w:val="00B931C9"/>
    <w:rsid w:val="00B935A8"/>
    <w:rsid w:val="00B93897"/>
    <w:rsid w:val="00B93D84"/>
    <w:rsid w:val="00B94301"/>
    <w:rsid w:val="00B94618"/>
    <w:rsid w:val="00B94B31"/>
    <w:rsid w:val="00B94E45"/>
    <w:rsid w:val="00B953D9"/>
    <w:rsid w:val="00B95BB9"/>
    <w:rsid w:val="00B95E80"/>
    <w:rsid w:val="00B95EEC"/>
    <w:rsid w:val="00B966BF"/>
    <w:rsid w:val="00B9683C"/>
    <w:rsid w:val="00B96B1D"/>
    <w:rsid w:val="00B96F66"/>
    <w:rsid w:val="00B97817"/>
    <w:rsid w:val="00B97E26"/>
    <w:rsid w:val="00BA03D1"/>
    <w:rsid w:val="00BA0C5A"/>
    <w:rsid w:val="00BA0D07"/>
    <w:rsid w:val="00BA17A8"/>
    <w:rsid w:val="00BA1B98"/>
    <w:rsid w:val="00BA1FFE"/>
    <w:rsid w:val="00BA2361"/>
    <w:rsid w:val="00BA23FD"/>
    <w:rsid w:val="00BA2745"/>
    <w:rsid w:val="00BA31ED"/>
    <w:rsid w:val="00BA32C9"/>
    <w:rsid w:val="00BA3420"/>
    <w:rsid w:val="00BA35E0"/>
    <w:rsid w:val="00BA36F3"/>
    <w:rsid w:val="00BA3F08"/>
    <w:rsid w:val="00BA4027"/>
    <w:rsid w:val="00BA44E4"/>
    <w:rsid w:val="00BA4852"/>
    <w:rsid w:val="00BA53E0"/>
    <w:rsid w:val="00BA557F"/>
    <w:rsid w:val="00BA59BB"/>
    <w:rsid w:val="00BA5A76"/>
    <w:rsid w:val="00BA5B1D"/>
    <w:rsid w:val="00BA5D0F"/>
    <w:rsid w:val="00BA5E8D"/>
    <w:rsid w:val="00BA6253"/>
    <w:rsid w:val="00BA661C"/>
    <w:rsid w:val="00BA6671"/>
    <w:rsid w:val="00BA6745"/>
    <w:rsid w:val="00BA70F5"/>
    <w:rsid w:val="00BA7324"/>
    <w:rsid w:val="00BA74CF"/>
    <w:rsid w:val="00BA790D"/>
    <w:rsid w:val="00BA7A08"/>
    <w:rsid w:val="00BB18F3"/>
    <w:rsid w:val="00BB1A8F"/>
    <w:rsid w:val="00BB1C2B"/>
    <w:rsid w:val="00BB1F38"/>
    <w:rsid w:val="00BB211B"/>
    <w:rsid w:val="00BB22F0"/>
    <w:rsid w:val="00BB2598"/>
    <w:rsid w:val="00BB27C3"/>
    <w:rsid w:val="00BB2C1E"/>
    <w:rsid w:val="00BB2D0A"/>
    <w:rsid w:val="00BB335F"/>
    <w:rsid w:val="00BB3642"/>
    <w:rsid w:val="00BB3CC6"/>
    <w:rsid w:val="00BB3D3F"/>
    <w:rsid w:val="00BB3D71"/>
    <w:rsid w:val="00BB3E22"/>
    <w:rsid w:val="00BB4016"/>
    <w:rsid w:val="00BB414B"/>
    <w:rsid w:val="00BB433F"/>
    <w:rsid w:val="00BB437C"/>
    <w:rsid w:val="00BB58CD"/>
    <w:rsid w:val="00BB5AAE"/>
    <w:rsid w:val="00BB6474"/>
    <w:rsid w:val="00BB7108"/>
    <w:rsid w:val="00BB7114"/>
    <w:rsid w:val="00BB7689"/>
    <w:rsid w:val="00BB7F5D"/>
    <w:rsid w:val="00BC012E"/>
    <w:rsid w:val="00BC088B"/>
    <w:rsid w:val="00BC093F"/>
    <w:rsid w:val="00BC1009"/>
    <w:rsid w:val="00BC111F"/>
    <w:rsid w:val="00BC1502"/>
    <w:rsid w:val="00BC18E0"/>
    <w:rsid w:val="00BC2168"/>
    <w:rsid w:val="00BC24F7"/>
    <w:rsid w:val="00BC2C52"/>
    <w:rsid w:val="00BC312E"/>
    <w:rsid w:val="00BC3C2E"/>
    <w:rsid w:val="00BC499A"/>
    <w:rsid w:val="00BC4A0A"/>
    <w:rsid w:val="00BC4C50"/>
    <w:rsid w:val="00BC4E05"/>
    <w:rsid w:val="00BC4FF8"/>
    <w:rsid w:val="00BC5514"/>
    <w:rsid w:val="00BC5525"/>
    <w:rsid w:val="00BC55BA"/>
    <w:rsid w:val="00BC568D"/>
    <w:rsid w:val="00BC5968"/>
    <w:rsid w:val="00BC59D1"/>
    <w:rsid w:val="00BC5A45"/>
    <w:rsid w:val="00BC5DEC"/>
    <w:rsid w:val="00BC5E72"/>
    <w:rsid w:val="00BC60DE"/>
    <w:rsid w:val="00BC61CB"/>
    <w:rsid w:val="00BC63EF"/>
    <w:rsid w:val="00BC6423"/>
    <w:rsid w:val="00BC6636"/>
    <w:rsid w:val="00BC6A52"/>
    <w:rsid w:val="00BC6CD0"/>
    <w:rsid w:val="00BC6D79"/>
    <w:rsid w:val="00BC6E09"/>
    <w:rsid w:val="00BC73C2"/>
    <w:rsid w:val="00BC76A0"/>
    <w:rsid w:val="00BC77AA"/>
    <w:rsid w:val="00BC7D57"/>
    <w:rsid w:val="00BD03E4"/>
    <w:rsid w:val="00BD1B57"/>
    <w:rsid w:val="00BD1D93"/>
    <w:rsid w:val="00BD1FB9"/>
    <w:rsid w:val="00BD23C5"/>
    <w:rsid w:val="00BD2904"/>
    <w:rsid w:val="00BD30B9"/>
    <w:rsid w:val="00BD355A"/>
    <w:rsid w:val="00BD3930"/>
    <w:rsid w:val="00BD4A97"/>
    <w:rsid w:val="00BD4F18"/>
    <w:rsid w:val="00BD51B8"/>
    <w:rsid w:val="00BD5321"/>
    <w:rsid w:val="00BD5418"/>
    <w:rsid w:val="00BD59A9"/>
    <w:rsid w:val="00BD6102"/>
    <w:rsid w:val="00BD6157"/>
    <w:rsid w:val="00BD63C8"/>
    <w:rsid w:val="00BD648D"/>
    <w:rsid w:val="00BD6D02"/>
    <w:rsid w:val="00BD70A9"/>
    <w:rsid w:val="00BD790C"/>
    <w:rsid w:val="00BD7E47"/>
    <w:rsid w:val="00BD7FB5"/>
    <w:rsid w:val="00BD7FB8"/>
    <w:rsid w:val="00BE069E"/>
    <w:rsid w:val="00BE0818"/>
    <w:rsid w:val="00BE09B9"/>
    <w:rsid w:val="00BE10F6"/>
    <w:rsid w:val="00BE15B0"/>
    <w:rsid w:val="00BE194D"/>
    <w:rsid w:val="00BE260F"/>
    <w:rsid w:val="00BE2C07"/>
    <w:rsid w:val="00BE33BC"/>
    <w:rsid w:val="00BE3498"/>
    <w:rsid w:val="00BE3537"/>
    <w:rsid w:val="00BE3605"/>
    <w:rsid w:val="00BE39A7"/>
    <w:rsid w:val="00BE3FB3"/>
    <w:rsid w:val="00BE4D21"/>
    <w:rsid w:val="00BE55F2"/>
    <w:rsid w:val="00BE56BE"/>
    <w:rsid w:val="00BE5DC9"/>
    <w:rsid w:val="00BE5F61"/>
    <w:rsid w:val="00BE6310"/>
    <w:rsid w:val="00BE6BCF"/>
    <w:rsid w:val="00BE6F96"/>
    <w:rsid w:val="00BE7FAE"/>
    <w:rsid w:val="00BF0010"/>
    <w:rsid w:val="00BF01E2"/>
    <w:rsid w:val="00BF0E94"/>
    <w:rsid w:val="00BF1064"/>
    <w:rsid w:val="00BF11D9"/>
    <w:rsid w:val="00BF18B8"/>
    <w:rsid w:val="00BF1A76"/>
    <w:rsid w:val="00BF1B5B"/>
    <w:rsid w:val="00BF1BE7"/>
    <w:rsid w:val="00BF1BEE"/>
    <w:rsid w:val="00BF1ECA"/>
    <w:rsid w:val="00BF22A1"/>
    <w:rsid w:val="00BF249B"/>
    <w:rsid w:val="00BF2671"/>
    <w:rsid w:val="00BF2931"/>
    <w:rsid w:val="00BF310F"/>
    <w:rsid w:val="00BF33C0"/>
    <w:rsid w:val="00BF35FF"/>
    <w:rsid w:val="00BF37B5"/>
    <w:rsid w:val="00BF39F2"/>
    <w:rsid w:val="00BF3EC6"/>
    <w:rsid w:val="00BF459E"/>
    <w:rsid w:val="00BF4C5B"/>
    <w:rsid w:val="00BF5729"/>
    <w:rsid w:val="00BF5874"/>
    <w:rsid w:val="00BF5982"/>
    <w:rsid w:val="00BF5FA7"/>
    <w:rsid w:val="00BF613F"/>
    <w:rsid w:val="00BF62ED"/>
    <w:rsid w:val="00BF6560"/>
    <w:rsid w:val="00BF6719"/>
    <w:rsid w:val="00BF68F8"/>
    <w:rsid w:val="00BF6954"/>
    <w:rsid w:val="00BF6A29"/>
    <w:rsid w:val="00BF6C90"/>
    <w:rsid w:val="00BF6E28"/>
    <w:rsid w:val="00BF76ED"/>
    <w:rsid w:val="00BF7AC8"/>
    <w:rsid w:val="00BF7BFE"/>
    <w:rsid w:val="00BF7E81"/>
    <w:rsid w:val="00C009A0"/>
    <w:rsid w:val="00C00CFD"/>
    <w:rsid w:val="00C00D20"/>
    <w:rsid w:val="00C0163F"/>
    <w:rsid w:val="00C01827"/>
    <w:rsid w:val="00C01ACE"/>
    <w:rsid w:val="00C01C4B"/>
    <w:rsid w:val="00C01E03"/>
    <w:rsid w:val="00C029BE"/>
    <w:rsid w:val="00C02A84"/>
    <w:rsid w:val="00C02B41"/>
    <w:rsid w:val="00C02BB4"/>
    <w:rsid w:val="00C02E49"/>
    <w:rsid w:val="00C02F47"/>
    <w:rsid w:val="00C0349D"/>
    <w:rsid w:val="00C038C6"/>
    <w:rsid w:val="00C03968"/>
    <w:rsid w:val="00C03A9E"/>
    <w:rsid w:val="00C03BE2"/>
    <w:rsid w:val="00C03C97"/>
    <w:rsid w:val="00C0439A"/>
    <w:rsid w:val="00C04458"/>
    <w:rsid w:val="00C045A5"/>
    <w:rsid w:val="00C04877"/>
    <w:rsid w:val="00C049A2"/>
    <w:rsid w:val="00C04B0E"/>
    <w:rsid w:val="00C04DBE"/>
    <w:rsid w:val="00C053E1"/>
    <w:rsid w:val="00C05756"/>
    <w:rsid w:val="00C057F9"/>
    <w:rsid w:val="00C05853"/>
    <w:rsid w:val="00C05B7F"/>
    <w:rsid w:val="00C05D47"/>
    <w:rsid w:val="00C05EA5"/>
    <w:rsid w:val="00C065C3"/>
    <w:rsid w:val="00C06D15"/>
    <w:rsid w:val="00C06FBF"/>
    <w:rsid w:val="00C070C9"/>
    <w:rsid w:val="00C073C1"/>
    <w:rsid w:val="00C077FB"/>
    <w:rsid w:val="00C07839"/>
    <w:rsid w:val="00C07CAA"/>
    <w:rsid w:val="00C10906"/>
    <w:rsid w:val="00C10955"/>
    <w:rsid w:val="00C10BD7"/>
    <w:rsid w:val="00C10F4F"/>
    <w:rsid w:val="00C11077"/>
    <w:rsid w:val="00C114B9"/>
    <w:rsid w:val="00C1153F"/>
    <w:rsid w:val="00C11685"/>
    <w:rsid w:val="00C118DC"/>
    <w:rsid w:val="00C11A55"/>
    <w:rsid w:val="00C11BE9"/>
    <w:rsid w:val="00C11E92"/>
    <w:rsid w:val="00C12218"/>
    <w:rsid w:val="00C122C7"/>
    <w:rsid w:val="00C12462"/>
    <w:rsid w:val="00C12769"/>
    <w:rsid w:val="00C1293C"/>
    <w:rsid w:val="00C12A48"/>
    <w:rsid w:val="00C12A8C"/>
    <w:rsid w:val="00C12AEB"/>
    <w:rsid w:val="00C12BFC"/>
    <w:rsid w:val="00C12C9E"/>
    <w:rsid w:val="00C1379F"/>
    <w:rsid w:val="00C1387A"/>
    <w:rsid w:val="00C138F1"/>
    <w:rsid w:val="00C13A23"/>
    <w:rsid w:val="00C13A86"/>
    <w:rsid w:val="00C13AC8"/>
    <w:rsid w:val="00C13E83"/>
    <w:rsid w:val="00C13F21"/>
    <w:rsid w:val="00C143AE"/>
    <w:rsid w:val="00C1580A"/>
    <w:rsid w:val="00C16367"/>
    <w:rsid w:val="00C1642F"/>
    <w:rsid w:val="00C16502"/>
    <w:rsid w:val="00C17178"/>
    <w:rsid w:val="00C17387"/>
    <w:rsid w:val="00C17388"/>
    <w:rsid w:val="00C1784E"/>
    <w:rsid w:val="00C17D24"/>
    <w:rsid w:val="00C20301"/>
    <w:rsid w:val="00C20484"/>
    <w:rsid w:val="00C204E1"/>
    <w:rsid w:val="00C205CF"/>
    <w:rsid w:val="00C2085F"/>
    <w:rsid w:val="00C208FB"/>
    <w:rsid w:val="00C20D5F"/>
    <w:rsid w:val="00C212BE"/>
    <w:rsid w:val="00C21346"/>
    <w:rsid w:val="00C2143E"/>
    <w:rsid w:val="00C21B59"/>
    <w:rsid w:val="00C22159"/>
    <w:rsid w:val="00C22214"/>
    <w:rsid w:val="00C22556"/>
    <w:rsid w:val="00C22612"/>
    <w:rsid w:val="00C2295A"/>
    <w:rsid w:val="00C22993"/>
    <w:rsid w:val="00C22B26"/>
    <w:rsid w:val="00C22BBB"/>
    <w:rsid w:val="00C22C4D"/>
    <w:rsid w:val="00C2335D"/>
    <w:rsid w:val="00C2357F"/>
    <w:rsid w:val="00C241AA"/>
    <w:rsid w:val="00C24229"/>
    <w:rsid w:val="00C2484F"/>
    <w:rsid w:val="00C24F4A"/>
    <w:rsid w:val="00C2503D"/>
    <w:rsid w:val="00C25212"/>
    <w:rsid w:val="00C259E0"/>
    <w:rsid w:val="00C25A3C"/>
    <w:rsid w:val="00C26338"/>
    <w:rsid w:val="00C2703C"/>
    <w:rsid w:val="00C270D2"/>
    <w:rsid w:val="00C271C0"/>
    <w:rsid w:val="00C274A2"/>
    <w:rsid w:val="00C2753C"/>
    <w:rsid w:val="00C27622"/>
    <w:rsid w:val="00C27674"/>
    <w:rsid w:val="00C27CD3"/>
    <w:rsid w:val="00C30135"/>
    <w:rsid w:val="00C30185"/>
    <w:rsid w:val="00C304CF"/>
    <w:rsid w:val="00C30D64"/>
    <w:rsid w:val="00C31288"/>
    <w:rsid w:val="00C31715"/>
    <w:rsid w:val="00C31C95"/>
    <w:rsid w:val="00C32006"/>
    <w:rsid w:val="00C322C1"/>
    <w:rsid w:val="00C32317"/>
    <w:rsid w:val="00C32428"/>
    <w:rsid w:val="00C32584"/>
    <w:rsid w:val="00C325D9"/>
    <w:rsid w:val="00C32FF5"/>
    <w:rsid w:val="00C33254"/>
    <w:rsid w:val="00C33813"/>
    <w:rsid w:val="00C33DC1"/>
    <w:rsid w:val="00C33E38"/>
    <w:rsid w:val="00C34582"/>
    <w:rsid w:val="00C34AD0"/>
    <w:rsid w:val="00C34CF8"/>
    <w:rsid w:val="00C34E87"/>
    <w:rsid w:val="00C35003"/>
    <w:rsid w:val="00C35043"/>
    <w:rsid w:val="00C35096"/>
    <w:rsid w:val="00C35832"/>
    <w:rsid w:val="00C35BEC"/>
    <w:rsid w:val="00C35D44"/>
    <w:rsid w:val="00C36610"/>
    <w:rsid w:val="00C36B22"/>
    <w:rsid w:val="00C372EB"/>
    <w:rsid w:val="00C3784A"/>
    <w:rsid w:val="00C37C4A"/>
    <w:rsid w:val="00C4062E"/>
    <w:rsid w:val="00C40656"/>
    <w:rsid w:val="00C4072A"/>
    <w:rsid w:val="00C41134"/>
    <w:rsid w:val="00C4122F"/>
    <w:rsid w:val="00C4173D"/>
    <w:rsid w:val="00C419B3"/>
    <w:rsid w:val="00C419E3"/>
    <w:rsid w:val="00C41C22"/>
    <w:rsid w:val="00C41D6B"/>
    <w:rsid w:val="00C41FDC"/>
    <w:rsid w:val="00C42894"/>
    <w:rsid w:val="00C42BF7"/>
    <w:rsid w:val="00C438FB"/>
    <w:rsid w:val="00C43F13"/>
    <w:rsid w:val="00C44B6A"/>
    <w:rsid w:val="00C44C56"/>
    <w:rsid w:val="00C44E48"/>
    <w:rsid w:val="00C44EE0"/>
    <w:rsid w:val="00C4540F"/>
    <w:rsid w:val="00C45BCA"/>
    <w:rsid w:val="00C45D11"/>
    <w:rsid w:val="00C45F5B"/>
    <w:rsid w:val="00C45FCC"/>
    <w:rsid w:val="00C46107"/>
    <w:rsid w:val="00C461F6"/>
    <w:rsid w:val="00C463D6"/>
    <w:rsid w:val="00C4679A"/>
    <w:rsid w:val="00C4760A"/>
    <w:rsid w:val="00C47B26"/>
    <w:rsid w:val="00C47B65"/>
    <w:rsid w:val="00C47C61"/>
    <w:rsid w:val="00C47EA4"/>
    <w:rsid w:val="00C50024"/>
    <w:rsid w:val="00C5010D"/>
    <w:rsid w:val="00C50273"/>
    <w:rsid w:val="00C50A38"/>
    <w:rsid w:val="00C513A3"/>
    <w:rsid w:val="00C51945"/>
    <w:rsid w:val="00C5265B"/>
    <w:rsid w:val="00C52951"/>
    <w:rsid w:val="00C52970"/>
    <w:rsid w:val="00C52CC2"/>
    <w:rsid w:val="00C52E7F"/>
    <w:rsid w:val="00C53AF8"/>
    <w:rsid w:val="00C54A1E"/>
    <w:rsid w:val="00C54F6F"/>
    <w:rsid w:val="00C54FA7"/>
    <w:rsid w:val="00C5542E"/>
    <w:rsid w:val="00C5551F"/>
    <w:rsid w:val="00C5589D"/>
    <w:rsid w:val="00C55D38"/>
    <w:rsid w:val="00C55D4A"/>
    <w:rsid w:val="00C55EC2"/>
    <w:rsid w:val="00C55EF6"/>
    <w:rsid w:val="00C568F8"/>
    <w:rsid w:val="00C56D3D"/>
    <w:rsid w:val="00C571E4"/>
    <w:rsid w:val="00C57201"/>
    <w:rsid w:val="00C5742A"/>
    <w:rsid w:val="00C57433"/>
    <w:rsid w:val="00C57541"/>
    <w:rsid w:val="00C575DA"/>
    <w:rsid w:val="00C57FC5"/>
    <w:rsid w:val="00C60095"/>
    <w:rsid w:val="00C600F4"/>
    <w:rsid w:val="00C606A8"/>
    <w:rsid w:val="00C608C5"/>
    <w:rsid w:val="00C60DC0"/>
    <w:rsid w:val="00C6105A"/>
    <w:rsid w:val="00C611AD"/>
    <w:rsid w:val="00C612C8"/>
    <w:rsid w:val="00C61AAC"/>
    <w:rsid w:val="00C61FAE"/>
    <w:rsid w:val="00C624E4"/>
    <w:rsid w:val="00C6255B"/>
    <w:rsid w:val="00C62CF1"/>
    <w:rsid w:val="00C62E01"/>
    <w:rsid w:val="00C62F2D"/>
    <w:rsid w:val="00C62FEB"/>
    <w:rsid w:val="00C63101"/>
    <w:rsid w:val="00C6331D"/>
    <w:rsid w:val="00C633AE"/>
    <w:rsid w:val="00C63562"/>
    <w:rsid w:val="00C63949"/>
    <w:rsid w:val="00C639CD"/>
    <w:rsid w:val="00C63D48"/>
    <w:rsid w:val="00C63DD3"/>
    <w:rsid w:val="00C63DF7"/>
    <w:rsid w:val="00C64031"/>
    <w:rsid w:val="00C643EB"/>
    <w:rsid w:val="00C644F7"/>
    <w:rsid w:val="00C6487E"/>
    <w:rsid w:val="00C64A57"/>
    <w:rsid w:val="00C64B6B"/>
    <w:rsid w:val="00C651E4"/>
    <w:rsid w:val="00C656D6"/>
    <w:rsid w:val="00C65983"/>
    <w:rsid w:val="00C659FF"/>
    <w:rsid w:val="00C65B49"/>
    <w:rsid w:val="00C65CF1"/>
    <w:rsid w:val="00C65D00"/>
    <w:rsid w:val="00C65F5F"/>
    <w:rsid w:val="00C6644A"/>
    <w:rsid w:val="00C667B9"/>
    <w:rsid w:val="00C669FF"/>
    <w:rsid w:val="00C66D4A"/>
    <w:rsid w:val="00C6706B"/>
    <w:rsid w:val="00C6743B"/>
    <w:rsid w:val="00C67B49"/>
    <w:rsid w:val="00C67B5A"/>
    <w:rsid w:val="00C70581"/>
    <w:rsid w:val="00C70855"/>
    <w:rsid w:val="00C70ACF"/>
    <w:rsid w:val="00C70CE5"/>
    <w:rsid w:val="00C7177F"/>
    <w:rsid w:val="00C71AAB"/>
    <w:rsid w:val="00C71DE2"/>
    <w:rsid w:val="00C71EC9"/>
    <w:rsid w:val="00C72922"/>
    <w:rsid w:val="00C729D8"/>
    <w:rsid w:val="00C72AAE"/>
    <w:rsid w:val="00C7353A"/>
    <w:rsid w:val="00C738E8"/>
    <w:rsid w:val="00C739AC"/>
    <w:rsid w:val="00C73A8F"/>
    <w:rsid w:val="00C73D7A"/>
    <w:rsid w:val="00C7457A"/>
    <w:rsid w:val="00C74809"/>
    <w:rsid w:val="00C74954"/>
    <w:rsid w:val="00C74F8F"/>
    <w:rsid w:val="00C75310"/>
    <w:rsid w:val="00C75BD5"/>
    <w:rsid w:val="00C75DBA"/>
    <w:rsid w:val="00C75F0D"/>
    <w:rsid w:val="00C7631B"/>
    <w:rsid w:val="00C770A6"/>
    <w:rsid w:val="00C772ED"/>
    <w:rsid w:val="00C77B6B"/>
    <w:rsid w:val="00C77F92"/>
    <w:rsid w:val="00C805FF"/>
    <w:rsid w:val="00C80A20"/>
    <w:rsid w:val="00C80ADF"/>
    <w:rsid w:val="00C80C85"/>
    <w:rsid w:val="00C80C8E"/>
    <w:rsid w:val="00C80E22"/>
    <w:rsid w:val="00C81061"/>
    <w:rsid w:val="00C8114B"/>
    <w:rsid w:val="00C811C0"/>
    <w:rsid w:val="00C81962"/>
    <w:rsid w:val="00C81BE8"/>
    <w:rsid w:val="00C81DE4"/>
    <w:rsid w:val="00C823E3"/>
    <w:rsid w:val="00C82453"/>
    <w:rsid w:val="00C832F0"/>
    <w:rsid w:val="00C83667"/>
    <w:rsid w:val="00C83CD7"/>
    <w:rsid w:val="00C84400"/>
    <w:rsid w:val="00C84452"/>
    <w:rsid w:val="00C844E2"/>
    <w:rsid w:val="00C84652"/>
    <w:rsid w:val="00C84AB8"/>
    <w:rsid w:val="00C84B56"/>
    <w:rsid w:val="00C84B67"/>
    <w:rsid w:val="00C84D38"/>
    <w:rsid w:val="00C84E3D"/>
    <w:rsid w:val="00C85605"/>
    <w:rsid w:val="00C85913"/>
    <w:rsid w:val="00C85DCF"/>
    <w:rsid w:val="00C86930"/>
    <w:rsid w:val="00C86959"/>
    <w:rsid w:val="00C87305"/>
    <w:rsid w:val="00C87325"/>
    <w:rsid w:val="00C873DF"/>
    <w:rsid w:val="00C87547"/>
    <w:rsid w:val="00C87B02"/>
    <w:rsid w:val="00C87E36"/>
    <w:rsid w:val="00C9026F"/>
    <w:rsid w:val="00C902A9"/>
    <w:rsid w:val="00C90BBE"/>
    <w:rsid w:val="00C90C0D"/>
    <w:rsid w:val="00C90D19"/>
    <w:rsid w:val="00C9143C"/>
    <w:rsid w:val="00C91949"/>
    <w:rsid w:val="00C91AA8"/>
    <w:rsid w:val="00C91AB5"/>
    <w:rsid w:val="00C91B05"/>
    <w:rsid w:val="00C91C87"/>
    <w:rsid w:val="00C91D73"/>
    <w:rsid w:val="00C91F68"/>
    <w:rsid w:val="00C9244E"/>
    <w:rsid w:val="00C925B1"/>
    <w:rsid w:val="00C925CA"/>
    <w:rsid w:val="00C9265A"/>
    <w:rsid w:val="00C92B37"/>
    <w:rsid w:val="00C92C7E"/>
    <w:rsid w:val="00C9322E"/>
    <w:rsid w:val="00C933FC"/>
    <w:rsid w:val="00C93451"/>
    <w:rsid w:val="00C9387E"/>
    <w:rsid w:val="00C93AAF"/>
    <w:rsid w:val="00C93DD9"/>
    <w:rsid w:val="00C94402"/>
    <w:rsid w:val="00C944EE"/>
    <w:rsid w:val="00C946C2"/>
    <w:rsid w:val="00C94728"/>
    <w:rsid w:val="00C94769"/>
    <w:rsid w:val="00C94AD7"/>
    <w:rsid w:val="00C94C34"/>
    <w:rsid w:val="00C94EC7"/>
    <w:rsid w:val="00C95096"/>
    <w:rsid w:val="00C95189"/>
    <w:rsid w:val="00C95898"/>
    <w:rsid w:val="00C95AE2"/>
    <w:rsid w:val="00C9600A"/>
    <w:rsid w:val="00C96214"/>
    <w:rsid w:val="00C9641A"/>
    <w:rsid w:val="00C96446"/>
    <w:rsid w:val="00C96BBC"/>
    <w:rsid w:val="00C96DB8"/>
    <w:rsid w:val="00C96DF4"/>
    <w:rsid w:val="00C97458"/>
    <w:rsid w:val="00C9776D"/>
    <w:rsid w:val="00C97CFE"/>
    <w:rsid w:val="00C97D5E"/>
    <w:rsid w:val="00CA01F2"/>
    <w:rsid w:val="00CA05AC"/>
    <w:rsid w:val="00CA0697"/>
    <w:rsid w:val="00CA14E6"/>
    <w:rsid w:val="00CA1F74"/>
    <w:rsid w:val="00CA202E"/>
    <w:rsid w:val="00CA2876"/>
    <w:rsid w:val="00CA2906"/>
    <w:rsid w:val="00CA294C"/>
    <w:rsid w:val="00CA2A58"/>
    <w:rsid w:val="00CA2A80"/>
    <w:rsid w:val="00CA2A9F"/>
    <w:rsid w:val="00CA2AB5"/>
    <w:rsid w:val="00CA2C3C"/>
    <w:rsid w:val="00CA2D56"/>
    <w:rsid w:val="00CA2D6B"/>
    <w:rsid w:val="00CA2DB8"/>
    <w:rsid w:val="00CA3680"/>
    <w:rsid w:val="00CA3806"/>
    <w:rsid w:val="00CA3A03"/>
    <w:rsid w:val="00CA3F12"/>
    <w:rsid w:val="00CA3FA2"/>
    <w:rsid w:val="00CA4168"/>
    <w:rsid w:val="00CA449D"/>
    <w:rsid w:val="00CA44B8"/>
    <w:rsid w:val="00CA4D01"/>
    <w:rsid w:val="00CA571A"/>
    <w:rsid w:val="00CA5927"/>
    <w:rsid w:val="00CA67B4"/>
    <w:rsid w:val="00CA6AD7"/>
    <w:rsid w:val="00CA6B86"/>
    <w:rsid w:val="00CA70BA"/>
    <w:rsid w:val="00CA76BD"/>
    <w:rsid w:val="00CB0827"/>
    <w:rsid w:val="00CB0C3F"/>
    <w:rsid w:val="00CB11EB"/>
    <w:rsid w:val="00CB12BB"/>
    <w:rsid w:val="00CB21F9"/>
    <w:rsid w:val="00CB22EE"/>
    <w:rsid w:val="00CB23FA"/>
    <w:rsid w:val="00CB26FD"/>
    <w:rsid w:val="00CB28A1"/>
    <w:rsid w:val="00CB2A90"/>
    <w:rsid w:val="00CB2B6B"/>
    <w:rsid w:val="00CB2C8F"/>
    <w:rsid w:val="00CB2D8C"/>
    <w:rsid w:val="00CB2FCE"/>
    <w:rsid w:val="00CB30F6"/>
    <w:rsid w:val="00CB3254"/>
    <w:rsid w:val="00CB3C20"/>
    <w:rsid w:val="00CB3C31"/>
    <w:rsid w:val="00CB3CDD"/>
    <w:rsid w:val="00CB3CF0"/>
    <w:rsid w:val="00CB430A"/>
    <w:rsid w:val="00CB465E"/>
    <w:rsid w:val="00CB492A"/>
    <w:rsid w:val="00CB4A83"/>
    <w:rsid w:val="00CB4C80"/>
    <w:rsid w:val="00CB5870"/>
    <w:rsid w:val="00CB5990"/>
    <w:rsid w:val="00CB5E75"/>
    <w:rsid w:val="00CB60CE"/>
    <w:rsid w:val="00CB60D3"/>
    <w:rsid w:val="00CB60F9"/>
    <w:rsid w:val="00CB768E"/>
    <w:rsid w:val="00CC0772"/>
    <w:rsid w:val="00CC0ADB"/>
    <w:rsid w:val="00CC0BEE"/>
    <w:rsid w:val="00CC1564"/>
    <w:rsid w:val="00CC1A37"/>
    <w:rsid w:val="00CC1B2B"/>
    <w:rsid w:val="00CC1F0C"/>
    <w:rsid w:val="00CC1F3B"/>
    <w:rsid w:val="00CC23AB"/>
    <w:rsid w:val="00CC26F1"/>
    <w:rsid w:val="00CC2C68"/>
    <w:rsid w:val="00CC33C9"/>
    <w:rsid w:val="00CC405F"/>
    <w:rsid w:val="00CC40C5"/>
    <w:rsid w:val="00CC415E"/>
    <w:rsid w:val="00CC4286"/>
    <w:rsid w:val="00CC42B7"/>
    <w:rsid w:val="00CC4338"/>
    <w:rsid w:val="00CC457B"/>
    <w:rsid w:val="00CC458B"/>
    <w:rsid w:val="00CC4EC6"/>
    <w:rsid w:val="00CC514E"/>
    <w:rsid w:val="00CC543C"/>
    <w:rsid w:val="00CC6328"/>
    <w:rsid w:val="00CC6E0F"/>
    <w:rsid w:val="00CC6E4D"/>
    <w:rsid w:val="00CC7A5B"/>
    <w:rsid w:val="00CC7E1E"/>
    <w:rsid w:val="00CC7F62"/>
    <w:rsid w:val="00CD0175"/>
    <w:rsid w:val="00CD0A7A"/>
    <w:rsid w:val="00CD0C2E"/>
    <w:rsid w:val="00CD1746"/>
    <w:rsid w:val="00CD1EB7"/>
    <w:rsid w:val="00CD2296"/>
    <w:rsid w:val="00CD2C41"/>
    <w:rsid w:val="00CD3344"/>
    <w:rsid w:val="00CD3522"/>
    <w:rsid w:val="00CD36BD"/>
    <w:rsid w:val="00CD3E97"/>
    <w:rsid w:val="00CD428E"/>
    <w:rsid w:val="00CD4E99"/>
    <w:rsid w:val="00CD57E9"/>
    <w:rsid w:val="00CD5822"/>
    <w:rsid w:val="00CD5A9E"/>
    <w:rsid w:val="00CD61C0"/>
    <w:rsid w:val="00CD6569"/>
    <w:rsid w:val="00CD67D7"/>
    <w:rsid w:val="00CD6CB6"/>
    <w:rsid w:val="00CD6E20"/>
    <w:rsid w:val="00CD6FD7"/>
    <w:rsid w:val="00CD7A1D"/>
    <w:rsid w:val="00CD7ADF"/>
    <w:rsid w:val="00CD7E46"/>
    <w:rsid w:val="00CD7EEE"/>
    <w:rsid w:val="00CE0358"/>
    <w:rsid w:val="00CE05FC"/>
    <w:rsid w:val="00CE09C2"/>
    <w:rsid w:val="00CE0C23"/>
    <w:rsid w:val="00CE1090"/>
    <w:rsid w:val="00CE128C"/>
    <w:rsid w:val="00CE14D5"/>
    <w:rsid w:val="00CE17E2"/>
    <w:rsid w:val="00CE1F35"/>
    <w:rsid w:val="00CE3065"/>
    <w:rsid w:val="00CE333A"/>
    <w:rsid w:val="00CE3847"/>
    <w:rsid w:val="00CE38FB"/>
    <w:rsid w:val="00CE3F0A"/>
    <w:rsid w:val="00CE3F29"/>
    <w:rsid w:val="00CE3FE7"/>
    <w:rsid w:val="00CE41BB"/>
    <w:rsid w:val="00CE4656"/>
    <w:rsid w:val="00CE47CB"/>
    <w:rsid w:val="00CE47E7"/>
    <w:rsid w:val="00CE4B61"/>
    <w:rsid w:val="00CE5B93"/>
    <w:rsid w:val="00CE5CE5"/>
    <w:rsid w:val="00CE61F3"/>
    <w:rsid w:val="00CE641A"/>
    <w:rsid w:val="00CE6D34"/>
    <w:rsid w:val="00CE705E"/>
    <w:rsid w:val="00CE725D"/>
    <w:rsid w:val="00CE7411"/>
    <w:rsid w:val="00CE74A7"/>
    <w:rsid w:val="00CE7A2B"/>
    <w:rsid w:val="00CE7A2D"/>
    <w:rsid w:val="00CE7B54"/>
    <w:rsid w:val="00CF00AE"/>
    <w:rsid w:val="00CF02F0"/>
    <w:rsid w:val="00CF05FA"/>
    <w:rsid w:val="00CF161F"/>
    <w:rsid w:val="00CF1C60"/>
    <w:rsid w:val="00CF1D8F"/>
    <w:rsid w:val="00CF1E31"/>
    <w:rsid w:val="00CF1E51"/>
    <w:rsid w:val="00CF2247"/>
    <w:rsid w:val="00CF2422"/>
    <w:rsid w:val="00CF2546"/>
    <w:rsid w:val="00CF267D"/>
    <w:rsid w:val="00CF26CB"/>
    <w:rsid w:val="00CF27F5"/>
    <w:rsid w:val="00CF28E4"/>
    <w:rsid w:val="00CF2E2E"/>
    <w:rsid w:val="00CF2F45"/>
    <w:rsid w:val="00CF2F79"/>
    <w:rsid w:val="00CF3181"/>
    <w:rsid w:val="00CF32CC"/>
    <w:rsid w:val="00CF33D5"/>
    <w:rsid w:val="00CF38C6"/>
    <w:rsid w:val="00CF39C7"/>
    <w:rsid w:val="00CF3A8E"/>
    <w:rsid w:val="00CF3DF5"/>
    <w:rsid w:val="00CF3FD6"/>
    <w:rsid w:val="00CF429B"/>
    <w:rsid w:val="00CF42D0"/>
    <w:rsid w:val="00CF44B7"/>
    <w:rsid w:val="00CF49A4"/>
    <w:rsid w:val="00CF4B41"/>
    <w:rsid w:val="00CF4C2F"/>
    <w:rsid w:val="00CF5644"/>
    <w:rsid w:val="00CF5EA5"/>
    <w:rsid w:val="00CF6096"/>
    <w:rsid w:val="00CF6263"/>
    <w:rsid w:val="00CF6712"/>
    <w:rsid w:val="00CF701C"/>
    <w:rsid w:val="00CF71C7"/>
    <w:rsid w:val="00CF7354"/>
    <w:rsid w:val="00D00660"/>
    <w:rsid w:val="00D0083D"/>
    <w:rsid w:val="00D00E6D"/>
    <w:rsid w:val="00D00FB9"/>
    <w:rsid w:val="00D0127D"/>
    <w:rsid w:val="00D016B3"/>
    <w:rsid w:val="00D019D5"/>
    <w:rsid w:val="00D01DFF"/>
    <w:rsid w:val="00D02053"/>
    <w:rsid w:val="00D0259C"/>
    <w:rsid w:val="00D0282C"/>
    <w:rsid w:val="00D02FCB"/>
    <w:rsid w:val="00D030EE"/>
    <w:rsid w:val="00D0339C"/>
    <w:rsid w:val="00D0373D"/>
    <w:rsid w:val="00D038A7"/>
    <w:rsid w:val="00D038BC"/>
    <w:rsid w:val="00D0405A"/>
    <w:rsid w:val="00D040F1"/>
    <w:rsid w:val="00D04ABC"/>
    <w:rsid w:val="00D04F36"/>
    <w:rsid w:val="00D04FF8"/>
    <w:rsid w:val="00D05104"/>
    <w:rsid w:val="00D0567E"/>
    <w:rsid w:val="00D06221"/>
    <w:rsid w:val="00D06C35"/>
    <w:rsid w:val="00D07375"/>
    <w:rsid w:val="00D074A8"/>
    <w:rsid w:val="00D0781E"/>
    <w:rsid w:val="00D07E11"/>
    <w:rsid w:val="00D107AE"/>
    <w:rsid w:val="00D10A10"/>
    <w:rsid w:val="00D11837"/>
    <w:rsid w:val="00D1186D"/>
    <w:rsid w:val="00D11BE6"/>
    <w:rsid w:val="00D133AA"/>
    <w:rsid w:val="00D139B1"/>
    <w:rsid w:val="00D13B51"/>
    <w:rsid w:val="00D13DB7"/>
    <w:rsid w:val="00D13F6E"/>
    <w:rsid w:val="00D14062"/>
    <w:rsid w:val="00D1484B"/>
    <w:rsid w:val="00D14DD9"/>
    <w:rsid w:val="00D15F6F"/>
    <w:rsid w:val="00D161AC"/>
    <w:rsid w:val="00D1680E"/>
    <w:rsid w:val="00D16AB8"/>
    <w:rsid w:val="00D17557"/>
    <w:rsid w:val="00D17B2B"/>
    <w:rsid w:val="00D17E37"/>
    <w:rsid w:val="00D2013A"/>
    <w:rsid w:val="00D20677"/>
    <w:rsid w:val="00D20E74"/>
    <w:rsid w:val="00D20FDA"/>
    <w:rsid w:val="00D212C5"/>
    <w:rsid w:val="00D2177C"/>
    <w:rsid w:val="00D21B05"/>
    <w:rsid w:val="00D2248D"/>
    <w:rsid w:val="00D2257D"/>
    <w:rsid w:val="00D22CCD"/>
    <w:rsid w:val="00D22E84"/>
    <w:rsid w:val="00D2318F"/>
    <w:rsid w:val="00D23729"/>
    <w:rsid w:val="00D23F46"/>
    <w:rsid w:val="00D24279"/>
    <w:rsid w:val="00D25559"/>
    <w:rsid w:val="00D25662"/>
    <w:rsid w:val="00D25FEB"/>
    <w:rsid w:val="00D2609B"/>
    <w:rsid w:val="00D260C7"/>
    <w:rsid w:val="00D26768"/>
    <w:rsid w:val="00D26885"/>
    <w:rsid w:val="00D26F35"/>
    <w:rsid w:val="00D27A20"/>
    <w:rsid w:val="00D27EE6"/>
    <w:rsid w:val="00D27F1D"/>
    <w:rsid w:val="00D27F73"/>
    <w:rsid w:val="00D27F90"/>
    <w:rsid w:val="00D30342"/>
    <w:rsid w:val="00D30BAD"/>
    <w:rsid w:val="00D30D0B"/>
    <w:rsid w:val="00D30E45"/>
    <w:rsid w:val="00D30F9F"/>
    <w:rsid w:val="00D316F9"/>
    <w:rsid w:val="00D31A17"/>
    <w:rsid w:val="00D31C5D"/>
    <w:rsid w:val="00D32033"/>
    <w:rsid w:val="00D32469"/>
    <w:rsid w:val="00D3291B"/>
    <w:rsid w:val="00D32C0F"/>
    <w:rsid w:val="00D3327E"/>
    <w:rsid w:val="00D33334"/>
    <w:rsid w:val="00D33721"/>
    <w:rsid w:val="00D3379E"/>
    <w:rsid w:val="00D33CB0"/>
    <w:rsid w:val="00D33EDE"/>
    <w:rsid w:val="00D3425F"/>
    <w:rsid w:val="00D3518A"/>
    <w:rsid w:val="00D356AB"/>
    <w:rsid w:val="00D3574D"/>
    <w:rsid w:val="00D35A7E"/>
    <w:rsid w:val="00D360FA"/>
    <w:rsid w:val="00D3661B"/>
    <w:rsid w:val="00D368A4"/>
    <w:rsid w:val="00D36B8A"/>
    <w:rsid w:val="00D36D10"/>
    <w:rsid w:val="00D370FE"/>
    <w:rsid w:val="00D37388"/>
    <w:rsid w:val="00D374DD"/>
    <w:rsid w:val="00D375A6"/>
    <w:rsid w:val="00D37902"/>
    <w:rsid w:val="00D37909"/>
    <w:rsid w:val="00D37D7F"/>
    <w:rsid w:val="00D40022"/>
    <w:rsid w:val="00D40093"/>
    <w:rsid w:val="00D4009D"/>
    <w:rsid w:val="00D40455"/>
    <w:rsid w:val="00D40695"/>
    <w:rsid w:val="00D40C49"/>
    <w:rsid w:val="00D40F10"/>
    <w:rsid w:val="00D41016"/>
    <w:rsid w:val="00D41137"/>
    <w:rsid w:val="00D41220"/>
    <w:rsid w:val="00D41401"/>
    <w:rsid w:val="00D41A1F"/>
    <w:rsid w:val="00D41A23"/>
    <w:rsid w:val="00D4289C"/>
    <w:rsid w:val="00D428F2"/>
    <w:rsid w:val="00D432FE"/>
    <w:rsid w:val="00D43504"/>
    <w:rsid w:val="00D43729"/>
    <w:rsid w:val="00D43A5B"/>
    <w:rsid w:val="00D44046"/>
    <w:rsid w:val="00D444CA"/>
    <w:rsid w:val="00D44849"/>
    <w:rsid w:val="00D4510B"/>
    <w:rsid w:val="00D45811"/>
    <w:rsid w:val="00D45D2C"/>
    <w:rsid w:val="00D45E2E"/>
    <w:rsid w:val="00D46079"/>
    <w:rsid w:val="00D46954"/>
    <w:rsid w:val="00D46C41"/>
    <w:rsid w:val="00D46D3A"/>
    <w:rsid w:val="00D46F33"/>
    <w:rsid w:val="00D46FEC"/>
    <w:rsid w:val="00D471CD"/>
    <w:rsid w:val="00D479ED"/>
    <w:rsid w:val="00D479F3"/>
    <w:rsid w:val="00D506A2"/>
    <w:rsid w:val="00D507CD"/>
    <w:rsid w:val="00D50A44"/>
    <w:rsid w:val="00D50E05"/>
    <w:rsid w:val="00D512DA"/>
    <w:rsid w:val="00D515A2"/>
    <w:rsid w:val="00D51B88"/>
    <w:rsid w:val="00D51D3D"/>
    <w:rsid w:val="00D526CB"/>
    <w:rsid w:val="00D53142"/>
    <w:rsid w:val="00D533FA"/>
    <w:rsid w:val="00D534EA"/>
    <w:rsid w:val="00D538B9"/>
    <w:rsid w:val="00D538ED"/>
    <w:rsid w:val="00D538F4"/>
    <w:rsid w:val="00D53975"/>
    <w:rsid w:val="00D53B37"/>
    <w:rsid w:val="00D53C0D"/>
    <w:rsid w:val="00D53F38"/>
    <w:rsid w:val="00D53FA7"/>
    <w:rsid w:val="00D53FEB"/>
    <w:rsid w:val="00D5451B"/>
    <w:rsid w:val="00D54806"/>
    <w:rsid w:val="00D54A81"/>
    <w:rsid w:val="00D54F49"/>
    <w:rsid w:val="00D5513A"/>
    <w:rsid w:val="00D552EF"/>
    <w:rsid w:val="00D5554E"/>
    <w:rsid w:val="00D55755"/>
    <w:rsid w:val="00D55CF2"/>
    <w:rsid w:val="00D55D70"/>
    <w:rsid w:val="00D55DDC"/>
    <w:rsid w:val="00D56222"/>
    <w:rsid w:val="00D5625E"/>
    <w:rsid w:val="00D563A6"/>
    <w:rsid w:val="00D564D3"/>
    <w:rsid w:val="00D56571"/>
    <w:rsid w:val="00D56697"/>
    <w:rsid w:val="00D566D8"/>
    <w:rsid w:val="00D5675D"/>
    <w:rsid w:val="00D56845"/>
    <w:rsid w:val="00D5695B"/>
    <w:rsid w:val="00D56CDD"/>
    <w:rsid w:val="00D573A1"/>
    <w:rsid w:val="00D573D6"/>
    <w:rsid w:val="00D574F5"/>
    <w:rsid w:val="00D5791F"/>
    <w:rsid w:val="00D57921"/>
    <w:rsid w:val="00D57FC0"/>
    <w:rsid w:val="00D6008D"/>
    <w:rsid w:val="00D60549"/>
    <w:rsid w:val="00D6058A"/>
    <w:rsid w:val="00D60AC0"/>
    <w:rsid w:val="00D60B98"/>
    <w:rsid w:val="00D60D63"/>
    <w:rsid w:val="00D60F09"/>
    <w:rsid w:val="00D61DA5"/>
    <w:rsid w:val="00D6239F"/>
    <w:rsid w:val="00D62DD6"/>
    <w:rsid w:val="00D63980"/>
    <w:rsid w:val="00D63B5B"/>
    <w:rsid w:val="00D63E81"/>
    <w:rsid w:val="00D641A1"/>
    <w:rsid w:val="00D644C3"/>
    <w:rsid w:val="00D64513"/>
    <w:rsid w:val="00D6477A"/>
    <w:rsid w:val="00D64CD7"/>
    <w:rsid w:val="00D64D04"/>
    <w:rsid w:val="00D653FE"/>
    <w:rsid w:val="00D655AA"/>
    <w:rsid w:val="00D65B5E"/>
    <w:rsid w:val="00D6670F"/>
    <w:rsid w:val="00D669C2"/>
    <w:rsid w:val="00D66B01"/>
    <w:rsid w:val="00D66C10"/>
    <w:rsid w:val="00D66C48"/>
    <w:rsid w:val="00D66FDB"/>
    <w:rsid w:val="00D670CD"/>
    <w:rsid w:val="00D672D4"/>
    <w:rsid w:val="00D673A9"/>
    <w:rsid w:val="00D6778E"/>
    <w:rsid w:val="00D67942"/>
    <w:rsid w:val="00D70B8F"/>
    <w:rsid w:val="00D724C3"/>
    <w:rsid w:val="00D730C8"/>
    <w:rsid w:val="00D7322B"/>
    <w:rsid w:val="00D733B6"/>
    <w:rsid w:val="00D73605"/>
    <w:rsid w:val="00D7360E"/>
    <w:rsid w:val="00D73634"/>
    <w:rsid w:val="00D73BA3"/>
    <w:rsid w:val="00D73CF0"/>
    <w:rsid w:val="00D74225"/>
    <w:rsid w:val="00D75AAF"/>
    <w:rsid w:val="00D75D15"/>
    <w:rsid w:val="00D75E1F"/>
    <w:rsid w:val="00D75EA2"/>
    <w:rsid w:val="00D76474"/>
    <w:rsid w:val="00D7670F"/>
    <w:rsid w:val="00D767A2"/>
    <w:rsid w:val="00D76896"/>
    <w:rsid w:val="00D76DDF"/>
    <w:rsid w:val="00D770B4"/>
    <w:rsid w:val="00D775F6"/>
    <w:rsid w:val="00D778E3"/>
    <w:rsid w:val="00D779C8"/>
    <w:rsid w:val="00D77A49"/>
    <w:rsid w:val="00D77C88"/>
    <w:rsid w:val="00D80162"/>
    <w:rsid w:val="00D806AF"/>
    <w:rsid w:val="00D80D2A"/>
    <w:rsid w:val="00D80E0D"/>
    <w:rsid w:val="00D80F1F"/>
    <w:rsid w:val="00D81258"/>
    <w:rsid w:val="00D81F50"/>
    <w:rsid w:val="00D81FBC"/>
    <w:rsid w:val="00D820E0"/>
    <w:rsid w:val="00D8262F"/>
    <w:rsid w:val="00D82888"/>
    <w:rsid w:val="00D82C1E"/>
    <w:rsid w:val="00D83CAD"/>
    <w:rsid w:val="00D83E96"/>
    <w:rsid w:val="00D840C9"/>
    <w:rsid w:val="00D8465B"/>
    <w:rsid w:val="00D846AA"/>
    <w:rsid w:val="00D84821"/>
    <w:rsid w:val="00D84A6C"/>
    <w:rsid w:val="00D84C2A"/>
    <w:rsid w:val="00D8525D"/>
    <w:rsid w:val="00D85973"/>
    <w:rsid w:val="00D85B97"/>
    <w:rsid w:val="00D85E3D"/>
    <w:rsid w:val="00D860A7"/>
    <w:rsid w:val="00D86156"/>
    <w:rsid w:val="00D8646D"/>
    <w:rsid w:val="00D86B17"/>
    <w:rsid w:val="00D86E7C"/>
    <w:rsid w:val="00D870CE"/>
    <w:rsid w:val="00D90160"/>
    <w:rsid w:val="00D90517"/>
    <w:rsid w:val="00D908E0"/>
    <w:rsid w:val="00D90EFA"/>
    <w:rsid w:val="00D910EF"/>
    <w:rsid w:val="00D912B0"/>
    <w:rsid w:val="00D9178D"/>
    <w:rsid w:val="00D9223C"/>
    <w:rsid w:val="00D92360"/>
    <w:rsid w:val="00D92569"/>
    <w:rsid w:val="00D92753"/>
    <w:rsid w:val="00D92932"/>
    <w:rsid w:val="00D92B82"/>
    <w:rsid w:val="00D9320A"/>
    <w:rsid w:val="00D9362D"/>
    <w:rsid w:val="00D9364E"/>
    <w:rsid w:val="00D938DE"/>
    <w:rsid w:val="00D939BA"/>
    <w:rsid w:val="00D93CF0"/>
    <w:rsid w:val="00D93D0B"/>
    <w:rsid w:val="00D93EB3"/>
    <w:rsid w:val="00D94190"/>
    <w:rsid w:val="00D94261"/>
    <w:rsid w:val="00D94B1E"/>
    <w:rsid w:val="00D953D8"/>
    <w:rsid w:val="00D9573B"/>
    <w:rsid w:val="00D9585D"/>
    <w:rsid w:val="00D95B92"/>
    <w:rsid w:val="00D95C52"/>
    <w:rsid w:val="00D95D75"/>
    <w:rsid w:val="00D95E3B"/>
    <w:rsid w:val="00D95E40"/>
    <w:rsid w:val="00D962A3"/>
    <w:rsid w:val="00D96EFF"/>
    <w:rsid w:val="00D9741C"/>
    <w:rsid w:val="00DA023D"/>
    <w:rsid w:val="00DA09A5"/>
    <w:rsid w:val="00DA0C81"/>
    <w:rsid w:val="00DA0FB2"/>
    <w:rsid w:val="00DA16DD"/>
    <w:rsid w:val="00DA1AA1"/>
    <w:rsid w:val="00DA1C4F"/>
    <w:rsid w:val="00DA1E98"/>
    <w:rsid w:val="00DA2747"/>
    <w:rsid w:val="00DA275F"/>
    <w:rsid w:val="00DA35BD"/>
    <w:rsid w:val="00DA3820"/>
    <w:rsid w:val="00DA4C0E"/>
    <w:rsid w:val="00DA4C43"/>
    <w:rsid w:val="00DA4ECE"/>
    <w:rsid w:val="00DA508F"/>
    <w:rsid w:val="00DA5584"/>
    <w:rsid w:val="00DA5ACB"/>
    <w:rsid w:val="00DA60C1"/>
    <w:rsid w:val="00DA699E"/>
    <w:rsid w:val="00DA6C55"/>
    <w:rsid w:val="00DA6D2E"/>
    <w:rsid w:val="00DA70F2"/>
    <w:rsid w:val="00DA7222"/>
    <w:rsid w:val="00DA7273"/>
    <w:rsid w:val="00DA751A"/>
    <w:rsid w:val="00DA786A"/>
    <w:rsid w:val="00DA7AD5"/>
    <w:rsid w:val="00DB0064"/>
    <w:rsid w:val="00DB0135"/>
    <w:rsid w:val="00DB05D1"/>
    <w:rsid w:val="00DB0C0F"/>
    <w:rsid w:val="00DB0F12"/>
    <w:rsid w:val="00DB10F6"/>
    <w:rsid w:val="00DB1334"/>
    <w:rsid w:val="00DB18B2"/>
    <w:rsid w:val="00DB217A"/>
    <w:rsid w:val="00DB24EA"/>
    <w:rsid w:val="00DB2578"/>
    <w:rsid w:val="00DB267F"/>
    <w:rsid w:val="00DB2966"/>
    <w:rsid w:val="00DB2AAE"/>
    <w:rsid w:val="00DB2AAF"/>
    <w:rsid w:val="00DB2CB2"/>
    <w:rsid w:val="00DB2CD6"/>
    <w:rsid w:val="00DB2F95"/>
    <w:rsid w:val="00DB361B"/>
    <w:rsid w:val="00DB4D4C"/>
    <w:rsid w:val="00DB4FA7"/>
    <w:rsid w:val="00DB52F8"/>
    <w:rsid w:val="00DB54DA"/>
    <w:rsid w:val="00DB55DA"/>
    <w:rsid w:val="00DB5900"/>
    <w:rsid w:val="00DB59EF"/>
    <w:rsid w:val="00DB5D50"/>
    <w:rsid w:val="00DB5F83"/>
    <w:rsid w:val="00DB61B3"/>
    <w:rsid w:val="00DB6376"/>
    <w:rsid w:val="00DB714A"/>
    <w:rsid w:val="00DB7418"/>
    <w:rsid w:val="00DC012C"/>
    <w:rsid w:val="00DC0130"/>
    <w:rsid w:val="00DC08FC"/>
    <w:rsid w:val="00DC1021"/>
    <w:rsid w:val="00DC16F0"/>
    <w:rsid w:val="00DC192E"/>
    <w:rsid w:val="00DC1B0A"/>
    <w:rsid w:val="00DC1E16"/>
    <w:rsid w:val="00DC243F"/>
    <w:rsid w:val="00DC2465"/>
    <w:rsid w:val="00DC2691"/>
    <w:rsid w:val="00DC3347"/>
    <w:rsid w:val="00DC341F"/>
    <w:rsid w:val="00DC3F4C"/>
    <w:rsid w:val="00DC41FA"/>
    <w:rsid w:val="00DC4443"/>
    <w:rsid w:val="00DC452B"/>
    <w:rsid w:val="00DC4A03"/>
    <w:rsid w:val="00DC4B7F"/>
    <w:rsid w:val="00DC503F"/>
    <w:rsid w:val="00DC60AF"/>
    <w:rsid w:val="00DC62A0"/>
    <w:rsid w:val="00DC67E4"/>
    <w:rsid w:val="00DC691F"/>
    <w:rsid w:val="00DC6AA4"/>
    <w:rsid w:val="00DC6D07"/>
    <w:rsid w:val="00DC744C"/>
    <w:rsid w:val="00DC756C"/>
    <w:rsid w:val="00DC75AB"/>
    <w:rsid w:val="00DD04AB"/>
    <w:rsid w:val="00DD05A0"/>
    <w:rsid w:val="00DD0646"/>
    <w:rsid w:val="00DD0AC4"/>
    <w:rsid w:val="00DD0F13"/>
    <w:rsid w:val="00DD1093"/>
    <w:rsid w:val="00DD1247"/>
    <w:rsid w:val="00DD12D7"/>
    <w:rsid w:val="00DD1528"/>
    <w:rsid w:val="00DD1B5E"/>
    <w:rsid w:val="00DD1E28"/>
    <w:rsid w:val="00DD22FB"/>
    <w:rsid w:val="00DD2659"/>
    <w:rsid w:val="00DD2739"/>
    <w:rsid w:val="00DD2D4E"/>
    <w:rsid w:val="00DD2E48"/>
    <w:rsid w:val="00DD3686"/>
    <w:rsid w:val="00DD3929"/>
    <w:rsid w:val="00DD3EE1"/>
    <w:rsid w:val="00DD4444"/>
    <w:rsid w:val="00DD4BF6"/>
    <w:rsid w:val="00DD4F89"/>
    <w:rsid w:val="00DD520B"/>
    <w:rsid w:val="00DD52C7"/>
    <w:rsid w:val="00DD534C"/>
    <w:rsid w:val="00DD5412"/>
    <w:rsid w:val="00DD54C2"/>
    <w:rsid w:val="00DD551B"/>
    <w:rsid w:val="00DD58B1"/>
    <w:rsid w:val="00DD595E"/>
    <w:rsid w:val="00DD5A68"/>
    <w:rsid w:val="00DD5C59"/>
    <w:rsid w:val="00DD618E"/>
    <w:rsid w:val="00DD6592"/>
    <w:rsid w:val="00DD65EF"/>
    <w:rsid w:val="00DD6AB7"/>
    <w:rsid w:val="00DD7003"/>
    <w:rsid w:val="00DD7633"/>
    <w:rsid w:val="00DD7655"/>
    <w:rsid w:val="00DD7974"/>
    <w:rsid w:val="00DD7A7E"/>
    <w:rsid w:val="00DD7C5A"/>
    <w:rsid w:val="00DD7CCF"/>
    <w:rsid w:val="00DE0254"/>
    <w:rsid w:val="00DE05C0"/>
    <w:rsid w:val="00DE05D5"/>
    <w:rsid w:val="00DE05E0"/>
    <w:rsid w:val="00DE102D"/>
    <w:rsid w:val="00DE1A20"/>
    <w:rsid w:val="00DE1E47"/>
    <w:rsid w:val="00DE1FF8"/>
    <w:rsid w:val="00DE26B1"/>
    <w:rsid w:val="00DE3181"/>
    <w:rsid w:val="00DE3830"/>
    <w:rsid w:val="00DE3D3F"/>
    <w:rsid w:val="00DE3E35"/>
    <w:rsid w:val="00DE3F4C"/>
    <w:rsid w:val="00DE4107"/>
    <w:rsid w:val="00DE43FC"/>
    <w:rsid w:val="00DE45A7"/>
    <w:rsid w:val="00DE4667"/>
    <w:rsid w:val="00DE4CB7"/>
    <w:rsid w:val="00DE4CEA"/>
    <w:rsid w:val="00DE5A8C"/>
    <w:rsid w:val="00DE5E3B"/>
    <w:rsid w:val="00DE62FB"/>
    <w:rsid w:val="00DE6702"/>
    <w:rsid w:val="00DE671A"/>
    <w:rsid w:val="00DE720E"/>
    <w:rsid w:val="00DE7287"/>
    <w:rsid w:val="00DE73AC"/>
    <w:rsid w:val="00DE74CD"/>
    <w:rsid w:val="00DE78EC"/>
    <w:rsid w:val="00DE79A4"/>
    <w:rsid w:val="00DE7F15"/>
    <w:rsid w:val="00DF0186"/>
    <w:rsid w:val="00DF0DEC"/>
    <w:rsid w:val="00DF0F96"/>
    <w:rsid w:val="00DF1083"/>
    <w:rsid w:val="00DF1418"/>
    <w:rsid w:val="00DF1808"/>
    <w:rsid w:val="00DF1BF7"/>
    <w:rsid w:val="00DF1E10"/>
    <w:rsid w:val="00DF1EE4"/>
    <w:rsid w:val="00DF27C9"/>
    <w:rsid w:val="00DF299B"/>
    <w:rsid w:val="00DF299F"/>
    <w:rsid w:val="00DF2B51"/>
    <w:rsid w:val="00DF2D8C"/>
    <w:rsid w:val="00DF2F86"/>
    <w:rsid w:val="00DF3096"/>
    <w:rsid w:val="00DF3B89"/>
    <w:rsid w:val="00DF4229"/>
    <w:rsid w:val="00DF4273"/>
    <w:rsid w:val="00DF4310"/>
    <w:rsid w:val="00DF43EE"/>
    <w:rsid w:val="00DF49E9"/>
    <w:rsid w:val="00DF4F3C"/>
    <w:rsid w:val="00DF4FB7"/>
    <w:rsid w:val="00DF5069"/>
    <w:rsid w:val="00DF51E9"/>
    <w:rsid w:val="00DF5BA7"/>
    <w:rsid w:val="00DF5BE1"/>
    <w:rsid w:val="00DF5C18"/>
    <w:rsid w:val="00DF5DD5"/>
    <w:rsid w:val="00DF5FF5"/>
    <w:rsid w:val="00DF60BC"/>
    <w:rsid w:val="00DF67B0"/>
    <w:rsid w:val="00DF67DC"/>
    <w:rsid w:val="00DF7B0B"/>
    <w:rsid w:val="00E00232"/>
    <w:rsid w:val="00E00279"/>
    <w:rsid w:val="00E008ED"/>
    <w:rsid w:val="00E00C2D"/>
    <w:rsid w:val="00E01FF9"/>
    <w:rsid w:val="00E02079"/>
    <w:rsid w:val="00E0233C"/>
    <w:rsid w:val="00E02419"/>
    <w:rsid w:val="00E027DF"/>
    <w:rsid w:val="00E028E1"/>
    <w:rsid w:val="00E02C01"/>
    <w:rsid w:val="00E02C02"/>
    <w:rsid w:val="00E0369F"/>
    <w:rsid w:val="00E039D2"/>
    <w:rsid w:val="00E039D9"/>
    <w:rsid w:val="00E03C60"/>
    <w:rsid w:val="00E04266"/>
    <w:rsid w:val="00E04699"/>
    <w:rsid w:val="00E046DC"/>
    <w:rsid w:val="00E048BA"/>
    <w:rsid w:val="00E0498D"/>
    <w:rsid w:val="00E04B4C"/>
    <w:rsid w:val="00E04BD7"/>
    <w:rsid w:val="00E04C99"/>
    <w:rsid w:val="00E04DDD"/>
    <w:rsid w:val="00E05482"/>
    <w:rsid w:val="00E06205"/>
    <w:rsid w:val="00E06A1B"/>
    <w:rsid w:val="00E06CC2"/>
    <w:rsid w:val="00E06FCC"/>
    <w:rsid w:val="00E07B77"/>
    <w:rsid w:val="00E07D49"/>
    <w:rsid w:val="00E10062"/>
    <w:rsid w:val="00E1084B"/>
    <w:rsid w:val="00E10B83"/>
    <w:rsid w:val="00E10EA7"/>
    <w:rsid w:val="00E11923"/>
    <w:rsid w:val="00E11B45"/>
    <w:rsid w:val="00E11DEA"/>
    <w:rsid w:val="00E1249E"/>
    <w:rsid w:val="00E12631"/>
    <w:rsid w:val="00E12A4F"/>
    <w:rsid w:val="00E12B0D"/>
    <w:rsid w:val="00E141FB"/>
    <w:rsid w:val="00E14732"/>
    <w:rsid w:val="00E1491D"/>
    <w:rsid w:val="00E14B16"/>
    <w:rsid w:val="00E14BE4"/>
    <w:rsid w:val="00E14CF5"/>
    <w:rsid w:val="00E1568A"/>
    <w:rsid w:val="00E15AF3"/>
    <w:rsid w:val="00E15CB7"/>
    <w:rsid w:val="00E16045"/>
    <w:rsid w:val="00E169B7"/>
    <w:rsid w:val="00E16BA7"/>
    <w:rsid w:val="00E16DB7"/>
    <w:rsid w:val="00E16FB1"/>
    <w:rsid w:val="00E1712A"/>
    <w:rsid w:val="00E174B7"/>
    <w:rsid w:val="00E1769B"/>
    <w:rsid w:val="00E177E3"/>
    <w:rsid w:val="00E17903"/>
    <w:rsid w:val="00E17A54"/>
    <w:rsid w:val="00E2030A"/>
    <w:rsid w:val="00E208AE"/>
    <w:rsid w:val="00E20C81"/>
    <w:rsid w:val="00E20D40"/>
    <w:rsid w:val="00E20E03"/>
    <w:rsid w:val="00E21157"/>
    <w:rsid w:val="00E21765"/>
    <w:rsid w:val="00E21CE2"/>
    <w:rsid w:val="00E21D99"/>
    <w:rsid w:val="00E222C6"/>
    <w:rsid w:val="00E2234A"/>
    <w:rsid w:val="00E22A3F"/>
    <w:rsid w:val="00E2369F"/>
    <w:rsid w:val="00E23894"/>
    <w:rsid w:val="00E23A04"/>
    <w:rsid w:val="00E23B56"/>
    <w:rsid w:val="00E243C4"/>
    <w:rsid w:val="00E250EA"/>
    <w:rsid w:val="00E25488"/>
    <w:rsid w:val="00E256CB"/>
    <w:rsid w:val="00E25B44"/>
    <w:rsid w:val="00E263E0"/>
    <w:rsid w:val="00E264A9"/>
    <w:rsid w:val="00E2666C"/>
    <w:rsid w:val="00E267F0"/>
    <w:rsid w:val="00E26B04"/>
    <w:rsid w:val="00E26BAD"/>
    <w:rsid w:val="00E274C7"/>
    <w:rsid w:val="00E27601"/>
    <w:rsid w:val="00E2778B"/>
    <w:rsid w:val="00E278A9"/>
    <w:rsid w:val="00E27C01"/>
    <w:rsid w:val="00E27F20"/>
    <w:rsid w:val="00E27F5C"/>
    <w:rsid w:val="00E30152"/>
    <w:rsid w:val="00E3036B"/>
    <w:rsid w:val="00E30422"/>
    <w:rsid w:val="00E30572"/>
    <w:rsid w:val="00E30E3F"/>
    <w:rsid w:val="00E30E76"/>
    <w:rsid w:val="00E313A3"/>
    <w:rsid w:val="00E3164B"/>
    <w:rsid w:val="00E316E8"/>
    <w:rsid w:val="00E31817"/>
    <w:rsid w:val="00E32E28"/>
    <w:rsid w:val="00E336CE"/>
    <w:rsid w:val="00E33CBD"/>
    <w:rsid w:val="00E33DCE"/>
    <w:rsid w:val="00E34189"/>
    <w:rsid w:val="00E346A7"/>
    <w:rsid w:val="00E35249"/>
    <w:rsid w:val="00E35563"/>
    <w:rsid w:val="00E362EA"/>
    <w:rsid w:val="00E3671F"/>
    <w:rsid w:val="00E36F96"/>
    <w:rsid w:val="00E37415"/>
    <w:rsid w:val="00E37435"/>
    <w:rsid w:val="00E378DF"/>
    <w:rsid w:val="00E37B72"/>
    <w:rsid w:val="00E37F04"/>
    <w:rsid w:val="00E37FF8"/>
    <w:rsid w:val="00E4084F"/>
    <w:rsid w:val="00E408BE"/>
    <w:rsid w:val="00E40AEB"/>
    <w:rsid w:val="00E40DA8"/>
    <w:rsid w:val="00E40E38"/>
    <w:rsid w:val="00E4117A"/>
    <w:rsid w:val="00E414D5"/>
    <w:rsid w:val="00E41711"/>
    <w:rsid w:val="00E42441"/>
    <w:rsid w:val="00E42759"/>
    <w:rsid w:val="00E42D33"/>
    <w:rsid w:val="00E433B9"/>
    <w:rsid w:val="00E43A88"/>
    <w:rsid w:val="00E43F6C"/>
    <w:rsid w:val="00E440EA"/>
    <w:rsid w:val="00E44476"/>
    <w:rsid w:val="00E445A2"/>
    <w:rsid w:val="00E44F4E"/>
    <w:rsid w:val="00E453FF"/>
    <w:rsid w:val="00E45AE0"/>
    <w:rsid w:val="00E45ECE"/>
    <w:rsid w:val="00E45EF1"/>
    <w:rsid w:val="00E460BB"/>
    <w:rsid w:val="00E4623F"/>
    <w:rsid w:val="00E46AB3"/>
    <w:rsid w:val="00E46B8E"/>
    <w:rsid w:val="00E46E0F"/>
    <w:rsid w:val="00E475FB"/>
    <w:rsid w:val="00E50500"/>
    <w:rsid w:val="00E51049"/>
    <w:rsid w:val="00E51266"/>
    <w:rsid w:val="00E5141F"/>
    <w:rsid w:val="00E51479"/>
    <w:rsid w:val="00E51766"/>
    <w:rsid w:val="00E51853"/>
    <w:rsid w:val="00E51BCC"/>
    <w:rsid w:val="00E51C50"/>
    <w:rsid w:val="00E522CD"/>
    <w:rsid w:val="00E525FE"/>
    <w:rsid w:val="00E52698"/>
    <w:rsid w:val="00E527B1"/>
    <w:rsid w:val="00E52FBB"/>
    <w:rsid w:val="00E53791"/>
    <w:rsid w:val="00E537EA"/>
    <w:rsid w:val="00E5394A"/>
    <w:rsid w:val="00E53B6F"/>
    <w:rsid w:val="00E53D00"/>
    <w:rsid w:val="00E54047"/>
    <w:rsid w:val="00E541A2"/>
    <w:rsid w:val="00E543B3"/>
    <w:rsid w:val="00E544A8"/>
    <w:rsid w:val="00E5479C"/>
    <w:rsid w:val="00E547CD"/>
    <w:rsid w:val="00E54A11"/>
    <w:rsid w:val="00E54AF0"/>
    <w:rsid w:val="00E54BD2"/>
    <w:rsid w:val="00E54E0C"/>
    <w:rsid w:val="00E55386"/>
    <w:rsid w:val="00E556E1"/>
    <w:rsid w:val="00E55969"/>
    <w:rsid w:val="00E55A3F"/>
    <w:rsid w:val="00E55A85"/>
    <w:rsid w:val="00E55AA5"/>
    <w:rsid w:val="00E56339"/>
    <w:rsid w:val="00E5638F"/>
    <w:rsid w:val="00E564BC"/>
    <w:rsid w:val="00E56978"/>
    <w:rsid w:val="00E56B54"/>
    <w:rsid w:val="00E56F2D"/>
    <w:rsid w:val="00E571A9"/>
    <w:rsid w:val="00E602F7"/>
    <w:rsid w:val="00E60313"/>
    <w:rsid w:val="00E603EE"/>
    <w:rsid w:val="00E60782"/>
    <w:rsid w:val="00E60901"/>
    <w:rsid w:val="00E60984"/>
    <w:rsid w:val="00E60BFC"/>
    <w:rsid w:val="00E60C74"/>
    <w:rsid w:val="00E60EE1"/>
    <w:rsid w:val="00E613B9"/>
    <w:rsid w:val="00E620D4"/>
    <w:rsid w:val="00E62723"/>
    <w:rsid w:val="00E62C47"/>
    <w:rsid w:val="00E63285"/>
    <w:rsid w:val="00E634E2"/>
    <w:rsid w:val="00E635FF"/>
    <w:rsid w:val="00E636AB"/>
    <w:rsid w:val="00E63A37"/>
    <w:rsid w:val="00E63CC5"/>
    <w:rsid w:val="00E64884"/>
    <w:rsid w:val="00E64895"/>
    <w:rsid w:val="00E64F07"/>
    <w:rsid w:val="00E64FD7"/>
    <w:rsid w:val="00E651CA"/>
    <w:rsid w:val="00E65AF8"/>
    <w:rsid w:val="00E65C61"/>
    <w:rsid w:val="00E662B4"/>
    <w:rsid w:val="00E6664A"/>
    <w:rsid w:val="00E668AD"/>
    <w:rsid w:val="00E66A13"/>
    <w:rsid w:val="00E66A59"/>
    <w:rsid w:val="00E67050"/>
    <w:rsid w:val="00E6739C"/>
    <w:rsid w:val="00E70380"/>
    <w:rsid w:val="00E70455"/>
    <w:rsid w:val="00E704E0"/>
    <w:rsid w:val="00E707A5"/>
    <w:rsid w:val="00E70925"/>
    <w:rsid w:val="00E70CEC"/>
    <w:rsid w:val="00E71230"/>
    <w:rsid w:val="00E7171B"/>
    <w:rsid w:val="00E718C4"/>
    <w:rsid w:val="00E71967"/>
    <w:rsid w:val="00E71B67"/>
    <w:rsid w:val="00E71E84"/>
    <w:rsid w:val="00E721CD"/>
    <w:rsid w:val="00E72527"/>
    <w:rsid w:val="00E72D2D"/>
    <w:rsid w:val="00E72DEB"/>
    <w:rsid w:val="00E732B6"/>
    <w:rsid w:val="00E73508"/>
    <w:rsid w:val="00E7390A"/>
    <w:rsid w:val="00E73D0F"/>
    <w:rsid w:val="00E73E79"/>
    <w:rsid w:val="00E73F2B"/>
    <w:rsid w:val="00E741D9"/>
    <w:rsid w:val="00E74CD6"/>
    <w:rsid w:val="00E75061"/>
    <w:rsid w:val="00E75935"/>
    <w:rsid w:val="00E75B8B"/>
    <w:rsid w:val="00E76502"/>
    <w:rsid w:val="00E76655"/>
    <w:rsid w:val="00E7696E"/>
    <w:rsid w:val="00E7698A"/>
    <w:rsid w:val="00E76A5C"/>
    <w:rsid w:val="00E76B67"/>
    <w:rsid w:val="00E76EBE"/>
    <w:rsid w:val="00E77436"/>
    <w:rsid w:val="00E774FD"/>
    <w:rsid w:val="00E77F9F"/>
    <w:rsid w:val="00E80010"/>
    <w:rsid w:val="00E8033D"/>
    <w:rsid w:val="00E8053A"/>
    <w:rsid w:val="00E80665"/>
    <w:rsid w:val="00E8179F"/>
    <w:rsid w:val="00E8187E"/>
    <w:rsid w:val="00E81888"/>
    <w:rsid w:val="00E81895"/>
    <w:rsid w:val="00E81BAA"/>
    <w:rsid w:val="00E81C50"/>
    <w:rsid w:val="00E81E4F"/>
    <w:rsid w:val="00E81FAB"/>
    <w:rsid w:val="00E82281"/>
    <w:rsid w:val="00E8286A"/>
    <w:rsid w:val="00E82F6E"/>
    <w:rsid w:val="00E83F04"/>
    <w:rsid w:val="00E84154"/>
    <w:rsid w:val="00E842DD"/>
    <w:rsid w:val="00E84828"/>
    <w:rsid w:val="00E8484D"/>
    <w:rsid w:val="00E84F14"/>
    <w:rsid w:val="00E850BC"/>
    <w:rsid w:val="00E85BC6"/>
    <w:rsid w:val="00E85DEC"/>
    <w:rsid w:val="00E863AD"/>
    <w:rsid w:val="00E864BF"/>
    <w:rsid w:val="00E864C7"/>
    <w:rsid w:val="00E86709"/>
    <w:rsid w:val="00E86D77"/>
    <w:rsid w:val="00E8717E"/>
    <w:rsid w:val="00E874A8"/>
    <w:rsid w:val="00E8775E"/>
    <w:rsid w:val="00E87AE4"/>
    <w:rsid w:val="00E87E62"/>
    <w:rsid w:val="00E906CC"/>
    <w:rsid w:val="00E912BB"/>
    <w:rsid w:val="00E913A9"/>
    <w:rsid w:val="00E916D9"/>
    <w:rsid w:val="00E91794"/>
    <w:rsid w:val="00E91849"/>
    <w:rsid w:val="00E919D6"/>
    <w:rsid w:val="00E91DE2"/>
    <w:rsid w:val="00E93100"/>
    <w:rsid w:val="00E93419"/>
    <w:rsid w:val="00E93486"/>
    <w:rsid w:val="00E9439B"/>
    <w:rsid w:val="00E9550C"/>
    <w:rsid w:val="00E95587"/>
    <w:rsid w:val="00E95E04"/>
    <w:rsid w:val="00E96262"/>
    <w:rsid w:val="00E96DAF"/>
    <w:rsid w:val="00E9717E"/>
    <w:rsid w:val="00E972C5"/>
    <w:rsid w:val="00E975C8"/>
    <w:rsid w:val="00E97620"/>
    <w:rsid w:val="00E97904"/>
    <w:rsid w:val="00E97994"/>
    <w:rsid w:val="00E97ABF"/>
    <w:rsid w:val="00E97EDA"/>
    <w:rsid w:val="00EA0126"/>
    <w:rsid w:val="00EA0644"/>
    <w:rsid w:val="00EA073A"/>
    <w:rsid w:val="00EA0ADE"/>
    <w:rsid w:val="00EA1177"/>
    <w:rsid w:val="00EA1257"/>
    <w:rsid w:val="00EA15D0"/>
    <w:rsid w:val="00EA15FB"/>
    <w:rsid w:val="00EA1C15"/>
    <w:rsid w:val="00EA20CB"/>
    <w:rsid w:val="00EA2368"/>
    <w:rsid w:val="00EA2F86"/>
    <w:rsid w:val="00EA39D6"/>
    <w:rsid w:val="00EA3A20"/>
    <w:rsid w:val="00EA3BE4"/>
    <w:rsid w:val="00EA3E26"/>
    <w:rsid w:val="00EA40C7"/>
    <w:rsid w:val="00EA4236"/>
    <w:rsid w:val="00EA4398"/>
    <w:rsid w:val="00EA43CC"/>
    <w:rsid w:val="00EA4574"/>
    <w:rsid w:val="00EA46EB"/>
    <w:rsid w:val="00EA4873"/>
    <w:rsid w:val="00EA49B4"/>
    <w:rsid w:val="00EA4CAB"/>
    <w:rsid w:val="00EA4F8C"/>
    <w:rsid w:val="00EA501A"/>
    <w:rsid w:val="00EA5124"/>
    <w:rsid w:val="00EA51BD"/>
    <w:rsid w:val="00EA524D"/>
    <w:rsid w:val="00EA55D6"/>
    <w:rsid w:val="00EA571A"/>
    <w:rsid w:val="00EA5AA0"/>
    <w:rsid w:val="00EA5F53"/>
    <w:rsid w:val="00EA6361"/>
    <w:rsid w:val="00EA6937"/>
    <w:rsid w:val="00EA6C71"/>
    <w:rsid w:val="00EA7026"/>
    <w:rsid w:val="00EA7052"/>
    <w:rsid w:val="00EA712D"/>
    <w:rsid w:val="00EA753B"/>
    <w:rsid w:val="00EA776B"/>
    <w:rsid w:val="00EA7A38"/>
    <w:rsid w:val="00EA7E90"/>
    <w:rsid w:val="00EA7EAE"/>
    <w:rsid w:val="00EA7FEA"/>
    <w:rsid w:val="00EB068B"/>
    <w:rsid w:val="00EB0786"/>
    <w:rsid w:val="00EB0F77"/>
    <w:rsid w:val="00EB0FB1"/>
    <w:rsid w:val="00EB192C"/>
    <w:rsid w:val="00EB1B08"/>
    <w:rsid w:val="00EB2224"/>
    <w:rsid w:val="00EB267A"/>
    <w:rsid w:val="00EB2998"/>
    <w:rsid w:val="00EB2A13"/>
    <w:rsid w:val="00EB2A70"/>
    <w:rsid w:val="00EB335B"/>
    <w:rsid w:val="00EB3477"/>
    <w:rsid w:val="00EB362D"/>
    <w:rsid w:val="00EB4AAB"/>
    <w:rsid w:val="00EB4B44"/>
    <w:rsid w:val="00EB4E50"/>
    <w:rsid w:val="00EB5641"/>
    <w:rsid w:val="00EB6285"/>
    <w:rsid w:val="00EB633C"/>
    <w:rsid w:val="00EB6626"/>
    <w:rsid w:val="00EB686C"/>
    <w:rsid w:val="00EB6D5C"/>
    <w:rsid w:val="00EB6D7C"/>
    <w:rsid w:val="00EB726C"/>
    <w:rsid w:val="00EB7678"/>
    <w:rsid w:val="00EB7982"/>
    <w:rsid w:val="00EB7A2C"/>
    <w:rsid w:val="00EC0325"/>
    <w:rsid w:val="00EC04C5"/>
    <w:rsid w:val="00EC0BC2"/>
    <w:rsid w:val="00EC0C51"/>
    <w:rsid w:val="00EC159A"/>
    <w:rsid w:val="00EC17A5"/>
    <w:rsid w:val="00EC18A3"/>
    <w:rsid w:val="00EC1E5F"/>
    <w:rsid w:val="00EC1F6C"/>
    <w:rsid w:val="00EC2038"/>
    <w:rsid w:val="00EC2128"/>
    <w:rsid w:val="00EC21C8"/>
    <w:rsid w:val="00EC24DF"/>
    <w:rsid w:val="00EC292A"/>
    <w:rsid w:val="00EC3033"/>
    <w:rsid w:val="00EC3292"/>
    <w:rsid w:val="00EC4C3A"/>
    <w:rsid w:val="00EC52EE"/>
    <w:rsid w:val="00EC54CD"/>
    <w:rsid w:val="00EC5806"/>
    <w:rsid w:val="00EC5827"/>
    <w:rsid w:val="00EC5C69"/>
    <w:rsid w:val="00EC61AC"/>
    <w:rsid w:val="00EC62FC"/>
    <w:rsid w:val="00EC655C"/>
    <w:rsid w:val="00EC6835"/>
    <w:rsid w:val="00EC6AF1"/>
    <w:rsid w:val="00EC6DA7"/>
    <w:rsid w:val="00EC7C5F"/>
    <w:rsid w:val="00EC7D6B"/>
    <w:rsid w:val="00EC7F0F"/>
    <w:rsid w:val="00EC7F67"/>
    <w:rsid w:val="00EC7FDD"/>
    <w:rsid w:val="00ED0458"/>
    <w:rsid w:val="00ED05FF"/>
    <w:rsid w:val="00ED0870"/>
    <w:rsid w:val="00ED090D"/>
    <w:rsid w:val="00ED2055"/>
    <w:rsid w:val="00ED222A"/>
    <w:rsid w:val="00ED2366"/>
    <w:rsid w:val="00ED2585"/>
    <w:rsid w:val="00ED2593"/>
    <w:rsid w:val="00ED2EDD"/>
    <w:rsid w:val="00ED329F"/>
    <w:rsid w:val="00ED3EBD"/>
    <w:rsid w:val="00ED43FF"/>
    <w:rsid w:val="00ED4D65"/>
    <w:rsid w:val="00ED60D1"/>
    <w:rsid w:val="00ED6937"/>
    <w:rsid w:val="00ED696B"/>
    <w:rsid w:val="00ED6ADD"/>
    <w:rsid w:val="00ED6B0E"/>
    <w:rsid w:val="00ED6BCB"/>
    <w:rsid w:val="00ED72FF"/>
    <w:rsid w:val="00ED7D45"/>
    <w:rsid w:val="00EE007F"/>
    <w:rsid w:val="00EE0299"/>
    <w:rsid w:val="00EE0309"/>
    <w:rsid w:val="00EE0928"/>
    <w:rsid w:val="00EE0F6D"/>
    <w:rsid w:val="00EE150D"/>
    <w:rsid w:val="00EE159C"/>
    <w:rsid w:val="00EE1D56"/>
    <w:rsid w:val="00EE1E78"/>
    <w:rsid w:val="00EE2246"/>
    <w:rsid w:val="00EE27E5"/>
    <w:rsid w:val="00EE28DB"/>
    <w:rsid w:val="00EE2A33"/>
    <w:rsid w:val="00EE2F96"/>
    <w:rsid w:val="00EE338D"/>
    <w:rsid w:val="00EE3690"/>
    <w:rsid w:val="00EE3B1B"/>
    <w:rsid w:val="00EE3C74"/>
    <w:rsid w:val="00EE426B"/>
    <w:rsid w:val="00EE430A"/>
    <w:rsid w:val="00EE5056"/>
    <w:rsid w:val="00EE5268"/>
    <w:rsid w:val="00EE5319"/>
    <w:rsid w:val="00EE55E6"/>
    <w:rsid w:val="00EE5AA2"/>
    <w:rsid w:val="00EE5F27"/>
    <w:rsid w:val="00EE6274"/>
    <w:rsid w:val="00EE638B"/>
    <w:rsid w:val="00EE6C90"/>
    <w:rsid w:val="00EE71D8"/>
    <w:rsid w:val="00EE7B56"/>
    <w:rsid w:val="00EF0025"/>
    <w:rsid w:val="00EF006C"/>
    <w:rsid w:val="00EF056D"/>
    <w:rsid w:val="00EF07A3"/>
    <w:rsid w:val="00EF0B13"/>
    <w:rsid w:val="00EF0D82"/>
    <w:rsid w:val="00EF0F73"/>
    <w:rsid w:val="00EF0F8E"/>
    <w:rsid w:val="00EF1C9D"/>
    <w:rsid w:val="00EF1D2D"/>
    <w:rsid w:val="00EF1D52"/>
    <w:rsid w:val="00EF2377"/>
    <w:rsid w:val="00EF28E1"/>
    <w:rsid w:val="00EF3350"/>
    <w:rsid w:val="00EF33ED"/>
    <w:rsid w:val="00EF38A3"/>
    <w:rsid w:val="00EF3A74"/>
    <w:rsid w:val="00EF3F6C"/>
    <w:rsid w:val="00EF52D1"/>
    <w:rsid w:val="00EF58FD"/>
    <w:rsid w:val="00EF61B3"/>
    <w:rsid w:val="00EF6286"/>
    <w:rsid w:val="00EF6371"/>
    <w:rsid w:val="00EF648E"/>
    <w:rsid w:val="00EF64C5"/>
    <w:rsid w:val="00EF70B5"/>
    <w:rsid w:val="00EF740A"/>
    <w:rsid w:val="00EF74C1"/>
    <w:rsid w:val="00EF7615"/>
    <w:rsid w:val="00EF7692"/>
    <w:rsid w:val="00EF7B75"/>
    <w:rsid w:val="00EF7CAB"/>
    <w:rsid w:val="00F00143"/>
    <w:rsid w:val="00F00201"/>
    <w:rsid w:val="00F00AED"/>
    <w:rsid w:val="00F00BB7"/>
    <w:rsid w:val="00F00D05"/>
    <w:rsid w:val="00F00E8E"/>
    <w:rsid w:val="00F00F75"/>
    <w:rsid w:val="00F018A5"/>
    <w:rsid w:val="00F02105"/>
    <w:rsid w:val="00F0247D"/>
    <w:rsid w:val="00F02FBA"/>
    <w:rsid w:val="00F03382"/>
    <w:rsid w:val="00F037C5"/>
    <w:rsid w:val="00F03843"/>
    <w:rsid w:val="00F043B9"/>
    <w:rsid w:val="00F046DC"/>
    <w:rsid w:val="00F04A3A"/>
    <w:rsid w:val="00F04D15"/>
    <w:rsid w:val="00F0544A"/>
    <w:rsid w:val="00F05712"/>
    <w:rsid w:val="00F0584E"/>
    <w:rsid w:val="00F05C78"/>
    <w:rsid w:val="00F0608E"/>
    <w:rsid w:val="00F06214"/>
    <w:rsid w:val="00F06ACE"/>
    <w:rsid w:val="00F06D29"/>
    <w:rsid w:val="00F071D7"/>
    <w:rsid w:val="00F0720B"/>
    <w:rsid w:val="00F0724E"/>
    <w:rsid w:val="00F07629"/>
    <w:rsid w:val="00F10172"/>
    <w:rsid w:val="00F10294"/>
    <w:rsid w:val="00F10545"/>
    <w:rsid w:val="00F108DF"/>
    <w:rsid w:val="00F109A2"/>
    <w:rsid w:val="00F10F2C"/>
    <w:rsid w:val="00F10FD3"/>
    <w:rsid w:val="00F113DC"/>
    <w:rsid w:val="00F11858"/>
    <w:rsid w:val="00F11C5E"/>
    <w:rsid w:val="00F12E4A"/>
    <w:rsid w:val="00F12F4C"/>
    <w:rsid w:val="00F12FBD"/>
    <w:rsid w:val="00F12FEC"/>
    <w:rsid w:val="00F13162"/>
    <w:rsid w:val="00F132A8"/>
    <w:rsid w:val="00F135B4"/>
    <w:rsid w:val="00F1363F"/>
    <w:rsid w:val="00F13E3E"/>
    <w:rsid w:val="00F141BA"/>
    <w:rsid w:val="00F144B8"/>
    <w:rsid w:val="00F1458A"/>
    <w:rsid w:val="00F1484B"/>
    <w:rsid w:val="00F14883"/>
    <w:rsid w:val="00F153C1"/>
    <w:rsid w:val="00F154C9"/>
    <w:rsid w:val="00F154CE"/>
    <w:rsid w:val="00F156F8"/>
    <w:rsid w:val="00F1598D"/>
    <w:rsid w:val="00F15BBC"/>
    <w:rsid w:val="00F15F16"/>
    <w:rsid w:val="00F16430"/>
    <w:rsid w:val="00F16AD3"/>
    <w:rsid w:val="00F17015"/>
    <w:rsid w:val="00F178C8"/>
    <w:rsid w:val="00F179B2"/>
    <w:rsid w:val="00F17C37"/>
    <w:rsid w:val="00F203E6"/>
    <w:rsid w:val="00F20C41"/>
    <w:rsid w:val="00F21014"/>
    <w:rsid w:val="00F21123"/>
    <w:rsid w:val="00F213B3"/>
    <w:rsid w:val="00F215BB"/>
    <w:rsid w:val="00F217CA"/>
    <w:rsid w:val="00F21AB9"/>
    <w:rsid w:val="00F21C9E"/>
    <w:rsid w:val="00F22578"/>
    <w:rsid w:val="00F227D2"/>
    <w:rsid w:val="00F2285D"/>
    <w:rsid w:val="00F22FED"/>
    <w:rsid w:val="00F236E4"/>
    <w:rsid w:val="00F23B5D"/>
    <w:rsid w:val="00F23B7A"/>
    <w:rsid w:val="00F23BE9"/>
    <w:rsid w:val="00F23C73"/>
    <w:rsid w:val="00F23C9C"/>
    <w:rsid w:val="00F23D58"/>
    <w:rsid w:val="00F243CB"/>
    <w:rsid w:val="00F24477"/>
    <w:rsid w:val="00F245DA"/>
    <w:rsid w:val="00F24600"/>
    <w:rsid w:val="00F248EF"/>
    <w:rsid w:val="00F253E9"/>
    <w:rsid w:val="00F258B9"/>
    <w:rsid w:val="00F25941"/>
    <w:rsid w:val="00F25AB0"/>
    <w:rsid w:val="00F25B07"/>
    <w:rsid w:val="00F26966"/>
    <w:rsid w:val="00F26FC6"/>
    <w:rsid w:val="00F273DB"/>
    <w:rsid w:val="00F273DE"/>
    <w:rsid w:val="00F27873"/>
    <w:rsid w:val="00F27913"/>
    <w:rsid w:val="00F27A82"/>
    <w:rsid w:val="00F27DBC"/>
    <w:rsid w:val="00F30785"/>
    <w:rsid w:val="00F30F90"/>
    <w:rsid w:val="00F314D8"/>
    <w:rsid w:val="00F315E0"/>
    <w:rsid w:val="00F31800"/>
    <w:rsid w:val="00F3260A"/>
    <w:rsid w:val="00F32720"/>
    <w:rsid w:val="00F32D88"/>
    <w:rsid w:val="00F333A5"/>
    <w:rsid w:val="00F335D9"/>
    <w:rsid w:val="00F33C15"/>
    <w:rsid w:val="00F33C67"/>
    <w:rsid w:val="00F33D4E"/>
    <w:rsid w:val="00F33DA9"/>
    <w:rsid w:val="00F33DFF"/>
    <w:rsid w:val="00F33E76"/>
    <w:rsid w:val="00F34410"/>
    <w:rsid w:val="00F3476B"/>
    <w:rsid w:val="00F34961"/>
    <w:rsid w:val="00F354EE"/>
    <w:rsid w:val="00F3558C"/>
    <w:rsid w:val="00F35BC7"/>
    <w:rsid w:val="00F35C0F"/>
    <w:rsid w:val="00F35E06"/>
    <w:rsid w:val="00F36CCD"/>
    <w:rsid w:val="00F36DAA"/>
    <w:rsid w:val="00F37677"/>
    <w:rsid w:val="00F37B07"/>
    <w:rsid w:val="00F4021E"/>
    <w:rsid w:val="00F40339"/>
    <w:rsid w:val="00F40893"/>
    <w:rsid w:val="00F40A7C"/>
    <w:rsid w:val="00F40C15"/>
    <w:rsid w:val="00F40FDD"/>
    <w:rsid w:val="00F4101F"/>
    <w:rsid w:val="00F41551"/>
    <w:rsid w:val="00F42243"/>
    <w:rsid w:val="00F424F8"/>
    <w:rsid w:val="00F4252E"/>
    <w:rsid w:val="00F42B19"/>
    <w:rsid w:val="00F42D20"/>
    <w:rsid w:val="00F43376"/>
    <w:rsid w:val="00F4347F"/>
    <w:rsid w:val="00F43529"/>
    <w:rsid w:val="00F4380A"/>
    <w:rsid w:val="00F43873"/>
    <w:rsid w:val="00F4397F"/>
    <w:rsid w:val="00F43A29"/>
    <w:rsid w:val="00F43A93"/>
    <w:rsid w:val="00F43ACA"/>
    <w:rsid w:val="00F44153"/>
    <w:rsid w:val="00F4415E"/>
    <w:rsid w:val="00F444E4"/>
    <w:rsid w:val="00F44598"/>
    <w:rsid w:val="00F447FF"/>
    <w:rsid w:val="00F44B7B"/>
    <w:rsid w:val="00F456B5"/>
    <w:rsid w:val="00F45A4E"/>
    <w:rsid w:val="00F45FB3"/>
    <w:rsid w:val="00F460FA"/>
    <w:rsid w:val="00F46562"/>
    <w:rsid w:val="00F46622"/>
    <w:rsid w:val="00F46D25"/>
    <w:rsid w:val="00F476FC"/>
    <w:rsid w:val="00F47C1E"/>
    <w:rsid w:val="00F47EEB"/>
    <w:rsid w:val="00F50027"/>
    <w:rsid w:val="00F501E6"/>
    <w:rsid w:val="00F50813"/>
    <w:rsid w:val="00F508F9"/>
    <w:rsid w:val="00F50AA2"/>
    <w:rsid w:val="00F50B3E"/>
    <w:rsid w:val="00F50DBC"/>
    <w:rsid w:val="00F50DF9"/>
    <w:rsid w:val="00F50F35"/>
    <w:rsid w:val="00F51026"/>
    <w:rsid w:val="00F511BB"/>
    <w:rsid w:val="00F511EC"/>
    <w:rsid w:val="00F514D1"/>
    <w:rsid w:val="00F5168C"/>
    <w:rsid w:val="00F516B9"/>
    <w:rsid w:val="00F519D9"/>
    <w:rsid w:val="00F523FA"/>
    <w:rsid w:val="00F530F0"/>
    <w:rsid w:val="00F536AF"/>
    <w:rsid w:val="00F53773"/>
    <w:rsid w:val="00F53C07"/>
    <w:rsid w:val="00F53C86"/>
    <w:rsid w:val="00F54E4A"/>
    <w:rsid w:val="00F54ED2"/>
    <w:rsid w:val="00F5507D"/>
    <w:rsid w:val="00F5514A"/>
    <w:rsid w:val="00F5561D"/>
    <w:rsid w:val="00F55E2B"/>
    <w:rsid w:val="00F56391"/>
    <w:rsid w:val="00F5667A"/>
    <w:rsid w:val="00F56833"/>
    <w:rsid w:val="00F56B91"/>
    <w:rsid w:val="00F56D06"/>
    <w:rsid w:val="00F56F08"/>
    <w:rsid w:val="00F57075"/>
    <w:rsid w:val="00F57394"/>
    <w:rsid w:val="00F576FA"/>
    <w:rsid w:val="00F57BE1"/>
    <w:rsid w:val="00F60437"/>
    <w:rsid w:val="00F60594"/>
    <w:rsid w:val="00F606DB"/>
    <w:rsid w:val="00F60C3B"/>
    <w:rsid w:val="00F60D75"/>
    <w:rsid w:val="00F617AD"/>
    <w:rsid w:val="00F61BBC"/>
    <w:rsid w:val="00F61E83"/>
    <w:rsid w:val="00F620AB"/>
    <w:rsid w:val="00F627EA"/>
    <w:rsid w:val="00F634E1"/>
    <w:rsid w:val="00F638CB"/>
    <w:rsid w:val="00F64533"/>
    <w:rsid w:val="00F646F3"/>
    <w:rsid w:val="00F64BBB"/>
    <w:rsid w:val="00F64D8E"/>
    <w:rsid w:val="00F652D0"/>
    <w:rsid w:val="00F65647"/>
    <w:rsid w:val="00F6595D"/>
    <w:rsid w:val="00F65C5F"/>
    <w:rsid w:val="00F6607A"/>
    <w:rsid w:val="00F66527"/>
    <w:rsid w:val="00F66752"/>
    <w:rsid w:val="00F66A4E"/>
    <w:rsid w:val="00F66BAF"/>
    <w:rsid w:val="00F67016"/>
    <w:rsid w:val="00F67050"/>
    <w:rsid w:val="00F670CE"/>
    <w:rsid w:val="00F6739A"/>
    <w:rsid w:val="00F673BE"/>
    <w:rsid w:val="00F6760A"/>
    <w:rsid w:val="00F67DB1"/>
    <w:rsid w:val="00F67EB4"/>
    <w:rsid w:val="00F67F17"/>
    <w:rsid w:val="00F70A42"/>
    <w:rsid w:val="00F7126B"/>
    <w:rsid w:val="00F714C6"/>
    <w:rsid w:val="00F717F4"/>
    <w:rsid w:val="00F717F6"/>
    <w:rsid w:val="00F71864"/>
    <w:rsid w:val="00F71A3D"/>
    <w:rsid w:val="00F72553"/>
    <w:rsid w:val="00F72C67"/>
    <w:rsid w:val="00F73518"/>
    <w:rsid w:val="00F7377D"/>
    <w:rsid w:val="00F73865"/>
    <w:rsid w:val="00F73B4E"/>
    <w:rsid w:val="00F73BDF"/>
    <w:rsid w:val="00F73FCB"/>
    <w:rsid w:val="00F744F6"/>
    <w:rsid w:val="00F74953"/>
    <w:rsid w:val="00F74EC1"/>
    <w:rsid w:val="00F750F4"/>
    <w:rsid w:val="00F7561A"/>
    <w:rsid w:val="00F7590A"/>
    <w:rsid w:val="00F75A86"/>
    <w:rsid w:val="00F760A8"/>
    <w:rsid w:val="00F762B6"/>
    <w:rsid w:val="00F7733E"/>
    <w:rsid w:val="00F77E15"/>
    <w:rsid w:val="00F77F06"/>
    <w:rsid w:val="00F80DB0"/>
    <w:rsid w:val="00F80F8E"/>
    <w:rsid w:val="00F81488"/>
    <w:rsid w:val="00F81B39"/>
    <w:rsid w:val="00F81C13"/>
    <w:rsid w:val="00F82A92"/>
    <w:rsid w:val="00F830AB"/>
    <w:rsid w:val="00F8315D"/>
    <w:rsid w:val="00F834B5"/>
    <w:rsid w:val="00F83C7B"/>
    <w:rsid w:val="00F84041"/>
    <w:rsid w:val="00F842B1"/>
    <w:rsid w:val="00F8487E"/>
    <w:rsid w:val="00F84A32"/>
    <w:rsid w:val="00F851A9"/>
    <w:rsid w:val="00F851CA"/>
    <w:rsid w:val="00F85356"/>
    <w:rsid w:val="00F85C55"/>
    <w:rsid w:val="00F86049"/>
    <w:rsid w:val="00F86C54"/>
    <w:rsid w:val="00F875B8"/>
    <w:rsid w:val="00F87B7D"/>
    <w:rsid w:val="00F90109"/>
    <w:rsid w:val="00F901F3"/>
    <w:rsid w:val="00F90354"/>
    <w:rsid w:val="00F905E1"/>
    <w:rsid w:val="00F9119E"/>
    <w:rsid w:val="00F91256"/>
    <w:rsid w:val="00F914FD"/>
    <w:rsid w:val="00F9196D"/>
    <w:rsid w:val="00F91A10"/>
    <w:rsid w:val="00F91E78"/>
    <w:rsid w:val="00F92002"/>
    <w:rsid w:val="00F92563"/>
    <w:rsid w:val="00F925E5"/>
    <w:rsid w:val="00F92B91"/>
    <w:rsid w:val="00F93642"/>
    <w:rsid w:val="00F938D8"/>
    <w:rsid w:val="00F94035"/>
    <w:rsid w:val="00F94190"/>
    <w:rsid w:val="00F9460B"/>
    <w:rsid w:val="00F94979"/>
    <w:rsid w:val="00F94CF5"/>
    <w:rsid w:val="00F94E1A"/>
    <w:rsid w:val="00F953DF"/>
    <w:rsid w:val="00F9568B"/>
    <w:rsid w:val="00F95743"/>
    <w:rsid w:val="00F957DF"/>
    <w:rsid w:val="00F95E4C"/>
    <w:rsid w:val="00F95F43"/>
    <w:rsid w:val="00F9611F"/>
    <w:rsid w:val="00F9635F"/>
    <w:rsid w:val="00F97140"/>
    <w:rsid w:val="00F972EE"/>
    <w:rsid w:val="00F977FD"/>
    <w:rsid w:val="00F9792A"/>
    <w:rsid w:val="00F97C85"/>
    <w:rsid w:val="00FA018A"/>
    <w:rsid w:val="00FA0265"/>
    <w:rsid w:val="00FA03C9"/>
    <w:rsid w:val="00FA0450"/>
    <w:rsid w:val="00FA0A3A"/>
    <w:rsid w:val="00FA0C6E"/>
    <w:rsid w:val="00FA13CF"/>
    <w:rsid w:val="00FA13F9"/>
    <w:rsid w:val="00FA1963"/>
    <w:rsid w:val="00FA1B05"/>
    <w:rsid w:val="00FA2630"/>
    <w:rsid w:val="00FA2B73"/>
    <w:rsid w:val="00FA2BB0"/>
    <w:rsid w:val="00FA2C56"/>
    <w:rsid w:val="00FA2E34"/>
    <w:rsid w:val="00FA3554"/>
    <w:rsid w:val="00FA36D1"/>
    <w:rsid w:val="00FA383E"/>
    <w:rsid w:val="00FA3A4B"/>
    <w:rsid w:val="00FA3D22"/>
    <w:rsid w:val="00FA3EC9"/>
    <w:rsid w:val="00FA44E1"/>
    <w:rsid w:val="00FA58CE"/>
    <w:rsid w:val="00FA5A44"/>
    <w:rsid w:val="00FA67C6"/>
    <w:rsid w:val="00FA7E3A"/>
    <w:rsid w:val="00FB00F1"/>
    <w:rsid w:val="00FB0794"/>
    <w:rsid w:val="00FB0834"/>
    <w:rsid w:val="00FB08D9"/>
    <w:rsid w:val="00FB0E30"/>
    <w:rsid w:val="00FB155D"/>
    <w:rsid w:val="00FB1D95"/>
    <w:rsid w:val="00FB1F2A"/>
    <w:rsid w:val="00FB20DB"/>
    <w:rsid w:val="00FB2853"/>
    <w:rsid w:val="00FB32F9"/>
    <w:rsid w:val="00FB33CB"/>
    <w:rsid w:val="00FB34A4"/>
    <w:rsid w:val="00FB3B91"/>
    <w:rsid w:val="00FB4218"/>
    <w:rsid w:val="00FB450C"/>
    <w:rsid w:val="00FB45D9"/>
    <w:rsid w:val="00FB4E5D"/>
    <w:rsid w:val="00FB502D"/>
    <w:rsid w:val="00FB5086"/>
    <w:rsid w:val="00FB55C9"/>
    <w:rsid w:val="00FB57A5"/>
    <w:rsid w:val="00FB5868"/>
    <w:rsid w:val="00FB5BF9"/>
    <w:rsid w:val="00FB5CBF"/>
    <w:rsid w:val="00FB6604"/>
    <w:rsid w:val="00FB6D3D"/>
    <w:rsid w:val="00FB6FB5"/>
    <w:rsid w:val="00FB7A4F"/>
    <w:rsid w:val="00FB7DE9"/>
    <w:rsid w:val="00FC001C"/>
    <w:rsid w:val="00FC047B"/>
    <w:rsid w:val="00FC06A1"/>
    <w:rsid w:val="00FC0720"/>
    <w:rsid w:val="00FC0AB3"/>
    <w:rsid w:val="00FC0D5A"/>
    <w:rsid w:val="00FC0E8E"/>
    <w:rsid w:val="00FC10B5"/>
    <w:rsid w:val="00FC1B9C"/>
    <w:rsid w:val="00FC1B9E"/>
    <w:rsid w:val="00FC1E9E"/>
    <w:rsid w:val="00FC2266"/>
    <w:rsid w:val="00FC2B98"/>
    <w:rsid w:val="00FC344D"/>
    <w:rsid w:val="00FC3EAC"/>
    <w:rsid w:val="00FC3EDF"/>
    <w:rsid w:val="00FC448F"/>
    <w:rsid w:val="00FC4A77"/>
    <w:rsid w:val="00FC4C62"/>
    <w:rsid w:val="00FC4D23"/>
    <w:rsid w:val="00FC4D5B"/>
    <w:rsid w:val="00FC5104"/>
    <w:rsid w:val="00FC5567"/>
    <w:rsid w:val="00FC563F"/>
    <w:rsid w:val="00FC5839"/>
    <w:rsid w:val="00FC5A74"/>
    <w:rsid w:val="00FC5C29"/>
    <w:rsid w:val="00FC5E03"/>
    <w:rsid w:val="00FC629F"/>
    <w:rsid w:val="00FC6603"/>
    <w:rsid w:val="00FC6B7E"/>
    <w:rsid w:val="00FC6C0A"/>
    <w:rsid w:val="00FC6CB1"/>
    <w:rsid w:val="00FC7398"/>
    <w:rsid w:val="00FC7434"/>
    <w:rsid w:val="00FC7E06"/>
    <w:rsid w:val="00FC7E7C"/>
    <w:rsid w:val="00FC7FD4"/>
    <w:rsid w:val="00FD087C"/>
    <w:rsid w:val="00FD09CC"/>
    <w:rsid w:val="00FD0DBD"/>
    <w:rsid w:val="00FD0EFA"/>
    <w:rsid w:val="00FD0FC5"/>
    <w:rsid w:val="00FD1594"/>
    <w:rsid w:val="00FD15BC"/>
    <w:rsid w:val="00FD184F"/>
    <w:rsid w:val="00FD1C65"/>
    <w:rsid w:val="00FD1E85"/>
    <w:rsid w:val="00FD283F"/>
    <w:rsid w:val="00FD2F4A"/>
    <w:rsid w:val="00FD2F63"/>
    <w:rsid w:val="00FD333B"/>
    <w:rsid w:val="00FD3417"/>
    <w:rsid w:val="00FD3DEA"/>
    <w:rsid w:val="00FD3FD2"/>
    <w:rsid w:val="00FD462B"/>
    <w:rsid w:val="00FD4789"/>
    <w:rsid w:val="00FD4CE9"/>
    <w:rsid w:val="00FD4D54"/>
    <w:rsid w:val="00FD4E68"/>
    <w:rsid w:val="00FD4F77"/>
    <w:rsid w:val="00FD501F"/>
    <w:rsid w:val="00FD5920"/>
    <w:rsid w:val="00FD59A7"/>
    <w:rsid w:val="00FD5ED4"/>
    <w:rsid w:val="00FD6218"/>
    <w:rsid w:val="00FD6780"/>
    <w:rsid w:val="00FD6856"/>
    <w:rsid w:val="00FD6966"/>
    <w:rsid w:val="00FD71EB"/>
    <w:rsid w:val="00FD7316"/>
    <w:rsid w:val="00FD741A"/>
    <w:rsid w:val="00FD7DBB"/>
    <w:rsid w:val="00FE009A"/>
    <w:rsid w:val="00FE0439"/>
    <w:rsid w:val="00FE05B4"/>
    <w:rsid w:val="00FE076E"/>
    <w:rsid w:val="00FE0E6D"/>
    <w:rsid w:val="00FE0F3A"/>
    <w:rsid w:val="00FE1323"/>
    <w:rsid w:val="00FE140C"/>
    <w:rsid w:val="00FE14E3"/>
    <w:rsid w:val="00FE1BC8"/>
    <w:rsid w:val="00FE1F36"/>
    <w:rsid w:val="00FE201A"/>
    <w:rsid w:val="00FE2030"/>
    <w:rsid w:val="00FE2186"/>
    <w:rsid w:val="00FE229F"/>
    <w:rsid w:val="00FE29AC"/>
    <w:rsid w:val="00FE2DF9"/>
    <w:rsid w:val="00FE35F8"/>
    <w:rsid w:val="00FE3936"/>
    <w:rsid w:val="00FE3DBE"/>
    <w:rsid w:val="00FE3EE8"/>
    <w:rsid w:val="00FE413B"/>
    <w:rsid w:val="00FE47B3"/>
    <w:rsid w:val="00FE566B"/>
    <w:rsid w:val="00FE5917"/>
    <w:rsid w:val="00FE6545"/>
    <w:rsid w:val="00FE656B"/>
    <w:rsid w:val="00FE6BD9"/>
    <w:rsid w:val="00FE6C16"/>
    <w:rsid w:val="00FE6FC1"/>
    <w:rsid w:val="00FE7039"/>
    <w:rsid w:val="00FE75EA"/>
    <w:rsid w:val="00FE768D"/>
    <w:rsid w:val="00FE7A2C"/>
    <w:rsid w:val="00FF0975"/>
    <w:rsid w:val="00FF0B78"/>
    <w:rsid w:val="00FF0D5F"/>
    <w:rsid w:val="00FF10AF"/>
    <w:rsid w:val="00FF11C6"/>
    <w:rsid w:val="00FF31F9"/>
    <w:rsid w:val="00FF3236"/>
    <w:rsid w:val="00FF33DC"/>
    <w:rsid w:val="00FF3591"/>
    <w:rsid w:val="00FF35A5"/>
    <w:rsid w:val="00FF3BEA"/>
    <w:rsid w:val="00FF3C9D"/>
    <w:rsid w:val="00FF3D84"/>
    <w:rsid w:val="00FF3F37"/>
    <w:rsid w:val="00FF4146"/>
    <w:rsid w:val="00FF4A81"/>
    <w:rsid w:val="00FF4BE1"/>
    <w:rsid w:val="00FF4EB9"/>
    <w:rsid w:val="00FF523C"/>
    <w:rsid w:val="00FF56D2"/>
    <w:rsid w:val="00FF5ADF"/>
    <w:rsid w:val="00FF5C17"/>
    <w:rsid w:val="00FF5C1B"/>
    <w:rsid w:val="00FF62C0"/>
    <w:rsid w:val="00FF6307"/>
    <w:rsid w:val="00FF6869"/>
    <w:rsid w:val="00FF68B5"/>
    <w:rsid w:val="00FF690F"/>
    <w:rsid w:val="00FF6A65"/>
    <w:rsid w:val="00FF6BCB"/>
    <w:rsid w:val="00FF6F7C"/>
    <w:rsid w:val="00FF704C"/>
    <w:rsid w:val="00FF76CE"/>
    <w:rsid w:val="00FF787E"/>
    <w:rsid w:val="00FF79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rules v:ext="edit">
        <o:r id="V:Rule1" type="callout" idref="#Rectangular Callout 34"/>
        <o:r id="V:Rule2" type="callout" idref="#Rectangular Callout 18"/>
        <o:r id="V:Rule3" type="callout" idref="#_x0000_s1036"/>
        <o:r id="V:Rule4" type="callout" idref="#_x0000_s1037"/>
        <o:r id="V:Rule5" type="callout" idref="#_x0000_s1043"/>
        <o:r id="V:Rule6" type="callout" idref="#Rectangular Callout 37"/>
        <o:r id="V:Rule7" type="callout"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2E1"/>
    <w:pPr>
      <w:spacing w:after="200" w:line="276" w:lineRule="auto"/>
    </w:pPr>
    <w:rPr>
      <w:sz w:val="22"/>
      <w:szCs w:val="22"/>
      <w:lang w:val="en-GB" w:eastAsia="en-US"/>
    </w:rPr>
  </w:style>
  <w:style w:type="paragraph" w:styleId="3">
    <w:name w:val="heading 3"/>
    <w:basedOn w:val="a"/>
    <w:next w:val="a"/>
    <w:link w:val="3Char"/>
    <w:uiPriority w:val="9"/>
    <w:unhideWhenUsed/>
    <w:qFormat/>
    <w:rsid w:val="006B42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1E5"/>
    <w:pPr>
      <w:ind w:left="720"/>
    </w:pPr>
  </w:style>
  <w:style w:type="paragraph" w:customStyle="1" w:styleId="Default">
    <w:name w:val="Default"/>
    <w:rsid w:val="001011E5"/>
    <w:pPr>
      <w:autoSpaceDE w:val="0"/>
      <w:autoSpaceDN w:val="0"/>
      <w:adjustRightInd w:val="0"/>
    </w:pPr>
    <w:rPr>
      <w:rFonts w:ascii="Arial" w:hAnsi="Arial" w:cs="Arial"/>
      <w:color w:val="000000"/>
      <w:sz w:val="24"/>
      <w:szCs w:val="24"/>
      <w:lang w:eastAsia="en-US"/>
    </w:rPr>
  </w:style>
  <w:style w:type="paragraph" w:customStyle="1" w:styleId="normaltext">
    <w:name w:val="normaltext"/>
    <w:basedOn w:val="a"/>
    <w:rsid w:val="001011E5"/>
    <w:pPr>
      <w:spacing w:before="100" w:beforeAutospacing="1" w:after="100" w:afterAutospacing="1" w:line="240" w:lineRule="auto"/>
    </w:pPr>
    <w:rPr>
      <w:rFonts w:ascii="Verdana" w:eastAsia="Arial Unicode MS" w:hAnsi="Verdana" w:cs="Arial Unicode MS"/>
      <w:color w:val="000000"/>
      <w:sz w:val="17"/>
      <w:szCs w:val="17"/>
      <w:lang w:val="el-GR" w:eastAsia="el-GR"/>
    </w:rPr>
  </w:style>
  <w:style w:type="paragraph" w:styleId="a4">
    <w:name w:val="Block Text"/>
    <w:basedOn w:val="a"/>
    <w:rsid w:val="001011E5"/>
    <w:pPr>
      <w:spacing w:before="120" w:after="120" w:line="280" w:lineRule="atLeast"/>
      <w:ind w:left="540" w:right="612"/>
      <w:jc w:val="center"/>
    </w:pPr>
    <w:rPr>
      <w:rFonts w:ascii="Arial" w:eastAsia="Times New Roman" w:hAnsi="Arial" w:cs="Arial"/>
      <w:b/>
      <w:bCs/>
      <w:sz w:val="24"/>
      <w:lang w:val="el-GR"/>
    </w:rPr>
  </w:style>
  <w:style w:type="paragraph" w:styleId="a5">
    <w:name w:val="header"/>
    <w:basedOn w:val="a"/>
    <w:link w:val="Char"/>
    <w:uiPriority w:val="99"/>
    <w:unhideWhenUsed/>
    <w:rsid w:val="001011E5"/>
    <w:pPr>
      <w:tabs>
        <w:tab w:val="center" w:pos="4153"/>
        <w:tab w:val="right" w:pos="8306"/>
      </w:tabs>
    </w:pPr>
  </w:style>
  <w:style w:type="character" w:customStyle="1" w:styleId="Char">
    <w:name w:val="Κεφαλίδα Char"/>
    <w:basedOn w:val="a0"/>
    <w:link w:val="a5"/>
    <w:uiPriority w:val="99"/>
    <w:rsid w:val="001011E5"/>
    <w:rPr>
      <w:rFonts w:ascii="Calibri" w:eastAsia="Calibri" w:hAnsi="Calibri" w:cs="Times New Roman"/>
      <w:lang w:val="en-GB"/>
    </w:rPr>
  </w:style>
  <w:style w:type="paragraph" w:styleId="a6">
    <w:name w:val="footer"/>
    <w:basedOn w:val="a"/>
    <w:link w:val="Char0"/>
    <w:uiPriority w:val="99"/>
    <w:unhideWhenUsed/>
    <w:rsid w:val="001011E5"/>
    <w:pPr>
      <w:tabs>
        <w:tab w:val="center" w:pos="4153"/>
        <w:tab w:val="right" w:pos="8306"/>
      </w:tabs>
    </w:pPr>
  </w:style>
  <w:style w:type="character" w:customStyle="1" w:styleId="Char0">
    <w:name w:val="Υποσέλιδο Char"/>
    <w:basedOn w:val="a0"/>
    <w:link w:val="a6"/>
    <w:uiPriority w:val="99"/>
    <w:rsid w:val="001011E5"/>
    <w:rPr>
      <w:rFonts w:ascii="Calibri" w:eastAsia="Calibri" w:hAnsi="Calibri" w:cs="Times New Roman"/>
      <w:lang w:val="en-GB"/>
    </w:rPr>
  </w:style>
  <w:style w:type="paragraph" w:styleId="a7">
    <w:name w:val="Balloon Text"/>
    <w:basedOn w:val="a"/>
    <w:link w:val="Char1"/>
    <w:uiPriority w:val="99"/>
    <w:semiHidden/>
    <w:unhideWhenUsed/>
    <w:rsid w:val="001011E5"/>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011E5"/>
    <w:rPr>
      <w:rFonts w:ascii="Tahoma" w:eastAsia="Calibri" w:hAnsi="Tahoma" w:cs="Tahoma"/>
      <w:sz w:val="16"/>
      <w:szCs w:val="16"/>
      <w:lang w:val="en-GB"/>
    </w:rPr>
  </w:style>
  <w:style w:type="paragraph" w:customStyle="1" w:styleId="CM10">
    <w:name w:val="CM10"/>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3">
    <w:name w:val="CM3"/>
    <w:basedOn w:val="Default"/>
    <w:next w:val="Default"/>
    <w:uiPriority w:val="99"/>
    <w:rsid w:val="001011E5"/>
    <w:pPr>
      <w:widowControl w:val="0"/>
      <w:spacing w:line="280" w:lineRule="atLeast"/>
    </w:pPr>
    <w:rPr>
      <w:rFonts w:ascii="Calibri" w:eastAsia="Times New Roman" w:hAnsi="Calibri" w:cs="Times New Roman"/>
      <w:color w:val="auto"/>
      <w:lang w:eastAsia="el-GR"/>
    </w:rPr>
  </w:style>
  <w:style w:type="paragraph" w:customStyle="1" w:styleId="CM1">
    <w:name w:val="CM1"/>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9">
    <w:name w:val="CM9"/>
    <w:basedOn w:val="Default"/>
    <w:next w:val="Default"/>
    <w:uiPriority w:val="99"/>
    <w:rsid w:val="001011E5"/>
    <w:pPr>
      <w:widowControl w:val="0"/>
    </w:pPr>
    <w:rPr>
      <w:rFonts w:ascii="Calibri" w:eastAsia="Times New Roman" w:hAnsi="Calibri" w:cs="Times New Roman"/>
      <w:color w:val="auto"/>
      <w:lang w:eastAsia="el-GR"/>
    </w:rPr>
  </w:style>
  <w:style w:type="paragraph" w:styleId="a8">
    <w:name w:val="footnote text"/>
    <w:basedOn w:val="a"/>
    <w:link w:val="Char2"/>
    <w:uiPriority w:val="99"/>
    <w:semiHidden/>
    <w:unhideWhenUsed/>
    <w:rsid w:val="00F108DF"/>
    <w:pPr>
      <w:spacing w:after="0" w:line="240" w:lineRule="auto"/>
    </w:pPr>
    <w:rPr>
      <w:sz w:val="20"/>
      <w:szCs w:val="20"/>
    </w:rPr>
  </w:style>
  <w:style w:type="character" w:customStyle="1" w:styleId="Char2">
    <w:name w:val="Κείμενο υποσημείωσης Char"/>
    <w:basedOn w:val="a0"/>
    <w:link w:val="a8"/>
    <w:uiPriority w:val="99"/>
    <w:semiHidden/>
    <w:rsid w:val="00F108DF"/>
    <w:rPr>
      <w:lang w:val="en-GB" w:eastAsia="en-US"/>
    </w:rPr>
  </w:style>
  <w:style w:type="character" w:styleId="a9">
    <w:name w:val="footnote reference"/>
    <w:basedOn w:val="a0"/>
    <w:uiPriority w:val="99"/>
    <w:semiHidden/>
    <w:unhideWhenUsed/>
    <w:rsid w:val="00F108DF"/>
    <w:rPr>
      <w:vertAlign w:val="superscript"/>
    </w:rPr>
  </w:style>
  <w:style w:type="table" w:styleId="aa">
    <w:name w:val="Table Grid"/>
    <w:basedOn w:val="a1"/>
    <w:uiPriority w:val="59"/>
    <w:rsid w:val="001B06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unhideWhenUsed/>
    <w:rsid w:val="00E67050"/>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ab">
    <w:name w:val="Plain Text"/>
    <w:basedOn w:val="a"/>
    <w:link w:val="Char3"/>
    <w:uiPriority w:val="99"/>
    <w:unhideWhenUsed/>
    <w:rsid w:val="00E208AE"/>
    <w:pPr>
      <w:spacing w:after="0" w:line="240" w:lineRule="auto"/>
    </w:pPr>
    <w:rPr>
      <w:rFonts w:ascii="Consolas" w:hAnsi="Consolas"/>
      <w:sz w:val="21"/>
      <w:szCs w:val="21"/>
    </w:rPr>
  </w:style>
  <w:style w:type="character" w:customStyle="1" w:styleId="Char3">
    <w:name w:val="Απλό κείμενο Char"/>
    <w:basedOn w:val="a0"/>
    <w:link w:val="ab"/>
    <w:uiPriority w:val="99"/>
    <w:rsid w:val="00E208AE"/>
    <w:rPr>
      <w:rFonts w:ascii="Consolas" w:hAnsi="Consolas"/>
      <w:sz w:val="21"/>
      <w:szCs w:val="21"/>
      <w:lang w:val="en-GB"/>
    </w:rPr>
  </w:style>
  <w:style w:type="character" w:customStyle="1" w:styleId="3Char">
    <w:name w:val="Επικεφαλίδα 3 Char"/>
    <w:basedOn w:val="a0"/>
    <w:link w:val="3"/>
    <w:uiPriority w:val="9"/>
    <w:rsid w:val="006B4244"/>
    <w:rPr>
      <w:rFonts w:asciiTheme="majorHAnsi" w:eastAsiaTheme="majorEastAsia" w:hAnsiTheme="majorHAnsi" w:cstheme="majorBidi"/>
      <w:b/>
      <w:bCs/>
      <w:color w:val="4F81BD" w:themeColor="accent1"/>
      <w:sz w:val="22"/>
      <w:szCs w:val="22"/>
      <w:lang w:val="en-GB" w:eastAsia="en-US"/>
    </w:rPr>
  </w:style>
  <w:style w:type="paragraph" w:styleId="ac">
    <w:name w:val="Revision"/>
    <w:hidden/>
    <w:uiPriority w:val="99"/>
    <w:semiHidden/>
    <w:rsid w:val="000346AE"/>
    <w:rPr>
      <w:sz w:val="22"/>
      <w:szCs w:val="22"/>
      <w:lang w:val="en-GB" w:eastAsia="en-US"/>
    </w:rPr>
  </w:style>
  <w:style w:type="paragraph" w:styleId="ad">
    <w:name w:val="endnote text"/>
    <w:basedOn w:val="a"/>
    <w:link w:val="Char4"/>
    <w:uiPriority w:val="99"/>
    <w:semiHidden/>
    <w:unhideWhenUsed/>
    <w:rsid w:val="00E77436"/>
    <w:pPr>
      <w:spacing w:after="0" w:line="240" w:lineRule="auto"/>
    </w:pPr>
    <w:rPr>
      <w:sz w:val="20"/>
      <w:szCs w:val="20"/>
    </w:rPr>
  </w:style>
  <w:style w:type="character" w:customStyle="1" w:styleId="Char4">
    <w:name w:val="Κείμενο σημείωσης τέλους Char"/>
    <w:basedOn w:val="a0"/>
    <w:link w:val="ad"/>
    <w:uiPriority w:val="99"/>
    <w:semiHidden/>
    <w:rsid w:val="00E77436"/>
    <w:rPr>
      <w:lang w:val="en-GB" w:eastAsia="en-US"/>
    </w:rPr>
  </w:style>
  <w:style w:type="character" w:styleId="ae">
    <w:name w:val="endnote reference"/>
    <w:basedOn w:val="a0"/>
    <w:uiPriority w:val="99"/>
    <w:semiHidden/>
    <w:unhideWhenUsed/>
    <w:rsid w:val="00E77436"/>
    <w:rPr>
      <w:vertAlign w:val="superscript"/>
    </w:rPr>
  </w:style>
  <w:style w:type="numbering" w:customStyle="1" w:styleId="NoList1">
    <w:name w:val="No List1"/>
    <w:next w:val="a2"/>
    <w:uiPriority w:val="99"/>
    <w:semiHidden/>
    <w:unhideWhenUsed/>
    <w:rsid w:val="00D374DD"/>
  </w:style>
  <w:style w:type="table" w:customStyle="1" w:styleId="TableGrid1">
    <w:name w:val="Table Grid1"/>
    <w:basedOn w:val="a1"/>
    <w:next w:val="aa"/>
    <w:uiPriority w:val="59"/>
    <w:rsid w:val="00D374DD"/>
    <w:rPr>
      <w:rFonts w:eastAsia="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annotation reference"/>
    <w:basedOn w:val="a0"/>
    <w:uiPriority w:val="99"/>
    <w:semiHidden/>
    <w:unhideWhenUsed/>
    <w:rsid w:val="00D374DD"/>
    <w:rPr>
      <w:sz w:val="16"/>
      <w:szCs w:val="16"/>
    </w:rPr>
  </w:style>
  <w:style w:type="paragraph" w:styleId="af0">
    <w:name w:val="annotation text"/>
    <w:basedOn w:val="a"/>
    <w:link w:val="Char5"/>
    <w:uiPriority w:val="99"/>
    <w:semiHidden/>
    <w:unhideWhenUsed/>
    <w:rsid w:val="00D374DD"/>
    <w:pPr>
      <w:spacing w:line="240" w:lineRule="auto"/>
    </w:pPr>
    <w:rPr>
      <w:rFonts w:eastAsia="Calibri"/>
      <w:sz w:val="20"/>
      <w:szCs w:val="20"/>
    </w:rPr>
  </w:style>
  <w:style w:type="character" w:customStyle="1" w:styleId="Char5">
    <w:name w:val="Κείμενο σχολίου Char"/>
    <w:basedOn w:val="a0"/>
    <w:link w:val="af0"/>
    <w:uiPriority w:val="99"/>
    <w:semiHidden/>
    <w:rsid w:val="00D374DD"/>
    <w:rPr>
      <w:rFonts w:eastAsia="Calibri"/>
      <w:lang w:val="en-GB" w:eastAsia="en-US"/>
    </w:rPr>
  </w:style>
  <w:style w:type="paragraph" w:styleId="af1">
    <w:name w:val="annotation subject"/>
    <w:basedOn w:val="af0"/>
    <w:next w:val="af0"/>
    <w:link w:val="Char6"/>
    <w:uiPriority w:val="99"/>
    <w:semiHidden/>
    <w:unhideWhenUsed/>
    <w:rsid w:val="00D374DD"/>
    <w:rPr>
      <w:b/>
      <w:bCs/>
    </w:rPr>
  </w:style>
  <w:style w:type="character" w:customStyle="1" w:styleId="Char6">
    <w:name w:val="Θέμα σχολίου Char"/>
    <w:basedOn w:val="Char5"/>
    <w:link w:val="af1"/>
    <w:uiPriority w:val="99"/>
    <w:semiHidden/>
    <w:rsid w:val="00D374DD"/>
    <w:rPr>
      <w:rFonts w:eastAsia="Calibri"/>
      <w:b/>
      <w:bCs/>
      <w:lang w:val="en-GB" w:eastAsia="en-US"/>
    </w:rPr>
  </w:style>
  <w:style w:type="table" w:customStyle="1" w:styleId="TableGrid2">
    <w:name w:val="Table Grid2"/>
    <w:basedOn w:val="a1"/>
    <w:next w:val="aa"/>
    <w:uiPriority w:val="59"/>
    <w:rsid w:val="00163FB9"/>
    <w:rPr>
      <w:rFonts w:eastAsia="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282747">
      <w:bodyDiv w:val="1"/>
      <w:marLeft w:val="0"/>
      <w:marRight w:val="0"/>
      <w:marTop w:val="0"/>
      <w:marBottom w:val="0"/>
      <w:divBdr>
        <w:top w:val="none" w:sz="0" w:space="0" w:color="auto"/>
        <w:left w:val="none" w:sz="0" w:space="0" w:color="auto"/>
        <w:bottom w:val="none" w:sz="0" w:space="0" w:color="auto"/>
        <w:right w:val="none" w:sz="0" w:space="0" w:color="auto"/>
      </w:divBdr>
    </w:div>
    <w:div w:id="212430671">
      <w:bodyDiv w:val="1"/>
      <w:marLeft w:val="0"/>
      <w:marRight w:val="0"/>
      <w:marTop w:val="0"/>
      <w:marBottom w:val="0"/>
      <w:divBdr>
        <w:top w:val="none" w:sz="0" w:space="0" w:color="auto"/>
        <w:left w:val="none" w:sz="0" w:space="0" w:color="auto"/>
        <w:bottom w:val="none" w:sz="0" w:space="0" w:color="auto"/>
        <w:right w:val="none" w:sz="0" w:space="0" w:color="auto"/>
      </w:divBdr>
    </w:div>
    <w:div w:id="296568337">
      <w:bodyDiv w:val="1"/>
      <w:marLeft w:val="0"/>
      <w:marRight w:val="0"/>
      <w:marTop w:val="0"/>
      <w:marBottom w:val="0"/>
      <w:divBdr>
        <w:top w:val="none" w:sz="0" w:space="0" w:color="auto"/>
        <w:left w:val="none" w:sz="0" w:space="0" w:color="auto"/>
        <w:bottom w:val="none" w:sz="0" w:space="0" w:color="auto"/>
        <w:right w:val="none" w:sz="0" w:space="0" w:color="auto"/>
      </w:divBdr>
    </w:div>
    <w:div w:id="347490122">
      <w:bodyDiv w:val="1"/>
      <w:marLeft w:val="0"/>
      <w:marRight w:val="0"/>
      <w:marTop w:val="0"/>
      <w:marBottom w:val="0"/>
      <w:divBdr>
        <w:top w:val="none" w:sz="0" w:space="0" w:color="auto"/>
        <w:left w:val="none" w:sz="0" w:space="0" w:color="auto"/>
        <w:bottom w:val="none" w:sz="0" w:space="0" w:color="auto"/>
        <w:right w:val="none" w:sz="0" w:space="0" w:color="auto"/>
      </w:divBdr>
    </w:div>
    <w:div w:id="419644991">
      <w:bodyDiv w:val="1"/>
      <w:marLeft w:val="0"/>
      <w:marRight w:val="0"/>
      <w:marTop w:val="0"/>
      <w:marBottom w:val="0"/>
      <w:divBdr>
        <w:top w:val="none" w:sz="0" w:space="0" w:color="auto"/>
        <w:left w:val="none" w:sz="0" w:space="0" w:color="auto"/>
        <w:bottom w:val="none" w:sz="0" w:space="0" w:color="auto"/>
        <w:right w:val="none" w:sz="0" w:space="0" w:color="auto"/>
      </w:divBdr>
    </w:div>
    <w:div w:id="645940894">
      <w:bodyDiv w:val="1"/>
      <w:marLeft w:val="0"/>
      <w:marRight w:val="0"/>
      <w:marTop w:val="0"/>
      <w:marBottom w:val="0"/>
      <w:divBdr>
        <w:top w:val="none" w:sz="0" w:space="0" w:color="auto"/>
        <w:left w:val="none" w:sz="0" w:space="0" w:color="auto"/>
        <w:bottom w:val="none" w:sz="0" w:space="0" w:color="auto"/>
        <w:right w:val="none" w:sz="0" w:space="0" w:color="auto"/>
      </w:divBdr>
    </w:div>
    <w:div w:id="693581953">
      <w:bodyDiv w:val="1"/>
      <w:marLeft w:val="0"/>
      <w:marRight w:val="0"/>
      <w:marTop w:val="0"/>
      <w:marBottom w:val="0"/>
      <w:divBdr>
        <w:top w:val="none" w:sz="0" w:space="0" w:color="auto"/>
        <w:left w:val="none" w:sz="0" w:space="0" w:color="auto"/>
        <w:bottom w:val="none" w:sz="0" w:space="0" w:color="auto"/>
        <w:right w:val="none" w:sz="0" w:space="0" w:color="auto"/>
      </w:divBdr>
    </w:div>
    <w:div w:id="872812455">
      <w:bodyDiv w:val="1"/>
      <w:marLeft w:val="0"/>
      <w:marRight w:val="0"/>
      <w:marTop w:val="0"/>
      <w:marBottom w:val="0"/>
      <w:divBdr>
        <w:top w:val="none" w:sz="0" w:space="0" w:color="auto"/>
        <w:left w:val="none" w:sz="0" w:space="0" w:color="auto"/>
        <w:bottom w:val="none" w:sz="0" w:space="0" w:color="auto"/>
        <w:right w:val="none" w:sz="0" w:space="0" w:color="auto"/>
      </w:divBdr>
    </w:div>
    <w:div w:id="962350205">
      <w:bodyDiv w:val="1"/>
      <w:marLeft w:val="0"/>
      <w:marRight w:val="0"/>
      <w:marTop w:val="0"/>
      <w:marBottom w:val="0"/>
      <w:divBdr>
        <w:top w:val="none" w:sz="0" w:space="0" w:color="auto"/>
        <w:left w:val="none" w:sz="0" w:space="0" w:color="auto"/>
        <w:bottom w:val="none" w:sz="0" w:space="0" w:color="auto"/>
        <w:right w:val="none" w:sz="0" w:space="0" w:color="auto"/>
      </w:divBdr>
    </w:div>
    <w:div w:id="1146630683">
      <w:bodyDiv w:val="1"/>
      <w:marLeft w:val="0"/>
      <w:marRight w:val="0"/>
      <w:marTop w:val="0"/>
      <w:marBottom w:val="0"/>
      <w:divBdr>
        <w:top w:val="none" w:sz="0" w:space="0" w:color="auto"/>
        <w:left w:val="none" w:sz="0" w:space="0" w:color="auto"/>
        <w:bottom w:val="none" w:sz="0" w:space="0" w:color="auto"/>
        <w:right w:val="none" w:sz="0" w:space="0" w:color="auto"/>
      </w:divBdr>
    </w:div>
    <w:div w:id="1260674491">
      <w:bodyDiv w:val="1"/>
      <w:marLeft w:val="0"/>
      <w:marRight w:val="0"/>
      <w:marTop w:val="0"/>
      <w:marBottom w:val="0"/>
      <w:divBdr>
        <w:top w:val="none" w:sz="0" w:space="0" w:color="auto"/>
        <w:left w:val="none" w:sz="0" w:space="0" w:color="auto"/>
        <w:bottom w:val="none" w:sz="0" w:space="0" w:color="auto"/>
        <w:right w:val="none" w:sz="0" w:space="0" w:color="auto"/>
      </w:divBdr>
    </w:div>
    <w:div w:id="1314287457">
      <w:bodyDiv w:val="1"/>
      <w:marLeft w:val="0"/>
      <w:marRight w:val="0"/>
      <w:marTop w:val="0"/>
      <w:marBottom w:val="0"/>
      <w:divBdr>
        <w:top w:val="none" w:sz="0" w:space="0" w:color="auto"/>
        <w:left w:val="none" w:sz="0" w:space="0" w:color="auto"/>
        <w:bottom w:val="none" w:sz="0" w:space="0" w:color="auto"/>
        <w:right w:val="none" w:sz="0" w:space="0" w:color="auto"/>
      </w:divBdr>
    </w:div>
    <w:div w:id="1532496810">
      <w:bodyDiv w:val="1"/>
      <w:marLeft w:val="0"/>
      <w:marRight w:val="0"/>
      <w:marTop w:val="0"/>
      <w:marBottom w:val="0"/>
      <w:divBdr>
        <w:top w:val="none" w:sz="0" w:space="0" w:color="auto"/>
        <w:left w:val="none" w:sz="0" w:space="0" w:color="auto"/>
        <w:bottom w:val="none" w:sz="0" w:space="0" w:color="auto"/>
        <w:right w:val="none" w:sz="0" w:space="0" w:color="auto"/>
      </w:divBdr>
    </w:div>
    <w:div w:id="1554805055">
      <w:bodyDiv w:val="1"/>
      <w:marLeft w:val="0"/>
      <w:marRight w:val="0"/>
      <w:marTop w:val="0"/>
      <w:marBottom w:val="0"/>
      <w:divBdr>
        <w:top w:val="none" w:sz="0" w:space="0" w:color="auto"/>
        <w:left w:val="none" w:sz="0" w:space="0" w:color="auto"/>
        <w:bottom w:val="none" w:sz="0" w:space="0" w:color="auto"/>
        <w:right w:val="none" w:sz="0" w:space="0" w:color="auto"/>
      </w:divBdr>
    </w:div>
    <w:div w:id="16971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_____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_____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________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________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________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______________Microsoft_Office_Excel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plotArea>
      <c:layout>
        <c:manualLayout>
          <c:layoutTarget val="inner"/>
          <c:xMode val="edge"/>
          <c:yMode val="edge"/>
          <c:x val="3.8578871454504636E-2"/>
          <c:y val="3.9106263435758792E-2"/>
          <c:w val="0.91698263678578662"/>
          <c:h val="0.67834251849164529"/>
        </c:manualLayout>
      </c:layout>
      <c:barChart>
        <c:barDir val="col"/>
        <c:grouping val="stacked"/>
        <c:ser>
          <c:idx val="1"/>
          <c:order val="0"/>
          <c:tx>
            <c:strRef>
              <c:f>Sheet1!$A$2</c:f>
              <c:strCache>
                <c:ptCount val="1"/>
                <c:pt idx="0">
                  <c:v>Uncovered</c:v>
                </c:pt>
              </c:strCache>
            </c:strRef>
          </c:tx>
          <c:spPr>
            <a:solidFill>
              <a:srgbClr val="008080"/>
            </a:solidFill>
            <a:ln>
              <a:solidFill>
                <a:srgbClr val="008080"/>
              </a:solidFill>
            </a:ln>
          </c:spPr>
          <c:dPt>
            <c:idx val="4"/>
            <c:spPr>
              <a:solidFill>
                <a:srgbClr val="FF7415"/>
              </a:solidFill>
              <a:ln>
                <a:solidFill>
                  <a:srgbClr val="FF7415"/>
                </a:solidFill>
              </a:ln>
            </c:spPr>
          </c:dPt>
          <c:dPt>
            <c:idx val="5"/>
            <c:spPr>
              <a:solidFill>
                <a:srgbClr val="FF7415"/>
              </a:solidFill>
              <a:ln>
                <a:solidFill>
                  <a:srgbClr val="FF7415"/>
                </a:solidFill>
              </a:ln>
            </c:spPr>
          </c:dPt>
          <c:dLbls>
            <c:dLbl>
              <c:idx val="0"/>
              <c:tx>
                <c:rich>
                  <a:bodyPr/>
                  <a:lstStyle/>
                  <a:p>
                    <a:r>
                      <a:rPr lang="en-US" dirty="0" smtClean="0"/>
                      <a:t>51%</a:t>
                    </a:r>
                    <a:endParaRPr lang="en-US" dirty="0"/>
                  </a:p>
                </c:rich>
              </c:tx>
              <c:dLblPos val="inEnd"/>
              <c:extLst>
                <c:ext xmlns:c15="http://schemas.microsoft.com/office/drawing/2012/chart" uri="{CE6537A1-D6FC-4f65-9D91-7224C49458BB}"/>
              </c:extLst>
            </c:dLbl>
            <c:dLbl>
              <c:idx val="1"/>
              <c:tx>
                <c:rich>
                  <a:bodyPr/>
                  <a:lstStyle/>
                  <a:p>
                    <a:r>
                      <a:rPr lang="en-US" dirty="0" smtClean="0"/>
                      <a:t>109%</a:t>
                    </a:r>
                    <a:endParaRPr lang="en-US" dirty="0"/>
                  </a:p>
                </c:rich>
              </c:tx>
              <c:dLblPos val="inEnd"/>
              <c:extLst>
                <c:ext xmlns:c15="http://schemas.microsoft.com/office/drawing/2012/chart" uri="{CE6537A1-D6FC-4f65-9D91-7224C49458BB}"/>
              </c:extLst>
            </c:dLbl>
            <c:dLbl>
              <c:idx val="2"/>
              <c:tx>
                <c:rich>
                  <a:bodyPr/>
                  <a:lstStyle/>
                  <a:p>
                    <a:r>
                      <a:rPr lang="en-US" dirty="0" smtClean="0"/>
                      <a:t>97%</a:t>
                    </a:r>
                    <a:endParaRPr lang="en-US" dirty="0"/>
                  </a:p>
                </c:rich>
              </c:tx>
              <c:dLblPos val="inEnd"/>
              <c:extLst>
                <c:ext xmlns:c15="http://schemas.microsoft.com/office/drawing/2012/chart" uri="{CE6537A1-D6FC-4f65-9D91-7224C49458BB}"/>
              </c:extLst>
            </c:dLbl>
            <c:dLbl>
              <c:idx val="3"/>
              <c:tx>
                <c:rich>
                  <a:bodyPr/>
                  <a:lstStyle/>
                  <a:p>
                    <a:r>
                      <a:rPr lang="en-US" dirty="0" smtClean="0"/>
                      <a:t>134%</a:t>
                    </a:r>
                    <a:endParaRPr lang="en-US" dirty="0"/>
                  </a:p>
                </c:rich>
              </c:tx>
              <c:dLblPos val="inEnd"/>
              <c:extLst>
                <c:ext xmlns:c15="http://schemas.microsoft.com/office/drawing/2012/chart" uri="{CE6537A1-D6FC-4f65-9D91-7224C49458BB}"/>
              </c:extLst>
            </c:dLbl>
            <c:dLbl>
              <c:idx val="4"/>
              <c:tx>
                <c:rich>
                  <a:bodyPr/>
                  <a:lstStyle/>
                  <a:p>
                    <a:pPr>
                      <a:defRPr sz="600" b="1">
                        <a:latin typeface="Segoe UI" panose="020B0502040204020203" pitchFamily="34" charset="0"/>
                        <a:cs typeface="Segoe UI" panose="020B0502040204020203" pitchFamily="34" charset="0"/>
                      </a:defRPr>
                    </a:pPr>
                    <a:r>
                      <a:rPr lang="en-US" sz="600" b="1" dirty="0" smtClean="0">
                        <a:latin typeface="Segoe UI" panose="020B0502040204020203" pitchFamily="34" charset="0"/>
                        <a:cs typeface="Segoe UI" panose="020B0502040204020203" pitchFamily="34" charset="0"/>
                      </a:rPr>
                      <a:t>76.7%</a:t>
                    </a:r>
                    <a:endParaRPr lang="en-US" sz="600" b="1" dirty="0">
                      <a:latin typeface="Segoe UI" panose="020B0502040204020203" pitchFamily="34" charset="0"/>
                      <a:cs typeface="Segoe UI" panose="020B0502040204020203" pitchFamily="34" charset="0"/>
                    </a:endParaRPr>
                  </a:p>
                </c:rich>
              </c:tx>
              <c:numFmt formatCode="0.0%" sourceLinked="0"/>
              <c:spPr>
                <a:solidFill>
                  <a:schemeClr val="bg1"/>
                </a:solidFill>
                <a:ln>
                  <a:solidFill>
                    <a:srgbClr val="FF7415"/>
                  </a:solidFill>
                </a:ln>
              </c:spPr>
              <c:dLblPos val="inEnd"/>
              <c:extLst>
                <c:ext xmlns:c15="http://schemas.microsoft.com/office/drawing/2012/chart" uri="{CE6537A1-D6FC-4f65-9D91-7224C49458BB}"/>
              </c:extLst>
            </c:dLbl>
            <c:dLbl>
              <c:idx val="5"/>
              <c:layout>
                <c:manualLayout>
                  <c:x val="4.8473097430925859E-3"/>
                  <c:y val="-7.9108677647485678E-2"/>
                </c:manualLayout>
              </c:layout>
              <c:tx>
                <c:rich>
                  <a:bodyPr/>
                  <a:lstStyle/>
                  <a:p>
                    <a:pPr>
                      <a:defRPr sz="600" b="1">
                        <a:latin typeface="Segoe UI" panose="020B0502040204020203" pitchFamily="34" charset="0"/>
                        <a:cs typeface="Segoe UI" panose="020B0502040204020203" pitchFamily="34" charset="0"/>
                      </a:defRPr>
                    </a:pPr>
                    <a:r>
                      <a:rPr lang="en-US" sz="600" dirty="0" smtClean="0">
                        <a:latin typeface="Segoe UI" panose="020B0502040204020203" pitchFamily="34" charset="0"/>
                        <a:cs typeface="Segoe UI" panose="020B0502040204020203" pitchFamily="34" charset="0"/>
                      </a:rPr>
                      <a:t>76.6%</a:t>
                    </a:r>
                    <a:endParaRPr lang="en-US" sz="600" dirty="0">
                      <a:latin typeface="Segoe UI" panose="020B0502040204020203" pitchFamily="34" charset="0"/>
                      <a:cs typeface="Segoe UI" panose="020B0502040204020203" pitchFamily="34" charset="0"/>
                    </a:endParaRPr>
                  </a:p>
                </c:rich>
              </c:tx>
              <c:spPr>
                <a:solidFill>
                  <a:schemeClr val="bg1"/>
                </a:solidFill>
                <a:ln>
                  <a:solidFill>
                    <a:srgbClr val="FF7415"/>
                  </a:solidFill>
                </a:ln>
              </c:spPr>
              <c:dLblPos val="ctr"/>
              <c:showVal val="1"/>
              <c:extLst>
                <c:ext xmlns:c15="http://schemas.microsoft.com/office/drawing/2012/chart" uri="{CE6537A1-D6FC-4f65-9D91-7224C49458BB}"/>
              </c:extLst>
            </c:dLbl>
            <c:dLbl>
              <c:idx val="6"/>
              <c:tx>
                <c:rich>
                  <a:bodyPr/>
                  <a:lstStyle/>
                  <a:p>
                    <a:pPr>
                      <a:defRPr sz="600" b="1">
                        <a:latin typeface="Segoe UI" panose="020B0502040204020203" pitchFamily="34" charset="0"/>
                        <a:cs typeface="Segoe UI" panose="020B0502040204020203" pitchFamily="34" charset="0"/>
                      </a:defRPr>
                    </a:pPr>
                    <a:r>
                      <a:rPr lang="en-US" sz="600" b="1" dirty="0" smtClean="0">
                        <a:latin typeface="Segoe UI" panose="020B0502040204020203" pitchFamily="34" charset="0"/>
                        <a:cs typeface="Segoe UI" panose="020B0502040204020203" pitchFamily="34" charset="0"/>
                      </a:rPr>
                      <a:t>72%</a:t>
                    </a:r>
                    <a:endParaRPr lang="en-US" sz="600" b="1" dirty="0">
                      <a:latin typeface="Segoe UI" panose="020B0502040204020203" pitchFamily="34" charset="0"/>
                      <a:cs typeface="Segoe UI" panose="020B0502040204020203" pitchFamily="34" charset="0"/>
                    </a:endParaRPr>
                  </a:p>
                </c:rich>
              </c:tx>
              <c:spPr>
                <a:solidFill>
                  <a:schemeClr val="bg1"/>
                </a:solidFill>
                <a:ln>
                  <a:solidFill>
                    <a:srgbClr val="008080"/>
                  </a:solidFill>
                </a:ln>
              </c:spPr>
              <c:dLblPos val="inEnd"/>
              <c:showVal val="1"/>
              <c:extLst>
                <c:ext xmlns:c15="http://schemas.microsoft.com/office/drawing/2012/chart" uri="{CE6537A1-D6FC-4f65-9D91-7224C49458BB}"/>
              </c:extLst>
            </c:dLbl>
            <c:spPr>
              <a:solidFill>
                <a:schemeClr val="bg1"/>
              </a:solidFill>
              <a:ln>
                <a:solidFill>
                  <a:srgbClr val="008080"/>
                </a:solidFill>
              </a:ln>
            </c:spPr>
            <c:txPr>
              <a:bodyPr/>
              <a:lstStyle/>
              <a:p>
                <a:pPr>
                  <a:defRPr sz="600">
                    <a:latin typeface="Segoe UI" panose="020B0502040204020203" pitchFamily="34" charset="0"/>
                    <a:cs typeface="Segoe UI" panose="020B0502040204020203" pitchFamily="34" charset="0"/>
                  </a:defRPr>
                </a:pPr>
                <a:endParaRPr lang="el-GR"/>
              </a:p>
            </c:txPr>
            <c:dLblPos val="inEnd"/>
            <c:showVal val="1"/>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0.17732660591460317</c:v>
                </c:pt>
                <c:pt idx="1">
                  <c:v>0.25592237596083756</c:v>
                </c:pt>
                <c:pt idx="2">
                  <c:v>0.40944154401970517</c:v>
                </c:pt>
                <c:pt idx="3">
                  <c:v>0.14996165402740375</c:v>
                </c:pt>
                <c:pt idx="4">
                  <c:v>0.18333910691232719</c:v>
                </c:pt>
                <c:pt idx="5">
                  <c:v>0.18678543633957975</c:v>
                </c:pt>
              </c:numCache>
            </c:numRef>
          </c:val>
        </c:ser>
        <c:ser>
          <c:idx val="0"/>
          <c:order val="1"/>
          <c:tx>
            <c:strRef>
              <c:f>Sheet1!$A$3</c:f>
              <c:strCache>
                <c:ptCount val="1"/>
                <c:pt idx="0">
                  <c:v>Covered</c:v>
                </c:pt>
              </c:strCache>
            </c:strRef>
          </c:tx>
          <c:spPr>
            <a:noFill/>
            <a:ln>
              <a:solidFill>
                <a:srgbClr val="008080"/>
              </a:solidFill>
            </a:ln>
          </c:spPr>
          <c:dPt>
            <c:idx val="4"/>
            <c:spPr>
              <a:noFill/>
              <a:ln>
                <a:solidFill>
                  <a:srgbClr val="FF7415"/>
                </a:solidFill>
              </a:ln>
            </c:spPr>
          </c:dPt>
          <c:dPt>
            <c:idx val="5"/>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0.16859281699779657</c:v>
                </c:pt>
                <c:pt idx="1">
                  <c:v>-2.0361769242002968E-2</c:v>
                </c:pt>
                <c:pt idx="2">
                  <c:v>1.1353488105088464E-2</c:v>
                </c:pt>
                <c:pt idx="3">
                  <c:v>-3.8332418000510182E-2</c:v>
                </c:pt>
                <c:pt idx="4">
                  <c:v>5.5840926129243407E-2</c:v>
                </c:pt>
                <c:pt idx="5">
                  <c:v>5.7138005374013284E-2</c:v>
                </c:pt>
              </c:numCache>
            </c:numRef>
          </c:val>
        </c:ser>
        <c:ser>
          <c:idx val="2"/>
          <c:order val="2"/>
          <c:tx>
            <c:strRef>
              <c:f>Sheet1!$A$4</c:f>
              <c:strCache>
                <c:ptCount val="1"/>
                <c:pt idx="0">
                  <c:v>90+</c:v>
                </c:pt>
              </c:strCache>
            </c:strRef>
          </c:tx>
          <c:spPr>
            <a:noFill/>
          </c:spPr>
          <c:dLbls>
            <c:dLbl>
              <c:idx val="4"/>
              <c:numFmt formatCode="0.0%" sourceLinked="0"/>
              <c:spPr>
                <a:noFill/>
                <a:ln>
                  <a:noFill/>
                </a:ln>
                <a:effectLst/>
              </c:spPr>
              <c:txPr>
                <a:bodyPr wrap="square" lIns="38100" tIns="19050" rIns="38100" bIns="19050" anchor="ctr">
                  <a:spAutoFit/>
                </a:bodyPr>
                <a:lstStyle/>
                <a:p>
                  <a:pPr>
                    <a:defRPr sz="600" b="1">
                      <a:latin typeface="Segoe UI" panose="020B0502040204020203" pitchFamily="34" charset="0"/>
                      <a:cs typeface="Segoe UI" panose="020B0502040204020203" pitchFamily="34" charset="0"/>
                    </a:defRPr>
                  </a:pPr>
                  <a:endParaRPr lang="el-GR"/>
                </a:p>
              </c:txPr>
            </c:dLbl>
            <c:dLbl>
              <c:idx val="5"/>
              <c:numFmt formatCode="0.0%" sourceLinked="0"/>
              <c:spPr>
                <a:noFill/>
                <a:ln>
                  <a:noFill/>
                </a:ln>
                <a:effectLst/>
              </c:spPr>
              <c:txPr>
                <a:bodyPr wrap="square" lIns="38100" tIns="19050" rIns="38100" bIns="19050" anchor="ctr">
                  <a:spAutoFit/>
                </a:bodyPr>
                <a:lstStyle/>
                <a:p>
                  <a:pPr>
                    <a:defRPr sz="600" b="1">
                      <a:latin typeface="Segoe UI" panose="020B0502040204020203" pitchFamily="34" charset="0"/>
                      <a:cs typeface="Segoe UI" panose="020B0502040204020203" pitchFamily="34" charset="0"/>
                    </a:defRPr>
                  </a:pPr>
                  <a:endParaRPr lang="el-GR"/>
                </a:p>
              </c:txPr>
            </c:dLbl>
            <c:numFmt formatCode="0%" sourceLinked="0"/>
            <c:spPr>
              <a:noFill/>
              <a:ln>
                <a:noFill/>
              </a:ln>
              <a:effectLst/>
            </c:spPr>
            <c:txPr>
              <a:bodyPr wrap="square" lIns="38100" tIns="19050" rIns="38100" bIns="19050" anchor="ctr">
                <a:spAutoFit/>
              </a:bodyPr>
              <a:lstStyle/>
              <a:p>
                <a:pPr>
                  <a:defRPr sz="600">
                    <a:latin typeface="Segoe UI" panose="020B0502040204020203" pitchFamily="34" charset="0"/>
                    <a:cs typeface="Segoe UI" panose="020B0502040204020203" pitchFamily="34" charset="0"/>
                  </a:defRPr>
                </a:pPr>
                <a:endParaRPr lang="el-GR"/>
              </a:p>
            </c:txPr>
            <c:dLblPos val="inBase"/>
            <c:showVal val="1"/>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0.3459194229123998</c:v>
                </c:pt>
                <c:pt idx="1">
                  <c:v>0.23556060671883436</c:v>
                </c:pt>
                <c:pt idx="2">
                  <c:v>0.42079503212479363</c:v>
                </c:pt>
                <c:pt idx="3">
                  <c:v>0.11162923602689348</c:v>
                </c:pt>
                <c:pt idx="4">
                  <c:v>0.23918003304157046</c:v>
                </c:pt>
                <c:pt idx="5">
                  <c:v>0.24392344171359304</c:v>
                </c:pt>
              </c:numCache>
            </c:numRef>
          </c:val>
        </c:ser>
        <c:gapWidth val="500"/>
        <c:overlap val="100"/>
        <c:axId val="180630272"/>
        <c:axId val="180631808"/>
      </c:barChart>
      <c:catAx>
        <c:axId val="180630272"/>
        <c:scaling>
          <c:orientation val="minMax"/>
        </c:scaling>
        <c:axPos val="b"/>
        <c:numFmt formatCode="General" sourceLinked="1"/>
        <c:majorTickMark val="none"/>
        <c:tickLblPos val="nextTo"/>
        <c:spPr>
          <a:ln>
            <a:solidFill>
              <a:schemeClr val="bg1">
                <a:lumMod val="75000"/>
              </a:schemeClr>
            </a:solidFill>
          </a:ln>
        </c:spPr>
        <c:txPr>
          <a:bodyPr/>
          <a:lstStyle/>
          <a:p>
            <a:pPr>
              <a:defRPr sz="450">
                <a:latin typeface="Segoe UI" panose="020B0502040204020203" pitchFamily="34" charset="0"/>
                <a:cs typeface="Segoe UI" panose="020B0502040204020203" pitchFamily="34" charset="0"/>
              </a:defRPr>
            </a:pPr>
            <a:endParaRPr lang="el-GR"/>
          </a:p>
        </c:txPr>
        <c:crossAx val="180631808"/>
        <c:crosses val="autoZero"/>
        <c:auto val="1"/>
        <c:lblAlgn val="ctr"/>
        <c:lblOffset val="100"/>
      </c:catAx>
      <c:valAx>
        <c:axId val="180631808"/>
        <c:scaling>
          <c:orientation val="minMax"/>
          <c:max val="0.8"/>
          <c:min val="0"/>
        </c:scaling>
        <c:delete val="1"/>
        <c:axPos val="l"/>
        <c:numFmt formatCode="0.0%" sourceLinked="1"/>
        <c:tickLblPos val="none"/>
        <c:crossAx val="180630272"/>
        <c:crosses val="autoZero"/>
        <c:crossBetween val="between"/>
        <c:minorUnit val="4"/>
      </c:valAx>
      <c:spPr>
        <a:noFill/>
        <a:ln w="25393">
          <a:noFill/>
        </a:ln>
      </c:spPr>
    </c:plotArea>
    <c:plotVisOnly val="1"/>
    <c:dispBlanksAs val="gap"/>
  </c:chart>
  <c:spPr>
    <a:ln>
      <a:solidFill>
        <a:schemeClr val="bg1">
          <a:lumMod val="75000"/>
        </a:schemeClr>
      </a:solidFill>
    </a:ln>
  </c:spPr>
  <c:txPr>
    <a:bodyPr/>
    <a:lstStyle/>
    <a:p>
      <a:pPr>
        <a:defRPr sz="1800"/>
      </a:pPr>
      <a:endParaRPr lang="el-G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plotArea>
      <c:layout>
        <c:manualLayout>
          <c:layoutTarget val="inner"/>
          <c:xMode val="edge"/>
          <c:yMode val="edge"/>
          <c:x val="5.6530306549931512E-2"/>
          <c:y val="4.8029318342319001E-2"/>
          <c:w val="0.91940012500126256"/>
          <c:h val="0.67756491957869736"/>
        </c:manualLayout>
      </c:layout>
      <c:barChart>
        <c:barDir val="col"/>
        <c:grouping val="stacked"/>
        <c:ser>
          <c:idx val="1"/>
          <c:order val="0"/>
          <c:tx>
            <c:strRef>
              <c:f>Sheet1!$A$2</c:f>
              <c:strCache>
                <c:ptCount val="1"/>
                <c:pt idx="0">
                  <c:v>Uncovered</c:v>
                </c:pt>
              </c:strCache>
            </c:strRef>
          </c:tx>
          <c:spPr>
            <a:solidFill>
              <a:srgbClr val="008080"/>
            </a:solidFill>
            <a:ln>
              <a:solidFill>
                <a:srgbClr val="008080"/>
              </a:solidFill>
            </a:ln>
          </c:spPr>
          <c:dPt>
            <c:idx val="4"/>
            <c:spPr>
              <a:solidFill>
                <a:srgbClr val="FF7415"/>
              </a:solidFill>
              <a:ln>
                <a:solidFill>
                  <a:srgbClr val="FF7415"/>
                </a:solidFill>
              </a:ln>
            </c:spPr>
          </c:dPt>
          <c:dPt>
            <c:idx val="5"/>
            <c:spPr>
              <a:solidFill>
                <a:srgbClr val="FF7415"/>
              </a:solidFill>
              <a:ln>
                <a:solidFill>
                  <a:srgbClr val="FF7415"/>
                </a:solidFill>
              </a:ln>
            </c:spPr>
          </c:dPt>
          <c:dLbls>
            <c:dLbl>
              <c:idx val="0"/>
              <c:tx>
                <c:rich>
                  <a:bodyPr/>
                  <a:lstStyle/>
                  <a:p>
                    <a:r>
                      <a:rPr lang="en-US" dirty="0" smtClean="0"/>
                      <a:t>39%</a:t>
                    </a:r>
                    <a:endParaRPr lang="en-US" dirty="0"/>
                  </a:p>
                </c:rich>
              </c:tx>
              <c:dLblPos val="ctr"/>
              <c:extLst>
                <c:ext xmlns:c15="http://schemas.microsoft.com/office/drawing/2012/chart" uri="{CE6537A1-D6FC-4f65-9D91-7224C49458BB}"/>
              </c:extLst>
            </c:dLbl>
            <c:dLbl>
              <c:idx val="1"/>
              <c:tx>
                <c:rich>
                  <a:bodyPr/>
                  <a:lstStyle/>
                  <a:p>
                    <a:r>
                      <a:rPr lang="en-US" dirty="0" smtClean="0"/>
                      <a:t>85%</a:t>
                    </a:r>
                    <a:endParaRPr lang="en-US" dirty="0"/>
                  </a:p>
                </c:rich>
              </c:tx>
              <c:dLblPos val="inEnd"/>
              <c:extLst>
                <c:ext xmlns:c15="http://schemas.microsoft.com/office/drawing/2012/chart" uri="{CE6537A1-D6FC-4f65-9D91-7224C49458BB}"/>
              </c:extLst>
            </c:dLbl>
            <c:dLbl>
              <c:idx val="2"/>
              <c:tx>
                <c:rich>
                  <a:bodyPr/>
                  <a:lstStyle/>
                  <a:p>
                    <a:r>
                      <a:rPr lang="en-US" dirty="0" smtClean="0"/>
                      <a:t>80%</a:t>
                    </a:r>
                    <a:endParaRPr lang="en-US" dirty="0"/>
                  </a:p>
                </c:rich>
              </c:tx>
              <c:dLblPos val="inEnd"/>
              <c:extLst>
                <c:ext xmlns:c15="http://schemas.microsoft.com/office/drawing/2012/chart" uri="{CE6537A1-D6FC-4f65-9D91-7224C49458BB}"/>
              </c:extLst>
            </c:dLbl>
            <c:dLbl>
              <c:idx val="3"/>
              <c:tx>
                <c:rich>
                  <a:bodyPr/>
                  <a:lstStyle/>
                  <a:p>
                    <a:r>
                      <a:rPr lang="en-US" dirty="0" smtClean="0"/>
                      <a:t>70%</a:t>
                    </a:r>
                    <a:endParaRPr lang="en-US" dirty="0"/>
                  </a:p>
                </c:rich>
              </c:tx>
              <c:dLblPos val="inEnd"/>
              <c:extLst>
                <c:ext xmlns:c15="http://schemas.microsoft.com/office/drawing/2012/chart" uri="{CE6537A1-D6FC-4f65-9D91-7224C49458BB}"/>
              </c:extLst>
            </c:dLbl>
            <c:dLbl>
              <c:idx val="4"/>
              <c:tx>
                <c:rich>
                  <a:bodyPr/>
                  <a:lstStyle/>
                  <a:p>
                    <a:pPr>
                      <a:defRPr sz="600" b="1">
                        <a:latin typeface="Segoe UI" panose="020B0502040204020203" pitchFamily="34" charset="0"/>
                        <a:cs typeface="Segoe UI" panose="020B0502040204020203" pitchFamily="34" charset="0"/>
                      </a:defRPr>
                    </a:pPr>
                    <a:r>
                      <a:rPr lang="en-US" sz="600" b="1" dirty="0" smtClean="0">
                        <a:latin typeface="Segoe UI" panose="020B0502040204020203" pitchFamily="34" charset="0"/>
                        <a:cs typeface="Segoe UI" panose="020B0502040204020203" pitchFamily="34" charset="0"/>
                      </a:rPr>
                      <a:t>53.8%</a:t>
                    </a:r>
                    <a:endParaRPr lang="en-US" sz="600" b="1" dirty="0">
                      <a:latin typeface="Segoe UI" panose="020B0502040204020203" pitchFamily="34" charset="0"/>
                      <a:cs typeface="Segoe UI" panose="020B0502040204020203" pitchFamily="34" charset="0"/>
                    </a:endParaRPr>
                  </a:p>
                </c:rich>
              </c:tx>
              <c:numFmt formatCode="0.0%" sourceLinked="0"/>
              <c:spPr>
                <a:solidFill>
                  <a:schemeClr val="bg1"/>
                </a:solidFill>
                <a:ln>
                  <a:solidFill>
                    <a:srgbClr val="FF7415"/>
                  </a:solidFill>
                </a:ln>
              </c:spPr>
              <c:dLblPos val="inEnd"/>
              <c:extLst>
                <c:ext xmlns:c15="http://schemas.microsoft.com/office/drawing/2012/chart" uri="{CE6537A1-D6FC-4f65-9D91-7224C49458BB}"/>
              </c:extLst>
            </c:dLbl>
            <c:dLbl>
              <c:idx val="5"/>
              <c:tx>
                <c:rich>
                  <a:bodyPr wrap="square" lIns="38100" tIns="19050" rIns="38100" bIns="19050" anchor="ctr">
                    <a:spAutoFit/>
                  </a:bodyPr>
                  <a:lstStyle/>
                  <a:p>
                    <a:pPr>
                      <a:defRPr sz="600" b="1">
                        <a:latin typeface="Segoe UI" panose="020B0502040204020203" pitchFamily="34" charset="0"/>
                        <a:cs typeface="Segoe UI" panose="020B0502040204020203" pitchFamily="34" charset="0"/>
                      </a:defRPr>
                    </a:pPr>
                    <a:r>
                      <a:rPr lang="en-US" sz="600" dirty="0" smtClean="0">
                        <a:latin typeface="Segoe UI" panose="020B0502040204020203" pitchFamily="34" charset="0"/>
                        <a:cs typeface="Segoe UI" panose="020B0502040204020203" pitchFamily="34" charset="0"/>
                      </a:rPr>
                      <a:t>54.8%</a:t>
                    </a:r>
                    <a:endParaRPr lang="en-US" sz="600" dirty="0">
                      <a:latin typeface="Segoe UI" panose="020B0502040204020203" pitchFamily="34" charset="0"/>
                      <a:cs typeface="Segoe UI" panose="020B0502040204020203" pitchFamily="34" charset="0"/>
                    </a:endParaRPr>
                  </a:p>
                </c:rich>
              </c:tx>
              <c:numFmt formatCode="0.0%" sourceLinked="0"/>
              <c:spPr>
                <a:solidFill>
                  <a:srgbClr val="FFFFFF"/>
                </a:solidFill>
                <a:ln>
                  <a:solidFill>
                    <a:srgbClr val="FF7415"/>
                  </a:solidFill>
                </a:ln>
                <a:effectLst/>
              </c:spPr>
              <c:dLblPos val="inEnd"/>
              <c:showVal val="1"/>
              <c:extLst>
                <c:ext xmlns:c15="http://schemas.microsoft.com/office/drawing/2012/chart" uri="{CE6537A1-D6FC-4f65-9D91-7224C49458BB}"/>
              </c:extLst>
            </c:dLbl>
            <c:dLbl>
              <c:idx val="6"/>
              <c:tx>
                <c:rich>
                  <a:bodyPr/>
                  <a:lstStyle/>
                  <a:p>
                    <a:pPr>
                      <a:defRPr sz="600" b="1">
                        <a:latin typeface="Segoe UI" panose="020B0502040204020203" pitchFamily="34" charset="0"/>
                        <a:cs typeface="Segoe UI" panose="020B0502040204020203" pitchFamily="34" charset="0"/>
                      </a:defRPr>
                    </a:pPr>
                    <a:r>
                      <a:rPr lang="en-US" sz="600" b="1" dirty="0" smtClean="0">
                        <a:latin typeface="Segoe UI" panose="020B0502040204020203" pitchFamily="34" charset="0"/>
                        <a:cs typeface="Segoe UI" panose="020B0502040204020203" pitchFamily="34" charset="0"/>
                      </a:rPr>
                      <a:t>53%</a:t>
                    </a:r>
                    <a:endParaRPr lang="en-US" sz="600" b="1" dirty="0">
                      <a:latin typeface="Segoe UI" panose="020B0502040204020203" pitchFamily="34" charset="0"/>
                      <a:cs typeface="Segoe UI" panose="020B0502040204020203" pitchFamily="34" charset="0"/>
                    </a:endParaRPr>
                  </a:p>
                </c:rich>
              </c:tx>
              <c:numFmt formatCode="0.0%" sourceLinked="0"/>
              <c:spPr>
                <a:solidFill>
                  <a:schemeClr val="bg1"/>
                </a:solidFill>
                <a:ln>
                  <a:solidFill>
                    <a:srgbClr val="008080"/>
                  </a:solidFill>
                </a:ln>
              </c:spPr>
              <c:dLblPos val="inEnd"/>
              <c:showVal val="1"/>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sz="600">
                    <a:latin typeface="Segoe UI" panose="020B0502040204020203" pitchFamily="34" charset="0"/>
                    <a:cs typeface="Segoe UI" panose="020B0502040204020203" pitchFamily="34" charset="0"/>
                  </a:defRPr>
                </a:pPr>
                <a:endParaRPr lang="el-GR"/>
              </a:p>
            </c:txPr>
            <c:dLblPos val="inEnd"/>
            <c:showVal val="1"/>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0.17732660591460317</c:v>
                </c:pt>
                <c:pt idx="1">
                  <c:v>0.25592237596083756</c:v>
                </c:pt>
                <c:pt idx="2">
                  <c:v>0.40944154401970512</c:v>
                </c:pt>
                <c:pt idx="3">
                  <c:v>0.15073227634612577</c:v>
                </c:pt>
                <c:pt idx="4">
                  <c:v>0.18381574510802756</c:v>
                </c:pt>
                <c:pt idx="5">
                  <c:v>0.18725838703596301</c:v>
                </c:pt>
              </c:numCache>
            </c:numRef>
          </c:val>
        </c:ser>
        <c:ser>
          <c:idx val="0"/>
          <c:order val="1"/>
          <c:tx>
            <c:strRef>
              <c:f>Sheet1!$A$3</c:f>
              <c:strCache>
                <c:ptCount val="1"/>
                <c:pt idx="0">
                  <c:v>Covered</c:v>
                </c:pt>
              </c:strCache>
            </c:strRef>
          </c:tx>
          <c:spPr>
            <a:noFill/>
            <a:ln>
              <a:solidFill>
                <a:srgbClr val="008080"/>
              </a:solidFill>
            </a:ln>
          </c:spPr>
          <c:dPt>
            <c:idx val="4"/>
            <c:spPr>
              <a:noFill/>
              <a:ln>
                <a:solidFill>
                  <a:srgbClr val="FF7415"/>
                </a:solidFill>
              </a:ln>
            </c:spPr>
          </c:dPt>
          <c:dPt>
            <c:idx val="5"/>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0.27697601155519236</c:v>
                </c:pt>
                <c:pt idx="1">
                  <c:v>4.4987074571431439E-2</c:v>
                </c:pt>
                <c:pt idx="2">
                  <c:v>0.10297136511318006</c:v>
                </c:pt>
                <c:pt idx="3">
                  <c:v>6.4113992592169544E-2</c:v>
                </c:pt>
                <c:pt idx="4">
                  <c:v>0.15760625401587774</c:v>
                </c:pt>
                <c:pt idx="5">
                  <c:v>0.15426007327475647</c:v>
                </c:pt>
              </c:numCache>
            </c:numRef>
          </c:val>
        </c:ser>
        <c:ser>
          <c:idx val="2"/>
          <c:order val="2"/>
          <c:tx>
            <c:strRef>
              <c:f>Sheet1!$A$4</c:f>
              <c:strCache>
                <c:ptCount val="1"/>
                <c:pt idx="0">
                  <c:v>NPEs</c:v>
                </c:pt>
              </c:strCache>
            </c:strRef>
          </c:tx>
          <c:spPr>
            <a:noFill/>
          </c:spPr>
          <c:dLbls>
            <c:dLbl>
              <c:idx val="1"/>
              <c:numFmt formatCode="0%" sourceLinked="0"/>
              <c:spPr/>
              <c:txPr>
                <a:bodyPr/>
                <a:lstStyle/>
                <a:p>
                  <a:pPr>
                    <a:defRPr sz="600">
                      <a:latin typeface="Segoe UI" panose="020B0502040204020203" pitchFamily="34" charset="0"/>
                      <a:cs typeface="Segoe UI" panose="020B0502040204020203" pitchFamily="34" charset="0"/>
                    </a:defRPr>
                  </a:pPr>
                  <a:endParaRPr lang="el-GR"/>
                </a:p>
              </c:txPr>
            </c:dLbl>
            <c:dLbl>
              <c:idx val="4"/>
              <c:numFmt formatCode="0.0%" sourceLinked="0"/>
              <c:spPr/>
              <c:txPr>
                <a:bodyPr/>
                <a:lstStyle/>
                <a:p>
                  <a:pPr>
                    <a:defRPr sz="600" b="1">
                      <a:latin typeface="Segoe UI" panose="020B0502040204020203" pitchFamily="34" charset="0"/>
                      <a:cs typeface="Segoe UI" panose="020B0502040204020203" pitchFamily="34" charset="0"/>
                    </a:defRPr>
                  </a:pPr>
                  <a:endParaRPr lang="el-GR"/>
                </a:p>
              </c:txPr>
            </c:dLbl>
            <c:dLbl>
              <c:idx val="5"/>
              <c:numFmt formatCode="0.0%" sourceLinked="0"/>
              <c:spPr>
                <a:noFill/>
                <a:ln>
                  <a:noFill/>
                </a:ln>
                <a:effectLst/>
              </c:spPr>
              <c:txPr>
                <a:bodyPr/>
                <a:lstStyle/>
                <a:p>
                  <a:pPr>
                    <a:defRPr sz="600" b="1">
                      <a:latin typeface="Segoe UI" panose="020B0502040204020203" pitchFamily="34" charset="0"/>
                      <a:cs typeface="Segoe UI" panose="020B0502040204020203" pitchFamily="34" charset="0"/>
                    </a:defRPr>
                  </a:pPr>
                  <a:endParaRPr lang="el-GR"/>
                </a:p>
              </c:txPr>
            </c:dLbl>
            <c:dLbl>
              <c:idx val="6"/>
              <c:numFmt formatCode="0%" sourceLinked="0"/>
              <c:spPr>
                <a:noFill/>
                <a:ln>
                  <a:noFill/>
                </a:ln>
                <a:effectLst/>
              </c:spPr>
              <c:txPr>
                <a:bodyPr/>
                <a:lstStyle/>
                <a:p>
                  <a:pPr>
                    <a:defRPr sz="600" b="1">
                      <a:latin typeface="Segoe UI" panose="020B0502040204020203" pitchFamily="34" charset="0"/>
                      <a:cs typeface="Segoe UI" panose="020B0502040204020203" pitchFamily="34" charset="0"/>
                    </a:defRPr>
                  </a:pPr>
                  <a:endParaRPr lang="el-GR"/>
                </a:p>
              </c:txPr>
            </c:dLbl>
            <c:numFmt formatCode="0%" sourceLinked="0"/>
            <c:spPr>
              <a:noFill/>
              <a:ln>
                <a:noFill/>
              </a:ln>
              <a:effectLst/>
            </c:spPr>
            <c:txPr>
              <a:bodyPr/>
              <a:lstStyle/>
              <a:p>
                <a:pPr>
                  <a:defRPr sz="600">
                    <a:latin typeface="Segoe UI" panose="020B0502040204020203" pitchFamily="34" charset="0"/>
                    <a:cs typeface="Segoe UI" panose="020B0502040204020203" pitchFamily="34" charset="0"/>
                  </a:defRPr>
                </a:pPr>
                <a:endParaRPr lang="el-GR"/>
              </a:p>
            </c:txPr>
            <c:dLblPos val="inBase"/>
            <c:showVal val="1"/>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0.45430261746979567</c:v>
                </c:pt>
                <c:pt idx="1">
                  <c:v>0.30090945053226881</c:v>
                </c:pt>
                <c:pt idx="2">
                  <c:v>0.51241290913288495</c:v>
                </c:pt>
                <c:pt idx="3">
                  <c:v>0.21484626893829531</c:v>
                </c:pt>
                <c:pt idx="4">
                  <c:v>0.34142199912390542</c:v>
                </c:pt>
                <c:pt idx="5">
                  <c:v>0.34151846031071947</c:v>
                </c:pt>
              </c:numCache>
            </c:numRef>
          </c:val>
        </c:ser>
        <c:gapWidth val="500"/>
        <c:overlap val="100"/>
        <c:axId val="181162368"/>
        <c:axId val="181163904"/>
      </c:barChart>
      <c:catAx>
        <c:axId val="181162368"/>
        <c:scaling>
          <c:orientation val="minMax"/>
        </c:scaling>
        <c:axPos val="b"/>
        <c:numFmt formatCode="General" sourceLinked="1"/>
        <c:majorTickMark val="none"/>
        <c:tickLblPos val="nextTo"/>
        <c:spPr>
          <a:ln>
            <a:solidFill>
              <a:schemeClr val="bg1">
                <a:lumMod val="75000"/>
              </a:schemeClr>
            </a:solidFill>
          </a:ln>
        </c:spPr>
        <c:txPr>
          <a:bodyPr/>
          <a:lstStyle/>
          <a:p>
            <a:pPr>
              <a:defRPr sz="450">
                <a:latin typeface="Segoe UI" panose="020B0502040204020203" pitchFamily="34" charset="0"/>
                <a:cs typeface="Segoe UI" panose="020B0502040204020203" pitchFamily="34" charset="0"/>
              </a:defRPr>
            </a:pPr>
            <a:endParaRPr lang="el-GR"/>
          </a:p>
        </c:txPr>
        <c:crossAx val="181163904"/>
        <c:crosses val="autoZero"/>
        <c:auto val="1"/>
        <c:lblAlgn val="ctr"/>
        <c:lblOffset val="100"/>
      </c:catAx>
      <c:valAx>
        <c:axId val="181163904"/>
        <c:scaling>
          <c:orientation val="minMax"/>
          <c:max val="0.8"/>
          <c:min val="0"/>
        </c:scaling>
        <c:delete val="1"/>
        <c:axPos val="l"/>
        <c:numFmt formatCode="0.0%" sourceLinked="1"/>
        <c:tickLblPos val="none"/>
        <c:crossAx val="181162368"/>
        <c:crosses val="autoZero"/>
        <c:crossBetween val="between"/>
        <c:minorUnit val="4"/>
      </c:valAx>
      <c:spPr>
        <a:noFill/>
        <a:ln w="25400">
          <a:noFill/>
        </a:ln>
      </c:spPr>
    </c:plotArea>
    <c:plotVisOnly val="1"/>
    <c:dispBlanksAs val="gap"/>
  </c:chart>
  <c:spPr>
    <a:ln>
      <a:solidFill>
        <a:schemeClr val="bg1">
          <a:lumMod val="75000"/>
        </a:schemeClr>
      </a:solidFill>
    </a:ln>
  </c:spPr>
  <c:txPr>
    <a:bodyPr/>
    <a:lstStyle/>
    <a:p>
      <a:pPr>
        <a:defRPr sz="1797"/>
      </a:pPr>
      <a:endParaRPr lang="el-G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el-G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199230954097569E-2"/>
          <c:y val="3.9845955404248165E-2"/>
          <c:w val="0.97111309175754579"/>
          <c:h val="0.68390101369023382"/>
        </c:manualLayout>
      </c:layout>
      <c:barChart>
        <c:barDir val="col"/>
        <c:grouping val="stacked"/>
        <c:ser>
          <c:idx val="0"/>
          <c:order val="0"/>
          <c:tx>
            <c:strRef>
              <c:f>Sheet1!$B$1</c:f>
              <c:strCache>
                <c:ptCount val="1"/>
                <c:pt idx="0">
                  <c:v>Series 1</c:v>
                </c:pt>
              </c:strCache>
            </c:strRef>
          </c:tx>
          <c:spPr>
            <a:noFill/>
            <a:ln>
              <a:noFill/>
            </a:ln>
            <a:effectLst/>
          </c:spPr>
          <c:cat>
            <c:strRef>
              <c:f>Sheet1!$A$2:$A$24</c:f>
              <c:strCache>
                <c:ptCount val="23"/>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Α' τρίμηνο 2019 </c:v>
                </c:pt>
                <c:pt idx="15">
                  <c:v>Οργανική μείωση ΜΕΑ</c:v>
                </c:pt>
                <c:pt idx="16">
                  <c:v>Πωλήσεις</c:v>
                </c:pt>
                <c:pt idx="17">
                  <c:v>Λογιστικές διαγραφές</c:v>
                </c:pt>
                <c:pt idx="18">
                  <c:v>ΜΕΑ Β' τρίμηνο 2019 </c:v>
                </c:pt>
                <c:pt idx="19">
                  <c:v>Οργανική μείωση ΜΕΑ</c:v>
                </c:pt>
                <c:pt idx="20">
                  <c:v>Πωλήσεις</c:v>
                </c:pt>
                <c:pt idx="21">
                  <c:v>Λογιστικές διαγραφές</c:v>
                </c:pt>
                <c:pt idx="22">
                  <c:v>ΜΕΑ Γ' τρίμηνο 2019 </c:v>
                </c:pt>
              </c:strCache>
            </c:strRef>
          </c:cat>
          <c:val>
            <c:numRef>
              <c:f>Sheet1!$B$2:$B$24</c:f>
              <c:numCache>
                <c:formatCode>0.000</c:formatCode>
                <c:ptCount val="23"/>
                <c:pt idx="1">
                  <c:v>20.348000000000003</c:v>
                </c:pt>
                <c:pt idx="2">
                  <c:v>19.147000000000009</c:v>
                </c:pt>
                <c:pt idx="4">
                  <c:v>18.952999999999992</c:v>
                </c:pt>
                <c:pt idx="5">
                  <c:v>17.696999999999996</c:v>
                </c:pt>
                <c:pt idx="7">
                  <c:v>17.073999999999987</c:v>
                </c:pt>
                <c:pt idx="8">
                  <c:v>16.266999999999989</c:v>
                </c:pt>
                <c:pt idx="9" formatCode="0.00">
                  <c:v>15.560000000000002</c:v>
                </c:pt>
                <c:pt idx="11">
                  <c:v>15.286000000000001</c:v>
                </c:pt>
                <c:pt idx="12">
                  <c:v>14.558999999999999</c:v>
                </c:pt>
                <c:pt idx="13">
                  <c:v>14.465000000000002</c:v>
                </c:pt>
                <c:pt idx="15">
                  <c:v>14.086</c:v>
                </c:pt>
                <c:pt idx="16">
                  <c:v>13.123000000000001</c:v>
                </c:pt>
                <c:pt idx="17">
                  <c:v>13.065000000000005</c:v>
                </c:pt>
                <c:pt idx="19">
                  <c:v>12.765000000000002</c:v>
                </c:pt>
                <c:pt idx="20">
                  <c:v>11.602</c:v>
                </c:pt>
                <c:pt idx="21">
                  <c:v>11.568</c:v>
                </c:pt>
              </c:numCache>
            </c:numRef>
          </c:val>
        </c:ser>
        <c:ser>
          <c:idx val="1"/>
          <c:order val="1"/>
          <c:tx>
            <c:strRef>
              <c:f>Sheet1!$C$1</c:f>
              <c:strCache>
                <c:ptCount val="1"/>
                <c:pt idx="0">
                  <c:v>Series 2</c:v>
                </c:pt>
              </c:strCache>
            </c:strRef>
          </c:tx>
          <c:spPr>
            <a:noFill/>
            <a:ln>
              <a:solidFill>
                <a:srgbClr val="008080"/>
              </a:solidFill>
            </a:ln>
            <a:effectLst/>
          </c:spPr>
          <c:dPt>
            <c:idx val="0"/>
            <c:spPr>
              <a:solidFill>
                <a:srgbClr val="008080"/>
              </a:solidFill>
              <a:ln>
                <a:solidFill>
                  <a:srgbClr val="008080"/>
                </a:solidFill>
              </a:ln>
              <a:effectLst/>
            </c:spPr>
          </c:dPt>
          <c:dPt>
            <c:idx val="3"/>
            <c:spPr>
              <a:solidFill>
                <a:srgbClr val="008080"/>
              </a:solidFill>
              <a:ln>
                <a:solidFill>
                  <a:srgbClr val="008080"/>
                </a:solidFill>
              </a:ln>
              <a:effectLst/>
            </c:spPr>
          </c:dPt>
          <c:dPt>
            <c:idx val="6"/>
            <c:spPr>
              <a:solidFill>
                <a:srgbClr val="008080"/>
              </a:solidFill>
              <a:ln>
                <a:solidFill>
                  <a:srgbClr val="008080"/>
                </a:solidFill>
              </a:ln>
              <a:effectLst/>
            </c:spPr>
          </c:dPt>
          <c:dPt>
            <c:idx val="10"/>
            <c:spPr>
              <a:solidFill>
                <a:srgbClr val="008080"/>
              </a:solidFill>
              <a:ln>
                <a:solidFill>
                  <a:srgbClr val="008080"/>
                </a:solidFill>
              </a:ln>
              <a:effectLst/>
            </c:spPr>
          </c:dPt>
          <c:dPt>
            <c:idx val="14"/>
            <c:spPr>
              <a:solidFill>
                <a:srgbClr val="008080"/>
              </a:solidFill>
              <a:ln>
                <a:solidFill>
                  <a:srgbClr val="008080"/>
                </a:solidFill>
              </a:ln>
              <a:effectLst/>
            </c:spPr>
          </c:dPt>
          <c:dPt>
            <c:idx val="18"/>
            <c:spPr>
              <a:solidFill>
                <a:srgbClr val="008080"/>
              </a:solidFill>
              <a:ln>
                <a:solidFill>
                  <a:srgbClr val="008080"/>
                </a:solidFill>
              </a:ln>
              <a:effectLst/>
            </c:spPr>
          </c:dPt>
          <c:dPt>
            <c:idx val="19"/>
            <c:spPr>
              <a:solidFill>
                <a:srgbClr val="008080"/>
              </a:solidFill>
              <a:ln>
                <a:solidFill>
                  <a:srgbClr val="008080"/>
                </a:solidFill>
              </a:ln>
              <a:effectLst/>
            </c:spPr>
          </c:dPt>
          <c:dPt>
            <c:idx val="22"/>
            <c:spPr>
              <a:solidFill>
                <a:srgbClr val="FF7E10"/>
              </a:solidFill>
              <a:ln>
                <a:solidFill>
                  <a:srgbClr val="FF7E10"/>
                </a:solidFill>
              </a:ln>
              <a:effectLst/>
            </c:spPr>
          </c:dPt>
          <c:dPt>
            <c:idx val="23"/>
            <c:spPr>
              <a:solidFill>
                <a:srgbClr val="008080"/>
              </a:solidFill>
              <a:ln>
                <a:solidFill>
                  <a:srgbClr val="008080"/>
                </a:solidFill>
              </a:ln>
              <a:effectLst/>
            </c:spPr>
          </c:dPt>
          <c:dPt>
            <c:idx val="26"/>
            <c:spPr>
              <a:solidFill>
                <a:srgbClr val="008080"/>
              </a:solidFill>
              <a:ln>
                <a:solidFill>
                  <a:srgbClr val="008080"/>
                </a:solidFill>
              </a:ln>
              <a:effectLst/>
            </c:spPr>
          </c:dPt>
          <c:dPt>
            <c:idx val="29"/>
            <c:spPr>
              <a:solidFill>
                <a:srgbClr val="008080"/>
              </a:solidFill>
              <a:ln>
                <a:solidFill>
                  <a:srgbClr val="008080"/>
                </a:solidFill>
              </a:ln>
              <a:effectLst/>
            </c:spPr>
          </c:dPt>
          <c:dPt>
            <c:idx val="30"/>
            <c:spPr>
              <a:solidFill>
                <a:sysClr val="window" lastClr="FFFFFF"/>
              </a:solidFill>
              <a:ln>
                <a:solidFill>
                  <a:srgbClr val="008080"/>
                </a:solidFill>
              </a:ln>
              <a:effectLst/>
            </c:spPr>
          </c:dPt>
          <c:dPt>
            <c:idx val="32"/>
            <c:spPr>
              <a:solidFill>
                <a:sysClr val="window" lastClr="FFFFFF"/>
              </a:solidFill>
              <a:ln>
                <a:solidFill>
                  <a:srgbClr val="008080"/>
                </a:solidFill>
              </a:ln>
              <a:effectLst/>
            </c:spPr>
          </c:dPt>
          <c:dPt>
            <c:idx val="33"/>
            <c:spPr>
              <a:solidFill>
                <a:srgbClr val="008080"/>
              </a:solidFill>
              <a:ln>
                <a:solidFill>
                  <a:srgbClr val="008080"/>
                </a:solidFill>
              </a:ln>
              <a:effectLst/>
            </c:spPr>
          </c:dPt>
          <c:dPt>
            <c:idx val="37"/>
            <c:spPr>
              <a:solidFill>
                <a:srgbClr val="FF7E1A"/>
              </a:solidFill>
              <a:ln>
                <a:solidFill>
                  <a:srgbClr val="FF7E1A"/>
                </a:solidFill>
              </a:ln>
              <a:effectLst/>
            </c:spPr>
          </c:dPt>
          <c:dLbls>
            <c:dLbl>
              <c:idx val="0"/>
              <c:layout>
                <c:manualLayout>
                  <c:x val="-6.875693151433234E-4"/>
                  <c:y val="-0.33523633200240915"/>
                </c:manualLayout>
              </c:layout>
              <c:dLblPos val="ctr"/>
              <c:showVal val="1"/>
              <c:extLst>
                <c:ext xmlns:c15="http://schemas.microsoft.com/office/drawing/2012/chart" uri="{CE6537A1-D6FC-4f65-9D91-7224C49458BB}"/>
              </c:extLst>
            </c:dLbl>
            <c:dLbl>
              <c:idx val="1"/>
              <c:layout>
                <c:manualLayout>
                  <c:x val="-1.4811105878463553E-17"/>
                  <c:y val="5.6260110167789076E-2"/>
                </c:manualLayout>
              </c:layout>
              <c:tx>
                <c:rich>
                  <a:bodyPr/>
                  <a:lstStyle/>
                  <a:p>
                    <a:r>
                      <a:rPr lang="en-US"/>
                      <a:t>-</a:t>
                    </a:r>
                    <a:fld id="{D112AC52-57F5-4E61-88C9-CEB24B7994EA}"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2"/>
              <c:layout>
                <c:manualLayout>
                  <c:x val="0"/>
                  <c:y val="4.0596243240679286E-2"/>
                </c:manualLayout>
              </c:layout>
              <c:tx>
                <c:rich>
                  <a:bodyPr/>
                  <a:lstStyle/>
                  <a:p>
                    <a:r>
                      <a:rPr lang="en-US"/>
                      <a:t>-</a:t>
                    </a:r>
                    <a:fld id="{AA02E907-023F-48C3-B0A2-347E2644D821}"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3"/>
              <c:layout>
                <c:manualLayout>
                  <c:x val="-2.1462890318234592E-3"/>
                  <c:y val="-0.30194327113851782"/>
                </c:manualLayout>
              </c:layout>
              <c:tx>
                <c:rich>
                  <a:bodyPr/>
                  <a:lstStyle/>
                  <a:p>
                    <a:fld id="{EAD89503-C23B-44AE-82B5-7BCCDDBD9C73}" type="VALUE">
                      <a:rPr lang="en-US" smtClean="0"/>
                      <a:pPr/>
                      <a:t>[ΤΙΜΗ]</a:t>
                    </a:fld>
                    <a:endParaRPr lang="el-GR"/>
                  </a:p>
                </c:rich>
              </c:tx>
              <c:dLblPos val="ctr"/>
              <c:showVal val="1"/>
              <c:extLst>
                <c:ext xmlns:c15="http://schemas.microsoft.com/office/drawing/2012/chart" uri="{CE6537A1-D6FC-4f65-9D91-7224C49458BB}">
                  <c15:dlblFieldTable/>
                  <c15:showDataLabelsRange val="0"/>
                </c:ext>
              </c:extLst>
            </c:dLbl>
            <c:dLbl>
              <c:idx val="4"/>
              <c:layout>
                <c:manualLayout>
                  <c:x val="8.7634143064484627E-4"/>
                  <c:y val="3.9076041745879204E-2"/>
                </c:manualLayout>
              </c:layout>
              <c:tx>
                <c:rich>
                  <a:bodyPr/>
                  <a:lstStyle/>
                  <a:p>
                    <a:r>
                      <a:rPr lang="en-US"/>
                      <a:t>-</a:t>
                    </a:r>
                    <a:fld id="{147D8306-4633-4EF8-A01D-7AF0CB2A47E4}"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5"/>
              <c:layout>
                <c:manualLayout>
                  <c:x val="0"/>
                  <c:y val="4.1883597381652565E-2"/>
                </c:manualLayout>
              </c:layout>
              <c:tx>
                <c:rich>
                  <a:bodyPr/>
                  <a:lstStyle/>
                  <a:p>
                    <a:r>
                      <a:rPr lang="en-US"/>
                      <a:t>-</a:t>
                    </a:r>
                    <a:fld id="{F9AD9DDF-F9C4-40B0-BA9E-E8138A8CF564}"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6"/>
              <c:layout>
                <c:manualLayout>
                  <c:x val="-2.168240145180167E-3"/>
                  <c:y val="-0.281882850684051"/>
                </c:manualLayout>
              </c:layout>
              <c:tx>
                <c:rich>
                  <a:bodyPr/>
                  <a:lstStyle/>
                  <a:p>
                    <a:fld id="{366B6643-9E60-4DE8-BEC8-16C95F6945E8}" type="VALUE">
                      <a:rPr lang="en-US"/>
                      <a:pPr/>
                      <a:t>[ΤΙΜΗ]</a:t>
                    </a:fld>
                    <a:endParaRPr lang="el-GR"/>
                  </a:p>
                </c:rich>
              </c:tx>
              <c:dLblPos val="ctr"/>
              <c:showVal val="1"/>
              <c:extLst>
                <c:ext xmlns:c15="http://schemas.microsoft.com/office/drawing/2012/chart" uri="{CE6537A1-D6FC-4f65-9D91-7224C49458BB}">
                  <c15:dlblFieldTable/>
                  <c15:showDataLabelsRange val="0"/>
                </c:ext>
              </c:extLst>
            </c:dLbl>
            <c:dLbl>
              <c:idx val="7"/>
              <c:layout>
                <c:manualLayout>
                  <c:x val="-5.6051032553883998E-4"/>
                  <c:y val="5.0854112946153898E-2"/>
                </c:manualLayout>
              </c:layout>
              <c:tx>
                <c:rich>
                  <a:bodyPr/>
                  <a:lstStyle/>
                  <a:p>
                    <a:r>
                      <a:rPr lang="en-US"/>
                      <a:t>-</a:t>
                    </a:r>
                    <a:fld id="{6FA0B009-CA95-4094-A2A4-9FC513872558}"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8"/>
              <c:layout>
                <c:manualLayout>
                  <c:x val="-7.4332659584644542E-3"/>
                  <c:y val="3.7164405654112512E-2"/>
                </c:manualLayout>
              </c:layout>
              <c:tx>
                <c:rich>
                  <a:bodyPr/>
                  <a:lstStyle/>
                  <a:p>
                    <a:r>
                      <a:rPr lang="en-US"/>
                      <a:t>-</a:t>
                    </a:r>
                    <a:fld id="{6515A7EF-5BBB-4885-BF39-C9A58621017A}"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9"/>
              <c:layout>
                <c:manualLayout>
                  <c:x val="4.3183138517202294E-4"/>
                  <c:y val="4.6870326459412061E-2"/>
                </c:manualLayout>
              </c:layout>
              <c:tx>
                <c:rich>
                  <a:bodyPr/>
                  <a:lstStyle/>
                  <a:p>
                    <a:r>
                      <a:rPr lang="en-US" b="0" i="0"/>
                      <a:t>-</a:t>
                    </a:r>
                    <a:fld id="{D72218BD-65E9-4CE1-99E7-3EB2AAA1CE85}" type="VALUE">
                      <a:rPr lang="en-US" b="0" i="0"/>
                      <a:pPr/>
                      <a:t>[ΤΙΜΗ]</a:t>
                    </a:fld>
                    <a:endParaRPr lang="en-US" b="0" i="0"/>
                  </a:p>
                </c:rich>
              </c:tx>
              <c:dLblPos val="ctr"/>
              <c:showVal val="1"/>
              <c:extLst>
                <c:ext xmlns:c15="http://schemas.microsoft.com/office/drawing/2012/chart" uri="{CE6537A1-D6FC-4f65-9D91-7224C49458BB}">
                  <c15:dlblFieldTable/>
                  <c15:showDataLabelsRange val="0"/>
                </c:ext>
              </c:extLst>
            </c:dLbl>
            <c:dLbl>
              <c:idx val="10"/>
              <c:layout>
                <c:manualLayout>
                  <c:x val="-3.6362193652440659E-3"/>
                  <c:y val="-0.24735194264238988"/>
                </c:manualLayout>
              </c:layout>
              <c:tx>
                <c:rich>
                  <a:bodyPr/>
                  <a:lstStyle/>
                  <a:p>
                    <a:fld id="{FB4AA93E-65E1-4FAC-9D99-CE65FB278A93}" type="VALUE">
                      <a:rPr lang="en-US"/>
                      <a:pPr/>
                      <a:t>[ΤΙΜΗ]</a:t>
                    </a:fld>
                    <a:endParaRPr lang="el-GR"/>
                  </a:p>
                </c:rich>
              </c:tx>
              <c:dLblPos val="ctr"/>
              <c:showVal val="1"/>
              <c:extLst>
                <c:ext xmlns:c15="http://schemas.microsoft.com/office/drawing/2012/chart" uri="{CE6537A1-D6FC-4f65-9D91-7224C49458BB}">
                  <c15:dlblFieldTable/>
                  <c15:showDataLabelsRange val="0"/>
                </c:ext>
              </c:extLst>
            </c:dLbl>
            <c:dLbl>
              <c:idx val="11"/>
              <c:layout>
                <c:manualLayout>
                  <c:x val="5.2925760366757274E-4"/>
                  <c:y val="3.8081896323863725E-2"/>
                </c:manualLayout>
              </c:layout>
              <c:tx>
                <c:rich>
                  <a:bodyPr/>
                  <a:lstStyle/>
                  <a:p>
                    <a:r>
                      <a:rPr lang="en-US"/>
                      <a:t>-</a:t>
                    </a:r>
                    <a:fld id="{C8E6D198-FF39-4283-A0E6-4DC6BC27CAA7}"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12"/>
              <c:layout>
                <c:manualLayout>
                  <c:x val="-2.10238680511095E-4"/>
                  <c:y val="3.9020736982065138E-2"/>
                </c:manualLayout>
              </c:layout>
              <c:tx>
                <c:rich>
                  <a:bodyPr/>
                  <a:lstStyle/>
                  <a:p>
                    <a:r>
                      <a:rPr lang="en-US"/>
                      <a:t>-</a:t>
                    </a:r>
                    <a:fld id="{E4D718C9-40CF-4B90-A9DF-5BB703ADD26B}"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13"/>
              <c:layout>
                <c:manualLayout>
                  <c:x val="-3.5231536937479083E-3"/>
                  <c:y val="4.8509190960436377E-2"/>
                </c:manualLayout>
              </c:layout>
              <c:tx>
                <c:rich>
                  <a:bodyPr/>
                  <a:lstStyle/>
                  <a:p>
                    <a:r>
                      <a:rPr lang="en-US"/>
                      <a:t>-</a:t>
                    </a:r>
                    <a:fld id="{916F0D94-7910-4AF9-B4DE-5DDDF9AD4BEF}"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14"/>
              <c:layout>
                <c:manualLayout>
                  <c:x val="-1.9140992379548653E-4"/>
                  <c:y val="-0.23519802561993189"/>
                </c:manualLayout>
              </c:layout>
              <c:tx>
                <c:rich>
                  <a:bodyPr/>
                  <a:lstStyle/>
                  <a:p>
                    <a:fld id="{7F611A71-42C4-4F33-BA46-62A471CA408E}" type="VALUE">
                      <a:rPr lang="en-US"/>
                      <a:pPr/>
                      <a:t>[ΤΙΜΗ]</a:t>
                    </a:fld>
                    <a:endParaRPr lang="el-GR"/>
                  </a:p>
                </c:rich>
              </c:tx>
              <c:dLblPos val="ctr"/>
              <c:showVal val="1"/>
              <c:extLst>
                <c:ext xmlns:c15="http://schemas.microsoft.com/office/drawing/2012/chart" uri="{CE6537A1-D6FC-4f65-9D91-7224C49458BB}">
                  <c15:layout>
                    <c:manualLayout>
                      <c:w val="6.4165742823136696E-2"/>
                      <c:h val="9.1608428575959744E-2"/>
                    </c:manualLayout>
                  </c15:layout>
                  <c15:dlblFieldTable/>
                  <c15:showDataLabelsRange val="0"/>
                </c:ext>
              </c:extLst>
            </c:dLbl>
            <c:dLbl>
              <c:idx val="15"/>
              <c:layout>
                <c:manualLayout>
                  <c:x val="-8.7161058724896494E-4"/>
                  <c:y val="3.5194569072193455E-2"/>
                </c:manualLayout>
              </c:layout>
              <c:tx>
                <c:rich>
                  <a:bodyPr/>
                  <a:lstStyle/>
                  <a:p>
                    <a:r>
                      <a:rPr lang="en-US" b="0"/>
                      <a:t>-</a:t>
                    </a:r>
                    <a:fld id="{1D822AF2-AB8B-4024-AA5D-42F00EC85B52}" type="VALUE">
                      <a:rPr lang="en-US" b="0"/>
                      <a:pPr/>
                      <a:t>[ΤΙΜΗ]</a:t>
                    </a:fld>
                    <a:endParaRPr lang="en-US" b="0"/>
                  </a:p>
                </c:rich>
              </c:tx>
              <c:dLblPos val="ctr"/>
              <c:showVal val="1"/>
              <c:extLst>
                <c:ext xmlns:c15="http://schemas.microsoft.com/office/drawing/2012/chart" uri="{CE6537A1-D6FC-4f65-9D91-7224C49458BB}">
                  <c15:dlblFieldTable/>
                  <c15:showDataLabelsRange val="0"/>
                </c:ext>
              </c:extLst>
            </c:dLbl>
            <c:dLbl>
              <c:idx val="16"/>
              <c:layout>
                <c:manualLayout>
                  <c:x val="-1.1848884702770845E-16"/>
                  <c:y val="4.1870632143196994E-2"/>
                </c:manualLayout>
              </c:layout>
              <c:tx>
                <c:rich>
                  <a:bodyPr/>
                  <a:lstStyle/>
                  <a:p>
                    <a:r>
                      <a:rPr lang="en-US"/>
                      <a:t>-</a:t>
                    </a:r>
                    <a:fld id="{2CAAD234-AC02-4A6E-B14A-F2AFDBF9F365}"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17"/>
              <c:layout>
                <c:manualLayout>
                  <c:x val="5.0193876822799018E-4"/>
                  <c:y val="3.3876589648329257E-2"/>
                </c:manualLayout>
              </c:layout>
              <c:tx>
                <c:rich>
                  <a:bodyPr/>
                  <a:lstStyle/>
                  <a:p>
                    <a:r>
                      <a:rPr lang="en-US"/>
                      <a:t>-</a:t>
                    </a:r>
                    <a:fld id="{DA939422-3DEE-4B9D-A7D4-5C30BC81BA20}"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18"/>
              <c:layout>
                <c:manualLayout>
                  <c:x val="-3.8747499749265299E-3"/>
                  <c:y val="-0.21947557257713293"/>
                </c:manualLayout>
              </c:layout>
              <c:tx>
                <c:rich>
                  <a:bodyPr rot="0" spcFirstLastPara="1" vertOverflow="ellipsis" vert="horz" wrap="square" anchor="ctr" anchorCtr="1"/>
                  <a:lstStyle/>
                  <a:p>
                    <a:pPr>
                      <a:defRPr lang="el-GR" sz="6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fld id="{1812E8D2-1033-447B-9FC7-E58C6977A422}" type="VALUE">
                      <a:rPr lang="en-US" b="1"/>
                      <a:pPr>
                        <a:defRPr lang="el-GR" sz="6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t>[ΤΙΜΗ]</a:t>
                    </a:fld>
                    <a:endParaRPr lang="el-GR"/>
                  </a:p>
                </c:rich>
              </c:tx>
              <c:numFmt formatCode="#,##0.0" sourceLinked="0"/>
              <c:spPr>
                <a:noFill/>
                <a:ln>
                  <a:noFill/>
                </a:ln>
                <a:effectLst/>
              </c:spPr>
              <c:dLblPos val="ctr"/>
              <c:showVal val="1"/>
              <c:extLst>
                <c:ext xmlns:c15="http://schemas.microsoft.com/office/drawing/2012/chart" uri="{CE6537A1-D6FC-4f65-9D91-7224C49458BB}">
                  <c15:dlblFieldTable/>
                  <c15:showDataLabelsRange val="0"/>
                </c:ext>
              </c:extLst>
            </c:dLbl>
            <c:dLbl>
              <c:idx val="19"/>
              <c:layout>
                <c:manualLayout>
                  <c:x val="-2.3240064291237079E-3"/>
                  <c:y val="4.7061963166553873E-2"/>
                </c:manualLayout>
              </c:layout>
              <c:tx>
                <c:rich>
                  <a:bodyPr/>
                  <a:lstStyle/>
                  <a:p>
                    <a:r>
                      <a:rPr lang="en-US" smtClean="0"/>
                      <a:t>-</a:t>
                    </a:r>
                    <a:fld id="{4303E26F-2AE3-4690-8E7D-E8104E216391}" type="VALUE">
                      <a:rPr lang="en-US" smtClean="0"/>
                      <a:pPr/>
                      <a:t>[ΤΙΜΗ]</a:t>
                    </a:fld>
                    <a:endParaRPr lang="en-US" smtClean="0"/>
                  </a:p>
                </c:rich>
              </c:tx>
              <c:dLblPos val="ctr"/>
              <c:showVal val="1"/>
              <c:extLst>
                <c:ext xmlns:c15="http://schemas.microsoft.com/office/drawing/2012/chart" uri="{CE6537A1-D6FC-4f65-9D91-7224C49458BB}">
                  <c15:dlblFieldTable/>
                  <c15:showDataLabelsRange val="0"/>
                </c:ext>
              </c:extLst>
            </c:dLbl>
            <c:dLbl>
              <c:idx val="20"/>
              <c:layout>
                <c:manualLayout>
                  <c:x val="-1.511877455439936E-3"/>
                  <c:y val="5.5353615389271277E-2"/>
                </c:manualLayout>
              </c:layout>
              <c:tx>
                <c:rich>
                  <a:bodyPr/>
                  <a:lstStyle/>
                  <a:p>
                    <a:r>
                      <a:rPr lang="en-US"/>
                      <a:t>-</a:t>
                    </a:r>
                    <a:fld id="{271C0ABC-3513-428C-8BE7-0E279FDE16DE}"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21"/>
              <c:layout>
                <c:manualLayout>
                  <c:x val="-3.1620495497556206E-4"/>
                  <c:y val="3.5115858625325368E-2"/>
                </c:manualLayout>
              </c:layout>
              <c:tx>
                <c:rich>
                  <a:bodyPr/>
                  <a:lstStyle/>
                  <a:p>
                    <a:r>
                      <a:rPr lang="en-US"/>
                      <a:t>-</a:t>
                    </a:r>
                    <a:fld id="{7542CD36-7FA4-438B-803D-8B2AA232FFDB}" type="VALUE">
                      <a:rPr lang="en-US"/>
                      <a:pPr/>
                      <a:t>[ΤΙΜΗ]</a:t>
                    </a:fld>
                    <a:endParaRPr lang="en-US"/>
                  </a:p>
                </c:rich>
              </c:tx>
              <c:dLblPos val="ctr"/>
              <c:showVal val="1"/>
              <c:extLst>
                <c:ext xmlns:c15="http://schemas.microsoft.com/office/drawing/2012/chart" uri="{CE6537A1-D6FC-4f65-9D91-7224C49458BB}">
                  <c15:dlblFieldTable/>
                  <c15:showDataLabelsRange val="0"/>
                </c:ext>
              </c:extLst>
            </c:dLbl>
            <c:dLbl>
              <c:idx val="22"/>
              <c:layout>
                <c:manualLayout>
                  <c:x val="-2.3240064291237079E-3"/>
                  <c:y val="-0.18712260024100769"/>
                </c:manualLayout>
              </c:layout>
              <c:tx>
                <c:rich>
                  <a:bodyPr rot="0" spcFirstLastPara="1" vertOverflow="ellipsis" vert="horz" wrap="square" anchor="ctr" anchorCtr="1"/>
                  <a:lstStyle/>
                  <a:p>
                    <a:pPr>
                      <a:defRPr lang="el-GR" sz="6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fld id="{E78D0791-4592-4378-9CDB-37764D6C4433}" type="VALUE">
                      <a:rPr lang="en-US" b="1" smtClean="0"/>
                      <a:pPr>
                        <a:defRPr lang="el-GR" sz="6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t>[ΤΙΜΗ]</a:t>
                    </a:fld>
                    <a:endParaRPr lang="el-GR"/>
                  </a:p>
                </c:rich>
              </c:tx>
              <c:numFmt formatCode="#,##0.0" sourceLinked="0"/>
              <c:spPr>
                <a:noFill/>
                <a:ln>
                  <a:noFill/>
                </a:ln>
                <a:effectLst/>
              </c:spPr>
              <c:dLblPos val="ctr"/>
              <c:showVal val="1"/>
              <c:extLst>
                <c:ext xmlns:c15="http://schemas.microsoft.com/office/drawing/2012/chart" uri="{CE6537A1-D6FC-4f65-9D91-7224C49458BB}">
                  <c15:dlblFieldTable/>
                  <c15:showDataLabelsRange val="0"/>
                </c:ext>
              </c:extLst>
            </c:dLbl>
            <c:dLbl>
              <c:idx val="23"/>
              <c:layout>
                <c:manualLayout>
                  <c:x val="0"/>
                  <c:y val="-0.19678416985093028"/>
                </c:manualLayout>
              </c:layout>
              <c:tx>
                <c:rich>
                  <a:bodyPr/>
                  <a:lstStyle/>
                  <a:p>
                    <a:fld id="{CD8EEE07-079A-4478-B7FF-8A1A8A53E623}" type="VALUE">
                      <a:rPr lang="en-US" smtClean="0"/>
                      <a:pPr/>
                      <a:t>[ΤΙΜΗ]</a:t>
                    </a:fld>
                    <a:endParaRPr lang="el-GR"/>
                  </a:p>
                </c:rich>
              </c:tx>
              <c:dLblPos val="ctr"/>
              <c:showVal val="1"/>
              <c:extLst>
                <c:ext xmlns:c15="http://schemas.microsoft.com/office/drawing/2012/chart" uri="{CE6537A1-D6FC-4f65-9D91-7224C49458BB}">
                  <c15:dlblFieldTable/>
                  <c15:showDataLabelsRange val="0"/>
                </c:ext>
              </c:extLst>
            </c:dLbl>
            <c:dLbl>
              <c:idx val="24"/>
              <c:layout>
                <c:manualLayout>
                  <c:x val="-2.8257158071369397E-3"/>
                  <c:y val="3.6552033182563733E-2"/>
                </c:manualLayout>
              </c:layout>
              <c:tx>
                <c:rich>
                  <a:bodyPr/>
                  <a:lstStyle/>
                  <a:p>
                    <a:r>
                      <a:rPr lang="en-US" b="0"/>
                      <a:t>-</a:t>
                    </a:r>
                    <a:fld id="{761DB021-2316-4EC4-A6F8-2D5A903AFDAF}" type="VALUE">
                      <a:rPr lang="en-US" b="0"/>
                      <a:pPr/>
                      <a:t>[ΤΙΜΗ]</a:t>
                    </a:fld>
                    <a:endParaRPr lang="en-US" b="0"/>
                  </a:p>
                </c:rich>
              </c:tx>
              <c:dLblPos val="ctr"/>
              <c:showVal val="1"/>
              <c:extLst>
                <c:ext xmlns:c15="http://schemas.microsoft.com/office/drawing/2012/chart" uri="{CE6537A1-D6FC-4f65-9D91-7224C49458BB}">
                  <c15:dlblFieldTable/>
                  <c15:showDataLabelsRange val="0"/>
                </c:ext>
              </c:extLst>
            </c:dLbl>
            <c:dLbl>
              <c:idx val="25"/>
              <c:layout>
                <c:manualLayout>
                  <c:x val="0"/>
                  <c:y val="4.2158985803814074E-2"/>
                </c:manualLayout>
              </c:layout>
              <c:tx>
                <c:rich>
                  <a:bodyPr/>
                  <a:lstStyle/>
                  <a:p>
                    <a:r>
                      <a:rPr lang="en-US" sz="600" b="1"/>
                      <a:t>-</a:t>
                    </a:r>
                    <a:fld id="{DCAF90B6-8BB0-4755-ADA5-52B8FD88838F}" type="VALUE">
                      <a:rPr lang="en-US" sz="600" b="1"/>
                      <a:pPr/>
                      <a:t>[ΤΙΜΗ]</a:t>
                    </a:fld>
                    <a:endParaRPr lang="en-US" sz="600" b="1"/>
                  </a:p>
                </c:rich>
              </c:tx>
              <c:dLblPos val="ctr"/>
              <c:showVal val="1"/>
              <c:extLst>
                <c:ext xmlns:c15="http://schemas.microsoft.com/office/drawing/2012/chart" uri="{CE6537A1-D6FC-4f65-9D91-7224C49458BB}">
                  <c15:dlblFieldTable/>
                  <c15:showDataLabelsRange val="0"/>
                </c:ext>
              </c:extLst>
            </c:dLbl>
            <c:dLbl>
              <c:idx val="26"/>
              <c:layout>
                <c:manualLayout>
                  <c:x val="8.5210883325813896E-17"/>
                  <c:y val="-0.20043133800873725"/>
                </c:manualLayout>
              </c:layout>
              <c:dLblPos val="ctr"/>
              <c:showVal val="1"/>
              <c:extLst>
                <c:ext xmlns:c15="http://schemas.microsoft.com/office/drawing/2012/chart" uri="{CE6537A1-D6FC-4f65-9D91-7224C49458BB}"/>
              </c:extLst>
            </c:dLbl>
            <c:dLbl>
              <c:idx val="27"/>
              <c:tx>
                <c:rich>
                  <a:bodyPr/>
                  <a:lstStyle/>
                  <a:p>
                    <a:r>
                      <a:rPr lang="en-US"/>
                      <a:t>-</a:t>
                    </a:r>
                    <a:fld id="{B2AC60B7-BD47-4BFD-88A4-80293240EF00}" type="VALUE">
                      <a:rPr lang="en-US"/>
                      <a:pPr/>
                      <a:t>[ΤΙΜΗ]</a:t>
                    </a:fld>
                    <a:endParaRPr lang="en-US"/>
                  </a:p>
                </c:rich>
              </c:tx>
              <c:dLblPos val="inEnd"/>
              <c:showVal val="1"/>
              <c:extLst>
                <c:ext xmlns:c15="http://schemas.microsoft.com/office/drawing/2012/chart" uri="{CE6537A1-D6FC-4f65-9D91-7224C49458BB}">
                  <c15:dlblFieldTable/>
                  <c15:showDataLabelsRange val="0"/>
                </c:ext>
              </c:extLst>
            </c:dLbl>
            <c:dLbl>
              <c:idx val="28"/>
              <c:tx>
                <c:rich>
                  <a:bodyPr/>
                  <a:lstStyle/>
                  <a:p>
                    <a:r>
                      <a:rPr lang="en-US"/>
                      <a:t>-</a:t>
                    </a:r>
                    <a:fld id="{2C8D3DB1-0A36-4F2D-A1E2-7268091879F9}" type="VALUE">
                      <a:rPr lang="en-US"/>
                      <a:pPr/>
                      <a:t>[ΤΙΜΗ]</a:t>
                    </a:fld>
                    <a:endParaRPr lang="en-US"/>
                  </a:p>
                </c:rich>
              </c:tx>
              <c:dLblPos val="inEnd"/>
              <c:showVal val="1"/>
              <c:extLst>
                <c:ext xmlns:c15="http://schemas.microsoft.com/office/drawing/2012/chart" uri="{CE6537A1-D6FC-4f65-9D91-7224C49458BB}">
                  <c15:dlblFieldTable/>
                  <c15:showDataLabelsRange val="0"/>
                </c:ext>
              </c:extLst>
            </c:dLbl>
            <c:dLbl>
              <c:idx val="29"/>
              <c:layout>
                <c:manualLayout>
                  <c:x val="-1.7042176665162791E-16"/>
                  <c:y val="-0.19477361376926286"/>
                </c:manualLayout>
              </c:layout>
              <c:dLblPos val="ctr"/>
              <c:showVal val="1"/>
              <c:extLst>
                <c:ext xmlns:c15="http://schemas.microsoft.com/office/drawing/2012/chart" uri="{CE6537A1-D6FC-4f65-9D91-7224C49458BB}"/>
              </c:extLst>
            </c:dLbl>
            <c:dLbl>
              <c:idx val="30"/>
              <c:tx>
                <c:rich>
                  <a:bodyPr/>
                  <a:lstStyle/>
                  <a:p>
                    <a:r>
                      <a:rPr lang="en-US"/>
                      <a:t>-</a:t>
                    </a:r>
                    <a:fld id="{CF53DD8B-8D93-4757-BDD2-787857045080}" type="VALUE">
                      <a:rPr lang="en-US"/>
                      <a:pPr/>
                      <a:t>[ΤΙΜΗ]</a:t>
                    </a:fld>
                    <a:endParaRPr lang="en-US"/>
                  </a:p>
                </c:rich>
              </c:tx>
              <c:dLblPos val="inEnd"/>
              <c:showVal val="1"/>
              <c:extLst>
                <c:ext xmlns:c15="http://schemas.microsoft.com/office/drawing/2012/chart" uri="{CE6537A1-D6FC-4f65-9D91-7224C49458BB}">
                  <c15:dlblFieldTable/>
                  <c15:showDataLabelsRange val="0"/>
                </c:ext>
              </c:extLst>
            </c:dLbl>
            <c:dLbl>
              <c:idx val="31"/>
              <c:tx>
                <c:rich>
                  <a:bodyPr/>
                  <a:lstStyle/>
                  <a:p>
                    <a:r>
                      <a:rPr lang="en-US"/>
                      <a:t>-</a:t>
                    </a:r>
                    <a:fld id="{2FB3C3EA-BE35-4A37-98CE-D2E7E6D5045A}" type="VALUE">
                      <a:rPr lang="en-US"/>
                      <a:pPr/>
                      <a:t>[ΤΙΜΗ]</a:t>
                    </a:fld>
                    <a:endParaRPr lang="en-US"/>
                  </a:p>
                </c:rich>
              </c:tx>
              <c:dLblPos val="inEnd"/>
              <c:showVal val="1"/>
              <c:extLst>
                <c:ext xmlns:c15="http://schemas.microsoft.com/office/drawing/2012/chart" uri="{CE6537A1-D6FC-4f65-9D91-7224C49458BB}">
                  <c15:dlblFieldTable/>
                  <c15:showDataLabelsRange val="0"/>
                </c:ext>
              </c:extLst>
            </c:dLbl>
            <c:dLbl>
              <c:idx val="32"/>
              <c:tx>
                <c:rich>
                  <a:bodyPr/>
                  <a:lstStyle/>
                  <a:p>
                    <a:r>
                      <a:rPr lang="en-US"/>
                      <a:t>-</a:t>
                    </a:r>
                    <a:fld id="{4B6E9338-EB2B-44B9-BE27-2C69F2F5AA59}" type="VALUE">
                      <a:rPr lang="en-US"/>
                      <a:pPr/>
                      <a:t>[ΤΙΜΗ]</a:t>
                    </a:fld>
                    <a:endParaRPr lang="en-US"/>
                  </a:p>
                </c:rich>
              </c:tx>
              <c:dLblPos val="inEnd"/>
              <c:showVal val="1"/>
              <c:extLst>
                <c:ext xmlns:c15="http://schemas.microsoft.com/office/drawing/2012/chart" uri="{CE6537A1-D6FC-4f65-9D91-7224C49458BB}">
                  <c15:dlblFieldTable/>
                  <c15:showDataLabelsRange val="0"/>
                </c:ext>
              </c:extLst>
            </c:dLbl>
            <c:dLbl>
              <c:idx val="33"/>
              <c:layout>
                <c:manualLayout>
                  <c:x val="0"/>
                  <c:y val="-0.1818211117218422"/>
                </c:manualLayout>
              </c:layout>
              <c:dLblPos val="ctr"/>
              <c:showVal val="1"/>
              <c:extLst>
                <c:ext xmlns:c15="http://schemas.microsoft.com/office/drawing/2012/chart" uri="{CE6537A1-D6FC-4f65-9D91-7224C49458BB}"/>
              </c:extLst>
            </c:dLbl>
            <c:dLbl>
              <c:idx val="34"/>
              <c:tx>
                <c:rich>
                  <a:bodyPr/>
                  <a:lstStyle/>
                  <a:p>
                    <a:r>
                      <a:rPr lang="en-US"/>
                      <a:t>-</a:t>
                    </a:r>
                    <a:fld id="{42D55D71-83C6-497E-A9C4-4030ACAD40F5}" type="VALUE">
                      <a:rPr lang="en-US"/>
                      <a:pPr/>
                      <a:t>[ΤΙΜΗ]</a:t>
                    </a:fld>
                    <a:endParaRPr lang="en-US"/>
                  </a:p>
                </c:rich>
              </c:tx>
              <c:dLblPos val="inEnd"/>
              <c:showVal val="1"/>
              <c:extLst>
                <c:ext xmlns:c15="http://schemas.microsoft.com/office/drawing/2012/chart" uri="{CE6537A1-D6FC-4f65-9D91-7224C49458BB}">
                  <c15:dlblFieldTable/>
                  <c15:showDataLabelsRange val="0"/>
                </c:ext>
              </c:extLst>
            </c:dLbl>
            <c:dLbl>
              <c:idx val="35"/>
              <c:tx>
                <c:rich>
                  <a:bodyPr/>
                  <a:lstStyle/>
                  <a:p>
                    <a:r>
                      <a:rPr lang="en-US"/>
                      <a:t>-</a:t>
                    </a:r>
                    <a:fld id="{F269C84C-08B9-4B77-9034-98AE139E26CA}" type="VALUE">
                      <a:rPr lang="en-US"/>
                      <a:pPr/>
                      <a:t>[ΤΙΜΗ]</a:t>
                    </a:fld>
                    <a:endParaRPr lang="en-US"/>
                  </a:p>
                </c:rich>
              </c:tx>
              <c:dLblPos val="inEnd"/>
              <c:showVal val="1"/>
              <c:extLst>
                <c:ext xmlns:c15="http://schemas.microsoft.com/office/drawing/2012/chart" uri="{CE6537A1-D6FC-4f65-9D91-7224C49458BB}">
                  <c15:dlblFieldTable/>
                  <c15:showDataLabelsRange val="0"/>
                </c:ext>
              </c:extLst>
            </c:dLbl>
            <c:dLbl>
              <c:idx val="36"/>
              <c:tx>
                <c:rich>
                  <a:bodyPr/>
                  <a:lstStyle/>
                  <a:p>
                    <a:r>
                      <a:rPr lang="en-US"/>
                      <a:t>-</a:t>
                    </a:r>
                    <a:fld id="{73E3EBA7-D2BE-4D11-9406-08B24938EFC1}" type="VALUE">
                      <a:rPr lang="en-US"/>
                      <a:pPr/>
                      <a:t>[ΤΙΜΗ]</a:t>
                    </a:fld>
                    <a:endParaRPr lang="en-US"/>
                  </a:p>
                </c:rich>
              </c:tx>
              <c:dLblPos val="inEnd"/>
              <c:showVal val="1"/>
              <c:extLst>
                <c:ext xmlns:c15="http://schemas.microsoft.com/office/drawing/2012/chart" uri="{CE6537A1-D6FC-4f65-9D91-7224C49458BB}">
                  <c15:dlblFieldTable/>
                  <c15:showDataLabelsRange val="0"/>
                </c:ext>
              </c:extLst>
            </c:dLbl>
            <c:dLbl>
              <c:idx val="37"/>
              <c:layout>
                <c:manualLayout>
                  <c:x val="0"/>
                  <c:y val="-0.16938512624464516"/>
                </c:manualLayout>
              </c:layout>
              <c:dLblPos val="ctr"/>
              <c:showVal val="1"/>
              <c:extLst>
                <c:ext xmlns:c15="http://schemas.microsoft.com/office/drawing/2012/chart" uri="{CE6537A1-D6FC-4f65-9D91-7224C49458BB}"/>
              </c:extLst>
            </c:dLbl>
            <c:numFmt formatCode="#,##0.0" sourceLinked="0"/>
            <c:spPr>
              <a:noFill/>
              <a:ln>
                <a:noFill/>
              </a:ln>
              <a:effectLst/>
            </c:spPr>
            <c:txPr>
              <a:bodyPr rot="0" spcFirstLastPara="1" vertOverflow="ellipsis" vert="horz" wrap="square" anchor="ctr" anchorCtr="1"/>
              <a:lstStyle/>
              <a:p>
                <a:pPr>
                  <a:defRPr lang="el-GR" sz="6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l-GR"/>
              </a:p>
            </c:txPr>
            <c:dLblPos val="inEnd"/>
            <c:showVal val="1"/>
            <c:extLst>
              <c:ext xmlns:c15="http://schemas.microsoft.com/office/drawing/2012/chart" uri="{CE6537A1-D6FC-4f65-9D91-7224C49458BB}">
                <c15:showLeaderLines val="0"/>
              </c:ext>
            </c:extLst>
          </c:dLbls>
          <c:cat>
            <c:strRef>
              <c:f>Sheet1!$A$2:$A$24</c:f>
              <c:strCache>
                <c:ptCount val="23"/>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Α' τρίμηνο 2019 </c:v>
                </c:pt>
                <c:pt idx="15">
                  <c:v>Οργανική μείωση ΜΕΑ</c:v>
                </c:pt>
                <c:pt idx="16">
                  <c:v>Πωλήσεις</c:v>
                </c:pt>
                <c:pt idx="17">
                  <c:v>Λογιστικές διαγραφές</c:v>
                </c:pt>
                <c:pt idx="18">
                  <c:v>ΜΕΑ Β' τρίμηνο 2019 </c:v>
                </c:pt>
                <c:pt idx="19">
                  <c:v>Οργανική μείωση ΜΕΑ</c:v>
                </c:pt>
                <c:pt idx="20">
                  <c:v>Πωλήσεις</c:v>
                </c:pt>
                <c:pt idx="21">
                  <c:v>Λογιστικές διαγραφές</c:v>
                </c:pt>
                <c:pt idx="22">
                  <c:v>ΜΕΑ Γ' τρίμηνο 2019 </c:v>
                </c:pt>
              </c:strCache>
            </c:strRef>
          </c:cat>
          <c:val>
            <c:numRef>
              <c:f>Sheet1!$C$2:$C$24</c:f>
              <c:numCache>
                <c:formatCode>0.000</c:formatCode>
                <c:ptCount val="23"/>
                <c:pt idx="0">
                  <c:v>21.981000000000002</c:v>
                </c:pt>
                <c:pt idx="1">
                  <c:v>1.633</c:v>
                </c:pt>
                <c:pt idx="2">
                  <c:v>1.2009999999999996</c:v>
                </c:pt>
                <c:pt idx="3">
                  <c:v>19.189</c:v>
                </c:pt>
                <c:pt idx="4">
                  <c:v>0.23600000000000004</c:v>
                </c:pt>
                <c:pt idx="5" formatCode="0.00">
                  <c:v>1.2560000000000029</c:v>
                </c:pt>
                <c:pt idx="6">
                  <c:v>17.696999999999996</c:v>
                </c:pt>
                <c:pt idx="7">
                  <c:v>0.62300000000000022</c:v>
                </c:pt>
                <c:pt idx="8">
                  <c:v>0.80699999999999994</c:v>
                </c:pt>
                <c:pt idx="9">
                  <c:v>0.70700000000000018</c:v>
                </c:pt>
                <c:pt idx="10">
                  <c:v>15.560000000000002</c:v>
                </c:pt>
                <c:pt idx="11">
                  <c:v>0.27400000000000002</c:v>
                </c:pt>
                <c:pt idx="12">
                  <c:v>0.7270000000000002</c:v>
                </c:pt>
                <c:pt idx="13">
                  <c:v>9.4000000000000028E-2</c:v>
                </c:pt>
                <c:pt idx="14">
                  <c:v>14.461</c:v>
                </c:pt>
                <c:pt idx="15">
                  <c:v>0.37500000000000011</c:v>
                </c:pt>
                <c:pt idx="16">
                  <c:v>0.96300000000000019</c:v>
                </c:pt>
                <c:pt idx="17">
                  <c:v>5.8000000000000003E-2</c:v>
                </c:pt>
                <c:pt idx="18">
                  <c:v>13.064</c:v>
                </c:pt>
                <c:pt idx="19">
                  <c:v>0.29900000000000015</c:v>
                </c:pt>
                <c:pt idx="20">
                  <c:v>1.163</c:v>
                </c:pt>
                <c:pt idx="21">
                  <c:v>3.4000000000000002E-2</c:v>
                </c:pt>
                <c:pt idx="22">
                  <c:v>11.568</c:v>
                </c:pt>
              </c:numCache>
            </c:numRef>
          </c:val>
        </c:ser>
        <c:overlap val="100"/>
        <c:axId val="181348992"/>
        <c:axId val="181432704"/>
      </c:barChart>
      <c:catAx>
        <c:axId val="181348992"/>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45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181432704"/>
        <c:crosses val="autoZero"/>
        <c:auto val="1"/>
        <c:lblAlgn val="ctr"/>
        <c:lblOffset val="100"/>
      </c:catAx>
      <c:valAx>
        <c:axId val="181432704"/>
        <c:scaling>
          <c:orientation val="minMax"/>
          <c:min val="0"/>
        </c:scaling>
        <c:delete val="1"/>
        <c:axPos val="l"/>
        <c:numFmt formatCode="General" sourceLinked="1"/>
        <c:tickLblPos val="none"/>
        <c:crossAx val="181348992"/>
        <c:crosses val="autoZero"/>
        <c:crossBetween val="between"/>
      </c:valAx>
      <c:spPr>
        <a:noFill/>
        <a:ln>
          <a:noFill/>
        </a:ln>
        <a:effectLst/>
      </c:spPr>
    </c:plotArea>
    <c:plotVisOnly val="1"/>
    <c:dispBlanksAs val="gap"/>
  </c:chart>
  <c:spPr>
    <a:solidFill>
      <a:schemeClr val="bg1"/>
    </a:solidFill>
    <a:ln w="9525" cap="flat" cmpd="sng" algn="ctr">
      <a:solidFill>
        <a:sysClr val="window" lastClr="FFFFFF">
          <a:lumMod val="75000"/>
        </a:sysClr>
      </a:solidFill>
      <a:round/>
    </a:ln>
    <a:effectLst/>
  </c:spPr>
  <c:txPr>
    <a:bodyPr/>
    <a:lstStyle/>
    <a:p>
      <a:pPr>
        <a:defRPr>
          <a:latin typeface="Segoe UI" panose="020B0502040204020203" pitchFamily="34" charset="0"/>
          <a:cs typeface="Segoe UI" panose="020B0502040204020203" pitchFamily="34" charset="0"/>
        </a:defRPr>
      </a:pPr>
      <a:endParaRPr lang="el-GR"/>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el-GR"/>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tx>
            <c:strRef>
              <c:f>Sheet1!$B$1</c:f>
              <c:strCache>
                <c:ptCount val="1"/>
                <c:pt idx="0">
                  <c:v>Series 1</c:v>
                </c:pt>
              </c:strCache>
            </c:strRef>
          </c:tx>
          <c:spPr>
            <a:noFill/>
            <a:ln>
              <a:noFill/>
            </a:ln>
            <a:effectLst/>
          </c:spPr>
          <c:cat>
            <c:strRef>
              <c:f>Sheet1!$A$2:$A$7</c:f>
              <c:strCache>
                <c:ptCount val="6"/>
                <c:pt idx="0">
                  <c:v>Εννεάμηνο 2019</c:v>
                </c:pt>
                <c:pt idx="1">
                  <c:v>Πωλήσεις &amp; τιτλοποιήσεις</c:v>
                </c:pt>
                <c:pt idx="2">
                  <c:v>Ρευστοποιήσεις 
εξασφαλίσεων
</c:v>
                </c:pt>
                <c:pt idx="3">
                  <c:v>Ροή ΜΕΑ, επιτυχείς αναδιαρθρώσεις δανείων             &amp; διαγραφές οφειλών</c:v>
                </c:pt>
                <c:pt idx="4">
                  <c:v>Λογιστικές διαγραφές                     &amp; λοιπά</c:v>
                </c:pt>
                <c:pt idx="5">
                  <c:v>2022</c:v>
                </c:pt>
              </c:strCache>
            </c:strRef>
          </c:cat>
          <c:val>
            <c:numRef>
              <c:f>Sheet1!$B$2:$B$7</c:f>
              <c:numCache>
                <c:formatCode>0.00</c:formatCode>
                <c:ptCount val="6"/>
                <c:pt idx="1">
                  <c:v>7.6744749930388396</c:v>
                </c:pt>
                <c:pt idx="2">
                  <c:v>5.4775007454410494</c:v>
                </c:pt>
                <c:pt idx="3">
                  <c:v>1.8795787085069593</c:v>
                </c:pt>
                <c:pt idx="4">
                  <c:v>1.5724978114069597</c:v>
                </c:pt>
              </c:numCache>
            </c:numRef>
          </c:val>
        </c:ser>
        <c:ser>
          <c:idx val="1"/>
          <c:order val="1"/>
          <c:tx>
            <c:strRef>
              <c:f>Sheet1!$C$1</c:f>
              <c:strCache>
                <c:ptCount val="1"/>
                <c:pt idx="0">
                  <c:v>Series 2</c:v>
                </c:pt>
              </c:strCache>
            </c:strRef>
          </c:tx>
          <c:spPr>
            <a:solidFill>
              <a:schemeClr val="accent2"/>
            </a:solidFill>
            <a:ln>
              <a:noFill/>
            </a:ln>
            <a:effectLst/>
          </c:spPr>
          <c:dPt>
            <c:idx val="0"/>
            <c:spPr>
              <a:solidFill>
                <a:srgbClr val="008080"/>
              </a:solidFill>
              <a:ln>
                <a:solidFill>
                  <a:srgbClr val="008080"/>
                </a:solidFill>
              </a:ln>
              <a:effectLst/>
            </c:spPr>
          </c:dPt>
          <c:dPt>
            <c:idx val="1"/>
            <c:spPr>
              <a:noFill/>
              <a:ln>
                <a:solidFill>
                  <a:srgbClr val="FF0000"/>
                </a:solidFill>
              </a:ln>
              <a:effectLst/>
            </c:spPr>
          </c:dPt>
          <c:dPt>
            <c:idx val="2"/>
            <c:spPr>
              <a:noFill/>
              <a:ln>
                <a:solidFill>
                  <a:srgbClr val="FF0000"/>
                </a:solidFill>
              </a:ln>
              <a:effectLst/>
            </c:spPr>
          </c:dPt>
          <c:dPt>
            <c:idx val="3"/>
            <c:spPr>
              <a:noFill/>
              <a:ln>
                <a:solidFill>
                  <a:srgbClr val="FF0000"/>
                </a:solidFill>
              </a:ln>
              <a:effectLst/>
            </c:spPr>
          </c:dPt>
          <c:dPt>
            <c:idx val="4"/>
            <c:spPr>
              <a:noFill/>
              <a:ln>
                <a:solidFill>
                  <a:srgbClr val="FF0000"/>
                </a:solidFill>
              </a:ln>
              <a:effectLst/>
            </c:spPr>
          </c:dPt>
          <c:dPt>
            <c:idx val="5"/>
            <c:spPr>
              <a:solidFill>
                <a:srgbClr val="008080"/>
              </a:solidFill>
              <a:ln>
                <a:solidFill>
                  <a:srgbClr val="008080"/>
                </a:solidFill>
              </a:ln>
              <a:effectLst/>
            </c:spPr>
          </c:dPt>
          <c:dLbls>
            <c:dLbl>
              <c:idx val="0"/>
              <c:layout>
                <c:manualLayout>
                  <c:x val="-4.8174357952091446E-4"/>
                  <c:y val="-0.3547069368490323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solidFill>
                      <a:latin typeface="Segoe UI" panose="020B0502040204020203" pitchFamily="34" charset="0"/>
                      <a:ea typeface="Arial Unicode MS" panose="020B0604020202020204" pitchFamily="34" charset="-128"/>
                      <a:cs typeface="Segoe UI" panose="020B0502040204020203" pitchFamily="34" charset="0"/>
                    </a:defRPr>
                  </a:pPr>
                  <a:endParaRPr lang="el-GR"/>
                </a:p>
              </c:txPr>
              <c:dLblPos val="ctr"/>
              <c:showVal val="1"/>
              <c:extLst>
                <c:ext xmlns:c15="http://schemas.microsoft.com/office/drawing/2012/chart" uri="{CE6537A1-D6FC-4f65-9D91-7224C49458BB}"/>
              </c:extLst>
            </c:dLbl>
            <c:dLbl>
              <c:idx val="1"/>
              <c:layout>
                <c:manualLayout>
                  <c:x val="-3.4676079389359639E-3"/>
                  <c:y val="0.14443052522751607"/>
                </c:manualLayout>
              </c:layout>
              <c:tx>
                <c:rich>
                  <a:bodyPr/>
                  <a:lstStyle/>
                  <a:p>
                    <a:r>
                      <a:rPr lang="en-US" dirty="0" smtClean="0">
                        <a:solidFill>
                          <a:schemeClr val="tx1"/>
                        </a:solidFill>
                      </a:rPr>
                      <a:t>-</a:t>
                    </a:r>
                    <a:fld id="{359926BA-3925-4E16-A89B-576297798D2C}" type="VALUE">
                      <a:rPr lang="en-US" smtClean="0">
                        <a:solidFill>
                          <a:schemeClr val="tx1"/>
                        </a:solidFill>
                      </a:rPr>
                      <a:pPr/>
                      <a:t>[ΤΙΜΗ]</a:t>
                    </a:fld>
                    <a:endParaRPr lang="en-US" dirty="0" smtClean="0">
                      <a:solidFill>
                        <a:schemeClr val="tx1"/>
                      </a:solidFill>
                    </a:endParaRPr>
                  </a:p>
                </c:rich>
              </c:tx>
              <c:dLblPos val="ctr"/>
              <c:showVal val="1"/>
              <c:extLst>
                <c:ext xmlns:c15="http://schemas.microsoft.com/office/drawing/2012/chart" uri="{CE6537A1-D6FC-4f65-9D91-7224C49458BB}">
                  <c15:dlblFieldTable/>
                  <c15:showDataLabelsRange val="0"/>
                </c:ext>
              </c:extLst>
            </c:dLbl>
            <c:dLbl>
              <c:idx val="2"/>
              <c:layout>
                <c:manualLayout>
                  <c:x val="-8.8118825030275562E-17"/>
                  <c:y val="9.3736843500623057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tx1"/>
                        </a:solidFill>
                        <a:latin typeface="Segoe UI" panose="020B0502040204020203" pitchFamily="34" charset="0"/>
                        <a:ea typeface="Arial Unicode MS" panose="020B0604020202020204" pitchFamily="34" charset="-128"/>
                        <a:cs typeface="Segoe UI" panose="020B0502040204020203" pitchFamily="34" charset="0"/>
                      </a:defRPr>
                    </a:pPr>
                    <a:r>
                      <a:rPr lang="en-US" sz="600" dirty="0" smtClean="0">
                        <a:solidFill>
                          <a:schemeClr val="tx1"/>
                        </a:solidFill>
                        <a:latin typeface="Segoe UI" panose="020B0502040204020203" pitchFamily="34" charset="0"/>
                        <a:ea typeface="Arial Unicode MS" panose="020B0604020202020204" pitchFamily="34" charset="-128"/>
                        <a:cs typeface="Segoe UI" panose="020B0502040204020203" pitchFamily="34" charset="0"/>
                      </a:rPr>
                      <a:t>-</a:t>
                    </a:r>
                    <a:fld id="{94C9FB57-BF78-4F6A-A60A-4A78C11DD7AA}" type="VALUE">
                      <a:rPr lang="en-US" sz="600" smtClean="0">
                        <a:solidFill>
                          <a:schemeClr val="tx1"/>
                        </a:solidFill>
                        <a:latin typeface="Segoe UI" panose="020B0502040204020203" pitchFamily="34" charset="0"/>
                        <a:ea typeface="Arial Unicode MS" panose="020B0604020202020204" pitchFamily="34" charset="-128"/>
                        <a:cs typeface="Segoe UI" panose="020B0502040204020203" pitchFamily="34" charset="0"/>
                      </a:rPr>
                      <a:pPr>
                        <a:defRPr sz="600" b="0" i="0" u="none" strike="noStrike" kern="1200" baseline="0">
                          <a:solidFill>
                            <a:schemeClr val="tx1"/>
                          </a:solidFill>
                          <a:latin typeface="Segoe UI" panose="020B0502040204020203" pitchFamily="34" charset="0"/>
                          <a:ea typeface="Arial Unicode MS" panose="020B0604020202020204" pitchFamily="34" charset="-128"/>
                          <a:cs typeface="Segoe UI" panose="020B0502040204020203" pitchFamily="34" charset="0"/>
                        </a:defRPr>
                      </a:pPr>
                      <a:t>[ΤΙΜΗ]</a:t>
                    </a:fld>
                    <a:endParaRPr lang="en-US" sz="600" dirty="0" smtClean="0">
                      <a:solidFill>
                        <a:schemeClr val="tx1"/>
                      </a:solidFill>
                      <a:latin typeface="Segoe UI" panose="020B0502040204020203" pitchFamily="34" charset="0"/>
                      <a:ea typeface="Arial Unicode MS" panose="020B0604020202020204" pitchFamily="34" charset="-128"/>
                      <a:cs typeface="Segoe UI" panose="020B0502040204020203" pitchFamily="34" charset="0"/>
                    </a:endParaRPr>
                  </a:p>
                </c:rich>
              </c:tx>
              <c:numFmt formatCode="#,##0.0" sourceLinked="0"/>
              <c:spPr>
                <a:noFill/>
                <a:ln>
                  <a:noFill/>
                </a:ln>
                <a:effectLst/>
              </c:spPr>
              <c:dLblPos val="ctr"/>
              <c:showVal val="1"/>
              <c:extLst>
                <c:ext xmlns:c15="http://schemas.microsoft.com/office/drawing/2012/chart" uri="{CE6537A1-D6FC-4f65-9D91-7224C49458BB}">
                  <c15:dlblFieldTable/>
                  <c15:showDataLabelsRange val="0"/>
                </c:ext>
              </c:extLst>
            </c:dLbl>
            <c:dLbl>
              <c:idx val="3"/>
              <c:layout>
                <c:manualLayout>
                  <c:x val="-6.0264961785134706E-3"/>
                  <c:y val="0.130602016649805"/>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tx1"/>
                        </a:solidFill>
                        <a:latin typeface="Segoe UI" panose="020B0502040204020203" pitchFamily="34" charset="0"/>
                        <a:ea typeface="Arial Unicode MS" panose="020B0604020202020204" pitchFamily="34" charset="-128"/>
                        <a:cs typeface="Segoe UI" panose="020B0502040204020203" pitchFamily="34" charset="0"/>
                      </a:defRPr>
                    </a:pPr>
                    <a:r>
                      <a:rPr lang="en-US" sz="600" b="0" dirty="0" smtClean="0">
                        <a:solidFill>
                          <a:schemeClr val="tx1"/>
                        </a:solidFill>
                        <a:latin typeface="Segoe UI" panose="020B0502040204020203" pitchFamily="34" charset="0"/>
                        <a:ea typeface="Arial Unicode MS" panose="020B0604020202020204" pitchFamily="34" charset="-128"/>
                        <a:cs typeface="Segoe UI" panose="020B0502040204020203" pitchFamily="34" charset="0"/>
                      </a:rPr>
                      <a:t>-</a:t>
                    </a:r>
                    <a:fld id="{F9C44367-6472-48F2-9F4D-D68291269F5C}" type="VALUE">
                      <a:rPr lang="en-US" sz="600" b="0" smtClean="0">
                        <a:solidFill>
                          <a:schemeClr val="tx1"/>
                        </a:solidFill>
                        <a:latin typeface="Segoe UI" panose="020B0502040204020203" pitchFamily="34" charset="0"/>
                        <a:ea typeface="Arial Unicode MS" panose="020B0604020202020204" pitchFamily="34" charset="-128"/>
                        <a:cs typeface="Segoe UI" panose="020B0502040204020203" pitchFamily="34" charset="0"/>
                      </a:rPr>
                      <a:pPr>
                        <a:defRPr sz="600" b="0" i="0" u="none" strike="noStrike" kern="1200" baseline="0">
                          <a:solidFill>
                            <a:schemeClr val="tx1"/>
                          </a:solidFill>
                          <a:latin typeface="Segoe UI" panose="020B0502040204020203" pitchFamily="34" charset="0"/>
                          <a:ea typeface="Arial Unicode MS" panose="020B0604020202020204" pitchFamily="34" charset="-128"/>
                          <a:cs typeface="Segoe UI" panose="020B0502040204020203" pitchFamily="34" charset="0"/>
                        </a:defRPr>
                      </a:pPr>
                      <a:t>[ΤΙΜΗ]</a:t>
                    </a:fld>
                    <a:endParaRPr lang="en-US" sz="600" b="0" dirty="0" smtClean="0">
                      <a:solidFill>
                        <a:schemeClr val="tx1"/>
                      </a:solidFill>
                      <a:latin typeface="Segoe UI" panose="020B0502040204020203" pitchFamily="34" charset="0"/>
                      <a:ea typeface="Arial Unicode MS" panose="020B0604020202020204" pitchFamily="34" charset="-128"/>
                      <a:cs typeface="Segoe UI" panose="020B0502040204020203" pitchFamily="34" charset="0"/>
                    </a:endParaRPr>
                  </a:p>
                </c:rich>
              </c:tx>
              <c:numFmt formatCode="#,##0.0" sourceLinked="0"/>
              <c:spPr>
                <a:noFill/>
                <a:ln>
                  <a:noFill/>
                </a:ln>
                <a:effectLst/>
              </c:spPr>
              <c:dLblPos val="ctr"/>
              <c:showVal val="1"/>
              <c:extLst>
                <c:ext xmlns:c15="http://schemas.microsoft.com/office/drawing/2012/chart" uri="{CE6537A1-D6FC-4f65-9D91-7224C49458BB}">
                  <c15:dlblFieldTable/>
                  <c15:showDataLabelsRange val="0"/>
                </c:ext>
              </c:extLst>
            </c:dLbl>
            <c:dLbl>
              <c:idx val="4"/>
              <c:layout>
                <c:manualLayout>
                  <c:x val="-1.1048448694652391E-16"/>
                  <c:y val="4.2638517115480626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tx1"/>
                        </a:solidFill>
                        <a:latin typeface="Segoe UI" panose="020B0502040204020203" pitchFamily="34" charset="0"/>
                        <a:ea typeface="Arial Unicode MS" panose="020B0604020202020204" pitchFamily="34" charset="-128"/>
                        <a:cs typeface="Segoe UI" panose="020B0502040204020203" pitchFamily="34" charset="0"/>
                      </a:defRPr>
                    </a:pPr>
                    <a:r>
                      <a:rPr lang="en-US" sz="600" dirty="0" smtClean="0">
                        <a:latin typeface="Segoe UI" panose="020B0502040204020203" pitchFamily="34" charset="0"/>
                        <a:ea typeface="Arial Unicode MS" panose="020B0604020202020204" pitchFamily="34" charset="-128"/>
                        <a:cs typeface="Segoe UI" panose="020B0502040204020203" pitchFamily="34" charset="0"/>
                      </a:rPr>
                      <a:t>-</a:t>
                    </a:r>
                    <a:fld id="{F97378C9-6CA8-48CB-ACDD-ABDD62C36241}" type="VALUE">
                      <a:rPr lang="en-US" sz="600" smtClean="0">
                        <a:latin typeface="Segoe UI" panose="020B0502040204020203" pitchFamily="34" charset="0"/>
                        <a:ea typeface="Arial Unicode MS" panose="020B0604020202020204" pitchFamily="34" charset="-128"/>
                        <a:cs typeface="Segoe UI" panose="020B0502040204020203" pitchFamily="34" charset="0"/>
                      </a:rPr>
                      <a:pPr>
                        <a:defRPr sz="600" b="0" i="0" u="none" strike="noStrike" kern="1200" baseline="0">
                          <a:solidFill>
                            <a:schemeClr val="tx1"/>
                          </a:solidFill>
                          <a:latin typeface="Segoe UI" panose="020B0502040204020203" pitchFamily="34" charset="0"/>
                          <a:ea typeface="Arial Unicode MS" panose="020B0604020202020204" pitchFamily="34" charset="-128"/>
                          <a:cs typeface="Segoe UI" panose="020B0502040204020203" pitchFamily="34" charset="0"/>
                        </a:defRPr>
                      </a:pPr>
                      <a:t>[ΤΙΜΗ]</a:t>
                    </a:fld>
                    <a:endParaRPr lang="en-US" sz="600" dirty="0" smtClean="0">
                      <a:latin typeface="Segoe UI" panose="020B0502040204020203" pitchFamily="34" charset="0"/>
                      <a:ea typeface="Arial Unicode MS" panose="020B0604020202020204" pitchFamily="34" charset="-128"/>
                      <a:cs typeface="Segoe UI" panose="020B0502040204020203" pitchFamily="34" charset="0"/>
                    </a:endParaRPr>
                  </a:p>
                </c:rich>
              </c:tx>
              <c:numFmt formatCode="#,##0.0" sourceLinked="0"/>
              <c:spPr>
                <a:noFill/>
                <a:ln>
                  <a:noFill/>
                </a:ln>
                <a:effectLst/>
              </c:spPr>
              <c:dLblPos val="ctr"/>
              <c:showVal val="1"/>
              <c:extLst>
                <c:ext xmlns:c15="http://schemas.microsoft.com/office/drawing/2012/chart" uri="{CE6537A1-D6FC-4f65-9D91-7224C49458BB}">
                  <c15:dlblFieldTable/>
                  <c15:showDataLabelsRange val="0"/>
                </c:ext>
              </c:extLst>
            </c:dLbl>
            <c:dLbl>
              <c:idx val="5"/>
              <c:layout>
                <c:manualLayout>
                  <c:x val="0"/>
                  <c:y val="-9.261592300962395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solidFill>
                      <a:latin typeface="Segoe UI" panose="020B0502040204020203" pitchFamily="34" charset="0"/>
                      <a:ea typeface="Arial Unicode MS" panose="020B0604020202020204" pitchFamily="34" charset="-128"/>
                      <a:cs typeface="Segoe UI" panose="020B0502040204020203" pitchFamily="34" charset="0"/>
                    </a:defRPr>
                  </a:pPr>
                  <a:endParaRPr lang="el-GR"/>
                </a:p>
              </c:txPr>
              <c:dLblPos val="ctr"/>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solidFill>
                    <a:latin typeface="Segoe UI" panose="020B0502040204020203" pitchFamily="34" charset="0"/>
                    <a:ea typeface="Arial Unicode MS" panose="020B0604020202020204" pitchFamily="34" charset="-128"/>
                    <a:cs typeface="Segoe UI" panose="020B0502040204020203" pitchFamily="34" charset="0"/>
                  </a:defRPr>
                </a:pPr>
                <a:endParaRPr lang="el-GR"/>
              </a:p>
            </c:txPr>
            <c:dLblPos val="inEnd"/>
            <c:showVal val="1"/>
            <c:extLst>
              <c:ext xmlns:c15="http://schemas.microsoft.com/office/drawing/2012/chart" uri="{CE6537A1-D6FC-4f65-9D91-7224C49458BB}">
                <c15:showLeaderLines val="0"/>
              </c:ext>
            </c:extLst>
          </c:dLbls>
          <c:cat>
            <c:strRef>
              <c:f>Sheet1!$A$2:$A$7</c:f>
              <c:strCache>
                <c:ptCount val="6"/>
                <c:pt idx="0">
                  <c:v>Εννεάμηνο 2019</c:v>
                </c:pt>
                <c:pt idx="1">
                  <c:v>Πωλήσεις &amp; τιτλοποιήσεις</c:v>
                </c:pt>
                <c:pt idx="2">
                  <c:v>Ρευστοποιήσεις 
εξασφαλίσεων
</c:v>
                </c:pt>
                <c:pt idx="3">
                  <c:v>Ροή ΜΕΑ, επιτυχείς αναδιαρθρώσεις δανείων             &amp; διαγραφές οφειλών</c:v>
                </c:pt>
                <c:pt idx="4">
                  <c:v>Λογιστικές διαγραφές                     &amp; λοιπά</c:v>
                </c:pt>
                <c:pt idx="5">
                  <c:v>2022</c:v>
                </c:pt>
              </c:strCache>
            </c:strRef>
          </c:cat>
          <c:val>
            <c:numRef>
              <c:f>Sheet1!$C$2:$C$7</c:f>
              <c:numCache>
                <c:formatCode>0.0</c:formatCode>
                <c:ptCount val="6"/>
                <c:pt idx="0" formatCode="General">
                  <c:v>11.418000000000001</c:v>
                </c:pt>
                <c:pt idx="1">
                  <c:v>3.7435250069611605</c:v>
                </c:pt>
                <c:pt idx="2">
                  <c:v>2.1969742475977916</c:v>
                </c:pt>
                <c:pt idx="3">
                  <c:v>3.5979220369340901</c:v>
                </c:pt>
                <c:pt idx="4">
                  <c:v>0.30708089710000019</c:v>
                </c:pt>
                <c:pt idx="5" formatCode="0.000">
                  <c:v>1.5724978114069597</c:v>
                </c:pt>
              </c:numCache>
            </c:numRef>
          </c:val>
        </c:ser>
        <c:gapWidth val="250"/>
        <c:overlap val="100"/>
        <c:axId val="181815168"/>
        <c:axId val="181816704"/>
      </c:barChart>
      <c:catAx>
        <c:axId val="1818151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181816704"/>
        <c:crosses val="autoZero"/>
        <c:auto val="1"/>
        <c:lblAlgn val="ctr"/>
        <c:lblOffset val="100"/>
      </c:catAx>
      <c:valAx>
        <c:axId val="181816704"/>
        <c:scaling>
          <c:orientation val="minMax"/>
          <c:max val="14"/>
          <c:min val="0"/>
        </c:scaling>
        <c:delete val="1"/>
        <c:axPos val="l"/>
        <c:numFmt formatCode="General" sourceLinked="1"/>
        <c:tickLblPos val="none"/>
        <c:crossAx val="181815168"/>
        <c:crosses val="autoZero"/>
        <c:crossBetween val="between"/>
      </c:valAx>
      <c:spPr>
        <a:noFill/>
        <a:ln>
          <a:noFill/>
        </a:ln>
        <a:effectLst/>
      </c:spPr>
    </c:plotArea>
    <c:plotVisOnly val="1"/>
    <c:dispBlanksAs val="gap"/>
  </c:chart>
  <c:spPr>
    <a:solidFill>
      <a:schemeClr val="bg1"/>
    </a:solidFill>
    <a:ln w="9525" cap="flat" cmpd="sng" algn="ctr">
      <a:solidFill>
        <a:schemeClr val="bg1">
          <a:lumMod val="75000"/>
        </a:schemeClr>
      </a:solidFill>
      <a:round/>
    </a:ln>
    <a:effectLst/>
  </c:spPr>
  <c:txPr>
    <a:bodyPr/>
    <a:lstStyle/>
    <a:p>
      <a:pPr>
        <a:defRPr/>
      </a:pPr>
      <a:endParaRPr lang="el-GR"/>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7623684630997038E-2"/>
          <c:y val="3.2876547630696348E-2"/>
          <c:w val="0.96211925418390865"/>
          <c:h val="0.82718247825692903"/>
        </c:manualLayout>
      </c:layout>
      <c:barChart>
        <c:barDir val="col"/>
        <c:grouping val="stacked"/>
        <c:ser>
          <c:idx val="0"/>
          <c:order val="0"/>
          <c:tx>
            <c:strRef>
              <c:f>Sheet1!$B$1</c:f>
              <c:strCache>
                <c:ptCount val="1"/>
                <c:pt idx="0">
                  <c:v>Series 1</c:v>
                </c:pt>
              </c:strCache>
            </c:strRef>
          </c:tx>
          <c:spPr>
            <a:noFill/>
            <a:ln>
              <a:noFill/>
            </a:ln>
            <a:effectLst/>
          </c:spPr>
          <c:cat>
            <c:strRef>
              <c:f>Sheet1!$A$2:$A$11</c:f>
              <c:strCache>
                <c:ptCount val="10"/>
                <c:pt idx="0">
                  <c:v>Δείκτης CET1                Β΄τρίμηνο 2019 (δημοσιευμένη βάση)</c:v>
                </c:pt>
                <c:pt idx="1">
                  <c:v>Κέρδη αποτίμησης ομολόγων (FVTOCI) και Σημαντικές Επενδύσεις (SI)</c:v>
                </c:pt>
                <c:pt idx="2">
                  <c:v>Σταθμισμένα Στοιχεία Ενεργητικού (RWAs) και λοιπά</c:v>
                </c:pt>
                <c:pt idx="3">
                  <c:v>Δείκτης CET1                Γ΄τρίμηνο 2019 (δημοσιευμένη βάση)</c:v>
                </c:pt>
                <c:pt idx="4">
                  <c:v>Κέρδος μετά φόρων εννεαμήνου 2019</c:v>
                </c:pt>
                <c:pt idx="5">
                  <c:v>Δείκτης CET1          Γ' τρίμηνο 2019 ενσωμ/ντας το κέρδος μετά φόρων εννεαμήνου 2019</c:v>
                </c:pt>
                <c:pt idx="6">
                  <c:v>Πωλήσεις θυγατρικών σε Ρουμανία, Αίγυπτο &amp; Κύπρο</c:v>
                </c:pt>
                <c:pt idx="7">
                  <c:v>Δείκτης CET1  Γ' τρίμηνο 2019 ενσωμ/ντας το κέρδος μετά φόρων εννεαμήνου 2019 &amp; τις πωλήσεις θυγατρικών σε Ρουμανία, Αίγυπτο &amp; Κύπρο</c:v>
                </c:pt>
                <c:pt idx="9">
                  <c:v>Κεφαλαικές απαιτήσεις (SREP) 2019</c:v>
                </c:pt>
              </c:strCache>
            </c:strRef>
          </c:cat>
          <c:val>
            <c:numRef>
              <c:f>Sheet1!$B$2:$B$11</c:f>
              <c:numCache>
                <c:formatCode>0.00%</c:formatCode>
                <c:ptCount val="10"/>
                <c:pt idx="1">
                  <c:v>0.14797959984307571</c:v>
                </c:pt>
                <c:pt idx="2">
                  <c:v>0.1513795998430757</c:v>
                </c:pt>
                <c:pt idx="4">
                  <c:v>0.15242959984307575</c:v>
                </c:pt>
                <c:pt idx="6">
                  <c:v>0.16352959984307569</c:v>
                </c:pt>
              </c:numCache>
            </c:numRef>
          </c:val>
        </c:ser>
        <c:ser>
          <c:idx val="1"/>
          <c:order val="1"/>
          <c:tx>
            <c:strRef>
              <c:f>Sheet1!$C$1</c:f>
              <c:strCache>
                <c:ptCount val="1"/>
                <c:pt idx="0">
                  <c:v>Series 2</c:v>
                </c:pt>
              </c:strCache>
            </c:strRef>
          </c:tx>
          <c:spPr>
            <a:solidFill>
              <a:srgbClr val="008080"/>
            </a:solidFill>
            <a:ln>
              <a:solidFill>
                <a:srgbClr val="008080"/>
              </a:solidFill>
            </a:ln>
            <a:effectLst/>
          </c:spPr>
          <c:dPt>
            <c:idx val="1"/>
            <c:spPr>
              <a:noFill/>
              <a:ln>
                <a:solidFill>
                  <a:srgbClr val="008080"/>
                </a:solidFill>
              </a:ln>
              <a:effectLst/>
            </c:spPr>
          </c:dPt>
          <c:dPt>
            <c:idx val="2"/>
            <c:spPr>
              <a:noFill/>
              <a:ln>
                <a:solidFill>
                  <a:srgbClr val="008080"/>
                </a:solidFill>
              </a:ln>
              <a:effectLst/>
            </c:spPr>
          </c:dPt>
          <c:dPt>
            <c:idx val="4"/>
            <c:spPr>
              <a:noFill/>
              <a:ln>
                <a:solidFill>
                  <a:srgbClr val="008080"/>
                </a:solidFill>
              </a:ln>
              <a:effectLst/>
            </c:spPr>
          </c:dPt>
          <c:dPt>
            <c:idx val="6"/>
            <c:spPr>
              <a:noFill/>
              <a:ln>
                <a:solidFill>
                  <a:srgbClr val="008080"/>
                </a:solidFill>
              </a:ln>
              <a:effectLst/>
            </c:spPr>
          </c:dPt>
          <c:dPt>
            <c:idx val="7"/>
            <c:spPr>
              <a:pattFill prst="dkDnDiag">
                <a:fgClr>
                  <a:srgbClr val="008080"/>
                </a:fgClr>
                <a:bgClr>
                  <a:schemeClr val="bg1"/>
                </a:bgClr>
              </a:pattFill>
              <a:ln>
                <a:solidFill>
                  <a:srgbClr val="008080"/>
                </a:solidFill>
              </a:ln>
              <a:effectLst/>
            </c:spPr>
          </c:dPt>
          <c:dPt>
            <c:idx val="8"/>
            <c:spPr>
              <a:solidFill>
                <a:srgbClr val="FF7415"/>
              </a:solidFill>
              <a:ln>
                <a:solidFill>
                  <a:srgbClr val="FF7415"/>
                </a:solidFill>
              </a:ln>
              <a:effectLst/>
            </c:spPr>
          </c:dPt>
          <c:dPt>
            <c:idx val="9"/>
            <c:spPr>
              <a:solidFill>
                <a:srgbClr val="FF7415"/>
              </a:solidFill>
              <a:ln>
                <a:solidFill>
                  <a:srgbClr val="FF7415"/>
                </a:solidFill>
              </a:ln>
              <a:effectLst/>
            </c:spPr>
          </c:dPt>
          <c:dLbls>
            <c:dLbl>
              <c:idx val="0"/>
              <c:layout>
                <c:manualLayout>
                  <c:x val="2.4735068843493354E-3"/>
                  <c:y val="-0.28524872843415089"/>
                </c:manualLayout>
              </c:layout>
              <c:dLblPos val="ctr"/>
              <c:showVal val="1"/>
              <c:extLst>
                <c:ext xmlns:c15="http://schemas.microsoft.com/office/drawing/2012/chart" uri="{CE6537A1-D6FC-4f65-9D91-7224C49458BB}"/>
              </c:extLst>
            </c:dLbl>
            <c:dLbl>
              <c:idx val="1"/>
              <c:layout>
                <c:manualLayout>
                  <c:x val="0"/>
                  <c:y val="-3.7362262867594948E-2"/>
                </c:manualLayout>
              </c:layout>
              <c:tx>
                <c:rich>
                  <a:bodyPr rot="0" spcFirstLastPara="1" vertOverflow="ellipsis" vert="horz" wrap="square" anchor="ctr" anchorCtr="1"/>
                  <a:lstStyle/>
                  <a:p>
                    <a:pPr>
                      <a:defRPr sz="6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r>
                      <a:rPr lang="en-US" sz="600"/>
                      <a:t>+</a:t>
                    </a:r>
                    <a:fld id="{461A04AA-A121-4000-8ABE-56592F7A33ED}" type="VALUE">
                      <a:rPr lang="en-US" sz="600"/>
                      <a:pPr>
                        <a:defRPr sz="6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t>[ΤΙΜΗ]</a:t>
                    </a:fld>
                    <a:endParaRPr lang="en-US" sz="600"/>
                  </a:p>
                </c:rich>
              </c:tx>
              <c:numFmt formatCode="0.00%" sourceLinked="0"/>
              <c:spPr>
                <a:noFill/>
                <a:ln>
                  <a:noFill/>
                </a:ln>
                <a:effectLst/>
              </c:spPr>
              <c:dLblPos val="ctr"/>
              <c:showVal val="1"/>
              <c:extLst>
                <c:ext xmlns:c15="http://schemas.microsoft.com/office/drawing/2012/chart" uri="{CE6537A1-D6FC-4f65-9D91-7224C49458BB}">
                  <c15:dlblFieldTable/>
                  <c15:showDataLabelsRange val="0"/>
                </c:ext>
              </c:extLst>
            </c:dLbl>
            <c:dLbl>
              <c:idx val="2"/>
              <c:layout>
                <c:manualLayout>
                  <c:x val="1.3369653767698454E-3"/>
                  <c:y val="-3.1958131989984442E-2"/>
                </c:manualLayout>
              </c:layout>
              <c:tx>
                <c:rich>
                  <a:bodyPr rot="0" spcFirstLastPara="1" vertOverflow="ellipsis" vert="horz" wrap="square" anchor="ctr" anchorCtr="1"/>
                  <a:lstStyle/>
                  <a:p>
                    <a:pPr>
                      <a:defRPr sz="6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r>
                      <a:rPr lang="en-US" sz="600"/>
                      <a:t>+</a:t>
                    </a:r>
                    <a:fld id="{F0D88149-3814-4B44-AE81-5B222D196D58}" type="VALUE">
                      <a:rPr lang="en-US" sz="600"/>
                      <a:pPr>
                        <a:defRPr sz="6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t>[ΤΙΜΗ]</a:t>
                    </a:fld>
                    <a:endParaRPr lang="en-US" sz="600"/>
                  </a:p>
                </c:rich>
              </c:tx>
              <c:numFmt formatCode="0.00%" sourceLinked="0"/>
              <c:spPr>
                <a:noFill/>
                <a:ln>
                  <a:noFill/>
                </a:ln>
                <a:effectLst/>
              </c:spPr>
              <c:dLblPos val="ctr"/>
              <c:showVal val="1"/>
              <c:extLst>
                <c:ext xmlns:c15="http://schemas.microsoft.com/office/drawing/2012/chart" uri="{CE6537A1-D6FC-4f65-9D91-7224C49458BB}">
                  <c15:dlblFieldTable/>
                  <c15:showDataLabelsRange val="0"/>
                </c:ext>
              </c:extLst>
            </c:dLbl>
            <c:dLbl>
              <c:idx val="3"/>
              <c:layout>
                <c:manualLayout>
                  <c:x val="2.3917723032766832E-3"/>
                  <c:y val="-0.30949589683470125"/>
                </c:manualLayout>
              </c:layout>
              <c:numFmt formatCode="0.0%" sourceLinked="0"/>
              <c:spPr>
                <a:noFill/>
                <a:ln>
                  <a:noFill/>
                </a:ln>
                <a:effectLst/>
              </c:spPr>
              <c:txPr>
                <a:bodyPr rot="0" spcFirstLastPara="1" vertOverflow="ellipsis" vert="horz" wrap="square" anchor="ctr" anchorCtr="1"/>
                <a:lstStyle/>
                <a:p>
                  <a:pPr>
                    <a:defRPr sz="6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l-GR"/>
                </a:p>
              </c:txPr>
              <c:showVal val="1"/>
              <c:extLst>
                <c:ext xmlns:c15="http://schemas.microsoft.com/office/drawing/2012/chart" uri="{CE6537A1-D6FC-4f65-9D91-7224C49458BB}"/>
              </c:extLst>
            </c:dLbl>
            <c:dLbl>
              <c:idx val="4"/>
              <c:layout>
                <c:manualLayout>
                  <c:x val="1.5185994352005852E-3"/>
                  <c:y val="-5.8584556940723335E-2"/>
                </c:manualLayout>
              </c:layout>
              <c:tx>
                <c:rich>
                  <a:bodyPr rot="0" spcFirstLastPara="1" vertOverflow="ellipsis" vert="horz" wrap="square" anchor="ctr" anchorCtr="1"/>
                  <a:lstStyle/>
                  <a:p>
                    <a:pPr>
                      <a:defRPr sz="6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r>
                      <a:rPr lang="en-US" sz="600"/>
                      <a:t>+</a:t>
                    </a:r>
                    <a:fld id="{A6A656B8-BB26-44FF-B021-C6EFB97C0B7A}" type="VALUE">
                      <a:rPr lang="en-US" sz="600"/>
                      <a:pPr>
                        <a:defRPr sz="6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t>[ΤΙΜΗ]</a:t>
                    </a:fld>
                    <a:endParaRPr lang="en-US" sz="600"/>
                  </a:p>
                </c:rich>
              </c:tx>
              <c:numFmt formatCode="0.00%" sourceLinked="0"/>
              <c:spPr>
                <a:noFill/>
                <a:ln>
                  <a:noFill/>
                </a:ln>
                <a:effectLst/>
              </c:spPr>
              <c:dLblPos val="ctr"/>
              <c:showVal val="1"/>
              <c:extLst>
                <c:ext xmlns:c15="http://schemas.microsoft.com/office/drawing/2012/chart" uri="{CE6537A1-D6FC-4f65-9D91-7224C49458BB}">
                  <c15:dlblFieldTable/>
                  <c15:showDataLabelsRange val="0"/>
                </c:ext>
              </c:extLst>
            </c:dLbl>
            <c:dLbl>
              <c:idx val="5"/>
              <c:layout>
                <c:manualLayout>
                  <c:x val="-3.3196669598314081E-3"/>
                  <c:y val="-0.31782370697215045"/>
                </c:manualLayout>
              </c:layout>
              <c:tx>
                <c:rich>
                  <a:bodyPr rot="0" spcFirstLastPara="1" vertOverflow="ellipsis" vert="horz" wrap="square" anchor="ctr" anchorCtr="1"/>
                  <a:lstStyle/>
                  <a:p>
                    <a:pPr>
                      <a:defRPr sz="6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fld id="{08D85F12-1380-4515-A50F-17D58DA41899}" type="VALUE">
                      <a:rPr lang="en-US" b="1"/>
                      <a:pPr>
                        <a:defRPr sz="6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t>[ΤΙΜΗ]</a:t>
                    </a:fld>
                    <a:endParaRPr lang="el-GR"/>
                  </a:p>
                </c:rich>
              </c:tx>
              <c:numFmt formatCode="0.0%" sourceLinked="0"/>
              <c:spPr>
                <a:noFill/>
                <a:ln>
                  <a:noFill/>
                </a:ln>
                <a:effectLst/>
              </c:spPr>
              <c:dLblPos val="ctr"/>
              <c:showVal val="1"/>
              <c:extLst>
                <c:ext xmlns:c15="http://schemas.microsoft.com/office/drawing/2012/chart" uri="{CE6537A1-D6FC-4f65-9D91-7224C49458BB}">
                  <c15:dlblFieldTable/>
                  <c15:showDataLabelsRange val="0"/>
                </c:ext>
              </c:extLst>
            </c:dLbl>
            <c:dLbl>
              <c:idx val="6"/>
              <c:layout>
                <c:manualLayout>
                  <c:x val="1.5185994352005852E-3"/>
                  <c:y val="-4.1518781798225324E-2"/>
                </c:manualLayout>
              </c:layout>
              <c:tx>
                <c:rich>
                  <a:bodyPr rot="0" spcFirstLastPara="1" vertOverflow="ellipsis" vert="horz" wrap="square" anchor="ctr" anchorCtr="1"/>
                  <a:lstStyle/>
                  <a:p>
                    <a:pPr>
                      <a:defRPr sz="6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r>
                      <a:rPr lang="en-US" b="1"/>
                      <a:t>+</a:t>
                    </a:r>
                    <a:fld id="{14CF01E5-AEF6-4FB9-A3F5-15A29A8BDAE1}" type="VALUE">
                      <a:rPr lang="en-US" b="1"/>
                      <a:pPr>
                        <a:defRPr sz="6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t>[ΤΙΜΗ]</a:t>
                    </a:fld>
                    <a:endParaRPr lang="en-US" b="1"/>
                  </a:p>
                </c:rich>
              </c:tx>
              <c:numFmt formatCode="0.0%" sourceLinked="0"/>
              <c:spPr>
                <a:noFill/>
                <a:ln>
                  <a:noFill/>
                </a:ln>
                <a:effectLst/>
              </c:spPr>
              <c:dLblPos val="ctr"/>
              <c:showVal val="1"/>
              <c:extLst>
                <c:ext xmlns:c15="http://schemas.microsoft.com/office/drawing/2012/chart" uri="{CE6537A1-D6FC-4f65-9D91-7224C49458BB}">
                  <c15:dlblFieldTable/>
                  <c15:showDataLabelsRange val="0"/>
                </c:ext>
              </c:extLst>
            </c:dLbl>
            <c:dLbl>
              <c:idx val="7"/>
              <c:layout>
                <c:manualLayout>
                  <c:x val="1.2213105028936681E-3"/>
                  <c:y val="-0.33130775124387318"/>
                </c:manualLayout>
              </c:layout>
              <c:tx>
                <c:rich>
                  <a:bodyPr rot="0" spcFirstLastPara="1" vertOverflow="ellipsis" vert="horz" wrap="square" anchor="ctr" anchorCtr="1"/>
                  <a:lstStyle/>
                  <a:p>
                    <a:pPr>
                      <a:defRPr sz="6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r>
                      <a:rPr lang="en-US" sz="600" b="1"/>
                      <a:t>16.8%</a:t>
                    </a:r>
                  </a:p>
                </c:rich>
              </c:tx>
              <c:numFmt formatCode="0.00%" sourceLinked="0"/>
              <c:spPr>
                <a:noFill/>
                <a:ln>
                  <a:noFill/>
                </a:ln>
                <a:effectLst/>
              </c:spPr>
              <c:dLblPos val="ctr"/>
              <c:showVal val="1"/>
              <c:extLst>
                <c:ext xmlns:c15="http://schemas.microsoft.com/office/drawing/2012/chart" uri="{CE6537A1-D6FC-4f65-9D91-7224C49458BB}">
                  <c15:layout>
                    <c:manualLayout>
                      <c:w val="6.4749612248951302E-2"/>
                      <c:h val="5.6346918154734346E-2"/>
                    </c:manualLayout>
                  </c15:layout>
                </c:ext>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layout>
                <c:manualLayout>
                  <c:x val="1.889042037582475E-3"/>
                  <c:y val="-0.38179972535192946"/>
                </c:manualLayout>
              </c:layout>
              <c:tx>
                <c:rich>
                  <a:bodyPr/>
                  <a:lstStyle/>
                  <a:p>
                    <a:fld id="{62C86811-7420-40BB-8904-B34B2E6E2769}" type="VALUE">
                      <a:rPr lang="en-US"/>
                      <a:pPr/>
                      <a:t>[ΤΙΜΗ]</a:t>
                    </a:fld>
                    <a:endParaRPr lang="el-GR"/>
                  </a:p>
                </c:rich>
              </c:tx>
              <c:dLblPos val="ctr"/>
              <c:showVal val="1"/>
              <c:extLst>
                <c:ext xmlns:c15="http://schemas.microsoft.com/office/drawing/2012/chart" uri="{CE6537A1-D6FC-4f65-9D91-7224C49458BB}">
                  <c15:dlblFieldTable/>
                  <c15:showDataLabelsRange val="0"/>
                </c:ext>
              </c:extLst>
            </c:dLbl>
            <c:dLbl>
              <c:idx val="11"/>
              <c:layout>
                <c:manualLayout>
                  <c:x val="1.889042037582475E-3"/>
                  <c:y val="-3.8113689488300982E-2"/>
                </c:manualLayout>
              </c:layout>
              <c:numFmt formatCode="0.00%" sourceLinked="0"/>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l-GR"/>
                </a:p>
              </c:txPr>
              <c:dLblPos val="ctr"/>
              <c:showVal val="1"/>
              <c:extLst>
                <c:ext xmlns:c15="http://schemas.microsoft.com/office/drawing/2012/chart" uri="{CE6537A1-D6FC-4f65-9D91-7224C49458BB}"/>
              </c:extLst>
            </c:dLbl>
            <c:dLbl>
              <c:idx val="12"/>
              <c:layout>
                <c:manualLayout>
                  <c:x val="-1.5185994352006963E-3"/>
                  <c:y val="-0.38625461174611531"/>
                </c:manualLayout>
              </c:layout>
              <c:dLblPos val="ctr"/>
              <c:showVal val="1"/>
              <c:extLst>
                <c:ext xmlns:c15="http://schemas.microsoft.com/office/drawing/2012/chart" uri="{CE6537A1-D6FC-4f65-9D91-7224C49458BB}"/>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l-GR"/>
              </a:p>
            </c:txPr>
            <c:dLblPos val="inEnd"/>
            <c:showVal val="1"/>
            <c:extLst>
              <c:ext xmlns:c15="http://schemas.microsoft.com/office/drawing/2012/chart" uri="{CE6537A1-D6FC-4f65-9D91-7224C49458BB}">
                <c15:showLeaderLines val="1"/>
              </c:ext>
            </c:extLst>
          </c:dLbls>
          <c:cat>
            <c:strRef>
              <c:f>Sheet1!$A$2:$A$11</c:f>
              <c:strCache>
                <c:ptCount val="10"/>
                <c:pt idx="0">
                  <c:v>Δείκτης CET1                Β΄τρίμηνο 2019 (δημοσιευμένη βάση)</c:v>
                </c:pt>
                <c:pt idx="1">
                  <c:v>Κέρδη αποτίμησης ομολόγων (FVTOCI) και Σημαντικές Επενδύσεις (SI)</c:v>
                </c:pt>
                <c:pt idx="2">
                  <c:v>Σταθμισμένα Στοιχεία Ενεργητικού (RWAs) και λοιπά</c:v>
                </c:pt>
                <c:pt idx="3">
                  <c:v>Δείκτης CET1                Γ΄τρίμηνο 2019 (δημοσιευμένη βάση)</c:v>
                </c:pt>
                <c:pt idx="4">
                  <c:v>Κέρδος μετά φόρων εννεαμήνου 2019</c:v>
                </c:pt>
                <c:pt idx="5">
                  <c:v>Δείκτης CET1          Γ' τρίμηνο 2019 ενσωμ/ντας το κέρδος μετά φόρων εννεαμήνου 2019</c:v>
                </c:pt>
                <c:pt idx="6">
                  <c:v>Πωλήσεις θυγατρικών σε Ρουμανία, Αίγυπτο &amp; Κύπρο</c:v>
                </c:pt>
                <c:pt idx="7">
                  <c:v>Δείκτης CET1  Γ' τρίμηνο 2019 ενσωμ/ντας το κέρδος μετά φόρων εννεαμήνου 2019 &amp; τις πωλήσεις θυγατρικών σε Ρουμανία, Αίγυπτο &amp; Κύπρο</c:v>
                </c:pt>
                <c:pt idx="9">
                  <c:v>Κεφαλαικές απαιτήσεις (SREP) 2019</c:v>
                </c:pt>
              </c:strCache>
            </c:strRef>
          </c:cat>
          <c:val>
            <c:numRef>
              <c:f>Sheet1!$C$2:$C$11</c:f>
              <c:numCache>
                <c:formatCode>0.00%</c:formatCode>
                <c:ptCount val="10"/>
                <c:pt idx="0">
                  <c:v>0.14797959984307571</c:v>
                </c:pt>
                <c:pt idx="1">
                  <c:v>3.4000000000000007E-3</c:v>
                </c:pt>
                <c:pt idx="2">
                  <c:v>1.0499999999999995E-3</c:v>
                </c:pt>
                <c:pt idx="3">
                  <c:v>0.15242959984307575</c:v>
                </c:pt>
                <c:pt idx="4">
                  <c:v>1.1100000000000004E-2</c:v>
                </c:pt>
                <c:pt idx="5">
                  <c:v>0.16352959984307569</c:v>
                </c:pt>
                <c:pt idx="6">
                  <c:v>4.3000000000000017E-3</c:v>
                </c:pt>
                <c:pt idx="7">
                  <c:v>0.16782959984307569</c:v>
                </c:pt>
                <c:pt idx="9">
                  <c:v>0.13750000000000001</c:v>
                </c:pt>
              </c:numCache>
            </c:numRef>
          </c:val>
        </c:ser>
        <c:gapWidth val="317"/>
        <c:overlap val="100"/>
        <c:axId val="184799616"/>
        <c:axId val="184801152"/>
      </c:barChart>
      <c:catAx>
        <c:axId val="1847996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45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184801152"/>
        <c:crosses val="autoZero"/>
        <c:auto val="1"/>
        <c:lblAlgn val="ctr"/>
        <c:lblOffset val="100"/>
      </c:catAx>
      <c:valAx>
        <c:axId val="184801152"/>
        <c:scaling>
          <c:orientation val="minMax"/>
        </c:scaling>
        <c:delete val="1"/>
        <c:axPos val="l"/>
        <c:numFmt formatCode="General" sourceLinked="1"/>
        <c:tickLblPos val="none"/>
        <c:crossAx val="18479961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500">
          <a:latin typeface="Segoe UI" panose="020B0502040204020203" pitchFamily="34" charset="0"/>
          <a:cs typeface="Segoe UI" panose="020B0502040204020203" pitchFamily="34" charset="0"/>
        </a:defRPr>
      </a:pPr>
      <a:endParaRPr lang="el-GR"/>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plotArea>
      <c:layout>
        <c:manualLayout>
          <c:layoutTarget val="inner"/>
          <c:xMode val="edge"/>
          <c:yMode val="edge"/>
          <c:x val="3.9227870012164753E-2"/>
          <c:y val="1.5014888471642908E-2"/>
          <c:w val="0.94762805805376971"/>
          <c:h val="0.8578340210433677"/>
        </c:manualLayout>
      </c:layout>
      <c:barChart>
        <c:barDir val="col"/>
        <c:grouping val="stacked"/>
        <c:ser>
          <c:idx val="4"/>
          <c:order val="0"/>
          <c:tx>
            <c:strRef>
              <c:f>Sheet1!$A$2</c:f>
              <c:strCache>
                <c:ptCount val="1"/>
                <c:pt idx="0">
                  <c:v>ECB</c:v>
                </c:pt>
              </c:strCache>
            </c:strRef>
          </c:tx>
          <c:spPr>
            <a:solidFill>
              <a:srgbClr val="008080"/>
            </a:solidFill>
            <a:ln w="9524">
              <a:solidFill>
                <a:srgbClr val="008080"/>
              </a:solidFill>
              <a:prstDash val="solid"/>
            </a:ln>
          </c:spPr>
          <c:invertIfNegative val="1"/>
          <c:dPt>
            <c:idx val="0"/>
            <c:invertIfNegative val="1"/>
          </c:dPt>
          <c:dPt>
            <c:idx val="1"/>
            <c:invertIfNegative val="1"/>
          </c:dPt>
          <c:dPt>
            <c:idx val="2"/>
            <c:invertIfNegative val="1"/>
          </c:dPt>
          <c:dPt>
            <c:idx val="3"/>
            <c:invertIfNegative val="1"/>
          </c:dPt>
          <c:dPt>
            <c:idx val="4"/>
            <c:invertIfNegative val="1"/>
          </c:dPt>
          <c:dPt>
            <c:idx val="5"/>
            <c:invertIfNegative val="1"/>
          </c:dPt>
          <c:dPt>
            <c:idx val="6"/>
            <c:invertIfNegative val="1"/>
          </c:dPt>
          <c:dPt>
            <c:idx val="7"/>
            <c:invertIfNegative val="1"/>
          </c:dPt>
          <c:dPt>
            <c:idx val="8"/>
            <c:invertIfNegative val="1"/>
          </c:dPt>
          <c:dPt>
            <c:idx val="9"/>
            <c:invertIfNegative val="1"/>
          </c:dPt>
          <c:dPt>
            <c:idx val="10"/>
            <c:invertIfNegative val="1"/>
          </c:dPt>
          <c:dPt>
            <c:idx val="11"/>
            <c:invertIfNegative val="1"/>
          </c:dPt>
          <c:dPt>
            <c:idx val="12"/>
            <c:invertIfNegative val="1"/>
          </c:dPt>
          <c:dPt>
            <c:idx val="13"/>
            <c:invertIfNegative val="1"/>
            <c:spPr>
              <a:solidFill>
                <a:srgbClr val="FF7415"/>
              </a:solidFill>
              <a:ln w="9524">
                <a:solidFill>
                  <a:srgbClr val="FF7415"/>
                </a:solidFill>
                <a:prstDash val="solid"/>
              </a:ln>
            </c:spPr>
          </c:dPt>
          <c:dPt>
            <c:idx val="14"/>
            <c:invertIfNegative val="1"/>
            <c:spPr>
              <a:solidFill>
                <a:srgbClr val="FF7415"/>
              </a:solidFill>
              <a:ln w="9524">
                <a:solidFill>
                  <a:srgbClr val="FF7415"/>
                </a:solidFill>
                <a:prstDash val="solid"/>
              </a:ln>
            </c:spPr>
          </c:dPt>
          <c:dLbls>
            <c:dLbl>
              <c:idx val="10"/>
              <c:numFmt formatCode="#,##0.0" sourceLinked="0"/>
              <c:spPr>
                <a:solidFill>
                  <a:schemeClr val="bg1"/>
                </a:solidFill>
                <a:ln>
                  <a:solidFill>
                    <a:srgbClr val="FF7E10"/>
                  </a:solidFill>
                </a:ln>
                <a:effectLst/>
              </c:spPr>
              <c:txPr>
                <a:bodyPr/>
                <a:lstStyle/>
                <a:p>
                  <a:pPr>
                    <a:defRPr sz="600"/>
                  </a:pPr>
                  <a:endParaRPr lang="el-GR"/>
                </a:p>
              </c:txPr>
            </c:dLbl>
            <c:dLbl>
              <c:idx val="11"/>
              <c:numFmt formatCode="#,##0.0" sourceLinked="0"/>
              <c:spPr>
                <a:solidFill>
                  <a:schemeClr val="bg1"/>
                </a:solidFill>
                <a:ln>
                  <a:solidFill>
                    <a:srgbClr val="FF7E10"/>
                  </a:solidFill>
                </a:ln>
                <a:effectLst/>
              </c:spPr>
              <c:txPr>
                <a:bodyPr/>
                <a:lstStyle/>
                <a:p>
                  <a:pPr>
                    <a:defRPr sz="600"/>
                  </a:pPr>
                  <a:endParaRPr lang="el-GR"/>
                </a:p>
              </c:txPr>
            </c:dLbl>
            <c:dLbl>
              <c:idx val="12"/>
              <c:numFmt formatCode="#,##0.0" sourceLinked="0"/>
              <c:spPr>
                <a:solidFill>
                  <a:schemeClr val="bg1"/>
                </a:solidFill>
                <a:ln>
                  <a:solidFill>
                    <a:srgbClr val="FF7E10"/>
                  </a:solidFill>
                </a:ln>
                <a:effectLst/>
              </c:spPr>
              <c:txPr>
                <a:bodyPr/>
                <a:lstStyle/>
                <a:p>
                  <a:pPr>
                    <a:defRPr sz="600"/>
                  </a:pPr>
                  <a:endParaRPr lang="el-GR"/>
                </a:p>
              </c:txPr>
            </c:dLbl>
            <c:dLbl>
              <c:idx val="13"/>
              <c:numFmt formatCode="#,##0.0" sourceLinked="0"/>
              <c:spPr>
                <a:solidFill>
                  <a:schemeClr val="bg1"/>
                </a:solidFill>
                <a:ln>
                  <a:solidFill>
                    <a:srgbClr val="FF7415"/>
                  </a:solidFill>
                </a:ln>
                <a:effectLst/>
              </c:spPr>
              <c:txPr>
                <a:bodyPr/>
                <a:lstStyle/>
                <a:p>
                  <a:pPr>
                    <a:defRPr sz="600"/>
                  </a:pPr>
                  <a:endParaRPr lang="el-GR"/>
                </a:p>
              </c:txPr>
            </c:dLbl>
            <c:dLbl>
              <c:idx val="14"/>
              <c:numFmt formatCode="#,##0.0" sourceLinked="0"/>
              <c:spPr>
                <a:solidFill>
                  <a:schemeClr val="bg1"/>
                </a:solidFill>
                <a:ln>
                  <a:solidFill>
                    <a:srgbClr val="FF7415"/>
                  </a:solidFill>
                </a:ln>
                <a:effectLst/>
              </c:spPr>
              <c:txPr>
                <a:bodyPr/>
                <a:lstStyle/>
                <a:p>
                  <a:pPr>
                    <a:defRPr sz="600"/>
                  </a:pPr>
                  <a:endParaRPr lang="el-GR"/>
                </a:p>
              </c:txPr>
            </c:dLbl>
            <c:numFmt formatCode="#,##0.0" sourceLinked="0"/>
            <c:spPr>
              <a:solidFill>
                <a:schemeClr val="bg1"/>
              </a:solidFill>
              <a:ln>
                <a:solidFill>
                  <a:srgbClr val="008080"/>
                </a:solidFill>
              </a:ln>
              <a:effectLst/>
            </c:spPr>
            <c:txPr>
              <a:bodyPr/>
              <a:lstStyle/>
              <a:p>
                <a:pPr>
                  <a:defRPr sz="600"/>
                </a:pPr>
                <a:endParaRPr lang="el-GR"/>
              </a:p>
            </c:txPr>
            <c:showVal val="1"/>
            <c:extLst>
              <c:ext xmlns:c15="http://schemas.microsoft.com/office/drawing/2012/chart" uri="{CE6537A1-D6FC-4f65-9D91-7224C49458BB}">
                <c15:showLeaderLines val="1"/>
              </c:ext>
            </c:extLst>
          </c:dLbls>
          <c:cat>
            <c:strRef>
              <c:f>Sheet1!$B$1:$AO$1</c:f>
              <c:strCache>
                <c:ptCount val="13"/>
                <c:pt idx="0">
                  <c:v>Β' τρίμηνο              2015</c:v>
                </c:pt>
                <c:pt idx="1">
                  <c:v>Δ' τρίμηνο             2016</c:v>
                </c:pt>
                <c:pt idx="2">
                  <c:v>Α' τρίμηνο                   2017</c:v>
                </c:pt>
                <c:pt idx="3">
                  <c:v>Β' τρίμηνο               2017</c:v>
                </c:pt>
                <c:pt idx="4">
                  <c:v>Γ' τρίμηνο               2017</c:v>
                </c:pt>
                <c:pt idx="5">
                  <c:v>Δ' τρίμηνο              2017</c:v>
                </c:pt>
                <c:pt idx="6">
                  <c:v>Α' τρίμηνο              2018</c:v>
                </c:pt>
                <c:pt idx="7">
                  <c:v>Β' τρίμηνο              2018</c:v>
                </c:pt>
                <c:pt idx="8">
                  <c:v>Γ' τρίμηνο              2018</c:v>
                </c:pt>
                <c:pt idx="9">
                  <c:v>Δ' τρίμηνο              2018</c:v>
                </c:pt>
                <c:pt idx="10">
                  <c:v>Α' τρίμηνο              2019</c:v>
                </c:pt>
                <c:pt idx="11">
                  <c:v>B' τρίμηνο              2019</c:v>
                </c:pt>
                <c:pt idx="12">
                  <c:v>Γ' τρίμηνο              2019</c:v>
                </c:pt>
              </c:strCache>
            </c:strRef>
          </c:cat>
          <c:val>
            <c:numRef>
              <c:f>Sheet1!$B$2:$AO$2</c:f>
              <c:numCache>
                <c:formatCode>General</c:formatCode>
                <c:ptCount val="13"/>
                <c:pt idx="0" formatCode="0.0">
                  <c:v>10</c:v>
                </c:pt>
                <c:pt idx="1">
                  <c:v>6.7</c:v>
                </c:pt>
                <c:pt idx="2">
                  <c:v>4.6419999999999995</c:v>
                </c:pt>
                <c:pt idx="3">
                  <c:v>4.55</c:v>
                </c:pt>
                <c:pt idx="4">
                  <c:v>3.778</c:v>
                </c:pt>
                <c:pt idx="5">
                  <c:v>2.75</c:v>
                </c:pt>
                <c:pt idx="6">
                  <c:v>2.75</c:v>
                </c:pt>
                <c:pt idx="7">
                  <c:v>2.75</c:v>
                </c:pt>
                <c:pt idx="8">
                  <c:v>2.25</c:v>
                </c:pt>
                <c:pt idx="9">
                  <c:v>2.25</c:v>
                </c:pt>
                <c:pt idx="10">
                  <c:v>2.25</c:v>
                </c:pt>
                <c:pt idx="11">
                  <c:v>2.25</c:v>
                </c:pt>
                <c:pt idx="12">
                  <c:v>2.25</c:v>
                </c:pt>
              </c:numCache>
            </c:numRef>
          </c:val>
          <c:extLst>
            <c:ext xmlns:c14="http://schemas.microsoft.com/office/drawing/2007/8/2/chart" uri="{6F2FDCE9-48DA-4B69-8628-5D25D57E5C99}">
              <c14:invertSolidFillFmt>
                <c14:spPr xmlns:c14="http://schemas.microsoft.com/office/drawing/2007/8/2/chart">
                  <a:solidFill>
                    <a:srgbClr val="FFFFFF"/>
                  </a:solidFill>
                  <a:ln w="9524">
                    <a:solidFill>
                      <a:srgbClr val="008080"/>
                    </a:solidFill>
                    <a:prstDash val="solid"/>
                  </a:ln>
                </c14:spPr>
              </c14:invertSolidFillFmt>
            </c:ext>
          </c:extLst>
        </c:ser>
        <c:ser>
          <c:idx val="0"/>
          <c:order val="1"/>
          <c:tx>
            <c:strRef>
              <c:f>Sheet1!$A$3</c:f>
              <c:strCache>
                <c:ptCount val="1"/>
                <c:pt idx="0">
                  <c:v>ELA</c:v>
                </c:pt>
              </c:strCache>
            </c:strRef>
          </c:tx>
          <c:spPr>
            <a:noFill/>
            <a:ln>
              <a:solidFill>
                <a:srgbClr val="008080"/>
              </a:solidFill>
            </a:ln>
          </c:spPr>
          <c:dLbls>
            <c:dLbl>
              <c:idx val="5"/>
              <c:numFmt formatCode="#,##0.0" sourceLinked="0"/>
              <c:spPr>
                <a:solidFill>
                  <a:schemeClr val="bg1"/>
                </a:solidFill>
                <a:ln>
                  <a:solidFill>
                    <a:srgbClr val="008080"/>
                  </a:solidFill>
                </a:ln>
                <a:effectLst/>
              </c:spPr>
              <c:txPr>
                <a:bodyPr/>
                <a:lstStyle/>
                <a:p>
                  <a:pPr>
                    <a:defRPr sz="500"/>
                  </a:pPr>
                  <a:endParaRPr lang="el-GR"/>
                </a:p>
              </c:txPr>
            </c:dLbl>
            <c:dLbl>
              <c:idx val="6"/>
              <c:numFmt formatCode="#,##0.0" sourceLinked="0"/>
              <c:spPr>
                <a:solidFill>
                  <a:schemeClr val="bg1"/>
                </a:solidFill>
                <a:ln>
                  <a:solidFill>
                    <a:srgbClr val="008080"/>
                  </a:solidFill>
                </a:ln>
                <a:effectLst/>
              </c:spPr>
              <c:txPr>
                <a:bodyPr/>
                <a:lstStyle/>
                <a:p>
                  <a:pPr>
                    <a:defRPr sz="500"/>
                  </a:pPr>
                  <a:endParaRPr lang="el-GR"/>
                </a:p>
              </c:txPr>
            </c:dLbl>
            <c:dLbl>
              <c:idx val="7"/>
              <c:numFmt formatCode="#,##0.0" sourceLinked="0"/>
              <c:spPr>
                <a:solidFill>
                  <a:schemeClr val="bg1"/>
                </a:solidFill>
                <a:ln>
                  <a:solidFill>
                    <a:srgbClr val="008080"/>
                  </a:solidFill>
                </a:ln>
                <a:effectLst/>
              </c:spPr>
              <c:txPr>
                <a:bodyPr/>
                <a:lstStyle/>
                <a:p>
                  <a:pPr>
                    <a:defRPr sz="500"/>
                  </a:pPr>
                  <a:endParaRPr lang="el-GR"/>
                </a:p>
              </c:txPr>
            </c:dLbl>
            <c:dLbl>
              <c:idx val="8"/>
              <c:numFmt formatCode="#,##0.0" sourceLinked="0"/>
              <c:spPr>
                <a:solidFill>
                  <a:schemeClr val="bg1"/>
                </a:solidFill>
                <a:ln>
                  <a:solidFill>
                    <a:srgbClr val="008080"/>
                  </a:solidFill>
                </a:ln>
                <a:effectLst/>
              </c:spPr>
              <c:txPr>
                <a:bodyPr/>
                <a:lstStyle/>
                <a:p>
                  <a:pPr>
                    <a:defRPr sz="500"/>
                  </a:pPr>
                  <a:endParaRPr lang="el-GR"/>
                </a:p>
              </c:txPr>
            </c:dLbl>
            <c:dLbl>
              <c:idx val="9"/>
              <c:numFmt formatCode="#,##0.0" sourceLinked="0"/>
              <c:spPr>
                <a:solidFill>
                  <a:schemeClr val="bg1"/>
                </a:solidFill>
                <a:ln>
                  <a:solidFill>
                    <a:srgbClr val="008080"/>
                  </a:solidFill>
                </a:ln>
                <a:effectLst/>
              </c:spPr>
              <c:txPr>
                <a:bodyPr/>
                <a:lstStyle/>
                <a:p>
                  <a:pPr>
                    <a:defRPr sz="500"/>
                  </a:pPr>
                  <a:endParaRPr lang="el-GR"/>
                </a:p>
              </c:txPr>
            </c:dLbl>
            <c:dLbl>
              <c:idx val="10"/>
              <c:numFmt formatCode="#,##0.0" sourceLinked="0"/>
              <c:spPr>
                <a:solidFill>
                  <a:schemeClr val="bg1"/>
                </a:solidFill>
                <a:ln>
                  <a:solidFill>
                    <a:srgbClr val="FF7E10"/>
                  </a:solidFill>
                </a:ln>
                <a:effectLst/>
              </c:spPr>
              <c:txPr>
                <a:bodyPr/>
                <a:lstStyle/>
                <a:p>
                  <a:pPr>
                    <a:defRPr sz="500"/>
                  </a:pPr>
                  <a:endParaRPr lang="el-GR"/>
                </a:p>
              </c:txPr>
            </c:dLbl>
            <c:dLbl>
              <c:idx val="11"/>
              <c:numFmt formatCode="#,##0.0" sourceLinked="0"/>
              <c:spPr>
                <a:solidFill>
                  <a:schemeClr val="bg1"/>
                </a:solidFill>
                <a:ln>
                  <a:solidFill>
                    <a:srgbClr val="FF7E10"/>
                  </a:solidFill>
                </a:ln>
                <a:effectLst/>
              </c:spPr>
              <c:txPr>
                <a:bodyPr/>
                <a:lstStyle/>
                <a:p>
                  <a:pPr>
                    <a:defRPr sz="500"/>
                  </a:pPr>
                  <a:endParaRPr lang="el-GR"/>
                </a:p>
              </c:txPr>
            </c:dLbl>
            <c:dLbl>
              <c:idx val="12"/>
              <c:numFmt formatCode="#,##0.0" sourceLinked="0"/>
              <c:spPr>
                <a:solidFill>
                  <a:schemeClr val="bg1"/>
                </a:solidFill>
                <a:ln>
                  <a:solidFill>
                    <a:srgbClr val="FF7E10"/>
                  </a:solidFill>
                </a:ln>
                <a:effectLst/>
              </c:spPr>
              <c:txPr>
                <a:bodyPr/>
                <a:lstStyle/>
                <a:p>
                  <a:pPr>
                    <a:defRPr sz="600"/>
                  </a:pPr>
                  <a:endParaRPr lang="el-GR"/>
                </a:p>
              </c:txPr>
            </c:dLbl>
            <c:dLbl>
              <c:idx val="13"/>
              <c:numFmt formatCode="#,##0.0" sourceLinked="0"/>
              <c:spPr>
                <a:solidFill>
                  <a:schemeClr val="bg1"/>
                </a:solidFill>
                <a:ln>
                  <a:solidFill>
                    <a:srgbClr val="FF7415"/>
                  </a:solidFill>
                </a:ln>
                <a:effectLst/>
              </c:spPr>
              <c:txPr>
                <a:bodyPr/>
                <a:lstStyle/>
                <a:p>
                  <a:pPr>
                    <a:defRPr sz="600"/>
                  </a:pPr>
                  <a:endParaRPr lang="el-GR"/>
                </a:p>
              </c:txPr>
            </c:dLbl>
            <c:dLbl>
              <c:idx val="14"/>
              <c:numFmt formatCode="#,##0.0" sourceLinked="0"/>
              <c:spPr>
                <a:solidFill>
                  <a:schemeClr val="bg1"/>
                </a:solidFill>
                <a:ln>
                  <a:solidFill>
                    <a:srgbClr val="FF7415"/>
                  </a:solidFill>
                </a:ln>
                <a:effectLst/>
              </c:spPr>
              <c:txPr>
                <a:bodyPr/>
                <a:lstStyle/>
                <a:p>
                  <a:pPr>
                    <a:defRPr sz="600"/>
                  </a:pPr>
                  <a:endParaRPr lang="el-GR"/>
                </a:p>
              </c:txPr>
            </c:dLbl>
            <c:numFmt formatCode="#,##0.0" sourceLinked="0"/>
            <c:spPr>
              <a:solidFill>
                <a:schemeClr val="bg1"/>
              </a:solidFill>
              <a:ln>
                <a:solidFill>
                  <a:srgbClr val="008080"/>
                </a:solidFill>
              </a:ln>
              <a:effectLst/>
            </c:spPr>
            <c:txPr>
              <a:bodyPr/>
              <a:lstStyle/>
              <a:p>
                <a:pPr>
                  <a:defRPr sz="600"/>
                </a:pPr>
                <a:endParaRPr lang="el-GR"/>
              </a:p>
            </c:txPr>
            <c:showVal val="1"/>
            <c:extLst>
              <c:ext xmlns:c15="http://schemas.microsoft.com/office/drawing/2012/chart" uri="{CE6537A1-D6FC-4f65-9D91-7224C49458BB}">
                <c15:showLeaderLines val="1"/>
              </c:ext>
            </c:extLst>
          </c:dLbls>
          <c:cat>
            <c:strRef>
              <c:f>Sheet1!$B$1:$AO$1</c:f>
              <c:strCache>
                <c:ptCount val="13"/>
                <c:pt idx="0">
                  <c:v>Β' τρίμηνο              2015</c:v>
                </c:pt>
                <c:pt idx="1">
                  <c:v>Δ' τρίμηνο             2016</c:v>
                </c:pt>
                <c:pt idx="2">
                  <c:v>Α' τρίμηνο                   2017</c:v>
                </c:pt>
                <c:pt idx="3">
                  <c:v>Β' τρίμηνο               2017</c:v>
                </c:pt>
                <c:pt idx="4">
                  <c:v>Γ' τρίμηνο               2017</c:v>
                </c:pt>
                <c:pt idx="5">
                  <c:v>Δ' τρίμηνο              2017</c:v>
                </c:pt>
                <c:pt idx="6">
                  <c:v>Α' τρίμηνο              2018</c:v>
                </c:pt>
                <c:pt idx="7">
                  <c:v>Β' τρίμηνο              2018</c:v>
                </c:pt>
                <c:pt idx="8">
                  <c:v>Γ' τρίμηνο              2018</c:v>
                </c:pt>
                <c:pt idx="9">
                  <c:v>Δ' τρίμηνο              2018</c:v>
                </c:pt>
                <c:pt idx="10">
                  <c:v>Α' τρίμηνο              2019</c:v>
                </c:pt>
                <c:pt idx="11">
                  <c:v>B' τρίμηνο              2019</c:v>
                </c:pt>
                <c:pt idx="12">
                  <c:v>Γ' τρίμηνο              2019</c:v>
                </c:pt>
              </c:strCache>
            </c:strRef>
          </c:cat>
          <c:val>
            <c:numRef>
              <c:f>Sheet1!$B$3:$AO$3</c:f>
              <c:numCache>
                <c:formatCode>General</c:formatCode>
                <c:ptCount val="13"/>
                <c:pt idx="0" formatCode="0.0">
                  <c:v>17.600000000000001</c:v>
                </c:pt>
                <c:pt idx="1">
                  <c:v>5.6</c:v>
                </c:pt>
                <c:pt idx="2">
                  <c:v>5.6</c:v>
                </c:pt>
                <c:pt idx="3">
                  <c:v>3.8</c:v>
                </c:pt>
                <c:pt idx="4">
                  <c:v>2.25</c:v>
                </c:pt>
                <c:pt idx="5">
                  <c:v>0</c:v>
                </c:pt>
                <c:pt idx="6">
                  <c:v>0</c:v>
                </c:pt>
                <c:pt idx="7">
                  <c:v>0</c:v>
                </c:pt>
                <c:pt idx="8">
                  <c:v>0</c:v>
                </c:pt>
                <c:pt idx="9">
                  <c:v>0</c:v>
                </c:pt>
                <c:pt idx="10">
                  <c:v>0</c:v>
                </c:pt>
                <c:pt idx="11">
                  <c:v>0</c:v>
                </c:pt>
                <c:pt idx="12">
                  <c:v>0</c:v>
                </c:pt>
              </c:numCache>
            </c:numRef>
          </c:val>
        </c:ser>
        <c:ser>
          <c:idx val="1"/>
          <c:order val="2"/>
          <c:tx>
            <c:strRef>
              <c:f>Sheet1!$A$4</c:f>
              <c:strCache>
                <c:ptCount val="1"/>
              </c:strCache>
            </c:strRef>
          </c:tx>
          <c:spPr>
            <a:noFill/>
            <a:ln>
              <a:noFill/>
            </a:ln>
          </c:spPr>
          <c:dLbls>
            <c:dLbl>
              <c:idx val="12"/>
              <c:layout>
                <c:manualLayout>
                  <c:x val="2.8559498048479591E-3"/>
                  <c:y val="-2.0049133202612073E-2"/>
                </c:manualLayout>
              </c:layout>
              <c:dLblPos val="ctr"/>
              <c:showVal val="1"/>
              <c:extLst>
                <c:ext xmlns:c15="http://schemas.microsoft.com/office/drawing/2012/chart" uri="{CE6537A1-D6FC-4f65-9D91-7224C49458BB}"/>
              </c:extLst>
            </c:dLbl>
            <c:dLbl>
              <c:idx val="13"/>
              <c:layout>
                <c:manualLayout>
                  <c:x val="2.8560261477063725E-3"/>
                  <c:y val="-2.0510411808670847E-3"/>
                </c:manualLayout>
              </c:layout>
              <c:dLblPos val="ctr"/>
              <c:showVal val="1"/>
              <c:extLst>
                <c:ext xmlns:c15="http://schemas.microsoft.com/office/drawing/2012/chart" uri="{CE6537A1-D6FC-4f65-9D91-7224C49458BB}"/>
              </c:extLst>
            </c:dLbl>
            <c:dLbl>
              <c:idx val="14"/>
              <c:layout>
                <c:manualLayout>
                  <c:x val="-1.0471974901776087E-16"/>
                  <c:y val="6.406174077902717E-3"/>
                </c:manualLayout>
              </c:layout>
              <c:dLblPos val="ctr"/>
              <c:showVal val="1"/>
              <c:extLst>
                <c:ext xmlns:c15="http://schemas.microsoft.com/office/drawing/2012/chart" uri="{CE6537A1-D6FC-4f65-9D91-7224C49458BB}"/>
              </c:extLst>
            </c:dLbl>
            <c:numFmt formatCode="#,##0.0" sourceLinked="0"/>
            <c:spPr>
              <a:noFill/>
              <a:ln>
                <a:noFill/>
              </a:ln>
              <a:effectLst/>
            </c:spPr>
            <c:txPr>
              <a:bodyPr/>
              <a:lstStyle/>
              <a:p>
                <a:pPr>
                  <a:defRPr sz="700"/>
                </a:pPr>
                <a:endParaRPr lang="el-GR"/>
              </a:p>
            </c:txPr>
            <c:dLblPos val="inBase"/>
            <c:showVal val="1"/>
            <c:extLst>
              <c:ext xmlns:c15="http://schemas.microsoft.com/office/drawing/2012/chart" uri="{CE6537A1-D6FC-4f65-9D91-7224C49458BB}">
                <c15:showLeaderLines val="1"/>
              </c:ext>
            </c:extLst>
          </c:dLbls>
          <c:cat>
            <c:strRef>
              <c:f>Sheet1!$B$1:$AO$1</c:f>
              <c:strCache>
                <c:ptCount val="13"/>
                <c:pt idx="0">
                  <c:v>Β' τρίμηνο              2015</c:v>
                </c:pt>
                <c:pt idx="1">
                  <c:v>Δ' τρίμηνο             2016</c:v>
                </c:pt>
                <c:pt idx="2">
                  <c:v>Α' τρίμηνο                   2017</c:v>
                </c:pt>
                <c:pt idx="3">
                  <c:v>Β' τρίμηνο               2017</c:v>
                </c:pt>
                <c:pt idx="4">
                  <c:v>Γ' τρίμηνο               2017</c:v>
                </c:pt>
                <c:pt idx="5">
                  <c:v>Δ' τρίμηνο              2017</c:v>
                </c:pt>
                <c:pt idx="6">
                  <c:v>Α' τρίμηνο              2018</c:v>
                </c:pt>
                <c:pt idx="7">
                  <c:v>Β' τρίμηνο              2018</c:v>
                </c:pt>
                <c:pt idx="8">
                  <c:v>Γ' τρίμηνο              2018</c:v>
                </c:pt>
                <c:pt idx="9">
                  <c:v>Δ' τρίμηνο              2018</c:v>
                </c:pt>
                <c:pt idx="10">
                  <c:v>Α' τρίμηνο              2019</c:v>
                </c:pt>
                <c:pt idx="11">
                  <c:v>B' τρίμηνο              2019</c:v>
                </c:pt>
                <c:pt idx="12">
                  <c:v>Γ' τρίμηνο              2019</c:v>
                </c:pt>
              </c:strCache>
            </c:strRef>
          </c:cat>
          <c:val>
            <c:numRef>
              <c:f>Sheet1!$B$4:$AO$4</c:f>
              <c:numCache>
                <c:formatCode>General</c:formatCode>
                <c:ptCount val="13"/>
                <c:pt idx="0" formatCode="0.0">
                  <c:v>27.6</c:v>
                </c:pt>
                <c:pt idx="1">
                  <c:v>12.3</c:v>
                </c:pt>
                <c:pt idx="2">
                  <c:v>10.242000000000001</c:v>
                </c:pt>
                <c:pt idx="3">
                  <c:v>8.3500000000000032</c:v>
                </c:pt>
                <c:pt idx="4">
                  <c:v>6.0280000000000005</c:v>
                </c:pt>
                <c:pt idx="5">
                  <c:v>2.75</c:v>
                </c:pt>
                <c:pt idx="6">
                  <c:v>2.75</c:v>
                </c:pt>
                <c:pt idx="7">
                  <c:v>2.75</c:v>
                </c:pt>
                <c:pt idx="8">
                  <c:v>2.25</c:v>
                </c:pt>
                <c:pt idx="9">
                  <c:v>2.25</c:v>
                </c:pt>
                <c:pt idx="10">
                  <c:v>2.25</c:v>
                </c:pt>
                <c:pt idx="11">
                  <c:v>2.25</c:v>
                </c:pt>
                <c:pt idx="12">
                  <c:v>2.25</c:v>
                </c:pt>
              </c:numCache>
            </c:numRef>
          </c:val>
        </c:ser>
        <c:gapWidth val="500"/>
        <c:overlap val="100"/>
        <c:axId val="102516992"/>
        <c:axId val="102526976"/>
      </c:barChart>
      <c:catAx>
        <c:axId val="102516992"/>
        <c:scaling>
          <c:orientation val="minMax"/>
        </c:scaling>
        <c:axPos val="b"/>
        <c:numFmt formatCode="General" sourceLinked="1"/>
        <c:majorTickMark val="none"/>
        <c:tickLblPos val="nextTo"/>
        <c:spPr>
          <a:ln w="9526">
            <a:solidFill>
              <a:schemeClr val="bg1">
                <a:lumMod val="75000"/>
              </a:schemeClr>
            </a:solidFill>
          </a:ln>
        </c:spPr>
        <c:txPr>
          <a:bodyPr rot="0" vert="horz"/>
          <a:lstStyle/>
          <a:p>
            <a:pPr>
              <a:defRPr sz="590"/>
            </a:pPr>
            <a:endParaRPr lang="el-GR"/>
          </a:p>
        </c:txPr>
        <c:crossAx val="102526976"/>
        <c:crosses val="autoZero"/>
        <c:auto val="1"/>
        <c:lblAlgn val="ctr"/>
        <c:lblOffset val="100"/>
      </c:catAx>
      <c:valAx>
        <c:axId val="102526976"/>
        <c:scaling>
          <c:orientation val="minMax"/>
          <c:max val="30"/>
          <c:min val="0"/>
        </c:scaling>
        <c:delete val="1"/>
        <c:axPos val="l"/>
        <c:numFmt formatCode="0.0" sourceLinked="1"/>
        <c:tickLblPos val="none"/>
        <c:crossAx val="102516992"/>
        <c:crosses val="autoZero"/>
        <c:crossBetween val="between"/>
      </c:valAx>
      <c:spPr>
        <a:noFill/>
        <a:ln w="25361">
          <a:noFill/>
        </a:ln>
      </c:spPr>
    </c:plotArea>
    <c:plotVisOnly val="1"/>
    <c:dispBlanksAs val="zero"/>
  </c:chart>
  <c:spPr>
    <a:noFill/>
    <a:ln>
      <a:solidFill>
        <a:sysClr val="window" lastClr="FFFFFF">
          <a:lumMod val="75000"/>
        </a:sysClr>
      </a:solidFill>
    </a:ln>
  </c:spPr>
  <c:txPr>
    <a:bodyPr/>
    <a:lstStyle/>
    <a:p>
      <a:pPr>
        <a:defRPr sz="801" b="0" i="0" u="none" strike="noStrike" baseline="0">
          <a:solidFill>
            <a:schemeClr val="tx1"/>
          </a:solidFill>
          <a:latin typeface="Segoe UI" panose="020B0502040204020203" pitchFamily="34" charset="0"/>
          <a:ea typeface="Calibri"/>
          <a:cs typeface="Segoe UI" panose="020B0502040204020203" pitchFamily="34" charset="0"/>
        </a:defRPr>
      </a:pPr>
      <a:endParaRPr lang="el-GR"/>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lang val="el-G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57861875195121E-2"/>
          <c:y val="9.3851132686084193E-2"/>
          <c:w val="0.96457204288670251"/>
          <c:h val="0.75601814336314765"/>
        </c:manualLayout>
      </c:layout>
      <c:barChart>
        <c:barDir val="col"/>
        <c:grouping val="stacked"/>
        <c:ser>
          <c:idx val="0"/>
          <c:order val="0"/>
          <c:tx>
            <c:strRef>
              <c:f>Sheet1!$A$10</c:f>
              <c:strCache>
                <c:ptCount val="1"/>
                <c:pt idx="0">
                  <c:v>Depos</c:v>
                </c:pt>
              </c:strCache>
            </c:strRef>
          </c:tx>
          <c:dLbls>
            <c:spPr>
              <a:noFill/>
              <a:ln>
                <a:noFill/>
              </a:ln>
              <a:effectLst/>
            </c:spPr>
            <c:txPr>
              <a:bodyPr/>
              <a:lstStyle/>
              <a:p>
                <a:pPr>
                  <a:defRPr sz="799">
                    <a:solidFill>
                      <a:schemeClr val="bg1"/>
                    </a:solidFill>
                  </a:defRPr>
                </a:pPr>
                <a:endParaRPr lang="el-GR"/>
              </a:p>
            </c:txPr>
            <c:showVal val="1"/>
            <c:extLst>
              <c:ext xmlns:c15="http://schemas.microsoft.com/office/drawing/2012/chart" uri="{CE6537A1-D6FC-4f65-9D91-7224C49458BB}">
                <c15:showLeaderLines val="0"/>
              </c:ext>
            </c:extLst>
          </c:dLbls>
          <c:cat>
            <c:strRef>
              <c:f>Sheet1!$B$9:$X$9</c:f>
              <c:strCache>
                <c:ptCount val="21"/>
                <c:pt idx="0">
                  <c:v>Δ' τρίμηνο 2014</c:v>
                </c:pt>
                <c:pt idx="1">
                  <c:v>Α' τρίμηνο 2015</c:v>
                </c:pt>
                <c:pt idx="2">
                  <c:v>Β' τρίμηνο 2015</c:v>
                </c:pt>
                <c:pt idx="4">
                  <c:v>Γ' τρίμηνο 2015</c:v>
                </c:pt>
                <c:pt idx="5">
                  <c:v>Δ' τρίμηνο 2015</c:v>
                </c:pt>
                <c:pt idx="6">
                  <c:v>Α' τρίμηνο 2016</c:v>
                </c:pt>
                <c:pt idx="7">
                  <c:v>Β' τρίμηνο 2016</c:v>
                </c:pt>
                <c:pt idx="8">
                  <c:v>Γ' τρίμηνο 2016</c:v>
                </c:pt>
                <c:pt idx="9">
                  <c:v>Δ' τρίμηνο 2016</c:v>
                </c:pt>
                <c:pt idx="10">
                  <c:v>Α' τρίμηνο 2017</c:v>
                </c:pt>
                <c:pt idx="11">
                  <c:v>Β' τρίμηνο 2017</c:v>
                </c:pt>
                <c:pt idx="12">
                  <c:v>Γ' τρίμηνο 2017</c:v>
                </c:pt>
                <c:pt idx="13">
                  <c:v>Δ' τρίμηνο 2017</c:v>
                </c:pt>
                <c:pt idx="14">
                  <c:v>Α' τρίμηνο 2018</c:v>
                </c:pt>
                <c:pt idx="15">
                  <c:v>Β' τρίμηνο 2018</c:v>
                </c:pt>
                <c:pt idx="16">
                  <c:v>Γ' τρίμηνο 2018</c:v>
                </c:pt>
                <c:pt idx="17">
                  <c:v>Δ' τρίμηνο 2018</c:v>
                </c:pt>
                <c:pt idx="18">
                  <c:v>Α' τρίμηνο 2019</c:v>
                </c:pt>
                <c:pt idx="19">
                  <c:v>B' τρίμηνο 2019</c:v>
                </c:pt>
                <c:pt idx="20">
                  <c:v>Γ' τρίμηνο 2019</c:v>
                </c:pt>
              </c:strCache>
            </c:strRef>
          </c:cat>
          <c:val>
            <c:numRef>
              <c:f>Sheet1!$B$10:$X$10</c:f>
            </c:numRef>
          </c:val>
        </c:ser>
        <c:ser>
          <c:idx val="1"/>
          <c:order val="1"/>
          <c:tx>
            <c:strRef>
              <c:f>Sheet1!$A$11</c:f>
              <c:strCache>
                <c:ptCount val="1"/>
                <c:pt idx="0">
                  <c:v>Sight</c:v>
                </c:pt>
              </c:strCache>
            </c:strRef>
          </c:tx>
          <c:dLbls>
            <c:spPr>
              <a:noFill/>
              <a:ln>
                <a:noFill/>
              </a:ln>
              <a:effectLst/>
            </c:spPr>
            <c:txPr>
              <a:bodyPr/>
              <a:lstStyle/>
              <a:p>
                <a:pPr>
                  <a:defRPr sz="799">
                    <a:solidFill>
                      <a:schemeClr val="bg1"/>
                    </a:solidFill>
                  </a:defRPr>
                </a:pPr>
                <a:endParaRPr lang="el-GR"/>
              </a:p>
            </c:txPr>
            <c:showVal val="1"/>
            <c:extLst>
              <c:ext xmlns:c15="http://schemas.microsoft.com/office/drawing/2012/chart" uri="{CE6537A1-D6FC-4f65-9D91-7224C49458BB}">
                <c15:showLeaderLines val="0"/>
              </c:ext>
            </c:extLst>
          </c:dLbls>
          <c:cat>
            <c:strRef>
              <c:f>Sheet1!$B$9:$X$9</c:f>
              <c:strCache>
                <c:ptCount val="21"/>
                <c:pt idx="0">
                  <c:v>Δ' τρίμηνο 2014</c:v>
                </c:pt>
                <c:pt idx="1">
                  <c:v>Α' τρίμηνο 2015</c:v>
                </c:pt>
                <c:pt idx="2">
                  <c:v>Β' τρίμηνο 2015</c:v>
                </c:pt>
                <c:pt idx="4">
                  <c:v>Γ' τρίμηνο 2015</c:v>
                </c:pt>
                <c:pt idx="5">
                  <c:v>Δ' τρίμηνο 2015</c:v>
                </c:pt>
                <c:pt idx="6">
                  <c:v>Α' τρίμηνο 2016</c:v>
                </c:pt>
                <c:pt idx="7">
                  <c:v>Β' τρίμηνο 2016</c:v>
                </c:pt>
                <c:pt idx="8">
                  <c:v>Γ' τρίμηνο 2016</c:v>
                </c:pt>
                <c:pt idx="9">
                  <c:v>Δ' τρίμηνο 2016</c:v>
                </c:pt>
                <c:pt idx="10">
                  <c:v>Α' τρίμηνο 2017</c:v>
                </c:pt>
                <c:pt idx="11">
                  <c:v>Β' τρίμηνο 2017</c:v>
                </c:pt>
                <c:pt idx="12">
                  <c:v>Γ' τρίμηνο 2017</c:v>
                </c:pt>
                <c:pt idx="13">
                  <c:v>Δ' τρίμηνο 2017</c:v>
                </c:pt>
                <c:pt idx="14">
                  <c:v>Α' τρίμηνο 2018</c:v>
                </c:pt>
                <c:pt idx="15">
                  <c:v>Β' τρίμηνο 2018</c:v>
                </c:pt>
                <c:pt idx="16">
                  <c:v>Γ' τρίμηνο 2018</c:v>
                </c:pt>
                <c:pt idx="17">
                  <c:v>Δ' τρίμηνο 2018</c:v>
                </c:pt>
                <c:pt idx="18">
                  <c:v>Α' τρίμηνο 2019</c:v>
                </c:pt>
                <c:pt idx="19">
                  <c:v>B' τρίμηνο 2019</c:v>
                </c:pt>
                <c:pt idx="20">
                  <c:v>Γ' τρίμηνο 2019</c:v>
                </c:pt>
              </c:strCache>
            </c:strRef>
          </c:cat>
          <c:val>
            <c:numRef>
              <c:f>Sheet1!$B$11:$X$11</c:f>
            </c:numRef>
          </c:val>
        </c:ser>
        <c:ser>
          <c:idx val="2"/>
          <c:order val="2"/>
          <c:tx>
            <c:strRef>
              <c:f>Sheet1!$A$12</c:f>
              <c:strCache>
                <c:ptCount val="1"/>
                <c:pt idx="0">
                  <c:v>Time &amp; other</c:v>
                </c:pt>
              </c:strCache>
            </c:strRef>
          </c:tx>
          <c:dLbls>
            <c:spPr>
              <a:noFill/>
              <a:ln>
                <a:noFill/>
              </a:ln>
              <a:effectLst/>
            </c:spPr>
            <c:txPr>
              <a:bodyPr/>
              <a:lstStyle/>
              <a:p>
                <a:pPr>
                  <a:defRPr sz="799"/>
                </a:pPr>
                <a:endParaRPr lang="el-GR"/>
              </a:p>
            </c:txPr>
            <c:showVal val="1"/>
            <c:extLst>
              <c:ext xmlns:c15="http://schemas.microsoft.com/office/drawing/2012/chart" uri="{CE6537A1-D6FC-4f65-9D91-7224C49458BB}">
                <c15:showLeaderLines val="0"/>
              </c:ext>
            </c:extLst>
          </c:dLbls>
          <c:cat>
            <c:strRef>
              <c:f>Sheet1!$B$9:$X$9</c:f>
              <c:strCache>
                <c:ptCount val="21"/>
                <c:pt idx="0">
                  <c:v>Δ' τρίμηνο 2014</c:v>
                </c:pt>
                <c:pt idx="1">
                  <c:v>Α' τρίμηνο 2015</c:v>
                </c:pt>
                <c:pt idx="2">
                  <c:v>Β' τρίμηνο 2015</c:v>
                </c:pt>
                <c:pt idx="4">
                  <c:v>Γ' τρίμηνο 2015</c:v>
                </c:pt>
                <c:pt idx="5">
                  <c:v>Δ' τρίμηνο 2015</c:v>
                </c:pt>
                <c:pt idx="6">
                  <c:v>Α' τρίμηνο 2016</c:v>
                </c:pt>
                <c:pt idx="7">
                  <c:v>Β' τρίμηνο 2016</c:v>
                </c:pt>
                <c:pt idx="8">
                  <c:v>Γ' τρίμηνο 2016</c:v>
                </c:pt>
                <c:pt idx="9">
                  <c:v>Δ' τρίμηνο 2016</c:v>
                </c:pt>
                <c:pt idx="10">
                  <c:v>Α' τρίμηνο 2017</c:v>
                </c:pt>
                <c:pt idx="11">
                  <c:v>Β' τρίμηνο 2017</c:v>
                </c:pt>
                <c:pt idx="12">
                  <c:v>Γ' τρίμηνο 2017</c:v>
                </c:pt>
                <c:pt idx="13">
                  <c:v>Δ' τρίμηνο 2017</c:v>
                </c:pt>
                <c:pt idx="14">
                  <c:v>Α' τρίμηνο 2018</c:v>
                </c:pt>
                <c:pt idx="15">
                  <c:v>Β' τρίμηνο 2018</c:v>
                </c:pt>
                <c:pt idx="16">
                  <c:v>Γ' τρίμηνο 2018</c:v>
                </c:pt>
                <c:pt idx="17">
                  <c:v>Δ' τρίμηνο 2018</c:v>
                </c:pt>
                <c:pt idx="18">
                  <c:v>Α' τρίμηνο 2019</c:v>
                </c:pt>
                <c:pt idx="19">
                  <c:v>B' τρίμηνο 2019</c:v>
                </c:pt>
                <c:pt idx="20">
                  <c:v>Γ' τρίμηνο 2019</c:v>
                </c:pt>
              </c:strCache>
            </c:strRef>
          </c:cat>
          <c:val>
            <c:numRef>
              <c:f>Sheet1!$B$12:$X$12</c:f>
            </c:numRef>
          </c:val>
        </c:ser>
        <c:ser>
          <c:idx val="3"/>
          <c:order val="3"/>
          <c:tx>
            <c:strRef>
              <c:f>Sheet1!$A$13</c:f>
              <c:strCache>
                <c:ptCount val="1"/>
                <c:pt idx="0">
                  <c:v>Total</c:v>
                </c:pt>
              </c:strCache>
            </c:strRef>
          </c:tx>
          <c:spPr>
            <a:solidFill>
              <a:schemeClr val="bg1"/>
            </a:solidFill>
            <a:ln>
              <a:solidFill>
                <a:srgbClr val="008080"/>
              </a:solidFill>
            </a:ln>
          </c:spPr>
          <c:dPt>
            <c:idx val="3"/>
            <c:spPr>
              <a:noFill/>
              <a:ln>
                <a:solidFill>
                  <a:srgbClr val="008080"/>
                </a:solidFill>
              </a:ln>
            </c:spPr>
          </c:dPt>
          <c:dPt>
            <c:idx val="4"/>
            <c:spPr>
              <a:noFill/>
              <a:ln>
                <a:solidFill>
                  <a:srgbClr val="008080"/>
                </a:solidFill>
              </a:ln>
            </c:spPr>
          </c:dPt>
          <c:dPt>
            <c:idx val="5"/>
            <c:spPr>
              <a:noFill/>
              <a:ln>
                <a:solidFill>
                  <a:srgbClr val="008080"/>
                </a:solidFill>
              </a:ln>
            </c:spPr>
          </c:dPt>
          <c:dPt>
            <c:idx val="6"/>
            <c:spPr>
              <a:solidFill>
                <a:srgbClr val="FF0000"/>
              </a:solidFill>
              <a:ln>
                <a:solidFill>
                  <a:srgbClr val="FF0000"/>
                </a:solidFill>
              </a:ln>
            </c:spPr>
          </c:dPt>
          <c:dPt>
            <c:idx val="10"/>
            <c:spPr>
              <a:solidFill>
                <a:srgbClr val="FF0000"/>
              </a:solidFill>
              <a:ln>
                <a:solidFill>
                  <a:srgbClr val="FF0000"/>
                </a:solidFill>
              </a:ln>
            </c:spPr>
          </c:dPt>
          <c:dPt>
            <c:idx val="18"/>
            <c:spPr>
              <a:solidFill>
                <a:srgbClr val="FF0000"/>
              </a:solidFill>
              <a:ln>
                <a:solidFill>
                  <a:srgbClr val="FF0000"/>
                </a:solidFill>
              </a:ln>
            </c:spPr>
          </c:dPt>
          <c:dPt>
            <c:idx val="20"/>
            <c:spPr>
              <a:solidFill>
                <a:srgbClr val="FF0000"/>
              </a:solidFill>
              <a:ln>
                <a:solidFill>
                  <a:srgbClr val="FF0000"/>
                </a:solidFill>
              </a:ln>
            </c:spPr>
          </c:dPt>
          <c:dLbls>
            <c:dLbl>
              <c:idx val="0"/>
              <c:layout>
                <c:manualLayout>
                  <c:x val="3.1523644470876889E-3"/>
                  <c:y val="-0.14715965920897681"/>
                </c:manualLayout>
              </c:layout>
              <c:dLblPos val="ctr"/>
              <c:showVal val="1"/>
              <c:extLst>
                <c:ext xmlns:c15="http://schemas.microsoft.com/office/drawing/2012/chart" uri="{CE6537A1-D6FC-4f65-9D91-7224C49458BB}"/>
              </c:extLst>
            </c:dLbl>
            <c:dLbl>
              <c:idx val="1"/>
              <c:layout>
                <c:manualLayout>
                  <c:x val="-7.1258329564561664E-3"/>
                  <c:y val="-0.20277287525109092"/>
                </c:manualLayout>
              </c:layout>
              <c:dLblPos val="ctr"/>
              <c:showVal val="1"/>
              <c:extLst>
                <c:ext xmlns:c15="http://schemas.microsoft.com/office/drawing/2012/chart" uri="{CE6537A1-D6FC-4f65-9D91-7224C49458BB}">
                  <c15:layout>
                    <c:manualLayout>
                      <c:w val="7.9012897886724373E-2"/>
                      <c:h val="0.10469820599847614"/>
                    </c:manualLayout>
                  </c15:layout>
                </c:ext>
              </c:extLst>
            </c:dLbl>
            <c:dLbl>
              <c:idx val="2"/>
              <c:layout>
                <c:manualLayout>
                  <c:x val="-2.7790450668971458E-3"/>
                  <c:y val="-0.18118224007757841"/>
                </c:manualLayout>
              </c:layout>
              <c:dLblPos val="ctr"/>
              <c:showVal val="1"/>
              <c:extLst>
                <c:ext xmlns:c15="http://schemas.microsoft.com/office/drawing/2012/chart" uri="{CE6537A1-D6FC-4f65-9D91-7224C49458BB}"/>
              </c:extLst>
            </c:dLbl>
            <c:dLbl>
              <c:idx val="3"/>
              <c:layout>
                <c:manualLayout>
                  <c:x val="-5.3796216269080179E-3"/>
                  <c:y val="-9.8127311768373013E-2"/>
                </c:manualLayout>
              </c:layout>
              <c:dLblPos val="ctr"/>
              <c:showVal val="1"/>
              <c:extLst>
                <c:ext xmlns:c15="http://schemas.microsoft.com/office/drawing/2012/chart" uri="{CE6537A1-D6FC-4f65-9D91-7224C49458BB}"/>
              </c:extLst>
            </c:dLbl>
            <c:dLbl>
              <c:idx val="4"/>
              <c:layout>
                <c:manualLayout>
                  <c:x val="-3.525807936114728E-3"/>
                  <c:y val="-8.712114705271172E-2"/>
                </c:manualLayout>
              </c:layout>
              <c:dLblPos val="ctr"/>
              <c:showVal val="1"/>
              <c:extLst>
                <c:ext xmlns:c15="http://schemas.microsoft.com/office/drawing/2012/chart" uri="{CE6537A1-D6FC-4f65-9D91-7224C49458BB}">
                  <c15:layout>
                    <c:manualLayout>
                      <c:w val="6.6196426559092428E-2"/>
                      <c:h val="8.3585786520745303E-2"/>
                    </c:manualLayout>
                  </c15:layout>
                </c:ext>
              </c:extLst>
            </c:dLbl>
            <c:dLbl>
              <c:idx val="5"/>
              <c:layout>
                <c:manualLayout>
                  <c:x val="3.2415840627040464E-3"/>
                  <c:y val="-8.6189651589665434E-2"/>
                </c:manualLayout>
              </c:layout>
              <c:dLblPos val="ctr"/>
              <c:showVal val="1"/>
              <c:extLst>
                <c:ext xmlns:c15="http://schemas.microsoft.com/office/drawing/2012/chart" uri="{CE6537A1-D6FC-4f65-9D91-7224C49458BB}"/>
              </c:extLst>
            </c:dLbl>
            <c:dLbl>
              <c:idx val="6"/>
              <c:layout>
                <c:manualLayout>
                  <c:x val="6.4829805171120738E-3"/>
                  <c:y val="-7.6192006649580937E-2"/>
                </c:manualLayout>
              </c:layout>
              <c:dLblPos val="ctr"/>
              <c:showVal val="1"/>
              <c:extLst>
                <c:ext xmlns:c15="http://schemas.microsoft.com/office/drawing/2012/chart" uri="{CE6537A1-D6FC-4f65-9D91-7224C49458BB}"/>
              </c:extLst>
            </c:dLbl>
            <c:dLbl>
              <c:idx val="7"/>
              <c:layout>
                <c:manualLayout>
                  <c:x val="-2.8280088240000971E-4"/>
                  <c:y val="-9.6566876774953306E-2"/>
                </c:manualLayout>
              </c:layout>
              <c:dLblPos val="ctr"/>
              <c:showVal val="1"/>
              <c:extLst>
                <c:ext xmlns:c15="http://schemas.microsoft.com/office/drawing/2012/chart" uri="{CE6537A1-D6FC-4f65-9D91-7224C49458BB}"/>
              </c:extLst>
            </c:dLbl>
            <c:dLbl>
              <c:idx val="8"/>
              <c:layout>
                <c:manualLayout>
                  <c:x val="3.5242675738577814E-3"/>
                  <c:y val="-9.8242571171296048E-2"/>
                </c:manualLayout>
              </c:layout>
              <c:dLblPos val="ctr"/>
              <c:showVal val="1"/>
              <c:extLst>
                <c:ext xmlns:c15="http://schemas.microsoft.com/office/drawing/2012/chart" uri="{CE6537A1-D6FC-4f65-9D91-7224C49458BB}"/>
              </c:extLst>
            </c:dLbl>
            <c:dLbl>
              <c:idx val="9"/>
              <c:layout>
                <c:manualLayout>
                  <c:x val="0"/>
                  <c:y val="-8.1505021818937415E-2"/>
                </c:manualLayout>
              </c:layout>
              <c:dLblPos val="ctr"/>
              <c:showVal val="1"/>
              <c:extLst>
                <c:ext xmlns:c15="http://schemas.microsoft.com/office/drawing/2012/chart" uri="{CE6537A1-D6FC-4f65-9D91-7224C49458BB}"/>
              </c:extLst>
            </c:dLbl>
            <c:dLbl>
              <c:idx val="10"/>
              <c:layout>
                <c:manualLayout>
                  <c:x val="2.3044754641899389E-3"/>
                  <c:y val="-9.3452379303179289E-2"/>
                </c:manualLayout>
              </c:layout>
              <c:dLblPos val="ctr"/>
              <c:showVal val="1"/>
              <c:extLst>
                <c:ext xmlns:c15="http://schemas.microsoft.com/office/drawing/2012/chart" uri="{CE6537A1-D6FC-4f65-9D91-7224C49458BB}">
                  <c15:layout>
                    <c:manualLayout>
                      <c:w val="8.1006656982702527E-2"/>
                      <c:h val="9.820821500311698E-2"/>
                    </c:manualLayout>
                  </c15:layout>
                </c:ext>
              </c:extLst>
            </c:dLbl>
            <c:dLbl>
              <c:idx val="11"/>
              <c:layout>
                <c:manualLayout>
                  <c:x val="-2.6764611539638918E-3"/>
                  <c:y val="-8.2896446630186374E-2"/>
                </c:manualLayout>
              </c:layout>
              <c:dLblPos val="ctr"/>
              <c:showVal val="1"/>
              <c:extLst>
                <c:ext xmlns:c15="http://schemas.microsoft.com/office/drawing/2012/chart" uri="{CE6537A1-D6FC-4f65-9D91-7224C49458BB}"/>
              </c:extLst>
            </c:dLbl>
            <c:dLbl>
              <c:idx val="12"/>
              <c:layout>
                <c:manualLayout>
                  <c:x val="3.2414902585560699E-3"/>
                  <c:y val="-0.11708914594444828"/>
                </c:manualLayout>
              </c:layout>
              <c:dLblPos val="ctr"/>
              <c:showVal val="1"/>
              <c:extLst>
                <c:ext xmlns:c15="http://schemas.microsoft.com/office/drawing/2012/chart" uri="{CE6537A1-D6FC-4f65-9D91-7224C49458BB}"/>
              </c:extLst>
            </c:dLbl>
            <c:dLbl>
              <c:idx val="13"/>
              <c:layout>
                <c:manualLayout>
                  <c:x val="3.1003068881690866E-3"/>
                  <c:y val="-9.6323058807231451E-2"/>
                </c:manualLayout>
              </c:layout>
              <c:dLblPos val="ctr"/>
              <c:showVal val="1"/>
              <c:extLst>
                <c:ext xmlns:c15="http://schemas.microsoft.com/office/drawing/2012/chart" uri="{CE6537A1-D6FC-4f65-9D91-7224C49458BB}"/>
              </c:extLst>
            </c:dLbl>
            <c:dLbl>
              <c:idx val="14"/>
              <c:layout>
                <c:manualLayout>
                  <c:x val="-2.9783583570155816E-3"/>
                  <c:y val="-7.5619588557179471E-2"/>
                </c:manualLayout>
              </c:layout>
              <c:dLblPos val="ctr"/>
              <c:showVal val="1"/>
              <c:extLst>
                <c:ext xmlns:c15="http://schemas.microsoft.com/office/drawing/2012/chart" uri="{CE6537A1-D6FC-4f65-9D91-7224C49458BB}"/>
              </c:extLst>
            </c:dLbl>
            <c:dLbl>
              <c:idx val="15"/>
              <c:layout>
                <c:manualLayout>
                  <c:x val="5.9567167140310573E-3"/>
                  <c:y val="-0.10376948119415391"/>
                </c:manualLayout>
              </c:layout>
              <c:dLblPos val="ctr"/>
              <c:showVal val="1"/>
              <c:extLst>
                <c:ext xmlns:c15="http://schemas.microsoft.com/office/drawing/2012/chart" uri="{CE6537A1-D6FC-4f65-9D91-7224C49458BB}"/>
              </c:extLst>
            </c:dLbl>
            <c:dLbl>
              <c:idx val="16"/>
              <c:layout>
                <c:manualLayout>
                  <c:x val="0"/>
                  <c:y val="-7.0326551820616381E-2"/>
                </c:manualLayout>
              </c:layout>
              <c:dLblPos val="ctr"/>
              <c:showVal val="1"/>
              <c:extLst>
                <c:ext xmlns:c15="http://schemas.microsoft.com/office/drawing/2012/chart" uri="{CE6537A1-D6FC-4f65-9D91-7224C49458BB}"/>
              </c:extLst>
            </c:dLbl>
            <c:dLbl>
              <c:idx val="17"/>
              <c:layout>
                <c:manualLayout>
                  <c:x val="0"/>
                  <c:y val="-0.11270856371379974"/>
                </c:manualLayout>
              </c:layout>
              <c:dLblPos val="ctr"/>
              <c:showVal val="1"/>
              <c:extLst>
                <c:ext xmlns:c15="http://schemas.microsoft.com/office/drawing/2012/chart" uri="{CE6537A1-D6FC-4f65-9D91-7224C49458BB}"/>
              </c:extLst>
            </c:dLbl>
            <c:dLbl>
              <c:idx val="18"/>
              <c:layout>
                <c:manualLayout>
                  <c:x val="-1.6871617667133394E-16"/>
                  <c:y val="-7.7367867087680064E-2"/>
                </c:manualLayout>
              </c:layout>
              <c:dLblPos val="ctr"/>
              <c:showVal val="1"/>
              <c:extLst>
                <c:ext xmlns:c15="http://schemas.microsoft.com/office/drawing/2012/chart" uri="{CE6537A1-D6FC-4f65-9D91-7224C49458BB}"/>
              </c:extLst>
            </c:dLbl>
            <c:dLbl>
              <c:idx val="19"/>
              <c:layout>
                <c:manualLayout>
                  <c:x val="0"/>
                  <c:y val="-7.9829784590535677E-2"/>
                </c:manualLayout>
              </c:layout>
              <c:dLblPos val="ctr"/>
              <c:showVal val="1"/>
              <c:extLst>
                <c:ext xmlns:c15="http://schemas.microsoft.com/office/drawing/2012/chart" uri="{CE6537A1-D6FC-4f65-9D91-7224C49458BB}"/>
              </c:extLst>
            </c:dLbl>
            <c:dLbl>
              <c:idx val="20"/>
              <c:layout>
                <c:manualLayout>
                  <c:x val="2.3007017140226089E-3"/>
                  <c:y val="-5.6069825591327678E-2"/>
                </c:manualLayout>
              </c:layout>
              <c:dLblPos val="ctr"/>
              <c:showVal val="1"/>
              <c:extLst>
                <c:ext xmlns:c15="http://schemas.microsoft.com/office/drawing/2012/chart" uri="{CE6537A1-D6FC-4f65-9D91-7224C49458BB}"/>
              </c:extLst>
            </c:dLbl>
            <c:spPr>
              <a:solidFill>
                <a:schemeClr val="bg1"/>
              </a:solidFill>
              <a:ln>
                <a:noFill/>
              </a:ln>
              <a:effectLst/>
            </c:spPr>
            <c:txPr>
              <a:bodyPr wrap="square" lIns="38100" tIns="19050" rIns="38100" bIns="19050" anchor="ctr">
                <a:spAutoFit/>
              </a:bodyPr>
              <a:lstStyle/>
              <a:p>
                <a:pPr>
                  <a:defRPr sz="600"/>
                </a:pPr>
                <a:endParaRPr lang="el-GR"/>
              </a:p>
            </c:txPr>
            <c:dLblPos val="inEnd"/>
            <c:showVal val="1"/>
            <c:extLst>
              <c:ext xmlns:c15="http://schemas.microsoft.com/office/drawing/2012/chart" uri="{CE6537A1-D6FC-4f65-9D91-7224C49458BB}">
                <c15:showLeaderLines val="0"/>
              </c:ext>
            </c:extLst>
          </c:dLbls>
          <c:cat>
            <c:strRef>
              <c:f>Sheet1!$B$9:$X$9</c:f>
              <c:strCache>
                <c:ptCount val="21"/>
                <c:pt idx="0">
                  <c:v>Δ' τρίμηνο 2014</c:v>
                </c:pt>
                <c:pt idx="1">
                  <c:v>Α' τρίμηνο 2015</c:v>
                </c:pt>
                <c:pt idx="2">
                  <c:v>Β' τρίμηνο 2015</c:v>
                </c:pt>
                <c:pt idx="4">
                  <c:v>Γ' τρίμηνο 2015</c:v>
                </c:pt>
                <c:pt idx="5">
                  <c:v>Δ' τρίμηνο 2015</c:v>
                </c:pt>
                <c:pt idx="6">
                  <c:v>Α' τρίμηνο 2016</c:v>
                </c:pt>
                <c:pt idx="7">
                  <c:v>Β' τρίμηνο 2016</c:v>
                </c:pt>
                <c:pt idx="8">
                  <c:v>Γ' τρίμηνο 2016</c:v>
                </c:pt>
                <c:pt idx="9">
                  <c:v>Δ' τρίμηνο 2016</c:v>
                </c:pt>
                <c:pt idx="10">
                  <c:v>Α' τρίμηνο 2017</c:v>
                </c:pt>
                <c:pt idx="11">
                  <c:v>Β' τρίμηνο 2017</c:v>
                </c:pt>
                <c:pt idx="12">
                  <c:v>Γ' τρίμηνο 2017</c:v>
                </c:pt>
                <c:pt idx="13">
                  <c:v>Δ' τρίμηνο 2017</c:v>
                </c:pt>
                <c:pt idx="14">
                  <c:v>Α' τρίμηνο 2018</c:v>
                </c:pt>
                <c:pt idx="15">
                  <c:v>Β' τρίμηνο 2018</c:v>
                </c:pt>
                <c:pt idx="16">
                  <c:v>Γ' τρίμηνο 2018</c:v>
                </c:pt>
                <c:pt idx="17">
                  <c:v>Δ' τρίμηνο 2018</c:v>
                </c:pt>
                <c:pt idx="18">
                  <c:v>Α' τρίμηνο 2019</c:v>
                </c:pt>
                <c:pt idx="19">
                  <c:v>B' τρίμηνο 2019</c:v>
                </c:pt>
                <c:pt idx="20">
                  <c:v>Γ' τρίμηνο 2019</c:v>
                </c:pt>
              </c:strCache>
            </c:strRef>
          </c:cat>
          <c:val>
            <c:numRef>
              <c:f>Sheet1!$B$13:$X$13</c:f>
              <c:numCache>
                <c:formatCode>0.0</c:formatCode>
                <c:ptCount val="21"/>
                <c:pt idx="0" formatCode="General">
                  <c:v>-2.2000000000000002</c:v>
                </c:pt>
                <c:pt idx="1">
                  <c:v>-4.8049999999999979</c:v>
                </c:pt>
                <c:pt idx="2">
                  <c:v>-3.5609999999999999</c:v>
                </c:pt>
                <c:pt idx="4">
                  <c:v>0.34500000000000008</c:v>
                </c:pt>
                <c:pt idx="5">
                  <c:v>0.79300000000000004</c:v>
                </c:pt>
                <c:pt idx="6">
                  <c:v>-0.89600000000000002</c:v>
                </c:pt>
                <c:pt idx="7">
                  <c:v>-4.0000000000000015E-2</c:v>
                </c:pt>
                <c:pt idx="8">
                  <c:v>0.28500000000000009</c:v>
                </c:pt>
                <c:pt idx="9">
                  <c:v>0.87700000000000022</c:v>
                </c:pt>
                <c:pt idx="10">
                  <c:v>-0.76500000000000024</c:v>
                </c:pt>
                <c:pt idx="11">
                  <c:v>0.161</c:v>
                </c:pt>
                <c:pt idx="12">
                  <c:v>0.46100000000000002</c:v>
                </c:pt>
                <c:pt idx="13">
                  <c:v>1.6819999999999995</c:v>
                </c:pt>
                <c:pt idx="14">
                  <c:v>3.9643839999997002E-2</c:v>
                </c:pt>
                <c:pt idx="15">
                  <c:v>0.86573805000000759</c:v>
                </c:pt>
                <c:pt idx="16">
                  <c:v>0.7558600200000003</c:v>
                </c:pt>
                <c:pt idx="17">
                  <c:v>1.695638139999996</c:v>
                </c:pt>
                <c:pt idx="18">
                  <c:v>-0.55729576000000092</c:v>
                </c:pt>
                <c:pt idx="19">
                  <c:v>0.42581741000000339</c:v>
                </c:pt>
                <c:pt idx="20">
                  <c:v>-0.17440170000000221</c:v>
                </c:pt>
              </c:numCache>
            </c:numRef>
          </c:val>
        </c:ser>
        <c:gapWidth val="500"/>
        <c:overlap val="100"/>
        <c:axId val="154179456"/>
        <c:axId val="154180992"/>
      </c:barChart>
      <c:catAx>
        <c:axId val="154179456"/>
        <c:scaling>
          <c:orientation val="minMax"/>
        </c:scaling>
        <c:axPos val="b"/>
        <c:numFmt formatCode="General" sourceLinked="1"/>
        <c:majorTickMark val="none"/>
        <c:tickLblPos val="low"/>
        <c:txPr>
          <a:bodyPr/>
          <a:lstStyle/>
          <a:p>
            <a:pPr>
              <a:defRPr sz="500"/>
            </a:pPr>
            <a:endParaRPr lang="el-GR"/>
          </a:p>
        </c:txPr>
        <c:crossAx val="154180992"/>
        <c:crosses val="autoZero"/>
        <c:auto val="1"/>
        <c:lblAlgn val="ctr"/>
        <c:lblOffset val="100"/>
      </c:catAx>
      <c:valAx>
        <c:axId val="154180992"/>
        <c:scaling>
          <c:orientation val="minMax"/>
          <c:min val="-10"/>
        </c:scaling>
        <c:delete val="1"/>
        <c:axPos val="l"/>
        <c:numFmt formatCode="General" sourceLinked="1"/>
        <c:tickLblPos val="none"/>
        <c:crossAx val="154179456"/>
        <c:crosses val="autoZero"/>
        <c:crossBetween val="between"/>
      </c:valAx>
      <c:spPr>
        <a:noFill/>
        <a:ln w="25375">
          <a:noFill/>
        </a:ln>
      </c:spPr>
    </c:plotArea>
    <c:plotVisOnly val="1"/>
    <c:dispBlanksAs val="gap"/>
  </c:chart>
  <c:spPr>
    <a:ln>
      <a:solidFill>
        <a:sysClr val="window" lastClr="FFFFFF"/>
      </a:solidFill>
    </a:ln>
  </c:spPr>
  <c:txPr>
    <a:bodyPr/>
    <a:lstStyle/>
    <a:p>
      <a:pPr>
        <a:defRPr sz="700">
          <a:latin typeface="Segoe UI" panose="020B0502040204020203" pitchFamily="34" charset="0"/>
          <a:cs typeface="Segoe UI" panose="020B0502040204020203" pitchFamily="34" charset="0"/>
        </a:defRPr>
      </a:pPr>
      <a:endParaRPr lang="el-GR"/>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0.66593</cdr:x>
      <cdr:y>0.61205</cdr:y>
    </cdr:from>
    <cdr:to>
      <cdr:x>0.73468</cdr:x>
      <cdr:y>0.70914</cdr:y>
    </cdr:to>
    <cdr:sp macro="" textlink="">
      <cdr:nvSpPr>
        <cdr:cNvPr id="2" name="TextBox 1"/>
        <cdr:cNvSpPr txBox="1"/>
      </cdr:nvSpPr>
      <cdr:spPr>
        <a:xfrm xmlns:a="http://schemas.openxmlformats.org/drawingml/2006/main">
          <a:off x="2398712" y="2401887"/>
          <a:ext cx="2476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82F5F-0271-425E-ACCF-C86BEA3B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5764</Words>
  <Characters>31126</Characters>
  <Application>Microsoft Office Word</Application>
  <DocSecurity>0</DocSecurity>
  <Lines>259</Lines>
  <Paragraphs>73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Εθνική Τράπεζα της Ελλάδος</Company>
  <LinksUpToDate>false</LinksUpToDate>
  <CharactersWithSpaces>36817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mkanellopoulou@nbg.gr</dc:creator>
  <cp:lastModifiedBy>Anastasia Kyrianidi Nikolaidi</cp:lastModifiedBy>
  <cp:revision>2</cp:revision>
  <cp:lastPrinted>2019-11-21T12:01:00Z</cp:lastPrinted>
  <dcterms:created xsi:type="dcterms:W3CDTF">2019-11-21T16:02:00Z</dcterms:created>
  <dcterms:modified xsi:type="dcterms:W3CDTF">2019-11-21T16:02:00Z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BANK\e40556</vt:lpwstr>
  </property>
  <property fmtid="{D5CDD505-2E9C-101B-9397-08002B2CF9AE}" pid="4" name="DLPManualFileClassificationLastModificationDate">
    <vt:lpwstr>1535699435</vt:lpwstr>
  </property>
  <property fmtid="{D5CDD505-2E9C-101B-9397-08002B2CF9AE}" pid="5" name="DLPManualFileClassificationVersion">
    <vt:lpwstr>10.0.300.68</vt:lpwstr>
  </property>
</Properties>
</file>