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9A" w:rsidRPr="00481ADF" w:rsidRDefault="003312AD" w:rsidP="0073379A">
      <w:pPr>
        <w:pStyle w:val="msotitle2"/>
        <w:widowControl w:val="0"/>
        <w:ind w:left="720" w:firstLine="720"/>
        <w:jc w:val="right"/>
        <w:rPr>
          <w:rFonts w:ascii="Arial" w:hAnsi="Arial" w:cs="Arial"/>
          <w:b w:val="0"/>
          <w:bCs w:val="0"/>
          <w:color w:val="000080"/>
          <w:sz w:val="18"/>
          <w:szCs w:val="18"/>
        </w:rPr>
      </w:pPr>
      <w:r w:rsidRPr="000437D7">
        <w:rPr>
          <w:noProof/>
          <w:color w:val="000080"/>
          <w:sz w:val="17"/>
          <w:szCs w:val="17"/>
        </w:rPr>
        <w:pict>
          <v:roundrect id="_x0000_s1447" style="position:absolute;left:0;text-align:left;margin-left:-125.65pt;margin-top:71.05pt;width:496.7pt;height:682.95pt;z-index:-21;visibility:visible;mso-wrap-edited:f;mso-wrap-distance-left:2.88pt;mso-wrap-distance-top:2.88pt;mso-wrap-distance-right:2.88pt;mso-wrap-distance-bottom:2.88pt;mso-position-vertical-relative:page" arcsize="2658f" fillcolor="#dfe4e9" stroked="f" strokecolor="#e5f0f5" insetpen="t" o:cliptowrap="t">
            <v:shadow color="#ccc"/>
            <o:lock v:ext="edit" shapetype="t"/>
            <v:textbox inset="2.88pt,2.88pt,2.88pt,2.88pt"/>
            <w10:wrap anchory="page"/>
          </v:roundrect>
        </w:pict>
      </w:r>
      <w:r w:rsidR="0073379A" w:rsidRPr="00481ADF">
        <w:rPr>
          <w:rFonts w:ascii="Arial" w:hAnsi="Arial" w:cs="Arial"/>
          <w:b w:val="0"/>
          <w:bCs w:val="0"/>
          <w:color w:val="000080"/>
          <w:sz w:val="18"/>
          <w:szCs w:val="18"/>
        </w:rPr>
        <w:t xml:space="preserve">  </w:t>
      </w:r>
      <w:bookmarkStart w:id="0" w:name="OLE_LINK9"/>
      <w:bookmarkStart w:id="1" w:name="OLE_LINK10"/>
    </w:p>
    <w:p w:rsidR="003B09F1" w:rsidRPr="00F8065A" w:rsidRDefault="003B09F1" w:rsidP="003B09F1">
      <w:pPr>
        <w:pStyle w:val="2"/>
        <w:spacing w:line="240" w:lineRule="auto"/>
        <w:ind w:right="181"/>
        <w:jc w:val="both"/>
        <w:rPr>
          <w:bCs/>
          <w:color w:val="000080"/>
          <w:sz w:val="17"/>
          <w:szCs w:val="17"/>
          <w:lang w:val="en-US"/>
        </w:rPr>
      </w:pPr>
    </w:p>
    <w:p w:rsidR="004512E8" w:rsidRDefault="003312AD" w:rsidP="004512E8">
      <w:pPr>
        <w:pStyle w:val="2"/>
        <w:spacing w:line="240" w:lineRule="auto"/>
        <w:ind w:right="181"/>
        <w:jc w:val="both"/>
        <w:rPr>
          <w:bCs/>
          <w:color w:val="000080"/>
          <w:sz w:val="17"/>
          <w:szCs w:val="17"/>
        </w:rPr>
      </w:pPr>
      <w:r>
        <w:rPr>
          <w:noProof/>
        </w:rPr>
        <w:pict>
          <v:rect id="_x0000_s1033" style="position:absolute;left:0;text-align:left;margin-left:.75pt;margin-top:7.85pt;width:430.9pt;height:29pt;z-index:1" fillcolor="navy">
            <v:textbox style="mso-next-textbox:#_x0000_s1033">
              <w:txbxContent>
                <w:p w:rsidR="008B0D4A" w:rsidRPr="000A0BB6" w:rsidRDefault="008B0D4A" w:rsidP="0073379A">
                  <w:pPr>
                    <w:pStyle w:val="msotitle2"/>
                    <w:widowControl w:val="0"/>
                    <w:jc w:val="center"/>
                    <w:rPr>
                      <w:rFonts w:ascii="Arial" w:hAnsi="Arial" w:cs="Arial"/>
                      <w:color w:val="FFFFFF"/>
                      <w:sz w:val="28"/>
                      <w:szCs w:val="36"/>
                      <w:lang w:val="en-US"/>
                    </w:rPr>
                  </w:pPr>
                  <w:r w:rsidRPr="000A0BB6">
                    <w:rPr>
                      <w:rFonts w:ascii="Arial" w:hAnsi="Arial" w:cs="Arial"/>
                      <w:color w:val="FFFFFF"/>
                      <w:sz w:val="28"/>
                      <w:szCs w:val="36"/>
                    </w:rPr>
                    <w:t xml:space="preserve">Οικονομικά Στοιχεία </w:t>
                  </w:r>
                  <w:r>
                    <w:rPr>
                      <w:rFonts w:ascii="Arial" w:hAnsi="Arial" w:cs="Arial"/>
                      <w:color w:val="FFFFFF"/>
                      <w:sz w:val="28"/>
                      <w:szCs w:val="36"/>
                    </w:rPr>
                    <w:t xml:space="preserve">Α΄ </w:t>
                  </w:r>
                  <w:r w:rsidR="00DB08E9">
                    <w:rPr>
                      <w:rFonts w:ascii="Arial" w:hAnsi="Arial" w:cs="Arial"/>
                      <w:color w:val="FFFFFF"/>
                      <w:sz w:val="28"/>
                      <w:szCs w:val="36"/>
                    </w:rPr>
                    <w:t>Εξα</w:t>
                  </w:r>
                  <w:r>
                    <w:rPr>
                      <w:rFonts w:ascii="Arial" w:hAnsi="Arial" w:cs="Arial"/>
                      <w:color w:val="FFFFFF"/>
                      <w:sz w:val="28"/>
                      <w:szCs w:val="36"/>
                    </w:rPr>
                    <w:t>μήνου 2020</w:t>
                  </w:r>
                  <w:r w:rsidR="001950E3" w:rsidRPr="001950E3">
                    <w:rPr>
                      <w:rFonts w:ascii="Arial" w:hAnsi="Arial" w:cs="Arial"/>
                      <w:color w:val="FFFFFF"/>
                      <w:sz w:val="24"/>
                      <w:szCs w:val="36"/>
                      <w:vertAlign w:val="superscript"/>
                      <w:lang w:val="en-US"/>
                    </w:rPr>
                    <w:t>1</w:t>
                  </w:r>
                  <w:r w:rsidRPr="000A0BB6">
                    <w:rPr>
                      <w:rFonts w:ascii="Arial" w:hAnsi="Arial" w:cs="Arial"/>
                      <w:color w:val="FFFFFF"/>
                      <w:sz w:val="28"/>
                      <w:szCs w:val="36"/>
                      <w:lang w:val="en-US"/>
                    </w:rPr>
                    <w:t xml:space="preserve"> </w:t>
                  </w:r>
                </w:p>
              </w:txbxContent>
            </v:textbox>
          </v:rect>
        </w:pict>
      </w:r>
    </w:p>
    <w:p w:rsidR="00667B68" w:rsidRDefault="00667B68" w:rsidP="004512E8">
      <w:pPr>
        <w:pStyle w:val="2"/>
        <w:spacing w:line="240" w:lineRule="auto"/>
        <w:ind w:right="181"/>
        <w:jc w:val="both"/>
        <w:rPr>
          <w:bCs/>
          <w:color w:val="000080"/>
          <w:sz w:val="17"/>
          <w:szCs w:val="17"/>
          <w:lang w:val="en-US"/>
        </w:rPr>
      </w:pPr>
    </w:p>
    <w:p w:rsidR="00345735" w:rsidRDefault="00345735" w:rsidP="00345735">
      <w:pPr>
        <w:pStyle w:val="2"/>
        <w:spacing w:line="240" w:lineRule="auto"/>
        <w:ind w:left="284" w:right="185"/>
        <w:jc w:val="both"/>
        <w:rPr>
          <w:bCs/>
          <w:color w:val="C00000"/>
          <w:sz w:val="20"/>
        </w:rPr>
      </w:pPr>
    </w:p>
    <w:p w:rsidR="00FA76F1" w:rsidRDefault="00FA76F1" w:rsidP="00345735">
      <w:pPr>
        <w:pStyle w:val="2"/>
        <w:spacing w:line="240" w:lineRule="auto"/>
        <w:ind w:left="284" w:right="185"/>
        <w:jc w:val="both"/>
        <w:rPr>
          <w:bCs/>
          <w:color w:val="C00000"/>
          <w:sz w:val="20"/>
        </w:rPr>
      </w:pPr>
    </w:p>
    <w:p w:rsidR="00856474" w:rsidRDefault="00856474" w:rsidP="00856474">
      <w:pPr>
        <w:pStyle w:val="2"/>
        <w:spacing w:line="240" w:lineRule="auto"/>
        <w:ind w:left="284" w:right="185"/>
        <w:jc w:val="both"/>
        <w:rPr>
          <w:bCs/>
          <w:color w:val="000080"/>
        </w:rPr>
      </w:pPr>
    </w:p>
    <w:p w:rsidR="00B9204A" w:rsidRPr="000469A5" w:rsidRDefault="001950E3" w:rsidP="00B9204A">
      <w:pPr>
        <w:pStyle w:val="2"/>
        <w:spacing w:line="240" w:lineRule="auto"/>
        <w:ind w:right="185"/>
        <w:jc w:val="both"/>
        <w:rPr>
          <w:bCs/>
          <w:color w:val="E7E6E6"/>
        </w:rPr>
      </w:pPr>
      <w:r w:rsidRPr="000469A5">
        <w:rPr>
          <w:rStyle w:val="a7"/>
          <w:bCs/>
          <w:color w:val="E7E6E6"/>
        </w:rPr>
        <w:footnoteReference w:id="2"/>
      </w:r>
    </w:p>
    <w:p w:rsidR="00B9204A" w:rsidRDefault="00B9204A"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 xml:space="preserve">Ολοκλήρωση των συναλλαγών </w:t>
      </w:r>
      <w:r>
        <w:rPr>
          <w:bCs/>
          <w:color w:val="000080"/>
          <w:lang w:val="en-US"/>
        </w:rPr>
        <w:t>Cairo</w:t>
      </w:r>
      <w:r w:rsidRPr="00B9204A">
        <w:rPr>
          <w:bCs/>
          <w:color w:val="000080"/>
        </w:rPr>
        <w:t xml:space="preserve"> </w:t>
      </w:r>
      <w:r>
        <w:rPr>
          <w:bCs/>
          <w:color w:val="000080"/>
        </w:rPr>
        <w:t xml:space="preserve">&amp; </w:t>
      </w:r>
      <w:r>
        <w:rPr>
          <w:bCs/>
          <w:color w:val="000080"/>
          <w:lang w:val="en-US"/>
        </w:rPr>
        <w:t>FPS</w:t>
      </w:r>
      <w:r w:rsidR="003B0E34">
        <w:rPr>
          <w:bCs/>
          <w:color w:val="000080"/>
        </w:rPr>
        <w:t xml:space="preserve"> τον Ιούνιο</w:t>
      </w:r>
      <w:r w:rsidRPr="00B9204A">
        <w:rPr>
          <w:bCs/>
          <w:color w:val="000080"/>
        </w:rPr>
        <w:t xml:space="preserve"> </w:t>
      </w:r>
    </w:p>
    <w:p w:rsidR="00B9204A" w:rsidRDefault="00B9204A" w:rsidP="003B0E34">
      <w:pPr>
        <w:pStyle w:val="2"/>
        <w:spacing w:line="240" w:lineRule="auto"/>
        <w:ind w:left="284" w:right="185"/>
        <w:jc w:val="both"/>
        <w:rPr>
          <w:bCs/>
          <w:color w:val="000080"/>
        </w:rPr>
      </w:pPr>
    </w:p>
    <w:p w:rsidR="00B9204A" w:rsidRDefault="00B9204A" w:rsidP="003B0E34">
      <w:pPr>
        <w:pStyle w:val="2"/>
        <w:spacing w:line="240" w:lineRule="auto"/>
        <w:ind w:left="284" w:right="185"/>
        <w:jc w:val="both"/>
        <w:rPr>
          <w:bCs/>
          <w:color w:val="000080"/>
        </w:rPr>
      </w:pPr>
      <w:r>
        <w:rPr>
          <w:bCs/>
          <w:color w:val="000080"/>
        </w:rPr>
        <w:t xml:space="preserve"> </w:t>
      </w:r>
    </w:p>
    <w:p w:rsidR="003B0E34" w:rsidRDefault="003B0E34"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Μείωση του δ</w:t>
      </w:r>
      <w:r w:rsidR="005A76A9">
        <w:rPr>
          <w:bCs/>
          <w:color w:val="000080"/>
        </w:rPr>
        <w:t xml:space="preserve">είκτη </w:t>
      </w:r>
      <w:r w:rsidR="005A76A9">
        <w:rPr>
          <w:bCs/>
          <w:color w:val="000080"/>
          <w:lang w:val="en-US"/>
        </w:rPr>
        <w:t>NPEs</w:t>
      </w:r>
      <w:r>
        <w:rPr>
          <w:bCs/>
          <w:color w:val="000080"/>
        </w:rPr>
        <w:t xml:space="preserve"> κατά 17,5 ποσοστιαίες μονάδες σε ετήσια βάση στο</w:t>
      </w:r>
      <w:r w:rsidR="00DB08E9">
        <w:rPr>
          <w:bCs/>
          <w:color w:val="000080"/>
        </w:rPr>
        <w:t xml:space="preserve"> 15,3</w:t>
      </w:r>
      <w:r w:rsidR="005A76A9">
        <w:rPr>
          <w:bCs/>
          <w:color w:val="000080"/>
        </w:rPr>
        <w:t>%</w:t>
      </w:r>
      <w:r w:rsidR="00DA1071">
        <w:rPr>
          <w:bCs/>
          <w:color w:val="000080"/>
        </w:rPr>
        <w:t xml:space="preserve">, </w:t>
      </w:r>
      <w:r>
        <w:rPr>
          <w:bCs/>
          <w:color w:val="000080"/>
        </w:rPr>
        <w:t>το χαμηλότερο ποσοστό</w:t>
      </w:r>
      <w:r w:rsidR="00DA1071">
        <w:rPr>
          <w:bCs/>
          <w:color w:val="000080"/>
        </w:rPr>
        <w:t xml:space="preserve"> σ</w:t>
      </w:r>
      <w:r>
        <w:rPr>
          <w:bCs/>
          <w:color w:val="000080"/>
        </w:rPr>
        <w:t xml:space="preserve">το ελληνικό τραπεζικό σύστημα </w:t>
      </w:r>
    </w:p>
    <w:p w:rsidR="003B0E34" w:rsidRDefault="003B0E34" w:rsidP="003B0E34">
      <w:pPr>
        <w:pStyle w:val="2"/>
        <w:spacing w:line="240" w:lineRule="auto"/>
        <w:ind w:left="284" w:right="185"/>
        <w:jc w:val="both"/>
        <w:rPr>
          <w:bCs/>
          <w:color w:val="000080"/>
        </w:rPr>
      </w:pPr>
    </w:p>
    <w:p w:rsidR="003B0E34" w:rsidRDefault="003B0E34" w:rsidP="003B0E34">
      <w:pPr>
        <w:pStyle w:val="2"/>
        <w:spacing w:line="240" w:lineRule="auto"/>
        <w:ind w:left="284" w:right="185"/>
        <w:jc w:val="both"/>
        <w:rPr>
          <w:bCs/>
          <w:color w:val="000080"/>
        </w:rPr>
      </w:pPr>
    </w:p>
    <w:p w:rsidR="00DB08E9" w:rsidRDefault="003B0E34"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Ενίσχυση του δ</w:t>
      </w:r>
      <w:r w:rsidR="00DA1071">
        <w:rPr>
          <w:bCs/>
          <w:color w:val="000080"/>
        </w:rPr>
        <w:t>ε</w:t>
      </w:r>
      <w:r w:rsidR="005A76A9">
        <w:rPr>
          <w:bCs/>
          <w:color w:val="000080"/>
        </w:rPr>
        <w:t>ίκτη π</w:t>
      </w:r>
      <w:r w:rsidR="005A76A9" w:rsidRPr="0038799F">
        <w:rPr>
          <w:bCs/>
          <w:color w:val="000080"/>
        </w:rPr>
        <w:t>ροβλέψεων προς μη εξυπηρετούμενα ανοίγματα</w:t>
      </w:r>
      <w:r w:rsidR="005A76A9">
        <w:rPr>
          <w:bCs/>
          <w:color w:val="000080"/>
        </w:rPr>
        <w:t xml:space="preserve"> </w:t>
      </w:r>
      <w:r>
        <w:rPr>
          <w:bCs/>
          <w:color w:val="000080"/>
        </w:rPr>
        <w:t xml:space="preserve">κατά 610 μονάδες βάσης σε ετήσια βάση σε </w:t>
      </w:r>
      <w:r w:rsidR="005A76A9">
        <w:rPr>
          <w:bCs/>
          <w:color w:val="000080"/>
        </w:rPr>
        <w:t>60</w:t>
      </w:r>
      <w:r w:rsidR="00DB08E9">
        <w:rPr>
          <w:bCs/>
          <w:color w:val="000080"/>
        </w:rPr>
        <w:t>,6</w:t>
      </w:r>
      <w:r w:rsidR="005A76A9">
        <w:rPr>
          <w:bCs/>
          <w:color w:val="000080"/>
        </w:rPr>
        <w:t>%</w:t>
      </w:r>
    </w:p>
    <w:p w:rsidR="00DB08E9" w:rsidRDefault="00DB08E9" w:rsidP="003B0E34">
      <w:pPr>
        <w:pStyle w:val="2"/>
        <w:spacing w:line="240" w:lineRule="auto"/>
        <w:ind w:left="284" w:right="185"/>
        <w:jc w:val="both"/>
        <w:rPr>
          <w:bCs/>
          <w:color w:val="000080"/>
        </w:rPr>
      </w:pPr>
    </w:p>
    <w:p w:rsidR="00DB08E9" w:rsidRDefault="00DB08E9" w:rsidP="003B0E34">
      <w:pPr>
        <w:pStyle w:val="2"/>
        <w:spacing w:line="240" w:lineRule="auto"/>
        <w:ind w:left="284" w:right="185"/>
        <w:jc w:val="both"/>
        <w:rPr>
          <w:bCs/>
          <w:color w:val="000080"/>
        </w:rPr>
      </w:pPr>
    </w:p>
    <w:p w:rsidR="00DB08E9" w:rsidRDefault="00DB08E9" w:rsidP="003B0E34">
      <w:pPr>
        <w:pStyle w:val="2"/>
        <w:numPr>
          <w:ilvl w:val="0"/>
          <w:numId w:val="1"/>
        </w:numPr>
        <w:tabs>
          <w:tab w:val="clear" w:pos="1287"/>
          <w:tab w:val="num" w:pos="-643"/>
        </w:tabs>
        <w:spacing w:line="240" w:lineRule="auto"/>
        <w:ind w:left="284" w:right="185" w:hanging="284"/>
        <w:jc w:val="both"/>
        <w:rPr>
          <w:bCs/>
          <w:color w:val="000080"/>
        </w:rPr>
      </w:pPr>
      <w:r w:rsidRPr="00DB08E9">
        <w:rPr>
          <w:bCs/>
          <w:color w:val="000080"/>
        </w:rPr>
        <w:t>Καθαρά κέρδη</w:t>
      </w:r>
      <w:r w:rsidRPr="00BF27F3">
        <w:rPr>
          <w:rStyle w:val="a7"/>
          <w:b w:val="0"/>
          <w:bCs/>
          <w:color w:val="000080"/>
        </w:rPr>
        <w:footnoteReference w:id="3"/>
      </w:r>
      <w:r w:rsidRPr="00DB08E9">
        <w:rPr>
          <w:bCs/>
          <w:color w:val="000080"/>
        </w:rPr>
        <w:t xml:space="preserve"> </w:t>
      </w:r>
      <w:r>
        <w:rPr>
          <w:bCs/>
          <w:color w:val="000080"/>
        </w:rPr>
        <w:t>€176εκ. το Α΄ εξάμηνο 2020 έναντι €97εκ. την αντίστοιχη περυσινή περίοδο</w:t>
      </w:r>
    </w:p>
    <w:p w:rsidR="00DB08E9" w:rsidRDefault="00DB08E9" w:rsidP="003B0E34">
      <w:pPr>
        <w:pStyle w:val="2"/>
        <w:spacing w:line="240" w:lineRule="auto"/>
        <w:ind w:left="284" w:right="185"/>
        <w:jc w:val="both"/>
        <w:rPr>
          <w:bCs/>
          <w:color w:val="000080"/>
        </w:rPr>
      </w:pPr>
    </w:p>
    <w:p w:rsidR="00DB08E9" w:rsidRDefault="00DB08E9" w:rsidP="003B0E34">
      <w:pPr>
        <w:pStyle w:val="a8"/>
        <w:rPr>
          <w:bCs/>
          <w:color w:val="000080"/>
        </w:rPr>
      </w:pPr>
    </w:p>
    <w:p w:rsidR="00DB08E9" w:rsidRDefault="00DB08E9" w:rsidP="003B0E34">
      <w:pPr>
        <w:pStyle w:val="2"/>
        <w:numPr>
          <w:ilvl w:val="0"/>
          <w:numId w:val="1"/>
        </w:numPr>
        <w:tabs>
          <w:tab w:val="clear" w:pos="1287"/>
          <w:tab w:val="num" w:pos="-643"/>
        </w:tabs>
        <w:spacing w:line="240" w:lineRule="auto"/>
        <w:ind w:left="284" w:right="185" w:hanging="284"/>
        <w:jc w:val="both"/>
        <w:rPr>
          <w:bCs/>
          <w:color w:val="000080"/>
        </w:rPr>
      </w:pPr>
      <w:r w:rsidRPr="00DB08E9">
        <w:rPr>
          <w:bCs/>
          <w:color w:val="000080"/>
        </w:rPr>
        <w:t xml:space="preserve">Ενίσχυση οργανικών κερδών προ προβλέψεων </w:t>
      </w:r>
      <w:r>
        <w:rPr>
          <w:bCs/>
          <w:color w:val="000080"/>
        </w:rPr>
        <w:t>κατά 8,0</w:t>
      </w:r>
      <w:r w:rsidRPr="00DB08E9">
        <w:rPr>
          <w:bCs/>
          <w:color w:val="000080"/>
        </w:rPr>
        <w:t>% σε ετήσια βάση σε €</w:t>
      </w:r>
      <w:r>
        <w:rPr>
          <w:bCs/>
          <w:color w:val="000080"/>
        </w:rPr>
        <w:t>435</w:t>
      </w:r>
      <w:r w:rsidRPr="00DB08E9">
        <w:rPr>
          <w:bCs/>
          <w:color w:val="000080"/>
        </w:rPr>
        <w:t>εκ.</w:t>
      </w:r>
    </w:p>
    <w:p w:rsidR="0025071D" w:rsidRDefault="0025071D" w:rsidP="003B0E34">
      <w:pPr>
        <w:pStyle w:val="2"/>
        <w:spacing w:line="240" w:lineRule="auto"/>
        <w:ind w:left="284" w:right="185"/>
        <w:jc w:val="both"/>
        <w:rPr>
          <w:bCs/>
          <w:color w:val="000080"/>
        </w:rPr>
      </w:pPr>
    </w:p>
    <w:p w:rsidR="0025071D" w:rsidRDefault="0025071D" w:rsidP="003B0E34">
      <w:pPr>
        <w:pStyle w:val="2"/>
        <w:spacing w:line="240" w:lineRule="auto"/>
        <w:ind w:left="284" w:right="185"/>
        <w:jc w:val="both"/>
        <w:rPr>
          <w:bCs/>
          <w:color w:val="000080"/>
        </w:rPr>
      </w:pPr>
    </w:p>
    <w:p w:rsidR="0025071D" w:rsidRDefault="002423AA"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Δείκτης κ</w:t>
      </w:r>
      <w:r w:rsidR="0025071D">
        <w:rPr>
          <w:bCs/>
          <w:color w:val="000080"/>
        </w:rPr>
        <w:t>όστο</w:t>
      </w:r>
      <w:r>
        <w:rPr>
          <w:bCs/>
          <w:color w:val="000080"/>
        </w:rPr>
        <w:t>υ</w:t>
      </w:r>
      <w:r w:rsidR="0025071D">
        <w:rPr>
          <w:bCs/>
          <w:color w:val="000080"/>
        </w:rPr>
        <w:t>ς</w:t>
      </w:r>
      <w:r>
        <w:rPr>
          <w:bCs/>
          <w:color w:val="000080"/>
        </w:rPr>
        <w:t xml:space="preserve"> πιστωτικού</w:t>
      </w:r>
      <w:r w:rsidR="0025071D">
        <w:rPr>
          <w:bCs/>
          <w:color w:val="000080"/>
        </w:rPr>
        <w:t xml:space="preserve"> κινδύνου 1,4</w:t>
      </w:r>
      <w:r w:rsidR="003A3704">
        <w:rPr>
          <w:bCs/>
          <w:color w:val="000080"/>
        </w:rPr>
        <w:t>4</w:t>
      </w:r>
      <w:r w:rsidR="0025071D">
        <w:rPr>
          <w:bCs/>
          <w:color w:val="000080"/>
        </w:rPr>
        <w:t>% το Α΄ εξάμηνο 2020</w:t>
      </w:r>
    </w:p>
    <w:p w:rsidR="00DB08E9" w:rsidRDefault="00DB08E9" w:rsidP="003B0E34">
      <w:pPr>
        <w:pStyle w:val="a8"/>
        <w:rPr>
          <w:bCs/>
          <w:color w:val="000080"/>
        </w:rPr>
      </w:pPr>
    </w:p>
    <w:p w:rsidR="00DB08E9" w:rsidRDefault="00DB08E9" w:rsidP="003B0E34">
      <w:pPr>
        <w:pStyle w:val="a8"/>
        <w:rPr>
          <w:bCs/>
          <w:color w:val="000080"/>
        </w:rPr>
      </w:pPr>
    </w:p>
    <w:p w:rsidR="0025071D" w:rsidRDefault="0025071D" w:rsidP="003B0E34">
      <w:pPr>
        <w:pStyle w:val="2"/>
        <w:numPr>
          <w:ilvl w:val="0"/>
          <w:numId w:val="1"/>
        </w:numPr>
        <w:tabs>
          <w:tab w:val="clear" w:pos="1287"/>
          <w:tab w:val="num" w:pos="-643"/>
        </w:tabs>
        <w:spacing w:line="240" w:lineRule="auto"/>
        <w:ind w:left="284" w:right="185" w:hanging="284"/>
        <w:jc w:val="both"/>
        <w:rPr>
          <w:bCs/>
          <w:color w:val="000080"/>
        </w:rPr>
      </w:pPr>
      <w:r w:rsidRPr="0025071D">
        <w:rPr>
          <w:bCs/>
          <w:color w:val="000080"/>
        </w:rPr>
        <w:t>Αύξη</w:t>
      </w:r>
      <w:r w:rsidR="000432C9">
        <w:rPr>
          <w:bCs/>
          <w:color w:val="000080"/>
        </w:rPr>
        <w:t>ση ενήμερων χορηγήσεων κατά €1,3</w:t>
      </w:r>
      <w:r w:rsidRPr="0025071D">
        <w:rPr>
          <w:bCs/>
          <w:color w:val="000080"/>
        </w:rPr>
        <w:t xml:space="preserve">δισ. </w:t>
      </w:r>
      <w:r>
        <w:rPr>
          <w:bCs/>
          <w:color w:val="000080"/>
        </w:rPr>
        <w:t xml:space="preserve">το </w:t>
      </w:r>
      <w:r w:rsidR="002D1DDD">
        <w:rPr>
          <w:bCs/>
          <w:color w:val="000080"/>
        </w:rPr>
        <w:t>Α΄ εξάμηνο 2020</w:t>
      </w:r>
    </w:p>
    <w:p w:rsidR="002D1DDD" w:rsidRDefault="002D1DDD" w:rsidP="002D1DDD">
      <w:pPr>
        <w:pStyle w:val="2"/>
        <w:spacing w:line="240" w:lineRule="auto"/>
        <w:ind w:right="185"/>
        <w:jc w:val="both"/>
        <w:rPr>
          <w:bCs/>
          <w:color w:val="000080"/>
        </w:rPr>
      </w:pPr>
    </w:p>
    <w:p w:rsidR="002D1DDD" w:rsidRDefault="002D1DDD" w:rsidP="002D1DDD">
      <w:pPr>
        <w:pStyle w:val="2"/>
        <w:spacing w:line="240" w:lineRule="auto"/>
        <w:ind w:right="185"/>
        <w:jc w:val="both"/>
        <w:rPr>
          <w:bCs/>
          <w:color w:val="000080"/>
        </w:rPr>
      </w:pPr>
    </w:p>
    <w:p w:rsidR="002D1DDD" w:rsidRDefault="00CA5CDD"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Αύξηση καταθέσεων κατά €0,3</w:t>
      </w:r>
      <w:r w:rsidR="002D1DDD">
        <w:rPr>
          <w:bCs/>
          <w:color w:val="000080"/>
        </w:rPr>
        <w:t>δισ. από το τέλος του 2019</w:t>
      </w:r>
    </w:p>
    <w:p w:rsidR="0025071D" w:rsidRPr="0025071D" w:rsidRDefault="0025071D" w:rsidP="003B0E34">
      <w:pPr>
        <w:pStyle w:val="2"/>
        <w:spacing w:line="240" w:lineRule="auto"/>
        <w:ind w:left="284" w:right="185"/>
        <w:jc w:val="both"/>
        <w:rPr>
          <w:bCs/>
          <w:color w:val="000080"/>
        </w:rPr>
      </w:pPr>
    </w:p>
    <w:p w:rsidR="0025071D" w:rsidRDefault="0025071D" w:rsidP="003B0E34">
      <w:pPr>
        <w:pStyle w:val="2"/>
        <w:spacing w:line="240" w:lineRule="auto"/>
        <w:ind w:left="284" w:right="185"/>
        <w:jc w:val="both"/>
        <w:rPr>
          <w:bCs/>
          <w:color w:val="000080"/>
        </w:rPr>
      </w:pPr>
    </w:p>
    <w:p w:rsidR="00DB08E9" w:rsidRDefault="0025071D" w:rsidP="003B0E34">
      <w:pPr>
        <w:pStyle w:val="2"/>
        <w:numPr>
          <w:ilvl w:val="0"/>
          <w:numId w:val="1"/>
        </w:numPr>
        <w:tabs>
          <w:tab w:val="clear" w:pos="1287"/>
          <w:tab w:val="num" w:pos="-643"/>
        </w:tabs>
        <w:spacing w:line="240" w:lineRule="auto"/>
        <w:ind w:left="284" w:right="185" w:hanging="284"/>
        <w:jc w:val="both"/>
        <w:rPr>
          <w:bCs/>
          <w:color w:val="000080"/>
        </w:rPr>
      </w:pPr>
      <w:r>
        <w:rPr>
          <w:bCs/>
          <w:color w:val="000080"/>
        </w:rPr>
        <w:t>Βελτίωση του δ</w:t>
      </w:r>
      <w:r w:rsidR="00DB08E9" w:rsidRPr="00DB08E9">
        <w:rPr>
          <w:bCs/>
          <w:color w:val="000080"/>
        </w:rPr>
        <w:t>είκ</w:t>
      </w:r>
      <w:r>
        <w:rPr>
          <w:bCs/>
          <w:color w:val="000080"/>
        </w:rPr>
        <w:t>τη</w:t>
      </w:r>
      <w:r w:rsidR="00DB08E9" w:rsidRPr="00DB08E9">
        <w:rPr>
          <w:bCs/>
          <w:color w:val="000080"/>
        </w:rPr>
        <w:t xml:space="preserve"> χορηγήσεων προς καταθέσεις </w:t>
      </w:r>
      <w:r w:rsidR="002D1DDD">
        <w:rPr>
          <w:bCs/>
          <w:color w:val="000080"/>
        </w:rPr>
        <w:t>σε 81,6%</w:t>
      </w:r>
      <w:r w:rsidR="00DB08E9" w:rsidRPr="00DB08E9">
        <w:rPr>
          <w:bCs/>
          <w:color w:val="000080"/>
        </w:rPr>
        <w:t xml:space="preserve"> </w:t>
      </w:r>
      <w:r w:rsidR="003B0E34">
        <w:rPr>
          <w:bCs/>
          <w:color w:val="000080"/>
        </w:rPr>
        <w:t>από 86,5% ένα χρόνο πριν</w:t>
      </w:r>
    </w:p>
    <w:p w:rsidR="00DB08E9" w:rsidRDefault="00DB08E9" w:rsidP="003B0E34">
      <w:pPr>
        <w:pStyle w:val="2"/>
        <w:spacing w:line="240" w:lineRule="auto"/>
        <w:ind w:left="284" w:right="185"/>
        <w:jc w:val="both"/>
        <w:rPr>
          <w:bCs/>
          <w:color w:val="000080"/>
        </w:rPr>
      </w:pPr>
    </w:p>
    <w:p w:rsidR="00DB08E9" w:rsidRDefault="00DB08E9" w:rsidP="003B0E34">
      <w:pPr>
        <w:pStyle w:val="2"/>
        <w:spacing w:line="240" w:lineRule="auto"/>
        <w:ind w:left="284" w:right="185"/>
        <w:jc w:val="both"/>
        <w:rPr>
          <w:bCs/>
          <w:color w:val="000080"/>
        </w:rPr>
      </w:pPr>
    </w:p>
    <w:p w:rsidR="00DB08E9" w:rsidRPr="00DB08E9" w:rsidRDefault="00DB08E9" w:rsidP="003B0E34">
      <w:pPr>
        <w:pStyle w:val="2"/>
        <w:numPr>
          <w:ilvl w:val="0"/>
          <w:numId w:val="1"/>
        </w:numPr>
        <w:tabs>
          <w:tab w:val="clear" w:pos="1287"/>
          <w:tab w:val="num" w:pos="-643"/>
        </w:tabs>
        <w:spacing w:line="240" w:lineRule="auto"/>
        <w:ind w:left="284" w:right="185" w:hanging="284"/>
        <w:jc w:val="both"/>
        <w:rPr>
          <w:bCs/>
          <w:color w:val="000080"/>
        </w:rPr>
      </w:pPr>
      <w:r w:rsidRPr="00DB08E9">
        <w:rPr>
          <w:bCs/>
          <w:color w:val="000080"/>
        </w:rPr>
        <w:t>Δείκτης συνολικής κεφαλαιακής επάρκειας 1</w:t>
      </w:r>
      <w:r w:rsidR="0025071D">
        <w:rPr>
          <w:bCs/>
          <w:color w:val="000080"/>
        </w:rPr>
        <w:t>5,5</w:t>
      </w:r>
      <w:r w:rsidRPr="00DB08E9">
        <w:rPr>
          <w:bCs/>
          <w:color w:val="000080"/>
        </w:rPr>
        <w:t>%</w:t>
      </w:r>
      <w:r w:rsidR="0025071D">
        <w:rPr>
          <w:bCs/>
          <w:color w:val="000080"/>
        </w:rPr>
        <w:t>,</w:t>
      </w:r>
      <w:r w:rsidR="00267D72" w:rsidRPr="00267D72">
        <w:rPr>
          <w:bCs/>
          <w:color w:val="000080"/>
        </w:rPr>
        <w:t xml:space="preserve"> </w:t>
      </w:r>
      <w:r w:rsidR="00267D72">
        <w:rPr>
          <w:bCs/>
          <w:color w:val="000080"/>
        </w:rPr>
        <w:t>αυξημένος κατά 110 μονάδες βάσης στο Β΄ τρίμηνο - Δ</w:t>
      </w:r>
      <w:r w:rsidR="0025071D">
        <w:rPr>
          <w:bCs/>
          <w:color w:val="000080"/>
        </w:rPr>
        <w:t xml:space="preserve">είκτης </w:t>
      </w:r>
      <w:r w:rsidR="0025071D">
        <w:rPr>
          <w:bCs/>
          <w:color w:val="000080"/>
          <w:lang w:val="en-US"/>
        </w:rPr>
        <w:t>CET</w:t>
      </w:r>
      <w:r w:rsidR="0025071D" w:rsidRPr="0025071D">
        <w:rPr>
          <w:bCs/>
          <w:color w:val="000080"/>
        </w:rPr>
        <w:t>1 13,0%</w:t>
      </w:r>
    </w:p>
    <w:p w:rsidR="00DB08E9" w:rsidRDefault="00DB08E9" w:rsidP="00DB08E9">
      <w:pPr>
        <w:pStyle w:val="2"/>
        <w:spacing w:line="240" w:lineRule="auto"/>
        <w:ind w:left="284" w:right="185"/>
        <w:jc w:val="both"/>
        <w:rPr>
          <w:bCs/>
          <w:color w:val="000080"/>
        </w:rPr>
      </w:pPr>
    </w:p>
    <w:p w:rsidR="00DA1071" w:rsidRDefault="00DA1071" w:rsidP="00DA1071">
      <w:pPr>
        <w:pStyle w:val="2"/>
        <w:spacing w:line="240" w:lineRule="auto"/>
        <w:ind w:left="1080" w:right="185"/>
        <w:jc w:val="both"/>
        <w:rPr>
          <w:bCs/>
          <w:color w:val="000080"/>
        </w:rPr>
      </w:pPr>
    </w:p>
    <w:p w:rsidR="005A76A9" w:rsidRDefault="005A76A9" w:rsidP="005A76A9">
      <w:pPr>
        <w:pStyle w:val="2"/>
        <w:spacing w:line="240" w:lineRule="auto"/>
        <w:ind w:left="1080" w:right="185"/>
        <w:jc w:val="both"/>
        <w:rPr>
          <w:bCs/>
          <w:color w:val="000080"/>
        </w:rPr>
      </w:pPr>
    </w:p>
    <w:p w:rsidR="009D04F2" w:rsidRDefault="009D04F2" w:rsidP="009D04F2">
      <w:pPr>
        <w:pStyle w:val="2"/>
        <w:spacing w:line="240" w:lineRule="auto"/>
        <w:ind w:left="284" w:right="185"/>
        <w:jc w:val="both"/>
        <w:rPr>
          <w:bCs/>
          <w:color w:val="000080"/>
        </w:rPr>
      </w:pPr>
    </w:p>
    <w:p w:rsidR="003312AD" w:rsidRDefault="003312AD" w:rsidP="003312AD">
      <w:pPr>
        <w:pStyle w:val="a8"/>
        <w:rPr>
          <w:bCs/>
          <w:color w:val="000080"/>
        </w:rPr>
      </w:pPr>
    </w:p>
    <w:p w:rsidR="005A76A9" w:rsidRDefault="005A76A9" w:rsidP="005A76A9">
      <w:pPr>
        <w:pStyle w:val="2"/>
        <w:spacing w:line="240" w:lineRule="auto"/>
        <w:ind w:right="185"/>
        <w:jc w:val="both"/>
        <w:rPr>
          <w:bCs/>
          <w:color w:val="000080"/>
        </w:rPr>
      </w:pPr>
    </w:p>
    <w:p w:rsidR="00047EE5" w:rsidRDefault="00047EE5" w:rsidP="00047EE5">
      <w:pPr>
        <w:pStyle w:val="2"/>
        <w:spacing w:line="300" w:lineRule="exact"/>
        <w:ind w:left="284" w:right="185"/>
        <w:jc w:val="both"/>
        <w:rPr>
          <w:bCs/>
          <w:color w:val="000080"/>
        </w:rPr>
      </w:pPr>
    </w:p>
    <w:p w:rsidR="00047EE5" w:rsidRDefault="00047EE5" w:rsidP="00047EE5">
      <w:pPr>
        <w:pStyle w:val="2"/>
        <w:spacing w:line="300" w:lineRule="exact"/>
        <w:ind w:left="284" w:right="185"/>
        <w:jc w:val="both"/>
        <w:rPr>
          <w:bCs/>
          <w:color w:val="000080"/>
        </w:rPr>
      </w:pPr>
    </w:p>
    <w:p w:rsidR="003B0E34" w:rsidRDefault="003B0E34" w:rsidP="00DD6340">
      <w:pPr>
        <w:spacing w:line="300" w:lineRule="exact"/>
        <w:ind w:right="181"/>
        <w:jc w:val="both"/>
        <w:rPr>
          <w:rFonts w:ascii="Arial" w:hAnsi="Arial" w:cs="Arial"/>
          <w:color w:val="000080"/>
          <w:sz w:val="18"/>
          <w:szCs w:val="18"/>
        </w:rPr>
      </w:pPr>
    </w:p>
    <w:p w:rsidR="003B0E34" w:rsidRDefault="003B0E34" w:rsidP="00DD6340">
      <w:pPr>
        <w:spacing w:line="300" w:lineRule="exact"/>
        <w:ind w:right="181"/>
        <w:jc w:val="both"/>
        <w:rPr>
          <w:rFonts w:ascii="Arial" w:hAnsi="Arial" w:cs="Arial"/>
          <w:color w:val="000080"/>
          <w:sz w:val="18"/>
          <w:szCs w:val="18"/>
        </w:rPr>
      </w:pPr>
    </w:p>
    <w:p w:rsidR="003B0E34" w:rsidRDefault="003B0E34" w:rsidP="00DD6340">
      <w:pPr>
        <w:spacing w:line="300" w:lineRule="exact"/>
        <w:ind w:right="181"/>
        <w:jc w:val="both"/>
        <w:rPr>
          <w:rFonts w:ascii="Arial" w:hAnsi="Arial" w:cs="Arial"/>
          <w:color w:val="000080"/>
          <w:sz w:val="18"/>
          <w:szCs w:val="18"/>
        </w:rPr>
      </w:pPr>
    </w:p>
    <w:p w:rsidR="003B0E34" w:rsidRDefault="003B0E34" w:rsidP="00DD6340">
      <w:pPr>
        <w:spacing w:line="300" w:lineRule="exact"/>
        <w:ind w:right="181"/>
        <w:jc w:val="both"/>
        <w:rPr>
          <w:rFonts w:ascii="Arial" w:hAnsi="Arial" w:cs="Arial"/>
          <w:color w:val="000080"/>
          <w:sz w:val="18"/>
          <w:szCs w:val="18"/>
        </w:rPr>
      </w:pPr>
    </w:p>
    <w:p w:rsidR="003B0E34" w:rsidRDefault="003B0E34" w:rsidP="00DD6340">
      <w:pPr>
        <w:spacing w:line="300" w:lineRule="exact"/>
        <w:ind w:right="181"/>
        <w:jc w:val="both"/>
        <w:rPr>
          <w:rFonts w:ascii="Arial" w:hAnsi="Arial" w:cs="Arial"/>
          <w:color w:val="000080"/>
          <w:sz w:val="18"/>
          <w:szCs w:val="18"/>
        </w:rPr>
      </w:pPr>
      <w:r>
        <w:rPr>
          <w:rFonts w:ascii="Arial" w:hAnsi="Arial" w:cs="Arial"/>
          <w:noProof/>
          <w:color w:val="000080"/>
          <w:sz w:val="18"/>
          <w:szCs w:val="18"/>
        </w:rPr>
        <w:pict>
          <v:roundrect id="_x0000_s1549" style="position:absolute;left:0;text-align:left;margin-left:-20.1pt;margin-top:95.25pt;width:496.7pt;height:682.95pt;z-index:-1;visibility:visible;mso-wrap-edited:f;mso-wrap-distance-left:2.88pt;mso-wrap-distance-top:2.88pt;mso-wrap-distance-right:2.88pt;mso-wrap-distance-bottom:2.88pt;mso-position-vertical-relative:page" arcsize="2658f" fillcolor="#dfe4e9" stroked="f" strokecolor="#e5f0f5" insetpen="t" o:cliptowrap="t">
            <v:shadow color="#ccc"/>
            <o:lock v:ext="edit" shapetype="t"/>
            <v:textbox inset="2.88pt,2.88pt,2.88pt,2.88pt"/>
            <w10:wrap anchory="page"/>
          </v:roundrect>
        </w:pict>
      </w:r>
    </w:p>
    <w:p w:rsidR="008742F9" w:rsidRPr="008742F9" w:rsidRDefault="00CD1623" w:rsidP="008742F9">
      <w:pPr>
        <w:spacing w:line="300" w:lineRule="exact"/>
        <w:ind w:right="181"/>
        <w:jc w:val="both"/>
        <w:rPr>
          <w:rFonts w:ascii="Arial" w:hAnsi="Arial" w:cs="Arial"/>
          <w:color w:val="000080"/>
          <w:sz w:val="18"/>
          <w:szCs w:val="18"/>
        </w:rPr>
      </w:pPr>
      <w:r>
        <w:rPr>
          <w:rFonts w:ascii="Arial" w:hAnsi="Arial" w:cs="Arial"/>
          <w:color w:val="000080"/>
          <w:sz w:val="18"/>
          <w:szCs w:val="18"/>
        </w:rPr>
        <w:t>«</w:t>
      </w:r>
      <w:r w:rsidR="008742F9" w:rsidRPr="008742F9">
        <w:rPr>
          <w:rFonts w:ascii="Arial" w:hAnsi="Arial" w:cs="Arial"/>
          <w:color w:val="000080"/>
          <w:sz w:val="18"/>
          <w:szCs w:val="18"/>
        </w:rPr>
        <w:t xml:space="preserve">Η πανδημία συνεχίζει να καθορίζει το οικονομικό περιβάλλον στην Ελλάδα και παγκοσμίως. </w:t>
      </w:r>
      <w:r w:rsidR="008742F9" w:rsidRPr="008742F9">
        <w:rPr>
          <w:rFonts w:ascii="Arial" w:hAnsi="Arial" w:cs="Arial"/>
          <w:color w:val="000080"/>
          <w:sz w:val="18"/>
          <w:szCs w:val="18"/>
          <w:lang w:val="en-US"/>
        </w:rPr>
        <w:t>H</w:t>
      </w:r>
      <w:r w:rsidR="008742F9" w:rsidRPr="008742F9">
        <w:rPr>
          <w:rFonts w:ascii="Arial" w:hAnsi="Arial" w:cs="Arial"/>
          <w:color w:val="000080"/>
          <w:sz w:val="18"/>
          <w:szCs w:val="18"/>
        </w:rPr>
        <w:t xml:space="preserve"> εγχώρια οικονομική ανάπτυξη συναρτάται με τις εξελίξεις του </w:t>
      </w:r>
      <w:r w:rsidR="008742F9" w:rsidRPr="008742F9">
        <w:rPr>
          <w:rFonts w:ascii="Arial" w:hAnsi="Arial" w:cs="Arial"/>
          <w:color w:val="000080"/>
          <w:sz w:val="18"/>
          <w:szCs w:val="18"/>
          <w:lang w:val="en-GB"/>
        </w:rPr>
        <w:t>Covid</w:t>
      </w:r>
      <w:r w:rsidR="00132468">
        <w:rPr>
          <w:rFonts w:ascii="Arial" w:hAnsi="Arial" w:cs="Arial"/>
          <w:color w:val="000080"/>
          <w:sz w:val="18"/>
          <w:szCs w:val="18"/>
        </w:rPr>
        <w:t xml:space="preserve">-19 και η πιθανότητα ενός μεγαλύτερου αρνητικού αντικτύπου </w:t>
      </w:r>
      <w:r w:rsidR="008742F9" w:rsidRPr="008742F9">
        <w:rPr>
          <w:rFonts w:ascii="Arial" w:hAnsi="Arial" w:cs="Arial"/>
          <w:color w:val="000080"/>
          <w:sz w:val="18"/>
          <w:szCs w:val="18"/>
        </w:rPr>
        <w:t>εμφανίζεται αυξημένη.</w:t>
      </w:r>
    </w:p>
    <w:p w:rsidR="008742F9" w:rsidRDefault="008742F9" w:rsidP="008742F9">
      <w:pPr>
        <w:spacing w:line="300" w:lineRule="exact"/>
        <w:ind w:right="181"/>
        <w:jc w:val="both"/>
        <w:rPr>
          <w:rFonts w:ascii="Arial" w:hAnsi="Arial" w:cs="Arial"/>
          <w:color w:val="000080"/>
          <w:sz w:val="18"/>
          <w:szCs w:val="18"/>
        </w:rPr>
      </w:pPr>
    </w:p>
    <w:p w:rsidR="008742F9" w:rsidRPr="008742F9" w:rsidRDefault="008742F9" w:rsidP="008742F9">
      <w:pPr>
        <w:spacing w:line="300" w:lineRule="exact"/>
        <w:ind w:right="181"/>
        <w:jc w:val="both"/>
        <w:rPr>
          <w:rFonts w:ascii="Arial" w:hAnsi="Arial" w:cs="Arial"/>
          <w:color w:val="000080"/>
          <w:sz w:val="18"/>
          <w:szCs w:val="18"/>
        </w:rPr>
      </w:pPr>
      <w:r w:rsidRPr="008742F9">
        <w:rPr>
          <w:rFonts w:ascii="Arial" w:hAnsi="Arial" w:cs="Arial"/>
          <w:color w:val="000080"/>
          <w:sz w:val="18"/>
          <w:szCs w:val="18"/>
        </w:rPr>
        <w:t xml:space="preserve">Μετά την επιτυχή ολοκλήρωση του σχεδίου μας για τη μείωση των μη εξυπηρετούμενων δανείων, εστιάζουμε εξ ολοκλήρου στη χρηματοδότηση της οικονομίας και στη στήριξη των πελατών μας, νοικοκυριών και ιδίως των επιχειρήσεων, ώστε να ξεπεράσουν τη δύσκολη συγκυρία. Παρέχουμε προγράμματα αναστολής πληρωμών και προσφέρουμε ρευστότητα για την κάλυψη της ζήτησης νέων χρηματοδοτήσεων που οφείλεται στην πανδημία. Οι χορηγήσεις ενήμερων επιχειρηματικών δανείων αυξήθηκαν κατά 1,1 δισεκατομμύριο ευρώ το πρώτο εξάμηνο του έτους. Συμμετέχουμε πλήρως στις κρατικές πρωτοβουλίες, όπως το </w:t>
      </w:r>
      <w:r w:rsidRPr="008742F9">
        <w:rPr>
          <w:rFonts w:ascii="Arial" w:hAnsi="Arial" w:cs="Arial"/>
          <w:color w:val="000080"/>
          <w:sz w:val="18"/>
          <w:szCs w:val="18"/>
          <w:lang w:val="en-GB"/>
        </w:rPr>
        <w:t>T</w:t>
      </w:r>
      <w:r w:rsidRPr="008742F9">
        <w:rPr>
          <w:rFonts w:ascii="Arial" w:hAnsi="Arial" w:cs="Arial"/>
          <w:color w:val="000080"/>
          <w:sz w:val="18"/>
          <w:szCs w:val="18"/>
        </w:rPr>
        <w:t xml:space="preserve">ΕΠΙΧ </w:t>
      </w:r>
      <w:r w:rsidRPr="008742F9">
        <w:rPr>
          <w:rFonts w:ascii="Arial" w:hAnsi="Arial" w:cs="Arial"/>
          <w:color w:val="000080"/>
          <w:sz w:val="18"/>
          <w:szCs w:val="18"/>
          <w:lang w:val="en-GB"/>
        </w:rPr>
        <w:t>II</w:t>
      </w:r>
      <w:r w:rsidRPr="008742F9">
        <w:rPr>
          <w:rFonts w:ascii="Arial" w:hAnsi="Arial" w:cs="Arial"/>
          <w:color w:val="000080"/>
          <w:sz w:val="18"/>
          <w:szCs w:val="18"/>
        </w:rPr>
        <w:t xml:space="preserve"> και το Πρόγραμμα Εγγυήσεων, και αναμένουμε ότι τα επιχειρηματικά δάνεια, μετά από τυχόν αποπληρωμές, θα αυξηθούν πάνω από 2 δισεκατομμύρια ευρώ για το σύνολο του έτους.</w:t>
      </w:r>
    </w:p>
    <w:p w:rsidR="008742F9" w:rsidRDefault="008742F9" w:rsidP="008742F9">
      <w:pPr>
        <w:spacing w:line="300" w:lineRule="exact"/>
        <w:ind w:right="181"/>
        <w:jc w:val="both"/>
        <w:rPr>
          <w:rFonts w:ascii="Arial" w:hAnsi="Arial" w:cs="Arial"/>
          <w:color w:val="000080"/>
          <w:sz w:val="18"/>
          <w:szCs w:val="18"/>
        </w:rPr>
      </w:pPr>
    </w:p>
    <w:p w:rsidR="008742F9" w:rsidRPr="008742F9" w:rsidRDefault="008742F9" w:rsidP="008742F9">
      <w:pPr>
        <w:spacing w:line="300" w:lineRule="exact"/>
        <w:ind w:right="181"/>
        <w:jc w:val="both"/>
        <w:rPr>
          <w:rFonts w:ascii="Arial" w:hAnsi="Arial" w:cs="Arial"/>
          <w:color w:val="000080"/>
          <w:sz w:val="18"/>
          <w:szCs w:val="18"/>
        </w:rPr>
      </w:pPr>
      <w:r w:rsidRPr="008742F9">
        <w:rPr>
          <w:rFonts w:ascii="Arial" w:hAnsi="Arial" w:cs="Arial"/>
          <w:color w:val="000080"/>
          <w:sz w:val="18"/>
          <w:szCs w:val="18"/>
        </w:rPr>
        <w:t xml:space="preserve">Παρά τις εξωτερικές προκλήσεις, ολοκληρώσαμε τη συμφωνία με την </w:t>
      </w:r>
      <w:r w:rsidRPr="008742F9">
        <w:rPr>
          <w:rFonts w:ascii="Arial" w:hAnsi="Arial" w:cs="Arial"/>
          <w:color w:val="000080"/>
          <w:sz w:val="18"/>
          <w:szCs w:val="18"/>
          <w:lang w:val="en-GB"/>
        </w:rPr>
        <w:t>doValue</w:t>
      </w:r>
      <w:r w:rsidRPr="008742F9">
        <w:rPr>
          <w:rFonts w:ascii="Arial" w:hAnsi="Arial" w:cs="Arial"/>
          <w:color w:val="000080"/>
          <w:sz w:val="18"/>
          <w:szCs w:val="18"/>
        </w:rPr>
        <w:t xml:space="preserve"> για την </w:t>
      </w:r>
      <w:r w:rsidRPr="008742F9">
        <w:rPr>
          <w:rFonts w:ascii="Arial" w:hAnsi="Arial" w:cs="Arial"/>
          <w:color w:val="000080"/>
          <w:sz w:val="18"/>
          <w:szCs w:val="18"/>
          <w:lang w:val="en-GB"/>
        </w:rPr>
        <w:t>FPS</w:t>
      </w:r>
      <w:r w:rsidRPr="008742F9">
        <w:rPr>
          <w:rFonts w:ascii="Arial" w:hAnsi="Arial" w:cs="Arial"/>
          <w:color w:val="000080"/>
          <w:sz w:val="18"/>
          <w:szCs w:val="18"/>
        </w:rPr>
        <w:t xml:space="preserve"> και την τιτλοποίηση </w:t>
      </w:r>
      <w:r w:rsidRPr="008742F9">
        <w:rPr>
          <w:rFonts w:ascii="Arial" w:hAnsi="Arial" w:cs="Arial"/>
          <w:color w:val="000080"/>
          <w:sz w:val="18"/>
          <w:szCs w:val="18"/>
          <w:lang w:val="en-US"/>
        </w:rPr>
        <w:t>Cairo</w:t>
      </w:r>
      <w:r w:rsidRPr="008742F9">
        <w:rPr>
          <w:rFonts w:ascii="Arial" w:hAnsi="Arial" w:cs="Arial"/>
          <w:color w:val="000080"/>
          <w:sz w:val="18"/>
          <w:szCs w:val="18"/>
        </w:rPr>
        <w:t xml:space="preserve">, μειώνοντας το ποσοστό των </w:t>
      </w:r>
      <w:r w:rsidRPr="008742F9">
        <w:rPr>
          <w:rFonts w:ascii="Arial" w:hAnsi="Arial" w:cs="Arial"/>
          <w:color w:val="000080"/>
          <w:sz w:val="18"/>
          <w:szCs w:val="18"/>
          <w:lang w:val="en-GB"/>
        </w:rPr>
        <w:t>NPE</w:t>
      </w:r>
      <w:r w:rsidRPr="008742F9">
        <w:rPr>
          <w:rFonts w:ascii="Arial" w:hAnsi="Arial" w:cs="Arial"/>
          <w:color w:val="000080"/>
          <w:sz w:val="18"/>
          <w:szCs w:val="18"/>
          <w:lang w:val="en-US"/>
        </w:rPr>
        <w:t>s</w:t>
      </w:r>
      <w:r w:rsidRPr="008742F9">
        <w:rPr>
          <w:rFonts w:ascii="Arial" w:hAnsi="Arial" w:cs="Arial"/>
          <w:color w:val="000080"/>
          <w:sz w:val="18"/>
          <w:szCs w:val="18"/>
        </w:rPr>
        <w:t xml:space="preserve"> στο 15% και αποτελώντας σημείο αναφοράς για τον τραπεζικό κλάδο στην Ελλάδα, σε συνδυασμό με τον ισχυρότερο δείκτη κάλυψης των </w:t>
      </w:r>
      <w:r w:rsidRPr="008742F9">
        <w:rPr>
          <w:rFonts w:ascii="Arial" w:hAnsi="Arial" w:cs="Arial"/>
          <w:color w:val="000080"/>
          <w:sz w:val="18"/>
          <w:szCs w:val="18"/>
          <w:lang w:val="en-US"/>
        </w:rPr>
        <w:t>NPEs</w:t>
      </w:r>
      <w:r w:rsidRPr="008742F9">
        <w:rPr>
          <w:rFonts w:ascii="Arial" w:hAnsi="Arial" w:cs="Arial"/>
          <w:color w:val="000080"/>
          <w:sz w:val="18"/>
          <w:szCs w:val="18"/>
        </w:rPr>
        <w:t>, άνω του 60%. Ενισχύσαμε περαιτέρω την κεφαλαιακή μας θέση περισσότερο από εκατό μονάδες βάσης  και ο δείκτης συνολικών κεφαλαίων διαμορφώθηκε στο 15,5%.</w:t>
      </w:r>
    </w:p>
    <w:p w:rsidR="008742F9" w:rsidRDefault="008742F9" w:rsidP="008742F9">
      <w:pPr>
        <w:spacing w:line="300" w:lineRule="exact"/>
        <w:ind w:right="181"/>
        <w:jc w:val="both"/>
        <w:rPr>
          <w:rFonts w:ascii="Arial" w:hAnsi="Arial" w:cs="Arial"/>
          <w:color w:val="000080"/>
          <w:sz w:val="18"/>
          <w:szCs w:val="18"/>
        </w:rPr>
      </w:pPr>
    </w:p>
    <w:p w:rsidR="008742F9" w:rsidRPr="008742F9" w:rsidRDefault="008742F9" w:rsidP="008742F9">
      <w:pPr>
        <w:spacing w:line="300" w:lineRule="exact"/>
        <w:ind w:right="181"/>
        <w:jc w:val="both"/>
        <w:rPr>
          <w:rFonts w:ascii="Arial" w:hAnsi="Arial" w:cs="Arial"/>
          <w:color w:val="000080"/>
          <w:sz w:val="18"/>
          <w:szCs w:val="18"/>
        </w:rPr>
      </w:pPr>
      <w:r w:rsidRPr="008742F9">
        <w:rPr>
          <w:rFonts w:ascii="Arial" w:hAnsi="Arial" w:cs="Arial"/>
          <w:color w:val="000080"/>
          <w:sz w:val="18"/>
          <w:szCs w:val="18"/>
        </w:rPr>
        <w:t xml:space="preserve">Παρά τις αυξημένες προβλέψεις σε σχέση με το πλάνο πριν την εκδήλωση της πανδημίας, η </w:t>
      </w:r>
      <w:r w:rsidRPr="008742F9">
        <w:rPr>
          <w:rFonts w:ascii="Arial" w:hAnsi="Arial" w:cs="Arial"/>
          <w:color w:val="000080"/>
          <w:sz w:val="18"/>
          <w:szCs w:val="18"/>
          <w:lang w:val="en-GB"/>
        </w:rPr>
        <w:t>Eurobank</w:t>
      </w:r>
      <w:r w:rsidRPr="008742F9">
        <w:rPr>
          <w:rFonts w:ascii="Arial" w:hAnsi="Arial" w:cs="Arial"/>
          <w:color w:val="000080"/>
          <w:sz w:val="18"/>
          <w:szCs w:val="18"/>
        </w:rPr>
        <w:t xml:space="preserve"> αποδεικνύεται ανθεκτική στις νέες προκλήσεις. Τα κέρδη προ προβλέψεων ανήλθαν σε μισό δισεκατομμύριο ευρώ για το πρώτο εξάμηνο του έτους με σταθερά τα επιτοκιακά έσοδα και σημαντική συνεισφορά των εσόδων  από αμοιβές και προμήθειες. Η συμβολή των διεθνών δραστηριοτήτων μας ήταν και πάλι ουσιαστική. Η παρουσία μας στο εξωτερικό αποτελεί βασικό ανταγωνιστικό μας πλεονέκτημα.</w:t>
      </w:r>
    </w:p>
    <w:p w:rsidR="008742F9" w:rsidRDefault="008742F9" w:rsidP="008742F9">
      <w:pPr>
        <w:spacing w:line="300" w:lineRule="exact"/>
        <w:ind w:right="181"/>
        <w:jc w:val="both"/>
        <w:rPr>
          <w:rFonts w:ascii="Arial" w:hAnsi="Arial" w:cs="Arial"/>
          <w:color w:val="000080"/>
          <w:sz w:val="18"/>
          <w:szCs w:val="18"/>
        </w:rPr>
      </w:pPr>
    </w:p>
    <w:p w:rsidR="0021479E" w:rsidRPr="00197572" w:rsidRDefault="008742F9" w:rsidP="008742F9">
      <w:pPr>
        <w:spacing w:line="300" w:lineRule="exact"/>
        <w:ind w:right="181"/>
        <w:jc w:val="both"/>
        <w:rPr>
          <w:rFonts w:ascii="Arial" w:hAnsi="Arial" w:cs="Arial"/>
          <w:color w:val="000080"/>
          <w:sz w:val="18"/>
          <w:szCs w:val="18"/>
        </w:rPr>
      </w:pPr>
      <w:r w:rsidRPr="008742F9">
        <w:rPr>
          <w:rFonts w:ascii="Arial" w:hAnsi="Arial" w:cs="Arial"/>
          <w:color w:val="000080"/>
          <w:sz w:val="18"/>
          <w:szCs w:val="18"/>
        </w:rPr>
        <w:t xml:space="preserve">Έχοντας αναπτύξει ένα ανθεκτικό επιχειρηματικό μοντέλο και αντιμετωπίσει επιτυχώς το ζήτημα των </w:t>
      </w:r>
      <w:r w:rsidRPr="008742F9">
        <w:rPr>
          <w:rFonts w:ascii="Arial" w:hAnsi="Arial" w:cs="Arial"/>
          <w:color w:val="000080"/>
          <w:sz w:val="18"/>
          <w:szCs w:val="18"/>
          <w:lang w:val="en-US"/>
        </w:rPr>
        <w:t>NPEs</w:t>
      </w:r>
      <w:r w:rsidRPr="008742F9">
        <w:rPr>
          <w:rFonts w:ascii="Arial" w:hAnsi="Arial" w:cs="Arial"/>
          <w:color w:val="000080"/>
          <w:sz w:val="18"/>
          <w:szCs w:val="18"/>
        </w:rPr>
        <w:t xml:space="preserve">, με ενισχυμένη κεφαλαιακή επάρκεια και με σχέδιο για την επέκταση των εργασιών, η </w:t>
      </w:r>
      <w:r w:rsidRPr="008742F9">
        <w:rPr>
          <w:rFonts w:ascii="Arial" w:hAnsi="Arial" w:cs="Arial"/>
          <w:color w:val="000080"/>
          <w:sz w:val="18"/>
          <w:szCs w:val="18"/>
          <w:lang w:val="en-GB"/>
        </w:rPr>
        <w:t>Eurobank</w:t>
      </w:r>
      <w:r w:rsidRPr="008742F9">
        <w:rPr>
          <w:rFonts w:ascii="Arial" w:hAnsi="Arial" w:cs="Arial"/>
          <w:color w:val="000080"/>
          <w:sz w:val="18"/>
          <w:szCs w:val="18"/>
        </w:rPr>
        <w:t xml:space="preserve"> είναι έτοιμη να αξιοποιήσει στο έπακρο τις ευκαιρίες με την επιστροφή της οικονομίας σε τροχιά ανάπτυξης.</w:t>
      </w:r>
      <w:r w:rsidR="0021479E" w:rsidRPr="0021479E">
        <w:rPr>
          <w:rFonts w:ascii="Arial" w:hAnsi="Arial" w:cs="Arial"/>
          <w:color w:val="000080"/>
          <w:sz w:val="18"/>
          <w:szCs w:val="18"/>
        </w:rPr>
        <w:t>»</w:t>
      </w:r>
    </w:p>
    <w:p w:rsidR="00AF7E4B" w:rsidRPr="00291AC9" w:rsidRDefault="00AF7E4B" w:rsidP="00491988">
      <w:pPr>
        <w:spacing w:line="300" w:lineRule="exact"/>
        <w:ind w:right="181"/>
        <w:jc w:val="both"/>
        <w:rPr>
          <w:rFonts w:ascii="Arial" w:hAnsi="Arial" w:cs="Arial"/>
          <w:color w:val="000080"/>
          <w:sz w:val="18"/>
          <w:szCs w:val="18"/>
        </w:rPr>
      </w:pPr>
    </w:p>
    <w:p w:rsidR="008C686E" w:rsidRDefault="00F82E22" w:rsidP="00F82E22">
      <w:pPr>
        <w:spacing w:line="360" w:lineRule="auto"/>
        <w:ind w:left="5040"/>
        <w:jc w:val="both"/>
        <w:rPr>
          <w:rFonts w:ascii="Arial" w:hAnsi="Arial" w:cs="Arial"/>
          <w:color w:val="000080"/>
          <w:sz w:val="18"/>
        </w:rPr>
      </w:pPr>
      <w:r>
        <w:rPr>
          <w:rFonts w:ascii="Arial" w:hAnsi="Arial" w:cs="Arial"/>
          <w:color w:val="000080"/>
          <w:sz w:val="18"/>
          <w:szCs w:val="18"/>
        </w:rPr>
        <w:t xml:space="preserve">   </w:t>
      </w:r>
      <w:r w:rsidR="00E13C83">
        <w:rPr>
          <w:rFonts w:ascii="Arial" w:hAnsi="Arial" w:cs="Arial"/>
          <w:color w:val="000080"/>
          <w:sz w:val="18"/>
        </w:rPr>
        <w:t xml:space="preserve">    </w:t>
      </w:r>
      <w:r w:rsidR="0021479E" w:rsidRPr="0004488C">
        <w:rPr>
          <w:rFonts w:ascii="Arial" w:hAnsi="Arial" w:cs="Arial"/>
          <w:color w:val="000080"/>
          <w:sz w:val="18"/>
        </w:rPr>
        <w:t xml:space="preserve"> </w:t>
      </w:r>
    </w:p>
    <w:p w:rsidR="00B35061" w:rsidRDefault="008742F9" w:rsidP="00F82E22">
      <w:pPr>
        <w:spacing w:line="360" w:lineRule="auto"/>
        <w:ind w:left="5040"/>
        <w:jc w:val="both"/>
        <w:rPr>
          <w:rFonts w:ascii="Arial" w:hAnsi="Arial" w:cs="Arial"/>
          <w:color w:val="000080"/>
          <w:sz w:val="18"/>
        </w:rPr>
      </w:pPr>
      <w:r>
        <w:rPr>
          <w:rFonts w:ascii="Arial" w:hAnsi="Arial" w:cs="Arial"/>
          <w:color w:val="000080"/>
          <w:sz w:val="18"/>
        </w:rPr>
        <w:t xml:space="preserve">      </w:t>
      </w:r>
      <w:r w:rsidR="00BA1A64" w:rsidRPr="00291AC9">
        <w:rPr>
          <w:rFonts w:ascii="Arial" w:hAnsi="Arial" w:cs="Arial"/>
          <w:color w:val="000080"/>
          <w:sz w:val="18"/>
        </w:rPr>
        <w:t>Φωκίων Καραβίας, Διευθύνων Σύμβουλος</w:t>
      </w: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8C686E" w:rsidRDefault="008C686E" w:rsidP="00F82E22">
      <w:pPr>
        <w:spacing w:line="360" w:lineRule="auto"/>
        <w:ind w:left="5040"/>
        <w:jc w:val="both"/>
        <w:rPr>
          <w:rFonts w:ascii="Arial" w:hAnsi="Arial" w:cs="Arial"/>
          <w:color w:val="000080"/>
          <w:sz w:val="18"/>
        </w:rPr>
      </w:pPr>
    </w:p>
    <w:p w:rsidR="00DA1071" w:rsidRDefault="00DA1071" w:rsidP="00F82E22">
      <w:pPr>
        <w:spacing w:line="360" w:lineRule="auto"/>
        <w:ind w:left="5040"/>
        <w:jc w:val="both"/>
        <w:rPr>
          <w:rFonts w:ascii="Arial" w:hAnsi="Arial" w:cs="Arial"/>
          <w:color w:val="000080"/>
          <w:sz w:val="18"/>
        </w:rPr>
      </w:pPr>
    </w:p>
    <w:p w:rsidR="00A47D45" w:rsidRPr="009C048B" w:rsidRDefault="00CD6F72" w:rsidP="00EB059F">
      <w:pPr>
        <w:spacing w:line="360" w:lineRule="auto"/>
        <w:ind w:left="2160"/>
        <w:jc w:val="both"/>
        <w:rPr>
          <w:rFonts w:ascii="Arial" w:hAnsi="Arial" w:cs="Arial"/>
          <w:color w:val="000080"/>
          <w:sz w:val="18"/>
          <w:szCs w:val="18"/>
        </w:rPr>
      </w:pPr>
      <w:r>
        <w:rPr>
          <w:rFonts w:ascii="Arial" w:hAnsi="Arial" w:cs="Arial"/>
          <w:noProof/>
          <w:color w:val="000080"/>
          <w:sz w:val="18"/>
          <w:szCs w:val="18"/>
        </w:rPr>
        <w:pict>
          <v:shapetype id="_x0000_t202" coordsize="21600,21600" o:spt="202" path="m,l,21600r21600,l21600,xe">
            <v:stroke joinstyle="miter"/>
            <v:path gradientshapeok="t" o:connecttype="rect"/>
          </v:shapetype>
          <v:shape id="Text Box 2" o:spid="_x0000_s1254" type="#_x0000_t202" style="position:absolute;left:0;text-align:left;margin-left:67.85pt;margin-top:4.35pt;width:305.9pt;height:22.9pt;z-index:7;visibility:visible;mso-width-relative:margin;mso-height-relative:margin" fillcolor="#d8d8d8" strokecolor="#d8d8d8" strokeweight="2.25pt">
            <v:stroke linestyle="thinThin"/>
            <v:textbox style="mso-next-textbox:#Text Box 2">
              <w:txbxContent>
                <w:p w:rsidR="008B0D4A" w:rsidRPr="00374002" w:rsidRDefault="008B0D4A" w:rsidP="009F0722">
                  <w:pPr>
                    <w:tabs>
                      <w:tab w:val="left" w:pos="8280"/>
                    </w:tabs>
                    <w:spacing w:line="360" w:lineRule="auto"/>
                    <w:ind w:right="43"/>
                    <w:jc w:val="center"/>
                    <w:rPr>
                      <w:rFonts w:ascii="Arial" w:hAnsi="Arial" w:cs="Arial"/>
                      <w:b/>
                      <w:color w:val="000080"/>
                      <w:szCs w:val="18"/>
                    </w:rPr>
                  </w:pPr>
                  <w:r w:rsidRPr="008973E1">
                    <w:rPr>
                      <w:rFonts w:ascii="Arial" w:hAnsi="Arial" w:cs="Arial"/>
                      <w:b/>
                      <w:color w:val="000080"/>
                      <w:szCs w:val="18"/>
                    </w:rPr>
                    <w:t xml:space="preserve">Ανάλυση Αποτελεσμάτων </w:t>
                  </w:r>
                  <w:r>
                    <w:rPr>
                      <w:rFonts w:ascii="Arial" w:hAnsi="Arial" w:cs="Arial"/>
                      <w:b/>
                      <w:color w:val="000080"/>
                      <w:szCs w:val="18"/>
                    </w:rPr>
                    <w:t xml:space="preserve">Α΄ </w:t>
                  </w:r>
                  <w:r w:rsidR="00A37678">
                    <w:rPr>
                      <w:rFonts w:ascii="Arial" w:hAnsi="Arial" w:cs="Arial"/>
                      <w:b/>
                      <w:color w:val="000080"/>
                      <w:szCs w:val="18"/>
                    </w:rPr>
                    <w:t xml:space="preserve">Εξαμήνου </w:t>
                  </w:r>
                  <w:r>
                    <w:rPr>
                      <w:rFonts w:ascii="Arial" w:hAnsi="Arial" w:cs="Arial"/>
                      <w:b/>
                      <w:color w:val="000080"/>
                      <w:szCs w:val="18"/>
                    </w:rPr>
                    <w:t>2020</w:t>
                  </w:r>
                </w:p>
                <w:p w:rsidR="008B0D4A" w:rsidRPr="00F37CF5" w:rsidRDefault="008B0D4A" w:rsidP="00F37CF5">
                  <w:pPr>
                    <w:jc w:val="center"/>
                    <w:rPr>
                      <w:lang w:val="en-US"/>
                    </w:rPr>
                  </w:pPr>
                </w:p>
              </w:txbxContent>
            </v:textbox>
            <w10:wrap type="square"/>
          </v:shape>
        </w:pict>
      </w:r>
      <w:r w:rsidR="00291BFC">
        <w:rPr>
          <w:rFonts w:ascii="Arial" w:hAnsi="Arial" w:cs="Arial"/>
          <w:i/>
          <w:color w:val="000080"/>
          <w:sz w:val="17"/>
          <w:szCs w:val="17"/>
        </w:rPr>
        <w:t xml:space="preserve">    </w:t>
      </w:r>
      <w:r w:rsidR="00941DFF">
        <w:rPr>
          <w:rFonts w:ascii="Arial" w:hAnsi="Arial" w:cs="Arial"/>
          <w:i/>
          <w:color w:val="000080"/>
          <w:sz w:val="17"/>
          <w:szCs w:val="17"/>
        </w:rPr>
        <w:t xml:space="preserve">                                                </w:t>
      </w:r>
      <w:r w:rsidR="00B20BED">
        <w:rPr>
          <w:rFonts w:ascii="Arial" w:hAnsi="Arial" w:cs="Arial"/>
          <w:i/>
          <w:color w:val="000080"/>
          <w:sz w:val="17"/>
          <w:szCs w:val="17"/>
        </w:rPr>
        <w:t xml:space="preserve">                     </w:t>
      </w:r>
      <w:r w:rsidR="00BA1A64">
        <w:rPr>
          <w:rFonts w:ascii="Arial" w:hAnsi="Arial" w:cs="Arial"/>
          <w:i/>
          <w:color w:val="000080"/>
          <w:sz w:val="17"/>
          <w:szCs w:val="17"/>
        </w:rPr>
        <w:t xml:space="preserve">  </w:t>
      </w:r>
      <w:bookmarkStart w:id="2" w:name="_GoBack"/>
      <w:bookmarkEnd w:id="2"/>
    </w:p>
    <w:p w:rsidR="00585BA7" w:rsidRDefault="00585BA7" w:rsidP="00671B48">
      <w:pPr>
        <w:spacing w:line="360" w:lineRule="auto"/>
        <w:ind w:left="2835" w:right="43"/>
        <w:jc w:val="both"/>
        <w:rPr>
          <w:rFonts w:ascii="Arial" w:hAnsi="Arial" w:cs="Arial"/>
          <w:color w:val="000080"/>
          <w:sz w:val="18"/>
          <w:szCs w:val="18"/>
        </w:rPr>
      </w:pPr>
    </w:p>
    <w:p w:rsidR="00CD6F72" w:rsidRDefault="00CD6F72" w:rsidP="00CD6F72">
      <w:pPr>
        <w:spacing w:line="360" w:lineRule="auto"/>
        <w:ind w:right="43"/>
        <w:jc w:val="both"/>
        <w:rPr>
          <w:rFonts w:ascii="Arial" w:hAnsi="Arial" w:cs="Arial"/>
          <w:color w:val="000080"/>
          <w:sz w:val="18"/>
          <w:szCs w:val="18"/>
        </w:rPr>
      </w:pPr>
    </w:p>
    <w:p w:rsidR="00C65491" w:rsidRPr="00422FE9" w:rsidRDefault="003C4297" w:rsidP="008973E1">
      <w:pPr>
        <w:spacing w:line="360" w:lineRule="auto"/>
        <w:ind w:left="720" w:right="43"/>
        <w:jc w:val="both"/>
        <w:rPr>
          <w:rFonts w:ascii="Arial" w:hAnsi="Arial" w:cs="Arial"/>
          <w:color w:val="000080"/>
          <w:szCs w:val="18"/>
        </w:rPr>
      </w:pPr>
      <w:r>
        <w:rPr>
          <w:rFonts w:ascii="Arial" w:hAnsi="Arial" w:cs="Arial"/>
          <w:color w:val="000080"/>
          <w:szCs w:val="18"/>
        </w:rPr>
        <w:t>Τ</w:t>
      </w:r>
      <w:r w:rsidR="00A37678">
        <w:rPr>
          <w:rFonts w:ascii="Arial" w:hAnsi="Arial" w:cs="Arial"/>
          <w:color w:val="000080"/>
          <w:szCs w:val="18"/>
        </w:rPr>
        <w:t xml:space="preserve">ο Α΄ εξάμηνο 2020 </w:t>
      </w:r>
      <w:r>
        <w:rPr>
          <w:rFonts w:ascii="Arial" w:hAnsi="Arial" w:cs="Arial"/>
          <w:color w:val="000080"/>
          <w:szCs w:val="18"/>
        </w:rPr>
        <w:t xml:space="preserve">σηματοδοτήθηκε από την επιτυχή ολοκλήρωση του πλάνου </w:t>
      </w:r>
      <w:r w:rsidR="00A37678">
        <w:rPr>
          <w:rFonts w:ascii="Arial" w:hAnsi="Arial" w:cs="Arial"/>
          <w:color w:val="000080"/>
          <w:szCs w:val="18"/>
        </w:rPr>
        <w:t>μείωσης</w:t>
      </w:r>
      <w:r>
        <w:rPr>
          <w:rFonts w:ascii="Arial" w:hAnsi="Arial" w:cs="Arial"/>
          <w:color w:val="000080"/>
          <w:szCs w:val="18"/>
        </w:rPr>
        <w:t xml:space="preserve"> των </w:t>
      </w:r>
      <w:r>
        <w:rPr>
          <w:rFonts w:ascii="Arial" w:hAnsi="Arial" w:cs="Arial"/>
          <w:color w:val="000080"/>
          <w:szCs w:val="18"/>
          <w:lang w:val="en-US"/>
        </w:rPr>
        <w:t>NPEs</w:t>
      </w:r>
      <w:r w:rsidRPr="003C4297">
        <w:rPr>
          <w:rFonts w:ascii="Arial" w:hAnsi="Arial" w:cs="Arial"/>
          <w:color w:val="000080"/>
          <w:szCs w:val="18"/>
        </w:rPr>
        <w:t xml:space="preserve"> </w:t>
      </w:r>
      <w:r>
        <w:rPr>
          <w:rFonts w:ascii="Arial" w:hAnsi="Arial" w:cs="Arial"/>
          <w:color w:val="000080"/>
          <w:szCs w:val="18"/>
        </w:rPr>
        <w:t xml:space="preserve">στο επίπεδο του 15%, το χαμηλότερο στο ελληνικό τραπεζικό σύστημα. Παράλληλα συνεχίστηκαν οι προσπάθειες ενίσχυσης της οργανικής κερδοφορίας και στήριξης των πελατών στις νέες συνθήκες που έχουν πλέον διαμορφωθεί μετά την εξάπλωση της πανδημίας </w:t>
      </w:r>
      <w:r>
        <w:rPr>
          <w:rFonts w:ascii="Arial" w:hAnsi="Arial" w:cs="Arial"/>
          <w:color w:val="000080"/>
          <w:szCs w:val="18"/>
          <w:lang w:val="en-US"/>
        </w:rPr>
        <w:t>Covid</w:t>
      </w:r>
      <w:r w:rsidRPr="003C4297">
        <w:rPr>
          <w:rFonts w:ascii="Arial" w:hAnsi="Arial" w:cs="Arial"/>
          <w:color w:val="000080"/>
          <w:szCs w:val="18"/>
        </w:rPr>
        <w:t>-19</w:t>
      </w:r>
      <w:r>
        <w:rPr>
          <w:rFonts w:ascii="Arial" w:hAnsi="Arial" w:cs="Arial"/>
          <w:color w:val="000080"/>
          <w:szCs w:val="18"/>
        </w:rPr>
        <w:t xml:space="preserve"> από τις αρχές του έτους</w:t>
      </w:r>
      <w:r w:rsidRPr="003C4297">
        <w:rPr>
          <w:rFonts w:ascii="Arial" w:hAnsi="Arial" w:cs="Arial"/>
          <w:color w:val="000080"/>
          <w:szCs w:val="18"/>
        </w:rPr>
        <w:t>.</w:t>
      </w:r>
      <w:r>
        <w:rPr>
          <w:rFonts w:ascii="Arial" w:hAnsi="Arial" w:cs="Arial"/>
          <w:color w:val="000080"/>
          <w:szCs w:val="18"/>
        </w:rPr>
        <w:t xml:space="preserve"> </w:t>
      </w:r>
    </w:p>
    <w:p w:rsidR="00C65491" w:rsidRDefault="00C65491" w:rsidP="008973E1">
      <w:pPr>
        <w:spacing w:line="360" w:lineRule="auto"/>
        <w:ind w:left="720" w:right="43"/>
        <w:jc w:val="both"/>
        <w:rPr>
          <w:rFonts w:ascii="Arial" w:hAnsi="Arial" w:cs="Arial"/>
          <w:color w:val="000080"/>
          <w:szCs w:val="18"/>
        </w:rPr>
      </w:pPr>
    </w:p>
    <w:p w:rsidR="002423AA" w:rsidRDefault="002423AA" w:rsidP="002423AA">
      <w:pPr>
        <w:numPr>
          <w:ilvl w:val="0"/>
          <w:numId w:val="18"/>
        </w:numPr>
        <w:spacing w:line="360" w:lineRule="auto"/>
        <w:ind w:right="43"/>
        <w:jc w:val="both"/>
        <w:rPr>
          <w:rFonts w:ascii="Arial" w:hAnsi="Arial" w:cs="Arial"/>
          <w:color w:val="000080"/>
          <w:szCs w:val="18"/>
        </w:rPr>
      </w:pPr>
      <w:r>
        <w:rPr>
          <w:rFonts w:ascii="Arial" w:hAnsi="Arial" w:cs="Arial"/>
          <w:color w:val="000080"/>
          <w:szCs w:val="18"/>
        </w:rPr>
        <w:t>Βασική π</w:t>
      </w:r>
      <w:r w:rsidRPr="004C1D5A">
        <w:rPr>
          <w:rFonts w:ascii="Arial" w:hAnsi="Arial" w:cs="Arial"/>
          <w:color w:val="000080"/>
          <w:szCs w:val="18"/>
        </w:rPr>
        <w:t>ροτεραιότητα</w:t>
      </w:r>
      <w:r>
        <w:rPr>
          <w:rFonts w:ascii="Arial" w:hAnsi="Arial" w:cs="Arial"/>
          <w:b/>
          <w:color w:val="000080"/>
          <w:szCs w:val="18"/>
        </w:rPr>
        <w:t xml:space="preserve"> </w:t>
      </w:r>
      <w:r w:rsidRPr="004C1D5A">
        <w:rPr>
          <w:rFonts w:ascii="Arial" w:hAnsi="Arial" w:cs="Arial"/>
          <w:color w:val="000080"/>
          <w:szCs w:val="18"/>
        </w:rPr>
        <w:t>στην τρέχουσα</w:t>
      </w:r>
      <w:r>
        <w:rPr>
          <w:rFonts w:ascii="Arial" w:hAnsi="Arial" w:cs="Arial"/>
          <w:color w:val="000080"/>
          <w:szCs w:val="18"/>
        </w:rPr>
        <w:t xml:space="preserve"> συγκυρία είναι η </w:t>
      </w:r>
      <w:r w:rsidRPr="00CE1D2B">
        <w:rPr>
          <w:rFonts w:ascii="Arial" w:hAnsi="Arial" w:cs="Arial"/>
          <w:b/>
          <w:color w:val="000080"/>
          <w:szCs w:val="18"/>
        </w:rPr>
        <w:t>στήριξη των πελατών</w:t>
      </w:r>
      <w:r>
        <w:rPr>
          <w:rFonts w:ascii="Arial" w:hAnsi="Arial" w:cs="Arial"/>
          <w:color w:val="000080"/>
          <w:szCs w:val="18"/>
        </w:rPr>
        <w:t xml:space="preserve"> μέσα από την παροχή προγραμμάτων αναστολής οφειλών (</w:t>
      </w:r>
      <w:r>
        <w:rPr>
          <w:rFonts w:ascii="Arial" w:hAnsi="Arial" w:cs="Arial"/>
          <w:color w:val="000080"/>
          <w:szCs w:val="18"/>
          <w:lang w:val="en-US"/>
        </w:rPr>
        <w:t>payment</w:t>
      </w:r>
      <w:r w:rsidRPr="004C1D5A">
        <w:rPr>
          <w:rFonts w:ascii="Arial" w:hAnsi="Arial" w:cs="Arial"/>
          <w:color w:val="000080"/>
          <w:szCs w:val="18"/>
        </w:rPr>
        <w:t xml:space="preserve"> </w:t>
      </w:r>
      <w:r>
        <w:rPr>
          <w:rFonts w:ascii="Arial" w:hAnsi="Arial" w:cs="Arial"/>
          <w:color w:val="000080"/>
          <w:szCs w:val="18"/>
          <w:lang w:val="en-US"/>
        </w:rPr>
        <w:t>moratoria</w:t>
      </w:r>
      <w:r w:rsidRPr="004C1D5A">
        <w:rPr>
          <w:rFonts w:ascii="Arial" w:hAnsi="Arial" w:cs="Arial"/>
          <w:color w:val="000080"/>
          <w:szCs w:val="18"/>
        </w:rPr>
        <w:t xml:space="preserve">) </w:t>
      </w:r>
      <w:r>
        <w:rPr>
          <w:rFonts w:ascii="Arial" w:hAnsi="Arial" w:cs="Arial"/>
          <w:color w:val="000080"/>
          <w:szCs w:val="18"/>
        </w:rPr>
        <w:t>και νέων χρηματοδοτήσεων. Ειδικότερα, κατά το Α΄ εξάμηνο 2020 το σύνολο των ενήμερων πελατών υπό καθεστώς αναστολής δόσεων ανερχότα</w:t>
      </w:r>
      <w:r w:rsidR="00083CFE">
        <w:rPr>
          <w:rFonts w:ascii="Arial" w:hAnsi="Arial" w:cs="Arial"/>
          <w:color w:val="000080"/>
          <w:szCs w:val="18"/>
        </w:rPr>
        <w:t>ν σε €5δισ. στην Ελλάδα και €2,3</w:t>
      </w:r>
      <w:r>
        <w:rPr>
          <w:rFonts w:ascii="Arial" w:hAnsi="Arial" w:cs="Arial"/>
          <w:color w:val="000080"/>
          <w:szCs w:val="18"/>
        </w:rPr>
        <w:t xml:space="preserve">δισ. στο εξωτερικό, ενώ οι </w:t>
      </w:r>
      <w:r w:rsidRPr="005077A2">
        <w:rPr>
          <w:rFonts w:ascii="Arial" w:hAnsi="Arial" w:cs="Arial"/>
          <w:b/>
          <w:color w:val="000080"/>
          <w:szCs w:val="18"/>
        </w:rPr>
        <w:t xml:space="preserve">ενήμερες χορηγήσεις </w:t>
      </w:r>
      <w:r w:rsidRPr="00CE1D2B">
        <w:rPr>
          <w:rFonts w:ascii="Arial" w:hAnsi="Arial" w:cs="Arial"/>
          <w:color w:val="000080"/>
          <w:szCs w:val="18"/>
        </w:rPr>
        <w:t>σημείωσαν αύξηση</w:t>
      </w:r>
      <w:r>
        <w:rPr>
          <w:rFonts w:ascii="Arial" w:hAnsi="Arial" w:cs="Arial"/>
          <w:color w:val="000080"/>
          <w:szCs w:val="18"/>
        </w:rPr>
        <w:t xml:space="preserve"> κατά €1,3</w:t>
      </w:r>
      <w:r w:rsidRPr="005077A2">
        <w:rPr>
          <w:rFonts w:ascii="Arial" w:hAnsi="Arial" w:cs="Arial"/>
          <w:color w:val="000080"/>
          <w:szCs w:val="18"/>
        </w:rPr>
        <w:t>δισ.</w:t>
      </w:r>
      <w:r>
        <w:rPr>
          <w:rFonts w:ascii="Arial" w:hAnsi="Arial" w:cs="Arial"/>
          <w:color w:val="000080"/>
          <w:szCs w:val="18"/>
        </w:rPr>
        <w:t xml:space="preserve"> συνολικά σε σχέση με το τέλος του 2019. Τα </w:t>
      </w:r>
      <w:r w:rsidRPr="00FD7C6B">
        <w:rPr>
          <w:rFonts w:ascii="Arial" w:hAnsi="Arial" w:cs="Arial"/>
          <w:b/>
          <w:color w:val="000080"/>
          <w:szCs w:val="18"/>
        </w:rPr>
        <w:t>υπόλοιπα χορηγήσεων</w:t>
      </w:r>
      <w:r>
        <w:rPr>
          <w:rFonts w:ascii="Arial" w:hAnsi="Arial" w:cs="Arial"/>
          <w:color w:val="000080"/>
          <w:szCs w:val="18"/>
        </w:rPr>
        <w:t xml:space="preserve"> διαμορφώθηκαν σε €38,1δισ. στο τέλος Ιουνίου ή €40,6δισ. pro-forma για την αναγνώριση των ομολόγων υψηλής διαβάθμισης της τιτλοποίησης </w:t>
      </w:r>
      <w:r>
        <w:rPr>
          <w:rFonts w:ascii="Arial" w:hAnsi="Arial" w:cs="Arial"/>
          <w:color w:val="000080"/>
          <w:szCs w:val="18"/>
          <w:lang w:val="en-US"/>
        </w:rPr>
        <w:t>Cairo</w:t>
      </w:r>
      <w:r w:rsidRPr="00CA5CDD">
        <w:rPr>
          <w:rFonts w:ascii="Arial" w:hAnsi="Arial" w:cs="Arial"/>
          <w:color w:val="000080"/>
          <w:szCs w:val="18"/>
        </w:rPr>
        <w:t>.</w:t>
      </w:r>
    </w:p>
    <w:p w:rsidR="002423AA" w:rsidRDefault="002423AA" w:rsidP="002423AA">
      <w:pPr>
        <w:pStyle w:val="a8"/>
        <w:rPr>
          <w:rFonts w:ascii="Arial" w:hAnsi="Arial" w:cs="Arial"/>
          <w:color w:val="000080"/>
          <w:szCs w:val="18"/>
        </w:rPr>
      </w:pPr>
    </w:p>
    <w:p w:rsidR="002423AA" w:rsidRPr="00CE1D2B" w:rsidRDefault="002423AA" w:rsidP="002423AA">
      <w:pPr>
        <w:numPr>
          <w:ilvl w:val="0"/>
          <w:numId w:val="18"/>
        </w:numPr>
        <w:spacing w:line="360" w:lineRule="auto"/>
        <w:ind w:right="43"/>
        <w:jc w:val="both"/>
        <w:rPr>
          <w:rFonts w:ascii="Arial" w:hAnsi="Arial" w:cs="Arial"/>
          <w:color w:val="000080"/>
          <w:szCs w:val="18"/>
        </w:rPr>
      </w:pPr>
      <w:r w:rsidRPr="00CE1D2B">
        <w:rPr>
          <w:rFonts w:ascii="Arial" w:hAnsi="Arial" w:cs="Arial"/>
          <w:color w:val="000080"/>
          <w:szCs w:val="18"/>
        </w:rPr>
        <w:t xml:space="preserve">Οι </w:t>
      </w:r>
      <w:r w:rsidRPr="00CE1D2B">
        <w:rPr>
          <w:rFonts w:ascii="Arial" w:hAnsi="Arial" w:cs="Arial"/>
          <w:b/>
          <w:color w:val="000080"/>
          <w:szCs w:val="18"/>
        </w:rPr>
        <w:t>καταθέσεις πελατών</w:t>
      </w:r>
      <w:r w:rsidRPr="00CE1D2B">
        <w:rPr>
          <w:rFonts w:ascii="Arial" w:hAnsi="Arial" w:cs="Arial"/>
          <w:color w:val="000080"/>
          <w:szCs w:val="18"/>
        </w:rPr>
        <w:t xml:space="preserve"> ενισχύθηκαν κατά €0,4δισ. το Α΄ εξάμηνο 2020, ενώ </w:t>
      </w:r>
      <w:r>
        <w:rPr>
          <w:rFonts w:ascii="Arial" w:hAnsi="Arial" w:cs="Arial"/>
          <w:color w:val="000080"/>
          <w:szCs w:val="18"/>
        </w:rPr>
        <w:t>ο</w:t>
      </w:r>
      <w:r w:rsidRPr="00CE1D2B">
        <w:rPr>
          <w:rFonts w:ascii="Arial" w:hAnsi="Arial" w:cs="Arial"/>
          <w:color w:val="000080"/>
          <w:szCs w:val="18"/>
        </w:rPr>
        <w:t xml:space="preserve"> </w:t>
      </w:r>
      <w:r w:rsidRPr="00CE1D2B">
        <w:rPr>
          <w:rFonts w:ascii="Arial" w:hAnsi="Arial" w:cs="Arial"/>
          <w:b/>
          <w:noProof/>
          <w:color w:val="000080"/>
          <w:szCs w:val="18"/>
        </w:rPr>
        <w:t>δείκτης χορηγήσεων προς καταθέσεις</w:t>
      </w:r>
      <w:r w:rsidRPr="00CE1D2B">
        <w:rPr>
          <w:rFonts w:ascii="Arial" w:hAnsi="Arial" w:cs="Arial"/>
          <w:noProof/>
          <w:color w:val="000080"/>
          <w:szCs w:val="18"/>
        </w:rPr>
        <w:t xml:space="preserve"> βελτιώθηκε σημαντικά σε 81,6%, από 86,5% το αντίστοιχο περυσινό διάστημα.</w:t>
      </w:r>
      <w:r w:rsidRPr="00CE1D2B">
        <w:rPr>
          <w:rFonts w:ascii="Arial" w:hAnsi="Arial" w:cs="Arial"/>
          <w:color w:val="000080"/>
          <w:szCs w:val="18"/>
        </w:rPr>
        <w:t xml:space="preserve"> </w:t>
      </w:r>
    </w:p>
    <w:p w:rsidR="002423AA" w:rsidRDefault="002423AA" w:rsidP="002423AA">
      <w:pPr>
        <w:pStyle w:val="a8"/>
        <w:rPr>
          <w:rFonts w:ascii="Arial" w:hAnsi="Arial" w:cs="Arial"/>
          <w:color w:val="000080"/>
          <w:szCs w:val="18"/>
        </w:rPr>
      </w:pPr>
    </w:p>
    <w:p w:rsidR="002423AA" w:rsidRDefault="002423AA" w:rsidP="002423AA">
      <w:pPr>
        <w:numPr>
          <w:ilvl w:val="0"/>
          <w:numId w:val="18"/>
        </w:numPr>
        <w:spacing w:line="360" w:lineRule="auto"/>
        <w:ind w:right="43"/>
        <w:jc w:val="both"/>
        <w:rPr>
          <w:rFonts w:ascii="Arial" w:hAnsi="Arial" w:cs="Arial"/>
          <w:color w:val="000080"/>
          <w:szCs w:val="18"/>
        </w:rPr>
      </w:pPr>
      <w:r>
        <w:rPr>
          <w:rFonts w:ascii="Arial" w:hAnsi="Arial" w:cs="Arial"/>
          <w:color w:val="000080"/>
          <w:szCs w:val="18"/>
        </w:rPr>
        <w:t xml:space="preserve">Η </w:t>
      </w:r>
      <w:r w:rsidRPr="00910765">
        <w:rPr>
          <w:rFonts w:ascii="Arial" w:hAnsi="Arial" w:cs="Arial"/>
          <w:b/>
          <w:color w:val="000080"/>
          <w:szCs w:val="18"/>
        </w:rPr>
        <w:t>χρηματοδότηση από το ευρωσύστημα</w:t>
      </w:r>
      <w:r>
        <w:rPr>
          <w:rFonts w:ascii="Arial" w:hAnsi="Arial" w:cs="Arial"/>
          <w:b/>
          <w:color w:val="000080"/>
          <w:szCs w:val="18"/>
        </w:rPr>
        <w:t xml:space="preserve"> </w:t>
      </w:r>
      <w:r>
        <w:rPr>
          <w:rFonts w:ascii="Arial" w:hAnsi="Arial" w:cs="Arial"/>
          <w:color w:val="000080"/>
          <w:szCs w:val="18"/>
        </w:rPr>
        <w:t xml:space="preserve">ανήλθε σε €8,0δισ. το Β΄ τρίμηνο 2020 μέσω του προγράμματος ρευστότητας </w:t>
      </w:r>
      <w:r>
        <w:rPr>
          <w:rFonts w:ascii="Arial" w:hAnsi="Arial" w:cs="Arial"/>
          <w:color w:val="000080"/>
          <w:szCs w:val="18"/>
          <w:lang w:val="en-US"/>
        </w:rPr>
        <w:t>TLTRO</w:t>
      </w:r>
      <w:r w:rsidRPr="00D33146">
        <w:rPr>
          <w:rFonts w:ascii="Arial" w:hAnsi="Arial" w:cs="Arial"/>
          <w:color w:val="000080"/>
          <w:szCs w:val="18"/>
        </w:rPr>
        <w:t xml:space="preserve"> </w:t>
      </w:r>
      <w:r>
        <w:rPr>
          <w:rFonts w:ascii="Arial" w:hAnsi="Arial" w:cs="Arial"/>
          <w:color w:val="000080"/>
          <w:szCs w:val="18"/>
          <w:lang w:val="en-US"/>
        </w:rPr>
        <w:t>III</w:t>
      </w:r>
      <w:r>
        <w:rPr>
          <w:rFonts w:ascii="Arial" w:hAnsi="Arial" w:cs="Arial"/>
          <w:color w:val="000080"/>
          <w:szCs w:val="18"/>
        </w:rPr>
        <w:t>.</w:t>
      </w:r>
    </w:p>
    <w:p w:rsidR="002423AA" w:rsidRDefault="002423AA" w:rsidP="002423AA">
      <w:pPr>
        <w:pStyle w:val="a8"/>
        <w:rPr>
          <w:rFonts w:ascii="Arial" w:hAnsi="Arial" w:cs="Arial"/>
          <w:color w:val="000080"/>
          <w:szCs w:val="18"/>
        </w:rPr>
      </w:pPr>
    </w:p>
    <w:p w:rsidR="002423AA" w:rsidRDefault="002423AA" w:rsidP="002423AA">
      <w:pPr>
        <w:numPr>
          <w:ilvl w:val="0"/>
          <w:numId w:val="18"/>
        </w:numPr>
        <w:spacing w:line="360" w:lineRule="auto"/>
        <w:ind w:right="43"/>
        <w:jc w:val="both"/>
        <w:rPr>
          <w:rFonts w:ascii="Arial" w:hAnsi="Arial" w:cs="Arial"/>
          <w:color w:val="000080"/>
          <w:szCs w:val="18"/>
        </w:rPr>
      </w:pPr>
      <w:r>
        <w:rPr>
          <w:rFonts w:ascii="Arial" w:hAnsi="Arial" w:cs="Arial"/>
          <w:color w:val="000080"/>
          <w:szCs w:val="18"/>
        </w:rPr>
        <w:t>Τ</w:t>
      </w:r>
      <w:r w:rsidR="003C4297" w:rsidRPr="002423AA">
        <w:rPr>
          <w:rFonts w:ascii="Arial" w:hAnsi="Arial" w:cs="Arial"/>
          <w:color w:val="000080"/>
          <w:szCs w:val="18"/>
        </w:rPr>
        <w:t xml:space="preserve">α </w:t>
      </w:r>
      <w:r w:rsidR="008973E1" w:rsidRPr="002423AA">
        <w:rPr>
          <w:rFonts w:ascii="Arial" w:hAnsi="Arial" w:cs="Arial"/>
          <w:b/>
          <w:color w:val="000080"/>
          <w:szCs w:val="18"/>
        </w:rPr>
        <w:t>καθαρά κέρδη</w:t>
      </w:r>
      <w:r w:rsidR="00392B99" w:rsidRPr="005077A2">
        <w:rPr>
          <w:rStyle w:val="a7"/>
          <w:rFonts w:ascii="Arial" w:hAnsi="Arial" w:cs="Arial"/>
          <w:color w:val="000080"/>
          <w:szCs w:val="18"/>
        </w:rPr>
        <w:footnoteReference w:id="4"/>
      </w:r>
      <w:r w:rsidR="00D362F3" w:rsidRPr="002423AA">
        <w:rPr>
          <w:rFonts w:ascii="Arial" w:hAnsi="Arial" w:cs="Arial"/>
          <w:color w:val="000080"/>
          <w:szCs w:val="18"/>
        </w:rPr>
        <w:t xml:space="preserve"> </w:t>
      </w:r>
      <w:r w:rsidR="003C4297" w:rsidRPr="002423AA">
        <w:rPr>
          <w:rFonts w:ascii="Arial" w:hAnsi="Arial" w:cs="Arial"/>
          <w:color w:val="000080"/>
          <w:szCs w:val="18"/>
        </w:rPr>
        <w:t xml:space="preserve">αυξήθηκαν σε </w:t>
      </w:r>
      <w:r w:rsidR="00165040" w:rsidRPr="002423AA">
        <w:rPr>
          <w:rFonts w:ascii="Arial" w:hAnsi="Arial" w:cs="Arial"/>
          <w:color w:val="000080"/>
          <w:szCs w:val="18"/>
        </w:rPr>
        <w:t>€</w:t>
      </w:r>
      <w:r w:rsidR="003C4297" w:rsidRPr="002423AA">
        <w:rPr>
          <w:rFonts w:ascii="Arial" w:hAnsi="Arial" w:cs="Arial"/>
          <w:color w:val="000080"/>
          <w:szCs w:val="18"/>
        </w:rPr>
        <w:t>17</w:t>
      </w:r>
      <w:r w:rsidR="00465500" w:rsidRPr="002423AA">
        <w:rPr>
          <w:rFonts w:ascii="Arial" w:hAnsi="Arial" w:cs="Arial"/>
          <w:color w:val="000080"/>
          <w:szCs w:val="18"/>
        </w:rPr>
        <w:t>6εκ.</w:t>
      </w:r>
      <w:r w:rsidRPr="002423AA">
        <w:rPr>
          <w:rFonts w:ascii="Arial" w:hAnsi="Arial" w:cs="Arial"/>
          <w:color w:val="000080"/>
          <w:szCs w:val="18"/>
        </w:rPr>
        <w:t xml:space="preserve"> </w:t>
      </w:r>
      <w:r w:rsidRPr="00CE1D2B">
        <w:rPr>
          <w:rFonts w:ascii="Arial" w:hAnsi="Arial" w:cs="Arial"/>
          <w:color w:val="000080"/>
          <w:szCs w:val="18"/>
        </w:rPr>
        <w:t>το Α΄ εξάμηνο 2020</w:t>
      </w:r>
      <w:r w:rsidR="003C4297" w:rsidRPr="002423AA">
        <w:rPr>
          <w:rFonts w:ascii="Arial" w:hAnsi="Arial" w:cs="Arial"/>
          <w:color w:val="000080"/>
          <w:szCs w:val="18"/>
        </w:rPr>
        <w:t>, από €97εκ. ένα χρόνο πριν.</w:t>
      </w:r>
    </w:p>
    <w:p w:rsidR="002423AA" w:rsidRPr="002423AA" w:rsidRDefault="002423AA" w:rsidP="002423AA">
      <w:pPr>
        <w:pStyle w:val="a8"/>
        <w:rPr>
          <w:rFonts w:ascii="Arial" w:hAnsi="Arial" w:cs="Arial"/>
          <w:color w:val="000080"/>
          <w:szCs w:val="18"/>
        </w:rPr>
      </w:pPr>
    </w:p>
    <w:p w:rsidR="00016690" w:rsidRPr="002423AA" w:rsidRDefault="00CD213E" w:rsidP="002423AA">
      <w:pPr>
        <w:numPr>
          <w:ilvl w:val="0"/>
          <w:numId w:val="18"/>
        </w:numPr>
        <w:spacing w:line="360" w:lineRule="auto"/>
        <w:ind w:right="43"/>
        <w:jc w:val="both"/>
        <w:rPr>
          <w:rFonts w:ascii="Arial" w:hAnsi="Arial" w:cs="Arial"/>
          <w:color w:val="000080"/>
          <w:szCs w:val="18"/>
        </w:rPr>
      </w:pPr>
      <w:r w:rsidRPr="002423AA">
        <w:rPr>
          <w:rFonts w:ascii="Arial" w:hAnsi="Arial" w:cs="Arial"/>
          <w:color w:val="000080"/>
          <w:szCs w:val="18"/>
          <w:lang w:val="en-US"/>
        </w:rPr>
        <w:t>T</w:t>
      </w:r>
      <w:r w:rsidR="000E23B6" w:rsidRPr="002423AA">
        <w:rPr>
          <w:rFonts w:ascii="Arial" w:hAnsi="Arial" w:cs="Arial"/>
          <w:color w:val="000080"/>
          <w:szCs w:val="18"/>
        </w:rPr>
        <w:t xml:space="preserve">α </w:t>
      </w:r>
      <w:r w:rsidR="000E23B6" w:rsidRPr="002423AA">
        <w:rPr>
          <w:rFonts w:ascii="Arial" w:hAnsi="Arial" w:cs="Arial"/>
          <w:b/>
          <w:color w:val="000080"/>
          <w:szCs w:val="18"/>
        </w:rPr>
        <w:t xml:space="preserve">καθαρά έσοδα από τόκους </w:t>
      </w:r>
      <w:r w:rsidR="003C4297" w:rsidRPr="002423AA">
        <w:rPr>
          <w:rFonts w:ascii="Arial" w:hAnsi="Arial" w:cs="Arial"/>
          <w:color w:val="000080"/>
          <w:szCs w:val="18"/>
        </w:rPr>
        <w:t>ενισχύθηκαν</w:t>
      </w:r>
      <w:r w:rsidR="003C4297" w:rsidRPr="002423AA">
        <w:rPr>
          <w:rFonts w:ascii="Arial" w:hAnsi="Arial" w:cs="Arial"/>
          <w:b/>
          <w:color w:val="000080"/>
          <w:szCs w:val="18"/>
        </w:rPr>
        <w:t xml:space="preserve"> </w:t>
      </w:r>
      <w:r w:rsidR="003C4297" w:rsidRPr="002423AA">
        <w:rPr>
          <w:rFonts w:ascii="Arial" w:hAnsi="Arial" w:cs="Arial"/>
          <w:color w:val="000080"/>
          <w:szCs w:val="18"/>
        </w:rPr>
        <w:t>κατά 0,6</w:t>
      </w:r>
      <w:r w:rsidR="00AF01F4" w:rsidRPr="002423AA">
        <w:rPr>
          <w:rFonts w:ascii="Arial" w:hAnsi="Arial" w:cs="Arial"/>
          <w:color w:val="000080"/>
          <w:szCs w:val="18"/>
        </w:rPr>
        <w:t xml:space="preserve">% σε ετήσια βάση και </w:t>
      </w:r>
      <w:r w:rsidR="008973E1" w:rsidRPr="002423AA">
        <w:rPr>
          <w:rFonts w:ascii="Arial" w:hAnsi="Arial" w:cs="Arial"/>
          <w:color w:val="000080"/>
          <w:szCs w:val="18"/>
        </w:rPr>
        <w:t xml:space="preserve">διαμορφώθηκαν σε </w:t>
      </w:r>
      <w:r w:rsidR="003C4297" w:rsidRPr="002423AA">
        <w:rPr>
          <w:rFonts w:ascii="Arial" w:hAnsi="Arial" w:cs="Arial"/>
          <w:color w:val="000080"/>
          <w:szCs w:val="18"/>
        </w:rPr>
        <w:t>€689</w:t>
      </w:r>
      <w:r w:rsidR="00F11A5A" w:rsidRPr="002423AA">
        <w:rPr>
          <w:rFonts w:ascii="Arial" w:hAnsi="Arial" w:cs="Arial"/>
          <w:color w:val="000080"/>
          <w:szCs w:val="18"/>
        </w:rPr>
        <w:t>εκ.</w:t>
      </w:r>
      <w:r w:rsidR="008973E1" w:rsidRPr="002423AA">
        <w:rPr>
          <w:rFonts w:ascii="Arial" w:hAnsi="Arial" w:cs="Arial"/>
          <w:color w:val="000080"/>
          <w:szCs w:val="18"/>
        </w:rPr>
        <w:t xml:space="preserve"> </w:t>
      </w:r>
      <w:r w:rsidR="00016690" w:rsidRPr="002423AA">
        <w:rPr>
          <w:rFonts w:ascii="Arial" w:hAnsi="Arial" w:cs="Arial"/>
          <w:color w:val="000080"/>
          <w:szCs w:val="18"/>
        </w:rPr>
        <w:t>το</w:t>
      </w:r>
      <w:r w:rsidR="00AF01F4" w:rsidRPr="002423AA">
        <w:rPr>
          <w:rFonts w:ascii="Arial" w:hAnsi="Arial" w:cs="Arial"/>
          <w:color w:val="000080"/>
          <w:szCs w:val="18"/>
        </w:rPr>
        <w:t xml:space="preserve"> Α΄ </w:t>
      </w:r>
      <w:r w:rsidR="003C4297" w:rsidRPr="002423AA">
        <w:rPr>
          <w:rFonts w:ascii="Arial" w:hAnsi="Arial" w:cs="Arial"/>
          <w:color w:val="000080"/>
          <w:szCs w:val="18"/>
        </w:rPr>
        <w:t xml:space="preserve">εξάμηνο 2020. Αύξηση σημειώθηκε και σε τριμηνιαία  βάση κατά 2,9% σε </w:t>
      </w:r>
      <w:r w:rsidR="00A80B57" w:rsidRPr="002423AA">
        <w:rPr>
          <w:rFonts w:ascii="Arial" w:hAnsi="Arial" w:cs="Arial"/>
          <w:color w:val="000080"/>
          <w:szCs w:val="18"/>
        </w:rPr>
        <w:t>€349εκ. Τ</w:t>
      </w:r>
      <w:r w:rsidR="005077A2" w:rsidRPr="002423AA">
        <w:rPr>
          <w:rFonts w:ascii="Arial" w:hAnsi="Arial" w:cs="Arial"/>
          <w:color w:val="000080"/>
          <w:szCs w:val="18"/>
        </w:rPr>
        <w:t xml:space="preserve">ο καθαρό επιτοκιακό περιθώριο </w:t>
      </w:r>
      <w:r w:rsidR="00A80B57" w:rsidRPr="002423AA">
        <w:rPr>
          <w:rFonts w:ascii="Arial" w:hAnsi="Arial" w:cs="Arial"/>
          <w:color w:val="000080"/>
          <w:szCs w:val="18"/>
        </w:rPr>
        <w:t>υποχώρησε κατά 19</w:t>
      </w:r>
      <w:r w:rsidR="00AF01F4" w:rsidRPr="002423AA">
        <w:rPr>
          <w:rFonts w:ascii="Arial" w:hAnsi="Arial" w:cs="Arial"/>
          <w:color w:val="000080"/>
          <w:szCs w:val="18"/>
        </w:rPr>
        <w:t xml:space="preserve"> μονάδε</w:t>
      </w:r>
      <w:r w:rsidR="00A80B57" w:rsidRPr="002423AA">
        <w:rPr>
          <w:rFonts w:ascii="Arial" w:hAnsi="Arial" w:cs="Arial"/>
          <w:color w:val="000080"/>
          <w:szCs w:val="18"/>
        </w:rPr>
        <w:t xml:space="preserve">ς βάσης </w:t>
      </w:r>
      <w:r w:rsidR="0058448B" w:rsidRPr="002423AA">
        <w:rPr>
          <w:rFonts w:ascii="Arial" w:hAnsi="Arial" w:cs="Arial"/>
          <w:color w:val="000080"/>
          <w:szCs w:val="18"/>
        </w:rPr>
        <w:t>έναντι του Α΄ εξαμή</w:t>
      </w:r>
      <w:r w:rsidR="00A80B57" w:rsidRPr="002423AA">
        <w:rPr>
          <w:rFonts w:ascii="Arial" w:hAnsi="Arial" w:cs="Arial"/>
          <w:color w:val="000080"/>
          <w:szCs w:val="18"/>
        </w:rPr>
        <w:t>νο</w:t>
      </w:r>
      <w:r w:rsidR="0058448B" w:rsidRPr="002423AA">
        <w:rPr>
          <w:rFonts w:ascii="Arial" w:hAnsi="Arial" w:cs="Arial"/>
          <w:color w:val="000080"/>
          <w:szCs w:val="18"/>
        </w:rPr>
        <w:t>υ 2019</w:t>
      </w:r>
      <w:r w:rsidR="00A80B57" w:rsidRPr="002423AA">
        <w:rPr>
          <w:rFonts w:ascii="Arial" w:hAnsi="Arial" w:cs="Arial"/>
          <w:color w:val="000080"/>
          <w:szCs w:val="18"/>
        </w:rPr>
        <w:t xml:space="preserve"> σε 2,09</w:t>
      </w:r>
      <w:r w:rsidR="008973E1" w:rsidRPr="002423AA">
        <w:rPr>
          <w:rFonts w:ascii="Arial" w:hAnsi="Arial" w:cs="Arial"/>
          <w:color w:val="000080"/>
          <w:szCs w:val="18"/>
        </w:rPr>
        <w:t>%.</w:t>
      </w:r>
      <w:r w:rsidR="009F0722" w:rsidRPr="002423AA">
        <w:rPr>
          <w:rFonts w:ascii="Arial" w:hAnsi="Arial" w:cs="Arial"/>
          <w:color w:val="000080"/>
          <w:szCs w:val="18"/>
        </w:rPr>
        <w:t xml:space="preserve"> </w:t>
      </w:r>
    </w:p>
    <w:p w:rsidR="00016690" w:rsidRDefault="00016690" w:rsidP="00016690">
      <w:pPr>
        <w:spacing w:line="360" w:lineRule="auto"/>
        <w:ind w:left="720" w:right="43"/>
        <w:jc w:val="both"/>
        <w:rPr>
          <w:rFonts w:ascii="Arial" w:hAnsi="Arial" w:cs="Arial"/>
          <w:color w:val="000080"/>
          <w:szCs w:val="18"/>
        </w:rPr>
      </w:pPr>
    </w:p>
    <w:p w:rsidR="00252F64" w:rsidRPr="00016690" w:rsidRDefault="00F826C3" w:rsidP="00016690">
      <w:pPr>
        <w:numPr>
          <w:ilvl w:val="0"/>
          <w:numId w:val="18"/>
        </w:numPr>
        <w:spacing w:line="360" w:lineRule="auto"/>
        <w:ind w:right="43"/>
        <w:jc w:val="both"/>
        <w:rPr>
          <w:rFonts w:ascii="Arial" w:hAnsi="Arial" w:cs="Arial"/>
          <w:color w:val="000080"/>
          <w:szCs w:val="18"/>
        </w:rPr>
      </w:pPr>
      <w:r w:rsidRPr="00016690">
        <w:rPr>
          <w:rFonts w:ascii="Arial" w:hAnsi="Arial" w:cs="Arial"/>
          <w:color w:val="000080"/>
          <w:szCs w:val="18"/>
        </w:rPr>
        <w:t>Τα</w:t>
      </w:r>
      <w:r w:rsidRPr="00016690">
        <w:rPr>
          <w:rFonts w:ascii="Arial" w:hAnsi="Arial" w:cs="Arial"/>
          <w:b/>
          <w:color w:val="000080"/>
          <w:szCs w:val="18"/>
        </w:rPr>
        <w:t xml:space="preserve"> καθαρά έσοδα από αμοιβές και προμήθειες </w:t>
      </w:r>
      <w:r w:rsidR="00A32F41" w:rsidRPr="00016690">
        <w:rPr>
          <w:rFonts w:ascii="Arial" w:hAnsi="Arial" w:cs="Arial"/>
          <w:color w:val="000080"/>
          <w:szCs w:val="18"/>
        </w:rPr>
        <w:t>ενισχύθηκαν</w:t>
      </w:r>
      <w:r w:rsidR="00A32F41" w:rsidRPr="00016690">
        <w:rPr>
          <w:rFonts w:ascii="Arial" w:hAnsi="Arial" w:cs="Arial"/>
          <w:b/>
          <w:color w:val="000080"/>
          <w:szCs w:val="18"/>
        </w:rPr>
        <w:t xml:space="preserve"> </w:t>
      </w:r>
      <w:r w:rsidR="00A32F41" w:rsidRPr="00016690">
        <w:rPr>
          <w:rFonts w:ascii="Arial" w:hAnsi="Arial" w:cs="Arial"/>
          <w:color w:val="000080"/>
          <w:szCs w:val="18"/>
        </w:rPr>
        <w:t>κατά</w:t>
      </w:r>
      <w:r w:rsidR="00A32F41" w:rsidRPr="00016690">
        <w:rPr>
          <w:rFonts w:ascii="Arial" w:hAnsi="Arial" w:cs="Arial"/>
          <w:b/>
          <w:color w:val="000080"/>
          <w:szCs w:val="18"/>
        </w:rPr>
        <w:t xml:space="preserve"> </w:t>
      </w:r>
      <w:r w:rsidR="00A80B57">
        <w:rPr>
          <w:rFonts w:ascii="Arial" w:hAnsi="Arial" w:cs="Arial"/>
          <w:color w:val="000080"/>
          <w:szCs w:val="18"/>
        </w:rPr>
        <w:t>15,7</w:t>
      </w:r>
      <w:r w:rsidR="00A32F41" w:rsidRPr="00016690">
        <w:rPr>
          <w:rFonts w:ascii="Arial" w:hAnsi="Arial" w:cs="Arial"/>
          <w:color w:val="000080"/>
          <w:szCs w:val="18"/>
        </w:rPr>
        <w:t>%</w:t>
      </w:r>
      <w:r w:rsidR="00165040" w:rsidRPr="00016690">
        <w:rPr>
          <w:rFonts w:ascii="Arial" w:hAnsi="Arial" w:cs="Arial"/>
          <w:color w:val="000080"/>
          <w:szCs w:val="18"/>
        </w:rPr>
        <w:t xml:space="preserve"> </w:t>
      </w:r>
      <w:r w:rsidR="009D3F01" w:rsidRPr="00016690">
        <w:rPr>
          <w:rFonts w:ascii="Arial" w:hAnsi="Arial" w:cs="Arial"/>
          <w:color w:val="000080"/>
          <w:szCs w:val="18"/>
        </w:rPr>
        <w:t xml:space="preserve">σε ετήσια βάση </w:t>
      </w:r>
      <w:r w:rsidR="00165040" w:rsidRPr="00016690">
        <w:rPr>
          <w:rFonts w:ascii="Arial" w:hAnsi="Arial" w:cs="Arial"/>
          <w:color w:val="000080"/>
          <w:szCs w:val="18"/>
        </w:rPr>
        <w:t>και ανήλθαν</w:t>
      </w:r>
      <w:r w:rsidR="00A32F41" w:rsidRPr="00016690">
        <w:rPr>
          <w:rFonts w:ascii="Arial" w:hAnsi="Arial" w:cs="Arial"/>
          <w:color w:val="000080"/>
          <w:szCs w:val="18"/>
        </w:rPr>
        <w:t xml:space="preserve"> </w:t>
      </w:r>
      <w:r w:rsidR="006E612F" w:rsidRPr="00016690">
        <w:rPr>
          <w:rFonts w:ascii="Arial" w:hAnsi="Arial" w:cs="Arial"/>
          <w:color w:val="000080"/>
          <w:szCs w:val="18"/>
        </w:rPr>
        <w:t>σε €</w:t>
      </w:r>
      <w:r w:rsidR="00A80B57">
        <w:rPr>
          <w:rFonts w:ascii="Arial" w:hAnsi="Arial" w:cs="Arial"/>
          <w:color w:val="000080"/>
          <w:szCs w:val="18"/>
        </w:rPr>
        <w:t>180</w:t>
      </w:r>
      <w:r w:rsidR="006E612F" w:rsidRPr="00016690">
        <w:rPr>
          <w:rFonts w:ascii="Arial" w:hAnsi="Arial" w:cs="Arial"/>
          <w:color w:val="000080"/>
          <w:szCs w:val="18"/>
        </w:rPr>
        <w:t>εκ.</w:t>
      </w:r>
      <w:r w:rsidR="007C744E" w:rsidRPr="00016690">
        <w:rPr>
          <w:rFonts w:ascii="Arial" w:hAnsi="Arial" w:cs="Arial"/>
          <w:color w:val="000080"/>
          <w:szCs w:val="18"/>
        </w:rPr>
        <w:t>,</w:t>
      </w:r>
      <w:r w:rsidR="00016690">
        <w:rPr>
          <w:rFonts w:ascii="Arial" w:hAnsi="Arial" w:cs="Arial"/>
          <w:color w:val="000080"/>
          <w:szCs w:val="18"/>
        </w:rPr>
        <w:t xml:space="preserve"> </w:t>
      </w:r>
      <w:r w:rsidR="00F11A5A" w:rsidRPr="00016690">
        <w:rPr>
          <w:rFonts w:ascii="Arial" w:hAnsi="Arial" w:cs="Arial"/>
          <w:color w:val="000080"/>
          <w:szCs w:val="18"/>
        </w:rPr>
        <w:t xml:space="preserve">κυρίως </w:t>
      </w:r>
      <w:r w:rsidR="00A32F41" w:rsidRPr="00016690">
        <w:rPr>
          <w:rFonts w:ascii="Arial" w:hAnsi="Arial" w:cs="Arial"/>
          <w:color w:val="000080"/>
          <w:szCs w:val="18"/>
        </w:rPr>
        <w:t>λόγω</w:t>
      </w:r>
      <w:r w:rsidR="009D3F01" w:rsidRPr="00016690">
        <w:rPr>
          <w:rFonts w:ascii="Arial" w:hAnsi="Arial" w:cs="Arial"/>
          <w:color w:val="000080"/>
          <w:szCs w:val="18"/>
        </w:rPr>
        <w:t xml:space="preserve"> των </w:t>
      </w:r>
      <w:r w:rsidR="00351207" w:rsidRPr="00016690">
        <w:rPr>
          <w:rFonts w:ascii="Arial" w:hAnsi="Arial" w:cs="Arial"/>
          <w:color w:val="000080"/>
          <w:szCs w:val="18"/>
        </w:rPr>
        <w:t xml:space="preserve">εσόδων </w:t>
      </w:r>
      <w:r w:rsidR="002C7ED5">
        <w:rPr>
          <w:rFonts w:ascii="Arial" w:hAnsi="Arial" w:cs="Arial"/>
          <w:color w:val="000080"/>
          <w:szCs w:val="18"/>
        </w:rPr>
        <w:t>από</w:t>
      </w:r>
      <w:r w:rsidR="00A80B57">
        <w:rPr>
          <w:rFonts w:ascii="Arial" w:hAnsi="Arial" w:cs="Arial"/>
          <w:color w:val="000080"/>
          <w:szCs w:val="18"/>
        </w:rPr>
        <w:t xml:space="preserve"> ενοίκια, τις εργασίες στις</w:t>
      </w:r>
      <w:r w:rsidR="002C7ED5">
        <w:rPr>
          <w:rFonts w:ascii="Arial" w:hAnsi="Arial" w:cs="Arial"/>
          <w:color w:val="000080"/>
          <w:szCs w:val="18"/>
        </w:rPr>
        <w:t xml:space="preserve"> </w:t>
      </w:r>
      <w:r w:rsidR="00A80B57">
        <w:rPr>
          <w:rFonts w:ascii="Arial" w:hAnsi="Arial" w:cs="Arial"/>
          <w:color w:val="000080"/>
          <w:szCs w:val="18"/>
        </w:rPr>
        <w:t>κεφαλαιαγορές και τη δ</w:t>
      </w:r>
      <w:r w:rsidR="002C7ED5">
        <w:rPr>
          <w:rFonts w:ascii="Arial" w:hAnsi="Arial" w:cs="Arial"/>
          <w:color w:val="000080"/>
          <w:szCs w:val="18"/>
        </w:rPr>
        <w:t>ιαχείριση</w:t>
      </w:r>
      <w:r w:rsidR="00A80B57">
        <w:rPr>
          <w:rFonts w:ascii="Arial" w:hAnsi="Arial" w:cs="Arial"/>
          <w:color w:val="000080"/>
          <w:szCs w:val="18"/>
        </w:rPr>
        <w:t xml:space="preserve"> π</w:t>
      </w:r>
      <w:r w:rsidR="002C7ED5">
        <w:rPr>
          <w:rFonts w:ascii="Arial" w:hAnsi="Arial" w:cs="Arial"/>
          <w:color w:val="000080"/>
          <w:szCs w:val="18"/>
        </w:rPr>
        <w:t>εριουσίας</w:t>
      </w:r>
      <w:r w:rsidR="006E612F" w:rsidRPr="00016690">
        <w:rPr>
          <w:rFonts w:ascii="Arial" w:hAnsi="Arial" w:cs="Arial"/>
          <w:color w:val="000080"/>
          <w:szCs w:val="18"/>
        </w:rPr>
        <w:t>.</w:t>
      </w:r>
      <w:r w:rsidR="00CD6F72" w:rsidRPr="00016690">
        <w:rPr>
          <w:rFonts w:ascii="Arial" w:hAnsi="Arial" w:cs="Arial"/>
          <w:color w:val="000080"/>
          <w:szCs w:val="18"/>
        </w:rPr>
        <w:t xml:space="preserve"> </w:t>
      </w:r>
      <w:r w:rsidR="00A80B57">
        <w:rPr>
          <w:rFonts w:ascii="Arial" w:hAnsi="Arial" w:cs="Arial"/>
          <w:color w:val="000080"/>
          <w:szCs w:val="18"/>
        </w:rPr>
        <w:t xml:space="preserve">Σε επίπεδο τριμήνου </w:t>
      </w:r>
      <w:r w:rsidR="00252839">
        <w:rPr>
          <w:rFonts w:ascii="Arial" w:hAnsi="Arial" w:cs="Arial"/>
          <w:color w:val="000080"/>
          <w:szCs w:val="18"/>
        </w:rPr>
        <w:t>μειώθηκαν</w:t>
      </w:r>
      <w:r w:rsidR="00A80B57">
        <w:rPr>
          <w:rFonts w:ascii="Arial" w:hAnsi="Arial" w:cs="Arial"/>
          <w:color w:val="000080"/>
          <w:szCs w:val="18"/>
        </w:rPr>
        <w:t xml:space="preserve"> κατά 4,9% λόγω της </w:t>
      </w:r>
      <w:r w:rsidR="0006722E">
        <w:rPr>
          <w:rFonts w:ascii="Arial" w:hAnsi="Arial" w:cs="Arial"/>
          <w:color w:val="000080"/>
          <w:szCs w:val="18"/>
        </w:rPr>
        <w:t>εξάπλωσης της</w:t>
      </w:r>
      <w:r w:rsidR="00A80B57">
        <w:rPr>
          <w:rFonts w:ascii="Arial" w:hAnsi="Arial" w:cs="Arial"/>
          <w:color w:val="000080"/>
          <w:szCs w:val="18"/>
        </w:rPr>
        <w:t xml:space="preserve"> πανδημία</w:t>
      </w:r>
      <w:r w:rsidR="0006722E">
        <w:rPr>
          <w:rFonts w:ascii="Arial" w:hAnsi="Arial" w:cs="Arial"/>
          <w:color w:val="000080"/>
          <w:szCs w:val="18"/>
        </w:rPr>
        <w:t>ς</w:t>
      </w:r>
      <w:r w:rsidR="00A80B57">
        <w:rPr>
          <w:rFonts w:ascii="Arial" w:hAnsi="Arial" w:cs="Arial"/>
          <w:color w:val="000080"/>
          <w:szCs w:val="18"/>
        </w:rPr>
        <w:t xml:space="preserve"> και το </w:t>
      </w:r>
      <w:r w:rsidR="00A80B57">
        <w:rPr>
          <w:rFonts w:ascii="Arial" w:hAnsi="Arial" w:cs="Arial"/>
          <w:color w:val="000080"/>
          <w:szCs w:val="18"/>
          <w:lang w:val="en-US"/>
        </w:rPr>
        <w:t>lockdown</w:t>
      </w:r>
      <w:r w:rsidR="00A80B57" w:rsidRPr="00A80B57">
        <w:rPr>
          <w:rFonts w:ascii="Arial" w:hAnsi="Arial" w:cs="Arial"/>
          <w:color w:val="000080"/>
          <w:szCs w:val="18"/>
        </w:rPr>
        <w:t xml:space="preserve"> </w:t>
      </w:r>
      <w:r w:rsidR="0006722E">
        <w:rPr>
          <w:rFonts w:ascii="Arial" w:hAnsi="Arial" w:cs="Arial"/>
          <w:color w:val="000080"/>
          <w:szCs w:val="18"/>
        </w:rPr>
        <w:t xml:space="preserve">από τα τέλη </w:t>
      </w:r>
      <w:r w:rsidR="00A80B57">
        <w:rPr>
          <w:rFonts w:ascii="Arial" w:hAnsi="Arial" w:cs="Arial"/>
          <w:color w:val="000080"/>
          <w:szCs w:val="18"/>
        </w:rPr>
        <w:t>του Α΄ τριμήνου 2020.</w:t>
      </w:r>
    </w:p>
    <w:p w:rsidR="00016690" w:rsidRPr="00016690" w:rsidRDefault="00016690" w:rsidP="00016690">
      <w:pPr>
        <w:spacing w:line="360" w:lineRule="auto"/>
        <w:ind w:left="1080" w:right="43"/>
        <w:jc w:val="both"/>
        <w:rPr>
          <w:rFonts w:ascii="Arial" w:hAnsi="Arial" w:cs="Arial"/>
          <w:color w:val="000080"/>
          <w:szCs w:val="18"/>
        </w:rPr>
      </w:pPr>
    </w:p>
    <w:p w:rsidR="002423AA" w:rsidRDefault="002423AA" w:rsidP="002423AA">
      <w:pPr>
        <w:spacing w:line="360" w:lineRule="auto"/>
        <w:ind w:left="720" w:right="43"/>
        <w:jc w:val="both"/>
        <w:rPr>
          <w:rFonts w:ascii="Arial" w:hAnsi="Arial" w:cs="Arial"/>
          <w:color w:val="000080"/>
          <w:szCs w:val="18"/>
        </w:rPr>
      </w:pPr>
    </w:p>
    <w:p w:rsidR="002423AA" w:rsidRDefault="002423AA" w:rsidP="002423AA">
      <w:pPr>
        <w:pStyle w:val="a8"/>
        <w:ind w:left="360"/>
        <w:rPr>
          <w:rFonts w:ascii="Arial" w:hAnsi="Arial" w:cs="Arial"/>
          <w:color w:val="000080"/>
          <w:szCs w:val="18"/>
        </w:rPr>
      </w:pPr>
    </w:p>
    <w:p w:rsidR="009F0722" w:rsidRPr="005077A2" w:rsidRDefault="002B319C" w:rsidP="00F60FF0">
      <w:pPr>
        <w:numPr>
          <w:ilvl w:val="0"/>
          <w:numId w:val="18"/>
        </w:numPr>
        <w:spacing w:line="360" w:lineRule="auto"/>
        <w:ind w:right="43"/>
        <w:jc w:val="both"/>
        <w:rPr>
          <w:rFonts w:ascii="Arial" w:hAnsi="Arial" w:cs="Arial"/>
          <w:color w:val="000080"/>
          <w:szCs w:val="18"/>
        </w:rPr>
      </w:pPr>
      <w:r>
        <w:rPr>
          <w:rFonts w:ascii="Arial" w:hAnsi="Arial" w:cs="Arial"/>
          <w:color w:val="000080"/>
          <w:szCs w:val="18"/>
        </w:rPr>
        <w:t>Τ</w:t>
      </w:r>
      <w:r w:rsidR="00016690">
        <w:rPr>
          <w:rFonts w:ascii="Arial" w:hAnsi="Arial" w:cs="Arial"/>
          <w:color w:val="000080"/>
          <w:szCs w:val="18"/>
        </w:rPr>
        <w:t xml:space="preserve">α </w:t>
      </w:r>
      <w:r w:rsidR="006229F7" w:rsidRPr="005077A2">
        <w:rPr>
          <w:rFonts w:ascii="Arial" w:hAnsi="Arial" w:cs="Arial"/>
          <w:b/>
          <w:color w:val="000080"/>
          <w:szCs w:val="18"/>
        </w:rPr>
        <w:t xml:space="preserve">οργανικά </w:t>
      </w:r>
      <w:r w:rsidR="00016690" w:rsidRPr="005077A2">
        <w:rPr>
          <w:rFonts w:ascii="Arial" w:hAnsi="Arial" w:cs="Arial"/>
          <w:b/>
          <w:color w:val="000080"/>
          <w:szCs w:val="18"/>
        </w:rPr>
        <w:t>έσοδα</w:t>
      </w:r>
      <w:r w:rsidR="00016690" w:rsidRPr="005077A2">
        <w:rPr>
          <w:rFonts w:ascii="Arial" w:hAnsi="Arial" w:cs="Arial"/>
          <w:color w:val="000080"/>
          <w:szCs w:val="18"/>
        </w:rPr>
        <w:t xml:space="preserve"> </w:t>
      </w:r>
      <w:r w:rsidR="00252839">
        <w:rPr>
          <w:rFonts w:ascii="Arial" w:hAnsi="Arial" w:cs="Arial"/>
          <w:color w:val="000080"/>
          <w:szCs w:val="18"/>
        </w:rPr>
        <w:t>αυξήθηκαν κατά 3,4</w:t>
      </w:r>
      <w:r>
        <w:rPr>
          <w:rFonts w:ascii="Arial" w:hAnsi="Arial" w:cs="Arial"/>
          <w:color w:val="000080"/>
          <w:szCs w:val="18"/>
        </w:rPr>
        <w:t xml:space="preserve">% </w:t>
      </w:r>
      <w:r w:rsidR="00252839">
        <w:rPr>
          <w:rFonts w:ascii="Arial" w:hAnsi="Arial" w:cs="Arial"/>
          <w:color w:val="000080"/>
          <w:szCs w:val="18"/>
        </w:rPr>
        <w:t>σε ετήσια βάση σε €869εκ. και 1,3% σε τριμηνιαία βάση</w:t>
      </w:r>
      <w:r w:rsidR="008D687C" w:rsidRPr="007F4568">
        <w:rPr>
          <w:rFonts w:ascii="Arial" w:hAnsi="Arial" w:cs="Arial"/>
          <w:color w:val="000080"/>
          <w:szCs w:val="18"/>
        </w:rPr>
        <w:t xml:space="preserve"> </w:t>
      </w:r>
      <w:r w:rsidR="00CA5CDD">
        <w:rPr>
          <w:rFonts w:ascii="Arial" w:hAnsi="Arial" w:cs="Arial"/>
          <w:color w:val="000080"/>
          <w:szCs w:val="18"/>
        </w:rPr>
        <w:t>σε €437</w:t>
      </w:r>
      <w:r w:rsidR="008D687C">
        <w:rPr>
          <w:rFonts w:ascii="Arial" w:hAnsi="Arial" w:cs="Arial"/>
          <w:color w:val="000080"/>
          <w:szCs w:val="18"/>
        </w:rPr>
        <w:t>εκ</w:t>
      </w:r>
      <w:r w:rsidR="00252839">
        <w:rPr>
          <w:rFonts w:ascii="Arial" w:hAnsi="Arial" w:cs="Arial"/>
          <w:color w:val="000080"/>
          <w:szCs w:val="18"/>
        </w:rPr>
        <w:t>. Τ</w:t>
      </w:r>
      <w:r>
        <w:rPr>
          <w:rFonts w:ascii="Arial" w:hAnsi="Arial" w:cs="Arial"/>
          <w:color w:val="000080"/>
          <w:szCs w:val="18"/>
        </w:rPr>
        <w:t xml:space="preserve">α </w:t>
      </w:r>
      <w:r w:rsidRPr="002B319C">
        <w:rPr>
          <w:rFonts w:ascii="Arial" w:hAnsi="Arial" w:cs="Arial"/>
          <w:b/>
          <w:color w:val="000080"/>
          <w:szCs w:val="18"/>
        </w:rPr>
        <w:t>συνολικά έσοδα</w:t>
      </w:r>
      <w:r w:rsidR="00252839">
        <w:rPr>
          <w:rFonts w:ascii="Arial" w:hAnsi="Arial" w:cs="Arial"/>
          <w:color w:val="000080"/>
          <w:szCs w:val="18"/>
        </w:rPr>
        <w:t xml:space="preserve"> ενισχύθηκαν κατά 2,6</w:t>
      </w:r>
      <w:r>
        <w:rPr>
          <w:rFonts w:ascii="Arial" w:hAnsi="Arial" w:cs="Arial"/>
          <w:color w:val="000080"/>
          <w:szCs w:val="18"/>
        </w:rPr>
        <w:t xml:space="preserve">% </w:t>
      </w:r>
      <w:r w:rsidR="00252839">
        <w:rPr>
          <w:rFonts w:ascii="Arial" w:hAnsi="Arial" w:cs="Arial"/>
          <w:color w:val="000080"/>
          <w:szCs w:val="18"/>
        </w:rPr>
        <w:t xml:space="preserve">το Ά  εξάμηνο 2020 σε </w:t>
      </w:r>
      <w:r>
        <w:rPr>
          <w:rFonts w:ascii="Arial" w:hAnsi="Arial" w:cs="Arial"/>
          <w:color w:val="000080"/>
          <w:szCs w:val="18"/>
        </w:rPr>
        <w:t>€</w:t>
      </w:r>
      <w:r w:rsidR="00252839">
        <w:rPr>
          <w:rFonts w:ascii="Arial" w:hAnsi="Arial" w:cs="Arial"/>
          <w:color w:val="000080"/>
          <w:szCs w:val="18"/>
        </w:rPr>
        <w:t>935</w:t>
      </w:r>
      <w:r>
        <w:rPr>
          <w:rFonts w:ascii="Arial" w:hAnsi="Arial" w:cs="Arial"/>
          <w:color w:val="000080"/>
          <w:szCs w:val="18"/>
        </w:rPr>
        <w:t>εκ.</w:t>
      </w:r>
      <w:r w:rsidR="00252839">
        <w:rPr>
          <w:rFonts w:ascii="Arial" w:hAnsi="Arial" w:cs="Arial"/>
          <w:color w:val="000080"/>
          <w:szCs w:val="18"/>
        </w:rPr>
        <w:t xml:space="preserve"> και κατά 15,2% το Β΄ τρίμηνο 2020 έναντι του Α΄ τριμήνου σε €501εκ.</w:t>
      </w:r>
      <w:r>
        <w:rPr>
          <w:rFonts w:ascii="Arial" w:hAnsi="Arial" w:cs="Arial"/>
          <w:color w:val="000080"/>
          <w:szCs w:val="18"/>
        </w:rPr>
        <w:t xml:space="preserve"> </w:t>
      </w:r>
      <w:r w:rsidR="00CD6F72" w:rsidRPr="005077A2">
        <w:rPr>
          <w:rFonts w:ascii="Arial" w:hAnsi="Arial" w:cs="Arial"/>
          <w:color w:val="000080"/>
          <w:szCs w:val="18"/>
        </w:rPr>
        <w:t xml:space="preserve"> </w:t>
      </w:r>
    </w:p>
    <w:p w:rsidR="009F0722" w:rsidRPr="005077A2" w:rsidRDefault="009F0722" w:rsidP="00287942">
      <w:pPr>
        <w:pStyle w:val="a8"/>
        <w:ind w:left="1080"/>
        <w:rPr>
          <w:rFonts w:ascii="Arial" w:hAnsi="Arial" w:cs="Arial"/>
          <w:b/>
          <w:color w:val="000080"/>
          <w:szCs w:val="18"/>
        </w:rPr>
      </w:pPr>
    </w:p>
    <w:p w:rsidR="009F0722" w:rsidRPr="005077A2" w:rsidRDefault="00874F35" w:rsidP="00F60FF0">
      <w:pPr>
        <w:numPr>
          <w:ilvl w:val="0"/>
          <w:numId w:val="18"/>
        </w:numPr>
        <w:spacing w:line="360" w:lineRule="auto"/>
        <w:ind w:right="43"/>
        <w:jc w:val="both"/>
        <w:rPr>
          <w:rFonts w:ascii="Arial" w:hAnsi="Arial" w:cs="Arial"/>
          <w:color w:val="000080"/>
          <w:szCs w:val="18"/>
        </w:rPr>
      </w:pPr>
      <w:r w:rsidRPr="005077A2">
        <w:rPr>
          <w:rFonts w:ascii="Arial" w:hAnsi="Arial" w:cs="Arial"/>
          <w:b/>
          <w:color w:val="000080"/>
          <w:szCs w:val="18"/>
        </w:rPr>
        <w:t>Οι Λειτουργικές δαπάνες</w:t>
      </w:r>
      <w:r w:rsidR="00F323F1" w:rsidRPr="005077A2">
        <w:rPr>
          <w:rFonts w:ascii="Arial" w:hAnsi="Arial" w:cs="Arial"/>
          <w:b/>
          <w:color w:val="000080"/>
          <w:szCs w:val="18"/>
        </w:rPr>
        <w:t xml:space="preserve"> </w:t>
      </w:r>
      <w:r w:rsidR="006D35D0" w:rsidRPr="005077A2">
        <w:rPr>
          <w:rFonts w:ascii="Arial" w:hAnsi="Arial" w:cs="Arial"/>
          <w:color w:val="000080"/>
          <w:szCs w:val="18"/>
        </w:rPr>
        <w:t xml:space="preserve">υποχώρησαν κατά </w:t>
      </w:r>
      <w:r w:rsidR="00761576">
        <w:rPr>
          <w:rFonts w:ascii="Arial" w:hAnsi="Arial" w:cs="Arial"/>
          <w:color w:val="000080"/>
          <w:szCs w:val="18"/>
        </w:rPr>
        <w:t>4,7</w:t>
      </w:r>
      <w:r w:rsidR="006D35D0" w:rsidRPr="005077A2">
        <w:rPr>
          <w:rFonts w:ascii="Arial" w:hAnsi="Arial" w:cs="Arial"/>
          <w:color w:val="000080"/>
          <w:szCs w:val="18"/>
        </w:rPr>
        <w:t>% στην Ελλάδα</w:t>
      </w:r>
      <w:r w:rsidR="00761576">
        <w:rPr>
          <w:rFonts w:ascii="Arial" w:hAnsi="Arial" w:cs="Arial"/>
          <w:color w:val="000080"/>
          <w:szCs w:val="18"/>
        </w:rPr>
        <w:t xml:space="preserve"> και 0,8% σ</w:t>
      </w:r>
      <w:r w:rsidR="0080244A">
        <w:rPr>
          <w:rFonts w:ascii="Arial" w:hAnsi="Arial" w:cs="Arial"/>
          <w:color w:val="000080"/>
          <w:szCs w:val="18"/>
        </w:rPr>
        <w:t>ε επίπεδο Ομίλου</w:t>
      </w:r>
      <w:r w:rsidR="00761576">
        <w:rPr>
          <w:rFonts w:ascii="Arial" w:hAnsi="Arial" w:cs="Arial"/>
          <w:color w:val="000080"/>
          <w:szCs w:val="18"/>
        </w:rPr>
        <w:t xml:space="preserve"> και διαμορφώθηκαν σε €434εκ συνολικά το Α΄ εξάμηνο 2020</w:t>
      </w:r>
      <w:r w:rsidR="00DD36DF" w:rsidRPr="005077A2">
        <w:rPr>
          <w:rFonts w:ascii="Arial" w:hAnsi="Arial" w:cs="Arial"/>
          <w:color w:val="000080"/>
          <w:szCs w:val="18"/>
        </w:rPr>
        <w:t>.</w:t>
      </w:r>
      <w:r w:rsidR="00E956C4" w:rsidRPr="005077A2">
        <w:rPr>
          <w:rFonts w:ascii="Arial" w:hAnsi="Arial" w:cs="Arial"/>
          <w:color w:val="000080"/>
          <w:szCs w:val="18"/>
        </w:rPr>
        <w:t xml:space="preserve"> </w:t>
      </w:r>
      <w:r w:rsidR="00352D99">
        <w:rPr>
          <w:rFonts w:ascii="Arial" w:hAnsi="Arial" w:cs="Arial"/>
          <w:color w:val="000080"/>
          <w:szCs w:val="18"/>
        </w:rPr>
        <w:t xml:space="preserve">Ο δείκτης κόστους-εσόδων </w:t>
      </w:r>
      <w:r w:rsidR="00116619">
        <w:rPr>
          <w:rFonts w:ascii="Arial" w:hAnsi="Arial" w:cs="Arial"/>
          <w:color w:val="000080"/>
          <w:szCs w:val="18"/>
        </w:rPr>
        <w:t>βελτιώθηκε</w:t>
      </w:r>
      <w:r w:rsidR="00352D99">
        <w:rPr>
          <w:rFonts w:ascii="Arial" w:hAnsi="Arial" w:cs="Arial"/>
          <w:color w:val="000080"/>
          <w:szCs w:val="18"/>
        </w:rPr>
        <w:t xml:space="preserve"> σε</w:t>
      </w:r>
      <w:r w:rsidR="00761576">
        <w:rPr>
          <w:rFonts w:ascii="Arial" w:hAnsi="Arial" w:cs="Arial"/>
          <w:color w:val="000080"/>
          <w:szCs w:val="18"/>
        </w:rPr>
        <w:t xml:space="preserve"> ετήσια βάση σε 46,4%</w:t>
      </w:r>
      <w:r w:rsidR="002B319C">
        <w:rPr>
          <w:rFonts w:ascii="Arial" w:hAnsi="Arial" w:cs="Arial"/>
          <w:color w:val="000080"/>
          <w:szCs w:val="18"/>
        </w:rPr>
        <w:t xml:space="preserve"> το Α΄ </w:t>
      </w:r>
      <w:r w:rsidR="00761576">
        <w:rPr>
          <w:rFonts w:ascii="Arial" w:hAnsi="Arial" w:cs="Arial"/>
          <w:color w:val="000080"/>
          <w:szCs w:val="18"/>
        </w:rPr>
        <w:t>εξά</w:t>
      </w:r>
      <w:r w:rsidR="002B319C">
        <w:rPr>
          <w:rFonts w:ascii="Arial" w:hAnsi="Arial" w:cs="Arial"/>
          <w:color w:val="000080"/>
          <w:szCs w:val="18"/>
        </w:rPr>
        <w:t xml:space="preserve">μηνο 2020, από </w:t>
      </w:r>
      <w:r w:rsidR="00761576">
        <w:rPr>
          <w:rFonts w:ascii="Arial" w:hAnsi="Arial" w:cs="Arial"/>
          <w:color w:val="000080"/>
          <w:szCs w:val="18"/>
        </w:rPr>
        <w:t>48,0%</w:t>
      </w:r>
      <w:r w:rsidR="002B319C">
        <w:rPr>
          <w:rFonts w:ascii="Arial" w:hAnsi="Arial" w:cs="Arial"/>
          <w:color w:val="000080"/>
          <w:szCs w:val="18"/>
        </w:rPr>
        <w:t xml:space="preserve"> </w:t>
      </w:r>
      <w:r w:rsidR="00761576">
        <w:rPr>
          <w:rFonts w:ascii="Arial" w:hAnsi="Arial" w:cs="Arial"/>
          <w:color w:val="000080"/>
          <w:szCs w:val="18"/>
        </w:rPr>
        <w:t>την αντίστοιχη περίοδο του 2019</w:t>
      </w:r>
      <w:r w:rsidR="002B319C">
        <w:rPr>
          <w:rFonts w:ascii="Arial" w:hAnsi="Arial" w:cs="Arial"/>
          <w:color w:val="000080"/>
          <w:szCs w:val="18"/>
        </w:rPr>
        <w:t>.</w:t>
      </w:r>
    </w:p>
    <w:p w:rsidR="003312AD" w:rsidRPr="003312AD" w:rsidRDefault="003312AD" w:rsidP="003312AD">
      <w:pPr>
        <w:spacing w:line="360" w:lineRule="auto"/>
        <w:ind w:left="720" w:right="43"/>
        <w:jc w:val="both"/>
        <w:rPr>
          <w:rFonts w:ascii="Arial" w:hAnsi="Arial" w:cs="Arial"/>
          <w:color w:val="000080"/>
          <w:szCs w:val="18"/>
        </w:rPr>
      </w:pPr>
    </w:p>
    <w:p w:rsidR="009F0722" w:rsidRPr="005077A2" w:rsidRDefault="009F0722" w:rsidP="00F60FF0">
      <w:pPr>
        <w:numPr>
          <w:ilvl w:val="0"/>
          <w:numId w:val="18"/>
        </w:numPr>
        <w:spacing w:line="360" w:lineRule="auto"/>
        <w:ind w:right="43"/>
        <w:jc w:val="both"/>
        <w:rPr>
          <w:rFonts w:ascii="Arial" w:hAnsi="Arial" w:cs="Arial"/>
          <w:color w:val="000080"/>
          <w:szCs w:val="18"/>
        </w:rPr>
      </w:pPr>
      <w:r w:rsidRPr="005077A2">
        <w:rPr>
          <w:rFonts w:ascii="Arial" w:hAnsi="Arial" w:cs="Arial"/>
          <w:b/>
          <w:color w:val="000080"/>
          <w:szCs w:val="18"/>
        </w:rPr>
        <w:t>Τ</w:t>
      </w:r>
      <w:r w:rsidR="00EF4C79" w:rsidRPr="005077A2">
        <w:rPr>
          <w:rFonts w:ascii="Arial" w:hAnsi="Arial" w:cs="Arial"/>
          <w:b/>
          <w:color w:val="000080"/>
          <w:szCs w:val="18"/>
        </w:rPr>
        <w:t>α οργανικά κέρδη προ προβλέψεων</w:t>
      </w:r>
      <w:r w:rsidR="00EF4C79" w:rsidRPr="005077A2">
        <w:rPr>
          <w:rFonts w:ascii="Arial" w:hAnsi="Arial" w:cs="Arial"/>
          <w:color w:val="000080"/>
          <w:szCs w:val="18"/>
        </w:rPr>
        <w:t xml:space="preserve"> </w:t>
      </w:r>
      <w:r w:rsidR="00116619">
        <w:rPr>
          <w:rFonts w:ascii="Arial" w:hAnsi="Arial" w:cs="Arial"/>
          <w:color w:val="000080"/>
          <w:szCs w:val="18"/>
        </w:rPr>
        <w:t xml:space="preserve">αυξήθηκαν </w:t>
      </w:r>
      <w:r w:rsidR="00116619" w:rsidRPr="005077A2">
        <w:rPr>
          <w:rFonts w:ascii="Arial" w:hAnsi="Arial" w:cs="Arial"/>
          <w:color w:val="000080"/>
          <w:szCs w:val="18"/>
        </w:rPr>
        <w:t xml:space="preserve">κατά </w:t>
      </w:r>
      <w:r w:rsidR="00761576">
        <w:rPr>
          <w:rFonts w:ascii="Arial" w:hAnsi="Arial" w:cs="Arial"/>
          <w:color w:val="000080"/>
          <w:szCs w:val="18"/>
        </w:rPr>
        <w:t>8,0</w:t>
      </w:r>
      <w:r w:rsidR="00116619" w:rsidRPr="005077A2">
        <w:rPr>
          <w:rFonts w:ascii="Arial" w:hAnsi="Arial" w:cs="Arial"/>
          <w:color w:val="000080"/>
          <w:szCs w:val="18"/>
        </w:rPr>
        <w:t xml:space="preserve">% </w:t>
      </w:r>
      <w:r w:rsidR="006D35D0" w:rsidRPr="005077A2">
        <w:rPr>
          <w:rFonts w:ascii="Arial" w:hAnsi="Arial" w:cs="Arial"/>
          <w:color w:val="000080"/>
          <w:szCs w:val="18"/>
        </w:rPr>
        <w:t xml:space="preserve">σε ετήσια βάση </w:t>
      </w:r>
      <w:r w:rsidR="005E7EFB" w:rsidRPr="005077A2">
        <w:rPr>
          <w:rFonts w:ascii="Arial" w:hAnsi="Arial" w:cs="Arial"/>
          <w:color w:val="000080"/>
          <w:szCs w:val="18"/>
        </w:rPr>
        <w:t>σε €</w:t>
      </w:r>
      <w:r w:rsidR="00761576">
        <w:rPr>
          <w:rFonts w:ascii="Arial" w:hAnsi="Arial" w:cs="Arial"/>
          <w:color w:val="000080"/>
          <w:szCs w:val="18"/>
        </w:rPr>
        <w:t>435</w:t>
      </w:r>
      <w:r w:rsidR="000D65C9" w:rsidRPr="005077A2">
        <w:rPr>
          <w:rFonts w:ascii="Arial" w:hAnsi="Arial" w:cs="Arial"/>
          <w:color w:val="000080"/>
          <w:szCs w:val="18"/>
        </w:rPr>
        <w:t>εκ.</w:t>
      </w:r>
      <w:r w:rsidR="00352D99">
        <w:rPr>
          <w:rFonts w:ascii="Arial" w:hAnsi="Arial" w:cs="Arial"/>
          <w:color w:val="000080"/>
          <w:szCs w:val="18"/>
        </w:rPr>
        <w:t xml:space="preserve"> </w:t>
      </w:r>
      <w:r w:rsidR="00761576">
        <w:rPr>
          <w:rFonts w:ascii="Arial" w:hAnsi="Arial" w:cs="Arial"/>
          <w:color w:val="000080"/>
          <w:szCs w:val="18"/>
        </w:rPr>
        <w:t xml:space="preserve">και </w:t>
      </w:r>
      <w:r w:rsidR="0004215A">
        <w:rPr>
          <w:rFonts w:ascii="Arial" w:hAnsi="Arial" w:cs="Arial"/>
          <w:color w:val="000080"/>
          <w:szCs w:val="18"/>
        </w:rPr>
        <w:t xml:space="preserve">κατά </w:t>
      </w:r>
      <w:r w:rsidR="00761576">
        <w:rPr>
          <w:rFonts w:ascii="Arial" w:hAnsi="Arial" w:cs="Arial"/>
          <w:color w:val="000080"/>
          <w:szCs w:val="18"/>
        </w:rPr>
        <w:t>5,8% σε τριμηνιαία βάση</w:t>
      </w:r>
      <w:r w:rsidR="00761576" w:rsidRPr="00761576">
        <w:rPr>
          <w:rFonts w:ascii="Arial" w:hAnsi="Arial" w:cs="Arial"/>
          <w:color w:val="000080"/>
          <w:szCs w:val="18"/>
        </w:rPr>
        <w:t xml:space="preserve"> </w:t>
      </w:r>
      <w:r w:rsidR="00761576">
        <w:rPr>
          <w:rFonts w:ascii="Arial" w:hAnsi="Arial" w:cs="Arial"/>
          <w:color w:val="000080"/>
          <w:szCs w:val="18"/>
        </w:rPr>
        <w:t xml:space="preserve">σε €224εκ. </w:t>
      </w:r>
      <w:r w:rsidR="00116619">
        <w:rPr>
          <w:rFonts w:ascii="Arial" w:hAnsi="Arial" w:cs="Arial"/>
          <w:color w:val="000080"/>
          <w:szCs w:val="18"/>
        </w:rPr>
        <w:t>Τ</w:t>
      </w:r>
      <w:r w:rsidR="00DD36DF" w:rsidRPr="005077A2">
        <w:rPr>
          <w:rFonts w:ascii="Arial" w:hAnsi="Arial" w:cs="Arial"/>
          <w:color w:val="000080"/>
          <w:szCs w:val="18"/>
        </w:rPr>
        <w:t xml:space="preserve">α </w:t>
      </w:r>
      <w:r w:rsidR="00EF4C79" w:rsidRPr="005077A2">
        <w:rPr>
          <w:rFonts w:ascii="Arial" w:hAnsi="Arial" w:cs="Arial"/>
          <w:b/>
          <w:color w:val="000080"/>
          <w:szCs w:val="18"/>
        </w:rPr>
        <w:t>συνολικά κέρδη προ προβλέψεων</w:t>
      </w:r>
      <w:r w:rsidR="00EF4C79" w:rsidRPr="005077A2">
        <w:rPr>
          <w:rFonts w:ascii="Arial" w:hAnsi="Arial" w:cs="Arial"/>
          <w:color w:val="000080"/>
          <w:szCs w:val="18"/>
        </w:rPr>
        <w:t xml:space="preserve"> </w:t>
      </w:r>
      <w:r w:rsidR="00116619">
        <w:rPr>
          <w:rFonts w:ascii="Arial" w:hAnsi="Arial" w:cs="Arial"/>
          <w:color w:val="000080"/>
          <w:szCs w:val="18"/>
        </w:rPr>
        <w:t xml:space="preserve">ενισχύθηκαν </w:t>
      </w:r>
      <w:r w:rsidR="00500869" w:rsidRPr="005077A2">
        <w:rPr>
          <w:rFonts w:ascii="Arial" w:hAnsi="Arial" w:cs="Arial"/>
          <w:color w:val="000080"/>
          <w:szCs w:val="18"/>
        </w:rPr>
        <w:t xml:space="preserve">κατά </w:t>
      </w:r>
      <w:r w:rsidR="00761576">
        <w:rPr>
          <w:rFonts w:ascii="Arial" w:hAnsi="Arial" w:cs="Arial"/>
          <w:color w:val="000080"/>
          <w:szCs w:val="18"/>
        </w:rPr>
        <w:t>5,7</w:t>
      </w:r>
      <w:r w:rsidR="007B6E64" w:rsidRPr="005077A2">
        <w:rPr>
          <w:rFonts w:ascii="Arial" w:hAnsi="Arial" w:cs="Arial"/>
          <w:color w:val="000080"/>
          <w:szCs w:val="18"/>
        </w:rPr>
        <w:t>%</w:t>
      </w:r>
      <w:r w:rsidR="0080244A">
        <w:rPr>
          <w:rFonts w:ascii="Arial" w:hAnsi="Arial" w:cs="Arial"/>
          <w:color w:val="000080"/>
          <w:szCs w:val="18"/>
        </w:rPr>
        <w:t xml:space="preserve"> </w:t>
      </w:r>
      <w:r w:rsidR="00DD36DF" w:rsidRPr="005077A2">
        <w:rPr>
          <w:rFonts w:ascii="Arial" w:hAnsi="Arial" w:cs="Arial"/>
          <w:color w:val="000080"/>
          <w:szCs w:val="18"/>
        </w:rPr>
        <w:t xml:space="preserve">σε </w:t>
      </w:r>
      <w:r w:rsidR="007B6E64" w:rsidRPr="005077A2">
        <w:rPr>
          <w:rFonts w:ascii="Arial" w:hAnsi="Arial" w:cs="Arial"/>
          <w:color w:val="000080"/>
          <w:szCs w:val="18"/>
        </w:rPr>
        <w:t>€</w:t>
      </w:r>
      <w:r w:rsidR="00761576">
        <w:rPr>
          <w:rFonts w:ascii="Arial" w:hAnsi="Arial" w:cs="Arial"/>
          <w:color w:val="000080"/>
          <w:szCs w:val="18"/>
        </w:rPr>
        <w:t>501</w:t>
      </w:r>
      <w:r w:rsidR="007B6E64" w:rsidRPr="005077A2">
        <w:rPr>
          <w:rFonts w:ascii="Arial" w:hAnsi="Arial" w:cs="Arial"/>
          <w:color w:val="000080"/>
          <w:szCs w:val="18"/>
        </w:rPr>
        <w:t>εκ.</w:t>
      </w:r>
      <w:r w:rsidR="00116619">
        <w:rPr>
          <w:rFonts w:ascii="Arial" w:hAnsi="Arial" w:cs="Arial"/>
          <w:color w:val="000080"/>
          <w:szCs w:val="18"/>
        </w:rPr>
        <w:t xml:space="preserve"> το Α΄ </w:t>
      </w:r>
      <w:r w:rsidR="00761576">
        <w:rPr>
          <w:rFonts w:ascii="Arial" w:hAnsi="Arial" w:cs="Arial"/>
          <w:color w:val="000080"/>
          <w:szCs w:val="18"/>
        </w:rPr>
        <w:t>εξάμ</w:t>
      </w:r>
      <w:r w:rsidR="00116619">
        <w:rPr>
          <w:rFonts w:ascii="Arial" w:hAnsi="Arial" w:cs="Arial"/>
          <w:color w:val="000080"/>
          <w:szCs w:val="18"/>
        </w:rPr>
        <w:t>ηνο 2020</w:t>
      </w:r>
      <w:r w:rsidR="0004215A">
        <w:rPr>
          <w:rFonts w:ascii="Arial" w:hAnsi="Arial" w:cs="Arial"/>
          <w:color w:val="000080"/>
          <w:szCs w:val="18"/>
        </w:rPr>
        <w:t xml:space="preserve"> και κατά 34,1% το Β΄ τρίμηνο 2020 σε €287εκ</w:t>
      </w:r>
      <w:r w:rsidR="00116619">
        <w:rPr>
          <w:rFonts w:ascii="Arial" w:hAnsi="Arial" w:cs="Arial"/>
          <w:color w:val="000080"/>
          <w:szCs w:val="18"/>
        </w:rPr>
        <w:t>.</w:t>
      </w:r>
      <w:r w:rsidR="0080244A">
        <w:rPr>
          <w:rFonts w:ascii="Arial" w:hAnsi="Arial" w:cs="Arial"/>
          <w:color w:val="000080"/>
          <w:szCs w:val="18"/>
        </w:rPr>
        <w:t xml:space="preserve"> </w:t>
      </w:r>
    </w:p>
    <w:p w:rsidR="002423AA" w:rsidRPr="002423AA" w:rsidRDefault="002423AA" w:rsidP="002423AA">
      <w:pPr>
        <w:spacing w:line="360" w:lineRule="auto"/>
        <w:ind w:left="720" w:right="43"/>
        <w:jc w:val="both"/>
        <w:rPr>
          <w:rFonts w:ascii="Arial" w:hAnsi="Arial" w:cs="Arial"/>
          <w:color w:val="000080"/>
          <w:szCs w:val="18"/>
        </w:rPr>
      </w:pPr>
    </w:p>
    <w:p w:rsidR="00B65C74" w:rsidRDefault="00B65C74" w:rsidP="00B65C74">
      <w:pPr>
        <w:numPr>
          <w:ilvl w:val="0"/>
          <w:numId w:val="18"/>
        </w:numPr>
        <w:spacing w:line="360" w:lineRule="auto"/>
        <w:ind w:right="43"/>
        <w:jc w:val="both"/>
        <w:rPr>
          <w:rFonts w:ascii="Arial" w:hAnsi="Arial" w:cs="Arial"/>
          <w:color w:val="000080"/>
          <w:szCs w:val="18"/>
        </w:rPr>
      </w:pPr>
      <w:r w:rsidRPr="005077A2">
        <w:rPr>
          <w:rFonts w:ascii="Arial" w:hAnsi="Arial" w:cs="Arial"/>
          <w:b/>
          <w:color w:val="000080"/>
          <w:szCs w:val="18"/>
        </w:rPr>
        <w:t>Οι προβλέψεις επισφαλών απαιτήσεων</w:t>
      </w:r>
      <w:r w:rsidRPr="005077A2">
        <w:rPr>
          <w:rFonts w:ascii="Arial" w:hAnsi="Arial" w:cs="Arial"/>
          <w:color w:val="000080"/>
          <w:szCs w:val="18"/>
        </w:rPr>
        <w:t xml:space="preserve"> </w:t>
      </w:r>
      <w:r w:rsidR="003A3704">
        <w:rPr>
          <w:rFonts w:ascii="Arial" w:hAnsi="Arial" w:cs="Arial"/>
          <w:color w:val="000080"/>
          <w:szCs w:val="18"/>
        </w:rPr>
        <w:t xml:space="preserve">ανήλθαν </w:t>
      </w:r>
      <w:r>
        <w:rPr>
          <w:rFonts w:ascii="Arial" w:hAnsi="Arial" w:cs="Arial"/>
          <w:color w:val="000080"/>
          <w:szCs w:val="18"/>
        </w:rPr>
        <w:t>σε €2</w:t>
      </w:r>
      <w:r w:rsidR="003A3704">
        <w:rPr>
          <w:rFonts w:ascii="Arial" w:hAnsi="Arial" w:cs="Arial"/>
          <w:color w:val="000080"/>
          <w:szCs w:val="18"/>
        </w:rPr>
        <w:t>71</w:t>
      </w:r>
      <w:r w:rsidRPr="005077A2">
        <w:rPr>
          <w:rFonts w:ascii="Arial" w:hAnsi="Arial" w:cs="Arial"/>
          <w:color w:val="000080"/>
          <w:szCs w:val="18"/>
        </w:rPr>
        <w:t>εκ.</w:t>
      </w:r>
      <w:r w:rsidR="002423AA">
        <w:rPr>
          <w:rFonts w:ascii="Arial" w:hAnsi="Arial" w:cs="Arial"/>
          <w:color w:val="000080"/>
          <w:szCs w:val="18"/>
        </w:rPr>
        <w:t xml:space="preserve"> το Α΄ εξάμηνο και αντιστοιχούσαν σε </w:t>
      </w:r>
      <w:r w:rsidRPr="005077A2">
        <w:rPr>
          <w:rFonts w:ascii="Arial" w:hAnsi="Arial" w:cs="Arial"/>
          <w:color w:val="000080"/>
          <w:szCs w:val="18"/>
        </w:rPr>
        <w:t>1</w:t>
      </w:r>
      <w:r w:rsidR="003A3704">
        <w:rPr>
          <w:rFonts w:ascii="Arial" w:hAnsi="Arial" w:cs="Arial"/>
          <w:color w:val="000080"/>
          <w:szCs w:val="18"/>
        </w:rPr>
        <w:t>4</w:t>
      </w:r>
      <w:r>
        <w:rPr>
          <w:rFonts w:ascii="Arial" w:hAnsi="Arial" w:cs="Arial"/>
          <w:color w:val="000080"/>
          <w:szCs w:val="18"/>
        </w:rPr>
        <w:t>4</w:t>
      </w:r>
      <w:r w:rsidRPr="005077A2">
        <w:rPr>
          <w:rFonts w:ascii="Arial" w:hAnsi="Arial" w:cs="Arial"/>
          <w:color w:val="000080"/>
          <w:szCs w:val="18"/>
        </w:rPr>
        <w:t xml:space="preserve"> μονάδες</w:t>
      </w:r>
      <w:r>
        <w:rPr>
          <w:rFonts w:ascii="Arial" w:hAnsi="Arial" w:cs="Arial"/>
          <w:color w:val="000080"/>
          <w:szCs w:val="18"/>
        </w:rPr>
        <w:t xml:space="preserve"> βάσης επί των μέσων χορηγήσεων</w:t>
      </w:r>
      <w:r w:rsidR="00CD609E">
        <w:rPr>
          <w:rFonts w:ascii="Arial" w:hAnsi="Arial" w:cs="Arial"/>
          <w:color w:val="000080"/>
          <w:szCs w:val="18"/>
        </w:rPr>
        <w:t>.</w:t>
      </w:r>
      <w:r w:rsidR="00CD609E" w:rsidRPr="00CD609E">
        <w:rPr>
          <w:rFonts w:ascii="Arial" w:hAnsi="Arial" w:cs="Arial"/>
          <w:color w:val="000080"/>
          <w:szCs w:val="18"/>
        </w:rPr>
        <w:t xml:space="preserve"> </w:t>
      </w:r>
    </w:p>
    <w:p w:rsidR="00966D16" w:rsidRDefault="00966D16" w:rsidP="00966D16">
      <w:pPr>
        <w:pStyle w:val="a8"/>
        <w:rPr>
          <w:rFonts w:ascii="Arial" w:hAnsi="Arial" w:cs="Arial"/>
          <w:color w:val="000080"/>
          <w:szCs w:val="18"/>
        </w:rPr>
      </w:pPr>
    </w:p>
    <w:p w:rsidR="004B780A" w:rsidRDefault="00B65C74" w:rsidP="00F81831">
      <w:pPr>
        <w:numPr>
          <w:ilvl w:val="0"/>
          <w:numId w:val="18"/>
        </w:numPr>
        <w:spacing w:line="360" w:lineRule="auto"/>
        <w:ind w:right="43"/>
        <w:jc w:val="both"/>
        <w:rPr>
          <w:rFonts w:ascii="Arial" w:hAnsi="Arial" w:cs="Arial"/>
          <w:color w:val="000080"/>
          <w:szCs w:val="18"/>
        </w:rPr>
      </w:pPr>
      <w:r>
        <w:rPr>
          <w:rFonts w:ascii="Arial" w:hAnsi="Arial" w:cs="Arial"/>
          <w:color w:val="000080"/>
          <w:szCs w:val="18"/>
        </w:rPr>
        <w:t>Η</w:t>
      </w:r>
      <w:r w:rsidR="00D965A3">
        <w:rPr>
          <w:rFonts w:ascii="Arial" w:hAnsi="Arial" w:cs="Arial"/>
          <w:color w:val="000080"/>
          <w:szCs w:val="18"/>
        </w:rPr>
        <w:t xml:space="preserve"> </w:t>
      </w:r>
      <w:r w:rsidR="00D965A3" w:rsidRPr="00051B54">
        <w:rPr>
          <w:rFonts w:ascii="Arial" w:hAnsi="Arial" w:cs="Arial"/>
          <w:b/>
          <w:color w:val="000080"/>
          <w:szCs w:val="18"/>
        </w:rPr>
        <w:t xml:space="preserve">κάλυψη των </w:t>
      </w:r>
      <w:r w:rsidR="00D965A3" w:rsidRPr="00051B54">
        <w:rPr>
          <w:rFonts w:ascii="Arial" w:hAnsi="Arial" w:cs="Arial"/>
          <w:b/>
          <w:color w:val="000080"/>
          <w:szCs w:val="18"/>
          <w:lang w:val="en-US"/>
        </w:rPr>
        <w:t>NPEs</w:t>
      </w:r>
      <w:r w:rsidR="00D965A3" w:rsidRPr="00051B54">
        <w:rPr>
          <w:rFonts w:ascii="Arial" w:hAnsi="Arial" w:cs="Arial"/>
          <w:b/>
          <w:color w:val="000080"/>
          <w:szCs w:val="18"/>
        </w:rPr>
        <w:t xml:space="preserve"> </w:t>
      </w:r>
      <w:r w:rsidR="00D965A3" w:rsidRPr="00051B54">
        <w:rPr>
          <w:rFonts w:ascii="Arial" w:hAnsi="Arial" w:cs="Arial"/>
          <w:color w:val="000080"/>
          <w:szCs w:val="18"/>
        </w:rPr>
        <w:t xml:space="preserve">από τις σωρευτικές προβλέψεις </w:t>
      </w:r>
      <w:r>
        <w:rPr>
          <w:rFonts w:ascii="Arial" w:hAnsi="Arial" w:cs="Arial"/>
          <w:color w:val="000080"/>
          <w:szCs w:val="18"/>
        </w:rPr>
        <w:t>ενισχύθηκε</w:t>
      </w:r>
      <w:r w:rsidR="00D965A3">
        <w:rPr>
          <w:rFonts w:ascii="Arial" w:hAnsi="Arial" w:cs="Arial"/>
          <w:color w:val="000080"/>
          <w:szCs w:val="18"/>
        </w:rPr>
        <w:t xml:space="preserve"> </w:t>
      </w:r>
      <w:r w:rsidR="00D965A3" w:rsidRPr="00051B54">
        <w:rPr>
          <w:rFonts w:ascii="Arial" w:hAnsi="Arial" w:cs="Arial"/>
          <w:color w:val="000080"/>
          <w:szCs w:val="18"/>
        </w:rPr>
        <w:t xml:space="preserve">κατά </w:t>
      </w:r>
      <w:r w:rsidR="003A3704">
        <w:rPr>
          <w:rFonts w:ascii="Arial" w:hAnsi="Arial" w:cs="Arial"/>
          <w:color w:val="000080"/>
          <w:szCs w:val="18"/>
        </w:rPr>
        <w:t>61</w:t>
      </w:r>
      <w:r>
        <w:rPr>
          <w:rFonts w:ascii="Arial" w:hAnsi="Arial" w:cs="Arial"/>
          <w:color w:val="000080"/>
          <w:szCs w:val="18"/>
        </w:rPr>
        <w:t>0</w:t>
      </w:r>
      <w:r w:rsidR="00D965A3" w:rsidRPr="00051B54">
        <w:rPr>
          <w:rFonts w:ascii="Arial" w:hAnsi="Arial" w:cs="Arial"/>
          <w:color w:val="000080"/>
          <w:szCs w:val="18"/>
        </w:rPr>
        <w:t xml:space="preserve"> μονάδες βάσης</w:t>
      </w:r>
      <w:r>
        <w:rPr>
          <w:rFonts w:ascii="Arial" w:hAnsi="Arial" w:cs="Arial"/>
          <w:color w:val="000080"/>
          <w:szCs w:val="18"/>
        </w:rPr>
        <w:t xml:space="preserve"> σε </w:t>
      </w:r>
      <w:r w:rsidR="003A3704">
        <w:rPr>
          <w:rFonts w:ascii="Arial" w:hAnsi="Arial" w:cs="Arial"/>
          <w:color w:val="000080"/>
          <w:szCs w:val="18"/>
        </w:rPr>
        <w:t>ετήσια</w:t>
      </w:r>
      <w:r>
        <w:rPr>
          <w:rFonts w:ascii="Arial" w:hAnsi="Arial" w:cs="Arial"/>
          <w:color w:val="000080"/>
          <w:szCs w:val="18"/>
        </w:rPr>
        <w:t xml:space="preserve"> βάση </w:t>
      </w:r>
      <w:r w:rsidR="003A3704">
        <w:rPr>
          <w:rFonts w:ascii="Arial" w:hAnsi="Arial" w:cs="Arial"/>
          <w:color w:val="000080"/>
          <w:szCs w:val="18"/>
        </w:rPr>
        <w:t xml:space="preserve">και ανήλθε </w:t>
      </w:r>
      <w:r>
        <w:rPr>
          <w:rFonts w:ascii="Arial" w:hAnsi="Arial" w:cs="Arial"/>
          <w:color w:val="000080"/>
          <w:szCs w:val="18"/>
        </w:rPr>
        <w:t>σε</w:t>
      </w:r>
      <w:r w:rsidR="00D965A3" w:rsidRPr="00051B54">
        <w:rPr>
          <w:rFonts w:ascii="Arial" w:hAnsi="Arial" w:cs="Arial"/>
          <w:color w:val="000080"/>
          <w:szCs w:val="18"/>
        </w:rPr>
        <w:t xml:space="preserve"> </w:t>
      </w:r>
      <w:r w:rsidR="003A3704">
        <w:rPr>
          <w:rFonts w:ascii="Arial" w:hAnsi="Arial" w:cs="Arial"/>
          <w:noProof/>
          <w:color w:val="000080"/>
          <w:szCs w:val="18"/>
        </w:rPr>
        <w:t>60</w:t>
      </w:r>
      <w:r>
        <w:rPr>
          <w:rFonts w:ascii="Arial" w:hAnsi="Arial" w:cs="Arial"/>
          <w:noProof/>
          <w:color w:val="000080"/>
          <w:szCs w:val="18"/>
        </w:rPr>
        <w:t>,6</w:t>
      </w:r>
      <w:r w:rsidR="003A3704">
        <w:rPr>
          <w:rFonts w:ascii="Arial" w:hAnsi="Arial" w:cs="Arial"/>
          <w:noProof/>
          <w:color w:val="000080"/>
          <w:szCs w:val="18"/>
        </w:rPr>
        <w:t xml:space="preserve">% λαμβανομένης υπόψη της ολοκλήρωσης της τιτλοποίησης </w:t>
      </w:r>
      <w:r w:rsidR="003A3704">
        <w:rPr>
          <w:rFonts w:ascii="Arial" w:hAnsi="Arial" w:cs="Arial"/>
          <w:noProof/>
          <w:color w:val="000080"/>
          <w:szCs w:val="18"/>
          <w:lang w:val="en-US"/>
        </w:rPr>
        <w:t>Cairo</w:t>
      </w:r>
      <w:r w:rsidR="003A3704" w:rsidRPr="003A3704">
        <w:rPr>
          <w:rFonts w:ascii="Arial" w:hAnsi="Arial" w:cs="Arial"/>
          <w:noProof/>
          <w:color w:val="000080"/>
          <w:szCs w:val="18"/>
        </w:rPr>
        <w:t>.</w:t>
      </w:r>
    </w:p>
    <w:p w:rsidR="004B780A" w:rsidRDefault="004B780A" w:rsidP="004B780A">
      <w:pPr>
        <w:pStyle w:val="a8"/>
        <w:rPr>
          <w:rFonts w:ascii="Arial" w:hAnsi="Arial" w:cs="Arial"/>
          <w:color w:val="000080"/>
          <w:szCs w:val="18"/>
        </w:rPr>
      </w:pPr>
    </w:p>
    <w:p w:rsidR="00817395" w:rsidRPr="00051B54" w:rsidRDefault="00D965A3" w:rsidP="00F81831">
      <w:pPr>
        <w:numPr>
          <w:ilvl w:val="0"/>
          <w:numId w:val="18"/>
        </w:numPr>
        <w:spacing w:line="360" w:lineRule="auto"/>
        <w:ind w:right="43"/>
        <w:jc w:val="both"/>
        <w:rPr>
          <w:rFonts w:ascii="Arial" w:hAnsi="Arial" w:cs="Arial"/>
          <w:color w:val="000080"/>
          <w:szCs w:val="18"/>
        </w:rPr>
      </w:pPr>
      <w:r w:rsidRPr="00051B54">
        <w:rPr>
          <w:rFonts w:ascii="Arial" w:hAnsi="Arial" w:cs="Arial"/>
          <w:color w:val="000080"/>
          <w:szCs w:val="18"/>
        </w:rPr>
        <w:t xml:space="preserve">Ο </w:t>
      </w:r>
      <w:r w:rsidRPr="00051B54">
        <w:rPr>
          <w:rFonts w:ascii="Arial" w:hAnsi="Arial" w:cs="Arial"/>
          <w:b/>
          <w:color w:val="000080"/>
          <w:szCs w:val="18"/>
        </w:rPr>
        <w:t xml:space="preserve">δείκτης των </w:t>
      </w:r>
      <w:r w:rsidRPr="00051B54">
        <w:rPr>
          <w:rFonts w:ascii="Arial" w:hAnsi="Arial" w:cs="Arial"/>
          <w:b/>
          <w:color w:val="000080"/>
          <w:szCs w:val="18"/>
          <w:lang w:val="en-US"/>
        </w:rPr>
        <w:t>NPEs</w:t>
      </w:r>
      <w:r w:rsidR="003A3704" w:rsidRPr="003A3704">
        <w:rPr>
          <w:rFonts w:ascii="Arial" w:hAnsi="Arial" w:cs="Arial"/>
          <w:color w:val="000080"/>
          <w:szCs w:val="18"/>
        </w:rPr>
        <w:t xml:space="preserve">, μετά το </w:t>
      </w:r>
      <w:r w:rsidR="003A3704" w:rsidRPr="003A3704">
        <w:rPr>
          <w:rFonts w:ascii="Arial" w:hAnsi="Arial" w:cs="Arial"/>
          <w:color w:val="000080"/>
          <w:szCs w:val="18"/>
          <w:lang w:val="en-US"/>
        </w:rPr>
        <w:t>Cairo</w:t>
      </w:r>
      <w:r w:rsidR="003A3704" w:rsidRPr="003A3704">
        <w:rPr>
          <w:rFonts w:ascii="Arial" w:hAnsi="Arial" w:cs="Arial"/>
          <w:color w:val="000080"/>
          <w:szCs w:val="18"/>
        </w:rPr>
        <w:t>,</w:t>
      </w:r>
      <w:r w:rsidRPr="00051B54">
        <w:rPr>
          <w:rFonts w:ascii="Arial" w:hAnsi="Arial" w:cs="Arial"/>
          <w:b/>
          <w:color w:val="000080"/>
          <w:szCs w:val="18"/>
        </w:rPr>
        <w:t xml:space="preserve"> </w:t>
      </w:r>
      <w:r w:rsidR="003A3704">
        <w:rPr>
          <w:rFonts w:ascii="Arial" w:hAnsi="Arial" w:cs="Arial"/>
          <w:color w:val="000080"/>
          <w:szCs w:val="18"/>
        </w:rPr>
        <w:t xml:space="preserve">μειώθηκε σε </w:t>
      </w:r>
      <w:r w:rsidR="003A3704" w:rsidRPr="003A3704">
        <w:rPr>
          <w:rFonts w:ascii="Arial" w:hAnsi="Arial" w:cs="Arial"/>
          <w:color w:val="000080"/>
          <w:szCs w:val="18"/>
        </w:rPr>
        <w:t xml:space="preserve">15,3%, </w:t>
      </w:r>
      <w:r w:rsidR="003A3704">
        <w:rPr>
          <w:rFonts w:ascii="Arial" w:hAnsi="Arial" w:cs="Arial"/>
          <w:color w:val="000080"/>
          <w:szCs w:val="18"/>
        </w:rPr>
        <w:t xml:space="preserve">το χαμηλότερο επίπεδο μεταξύ των ελληνικών τραπεζών. Σε ετήσια βάση, ο δείκτης </w:t>
      </w:r>
      <w:r w:rsidR="003A3704">
        <w:rPr>
          <w:rFonts w:ascii="Arial" w:hAnsi="Arial" w:cs="Arial"/>
          <w:color w:val="000080"/>
          <w:szCs w:val="18"/>
          <w:lang w:val="en-US"/>
        </w:rPr>
        <w:t>NPEs</w:t>
      </w:r>
      <w:r w:rsidR="003A3704" w:rsidRPr="003A3704">
        <w:rPr>
          <w:rFonts w:ascii="Arial" w:hAnsi="Arial" w:cs="Arial"/>
          <w:color w:val="000080"/>
          <w:szCs w:val="18"/>
        </w:rPr>
        <w:t xml:space="preserve"> </w:t>
      </w:r>
      <w:r w:rsidRPr="00051B54">
        <w:rPr>
          <w:rFonts w:ascii="Arial" w:hAnsi="Arial" w:cs="Arial"/>
          <w:color w:val="000080"/>
          <w:szCs w:val="18"/>
        </w:rPr>
        <w:t>υποχώρησε</w:t>
      </w:r>
      <w:r w:rsidRPr="00051B54">
        <w:rPr>
          <w:rFonts w:ascii="Arial" w:hAnsi="Arial" w:cs="Arial"/>
          <w:b/>
          <w:color w:val="000080"/>
          <w:szCs w:val="18"/>
        </w:rPr>
        <w:t xml:space="preserve"> </w:t>
      </w:r>
      <w:r w:rsidRPr="00051B54">
        <w:rPr>
          <w:rFonts w:ascii="Arial" w:hAnsi="Arial" w:cs="Arial"/>
          <w:color w:val="000080"/>
          <w:szCs w:val="18"/>
        </w:rPr>
        <w:t xml:space="preserve">κατά </w:t>
      </w:r>
      <w:r w:rsidR="003A3704" w:rsidRPr="003A3704">
        <w:rPr>
          <w:rFonts w:ascii="Arial" w:hAnsi="Arial" w:cs="Arial"/>
          <w:color w:val="000080"/>
          <w:szCs w:val="18"/>
        </w:rPr>
        <w:t xml:space="preserve">17,5 </w:t>
      </w:r>
      <w:r w:rsidR="003A3704">
        <w:rPr>
          <w:rFonts w:ascii="Arial" w:hAnsi="Arial" w:cs="Arial"/>
          <w:color w:val="000080"/>
          <w:szCs w:val="18"/>
        </w:rPr>
        <w:t>ποσοστιαίες μονάδες</w:t>
      </w:r>
      <w:r w:rsidR="003A3704" w:rsidRPr="003A3704">
        <w:rPr>
          <w:rFonts w:ascii="Arial" w:hAnsi="Arial" w:cs="Arial"/>
          <w:color w:val="000080"/>
          <w:szCs w:val="18"/>
        </w:rPr>
        <w:t>.</w:t>
      </w:r>
      <w:r w:rsidR="003A3704">
        <w:rPr>
          <w:rFonts w:ascii="Arial" w:hAnsi="Arial" w:cs="Arial"/>
          <w:color w:val="000080"/>
          <w:szCs w:val="18"/>
        </w:rPr>
        <w:t xml:space="preserve"> </w:t>
      </w:r>
      <w:r w:rsidR="00EA1A56" w:rsidRPr="00051B54">
        <w:rPr>
          <w:rFonts w:ascii="Arial" w:hAnsi="Arial" w:cs="Arial"/>
          <w:color w:val="000080"/>
          <w:szCs w:val="18"/>
        </w:rPr>
        <w:t xml:space="preserve">Ο </w:t>
      </w:r>
      <w:r w:rsidR="00EA1A56" w:rsidRPr="00051B54">
        <w:rPr>
          <w:rFonts w:ascii="Arial" w:hAnsi="Arial" w:cs="Arial"/>
          <w:b/>
          <w:color w:val="000080"/>
          <w:szCs w:val="18"/>
        </w:rPr>
        <w:t>σχηματισμός των νέων μη εξυπηρετούμενων</w:t>
      </w:r>
      <w:r w:rsidR="00535C53" w:rsidRPr="00051B54">
        <w:rPr>
          <w:rFonts w:ascii="Arial" w:hAnsi="Arial" w:cs="Arial"/>
          <w:b/>
          <w:color w:val="000080"/>
          <w:szCs w:val="18"/>
        </w:rPr>
        <w:t xml:space="preserve"> αν</w:t>
      </w:r>
      <w:r w:rsidR="00EA1A56" w:rsidRPr="00051B54">
        <w:rPr>
          <w:rFonts w:ascii="Arial" w:hAnsi="Arial" w:cs="Arial"/>
          <w:b/>
          <w:color w:val="000080"/>
          <w:szCs w:val="18"/>
        </w:rPr>
        <w:t>οιγμάτων</w:t>
      </w:r>
      <w:r w:rsidR="00535C53" w:rsidRPr="00051B54">
        <w:rPr>
          <w:rFonts w:ascii="Arial" w:hAnsi="Arial" w:cs="Arial"/>
          <w:b/>
          <w:color w:val="000080"/>
          <w:szCs w:val="18"/>
        </w:rPr>
        <w:t xml:space="preserve"> (</w:t>
      </w:r>
      <w:r w:rsidR="00EA1A56" w:rsidRPr="00051B54">
        <w:rPr>
          <w:rFonts w:ascii="Arial" w:hAnsi="Arial" w:cs="Arial"/>
          <w:b/>
          <w:color w:val="000080"/>
          <w:szCs w:val="18"/>
          <w:lang w:val="en-US"/>
        </w:rPr>
        <w:t>NPE</w:t>
      </w:r>
      <w:r w:rsidR="00EA1A56" w:rsidRPr="00051B54">
        <w:rPr>
          <w:rFonts w:ascii="Arial" w:hAnsi="Arial" w:cs="Arial"/>
          <w:b/>
          <w:color w:val="000080"/>
          <w:szCs w:val="18"/>
        </w:rPr>
        <w:t xml:space="preserve"> </w:t>
      </w:r>
      <w:r w:rsidR="00EA1A56" w:rsidRPr="00051B54">
        <w:rPr>
          <w:rFonts w:ascii="Arial" w:hAnsi="Arial" w:cs="Arial"/>
          <w:b/>
          <w:color w:val="000080"/>
          <w:szCs w:val="18"/>
          <w:lang w:val="en-US"/>
        </w:rPr>
        <w:t>formation</w:t>
      </w:r>
      <w:r w:rsidR="00535C53" w:rsidRPr="00051B54">
        <w:rPr>
          <w:rFonts w:ascii="Arial" w:hAnsi="Arial" w:cs="Arial"/>
          <w:b/>
          <w:color w:val="000080"/>
          <w:szCs w:val="18"/>
        </w:rPr>
        <w:t>)</w:t>
      </w:r>
      <w:r w:rsidR="00535C53" w:rsidRPr="00051B54">
        <w:rPr>
          <w:rFonts w:ascii="Arial" w:hAnsi="Arial" w:cs="Arial"/>
          <w:color w:val="000080"/>
          <w:szCs w:val="18"/>
        </w:rPr>
        <w:t xml:space="preserve"> </w:t>
      </w:r>
      <w:r w:rsidR="002E5D65" w:rsidRPr="00051B54">
        <w:rPr>
          <w:rFonts w:ascii="Arial" w:hAnsi="Arial" w:cs="Arial"/>
          <w:color w:val="000080"/>
          <w:szCs w:val="18"/>
        </w:rPr>
        <w:t>ήταν</w:t>
      </w:r>
      <w:r w:rsidR="00B65C74">
        <w:rPr>
          <w:rFonts w:ascii="Arial" w:hAnsi="Arial" w:cs="Arial"/>
          <w:color w:val="000080"/>
          <w:szCs w:val="18"/>
        </w:rPr>
        <w:t xml:space="preserve"> </w:t>
      </w:r>
      <w:r w:rsidR="002E5D65" w:rsidRPr="00051B54">
        <w:rPr>
          <w:rFonts w:ascii="Arial" w:hAnsi="Arial" w:cs="Arial"/>
          <w:color w:val="000080"/>
          <w:szCs w:val="18"/>
        </w:rPr>
        <w:t xml:space="preserve">αρνητικός </w:t>
      </w:r>
      <w:r w:rsidR="004E69F8" w:rsidRPr="00051B54">
        <w:rPr>
          <w:rFonts w:ascii="Arial" w:hAnsi="Arial" w:cs="Arial"/>
          <w:color w:val="000080"/>
          <w:szCs w:val="18"/>
        </w:rPr>
        <w:t>κ</w:t>
      </w:r>
      <w:r w:rsidR="000D65C9" w:rsidRPr="00051B54">
        <w:rPr>
          <w:rFonts w:ascii="Arial" w:hAnsi="Arial" w:cs="Arial"/>
          <w:color w:val="000080"/>
          <w:szCs w:val="18"/>
        </w:rPr>
        <w:t xml:space="preserve">ατά </w:t>
      </w:r>
      <w:r w:rsidR="006D35D0" w:rsidRPr="00051B54">
        <w:rPr>
          <w:rFonts w:ascii="Arial" w:hAnsi="Arial" w:cs="Arial"/>
          <w:color w:val="000080"/>
          <w:szCs w:val="18"/>
        </w:rPr>
        <w:t>€</w:t>
      </w:r>
      <w:r w:rsidR="003A3704">
        <w:rPr>
          <w:rFonts w:ascii="Arial" w:hAnsi="Arial" w:cs="Arial"/>
          <w:color w:val="000080"/>
          <w:szCs w:val="18"/>
        </w:rPr>
        <w:t>77</w:t>
      </w:r>
      <w:r w:rsidR="00B65C74">
        <w:rPr>
          <w:rFonts w:ascii="Arial" w:hAnsi="Arial" w:cs="Arial"/>
          <w:color w:val="000080"/>
          <w:szCs w:val="18"/>
        </w:rPr>
        <w:t xml:space="preserve">εκ. το </w:t>
      </w:r>
      <w:r w:rsidR="003A3704">
        <w:rPr>
          <w:rFonts w:ascii="Arial" w:hAnsi="Arial" w:cs="Arial"/>
          <w:color w:val="000080"/>
          <w:szCs w:val="18"/>
        </w:rPr>
        <w:t>Β</w:t>
      </w:r>
      <w:r w:rsidR="00B65C74">
        <w:rPr>
          <w:rFonts w:ascii="Arial" w:hAnsi="Arial" w:cs="Arial"/>
          <w:color w:val="000080"/>
          <w:szCs w:val="18"/>
        </w:rPr>
        <w:t>΄ τρίμηνο 2020</w:t>
      </w:r>
      <w:r w:rsidR="00422FE9">
        <w:rPr>
          <w:rFonts w:ascii="Arial" w:hAnsi="Arial" w:cs="Arial"/>
          <w:color w:val="000080"/>
          <w:szCs w:val="18"/>
        </w:rPr>
        <w:t>.</w:t>
      </w:r>
      <w:r w:rsidR="00B65C74" w:rsidRPr="00B65C74">
        <w:rPr>
          <w:rFonts w:ascii="Arial" w:hAnsi="Arial" w:cs="Arial"/>
          <w:color w:val="000080"/>
          <w:szCs w:val="18"/>
        </w:rPr>
        <w:t xml:space="preserve"> </w:t>
      </w:r>
      <w:r w:rsidR="007B15F2" w:rsidRPr="00051B54">
        <w:rPr>
          <w:rFonts w:ascii="Arial" w:hAnsi="Arial" w:cs="Arial"/>
          <w:color w:val="000080"/>
          <w:szCs w:val="18"/>
        </w:rPr>
        <w:t xml:space="preserve"> </w:t>
      </w:r>
    </w:p>
    <w:p w:rsidR="009F0722" w:rsidRDefault="009F0722" w:rsidP="00287942">
      <w:pPr>
        <w:pStyle w:val="a8"/>
        <w:ind w:left="1080"/>
        <w:rPr>
          <w:rFonts w:ascii="Arial" w:hAnsi="Arial" w:cs="Arial"/>
          <w:b/>
          <w:color w:val="000080"/>
          <w:szCs w:val="18"/>
        </w:rPr>
      </w:pPr>
    </w:p>
    <w:p w:rsidR="009F0722" w:rsidRDefault="00D63FAF" w:rsidP="00F60FF0">
      <w:pPr>
        <w:numPr>
          <w:ilvl w:val="0"/>
          <w:numId w:val="18"/>
        </w:numPr>
        <w:spacing w:line="360" w:lineRule="auto"/>
        <w:ind w:right="43"/>
        <w:jc w:val="both"/>
        <w:rPr>
          <w:rFonts w:ascii="Arial" w:hAnsi="Arial" w:cs="Arial"/>
          <w:color w:val="000080"/>
          <w:szCs w:val="18"/>
        </w:rPr>
      </w:pPr>
      <w:r w:rsidRPr="005077A2">
        <w:rPr>
          <w:rFonts w:ascii="Arial" w:hAnsi="Arial" w:cs="Arial"/>
          <w:b/>
          <w:noProof/>
          <w:color w:val="000080"/>
          <w:szCs w:val="18"/>
        </w:rPr>
        <w:t>Οι δραστηριότητες στο εξωτερικό</w:t>
      </w:r>
      <w:r w:rsidR="000F54E5" w:rsidRPr="005077A2">
        <w:rPr>
          <w:rFonts w:ascii="Arial" w:hAnsi="Arial" w:cs="Arial"/>
          <w:noProof/>
          <w:color w:val="000080"/>
          <w:szCs w:val="18"/>
        </w:rPr>
        <w:t xml:space="preserve"> παρέμειναν κερδοφόρες</w:t>
      </w:r>
      <w:r w:rsidR="00C72221">
        <w:rPr>
          <w:rFonts w:ascii="Arial" w:hAnsi="Arial" w:cs="Arial"/>
          <w:noProof/>
          <w:color w:val="000080"/>
          <w:szCs w:val="18"/>
        </w:rPr>
        <w:t xml:space="preserve"> </w:t>
      </w:r>
      <w:r w:rsidR="000F54E5" w:rsidRPr="005077A2">
        <w:rPr>
          <w:rFonts w:ascii="Arial" w:hAnsi="Arial" w:cs="Arial"/>
          <w:noProof/>
          <w:color w:val="000080"/>
          <w:szCs w:val="18"/>
        </w:rPr>
        <w:t>με</w:t>
      </w:r>
      <w:r w:rsidR="00B62A90" w:rsidRPr="005077A2">
        <w:rPr>
          <w:rFonts w:ascii="Arial" w:hAnsi="Arial" w:cs="Arial"/>
          <w:noProof/>
          <w:color w:val="000080"/>
          <w:szCs w:val="18"/>
        </w:rPr>
        <w:t xml:space="preserve"> τα </w:t>
      </w:r>
      <w:r w:rsidR="00B62A90" w:rsidRPr="005077A2">
        <w:rPr>
          <w:rFonts w:ascii="Arial" w:hAnsi="Arial" w:cs="Arial"/>
          <w:b/>
          <w:noProof/>
          <w:color w:val="000080"/>
          <w:szCs w:val="18"/>
        </w:rPr>
        <w:t>καθαρά κέρδη</w:t>
      </w:r>
      <w:r w:rsidR="00DD6DF8" w:rsidRPr="005077A2">
        <w:rPr>
          <w:rStyle w:val="a7"/>
          <w:rFonts w:ascii="Arial" w:hAnsi="Arial" w:cs="Arial"/>
          <w:noProof/>
          <w:color w:val="000080"/>
          <w:szCs w:val="18"/>
        </w:rPr>
        <w:footnoteReference w:id="5"/>
      </w:r>
      <w:r w:rsidR="00B62A90" w:rsidRPr="005077A2">
        <w:rPr>
          <w:rFonts w:ascii="Arial" w:hAnsi="Arial" w:cs="Arial"/>
          <w:noProof/>
          <w:color w:val="000080"/>
          <w:szCs w:val="18"/>
        </w:rPr>
        <w:t xml:space="preserve"> </w:t>
      </w:r>
      <w:r w:rsidR="007B15F2" w:rsidRPr="005077A2">
        <w:rPr>
          <w:rFonts w:ascii="Arial" w:hAnsi="Arial" w:cs="Arial"/>
          <w:noProof/>
          <w:color w:val="000080"/>
          <w:szCs w:val="18"/>
        </w:rPr>
        <w:t xml:space="preserve">να </w:t>
      </w:r>
      <w:r w:rsidR="00DA4913">
        <w:rPr>
          <w:rFonts w:ascii="Arial" w:hAnsi="Arial" w:cs="Arial"/>
          <w:noProof/>
          <w:color w:val="000080"/>
          <w:szCs w:val="18"/>
        </w:rPr>
        <w:t>διαμορφώνονται</w:t>
      </w:r>
      <w:r w:rsidR="00C72221">
        <w:rPr>
          <w:rFonts w:ascii="Arial" w:hAnsi="Arial" w:cs="Arial"/>
          <w:noProof/>
          <w:color w:val="000080"/>
          <w:szCs w:val="18"/>
        </w:rPr>
        <w:t xml:space="preserve"> </w:t>
      </w:r>
      <w:r w:rsidR="00AA68E8" w:rsidRPr="005077A2">
        <w:rPr>
          <w:rFonts w:ascii="Arial" w:hAnsi="Arial" w:cs="Arial"/>
          <w:noProof/>
          <w:color w:val="000080"/>
          <w:szCs w:val="18"/>
        </w:rPr>
        <w:t>σε €</w:t>
      </w:r>
      <w:r w:rsidR="00DA4913">
        <w:rPr>
          <w:rFonts w:ascii="Arial" w:hAnsi="Arial" w:cs="Arial"/>
          <w:noProof/>
          <w:color w:val="000080"/>
          <w:szCs w:val="18"/>
        </w:rPr>
        <w:t>8</w:t>
      </w:r>
      <w:r w:rsidR="00966D16">
        <w:rPr>
          <w:rFonts w:ascii="Arial" w:hAnsi="Arial" w:cs="Arial"/>
          <w:noProof/>
          <w:color w:val="000080"/>
          <w:szCs w:val="18"/>
        </w:rPr>
        <w:t>2</w:t>
      </w:r>
      <w:r w:rsidR="00AA68E8" w:rsidRPr="005077A2">
        <w:rPr>
          <w:rFonts w:ascii="Arial" w:hAnsi="Arial" w:cs="Arial"/>
          <w:noProof/>
          <w:color w:val="000080"/>
          <w:szCs w:val="18"/>
        </w:rPr>
        <w:t>εκ.</w:t>
      </w:r>
      <w:r w:rsidR="00DA4913">
        <w:rPr>
          <w:rFonts w:ascii="Arial" w:hAnsi="Arial" w:cs="Arial"/>
          <w:noProof/>
          <w:color w:val="000080"/>
          <w:szCs w:val="18"/>
        </w:rPr>
        <w:t xml:space="preserve"> το Α΄ εξάμηνο 2020, έναντι €99εκ. το Α΄ εξάμηνο 2019.</w:t>
      </w:r>
      <w:r w:rsidR="009F0722" w:rsidRPr="005077A2">
        <w:rPr>
          <w:rFonts w:ascii="Arial" w:hAnsi="Arial" w:cs="Arial"/>
          <w:noProof/>
          <w:color w:val="000080"/>
          <w:szCs w:val="18"/>
        </w:rPr>
        <w:t xml:space="preserve"> </w:t>
      </w:r>
      <w:r w:rsidR="00C72221">
        <w:rPr>
          <w:rFonts w:ascii="Arial" w:hAnsi="Arial" w:cs="Arial"/>
          <w:noProof/>
          <w:color w:val="000080"/>
          <w:szCs w:val="18"/>
        </w:rPr>
        <w:t>Τ</w:t>
      </w:r>
      <w:r w:rsidR="00940F8D">
        <w:rPr>
          <w:rFonts w:ascii="Arial" w:hAnsi="Arial" w:cs="Arial"/>
          <w:noProof/>
          <w:color w:val="000080"/>
          <w:szCs w:val="18"/>
        </w:rPr>
        <w:t xml:space="preserve">α οργανικά κέρδη προ προβλέψεων </w:t>
      </w:r>
      <w:r w:rsidR="00DA4913">
        <w:rPr>
          <w:rFonts w:ascii="Arial" w:hAnsi="Arial" w:cs="Arial"/>
          <w:noProof/>
          <w:color w:val="000080"/>
          <w:szCs w:val="18"/>
        </w:rPr>
        <w:t>υποχώρησαν κ</w:t>
      </w:r>
      <w:r w:rsidR="00940F8D">
        <w:rPr>
          <w:rFonts w:ascii="Arial" w:hAnsi="Arial" w:cs="Arial"/>
          <w:noProof/>
          <w:color w:val="000080"/>
          <w:szCs w:val="18"/>
        </w:rPr>
        <w:t xml:space="preserve">ατά </w:t>
      </w:r>
      <w:r w:rsidR="00DA4913">
        <w:rPr>
          <w:rFonts w:ascii="Arial" w:hAnsi="Arial" w:cs="Arial"/>
          <w:noProof/>
          <w:color w:val="000080"/>
          <w:szCs w:val="18"/>
        </w:rPr>
        <w:t xml:space="preserve">7,1% </w:t>
      </w:r>
      <w:r w:rsidR="00940F8D">
        <w:rPr>
          <w:rFonts w:ascii="Arial" w:hAnsi="Arial" w:cs="Arial"/>
          <w:noProof/>
          <w:color w:val="000080"/>
          <w:szCs w:val="18"/>
        </w:rPr>
        <w:t>σε €</w:t>
      </w:r>
      <w:r w:rsidR="00DA4913">
        <w:rPr>
          <w:rFonts w:ascii="Arial" w:hAnsi="Arial" w:cs="Arial"/>
          <w:noProof/>
          <w:color w:val="000080"/>
          <w:szCs w:val="18"/>
        </w:rPr>
        <w:t>122</w:t>
      </w:r>
      <w:r w:rsidR="00940F8D">
        <w:rPr>
          <w:rFonts w:ascii="Arial" w:hAnsi="Arial" w:cs="Arial"/>
          <w:noProof/>
          <w:color w:val="000080"/>
          <w:szCs w:val="18"/>
        </w:rPr>
        <w:t xml:space="preserve">εκ. </w:t>
      </w:r>
      <w:r w:rsidR="00DA4913">
        <w:rPr>
          <w:rFonts w:ascii="Arial" w:hAnsi="Arial" w:cs="Arial"/>
          <w:noProof/>
          <w:color w:val="000080"/>
          <w:szCs w:val="18"/>
        </w:rPr>
        <w:t xml:space="preserve">λόγω αύξησης των λειτουργικών δαπανών κατά 12,2%. </w:t>
      </w:r>
    </w:p>
    <w:p w:rsidR="00EA14F5" w:rsidRDefault="00EA14F5" w:rsidP="00EA14F5">
      <w:pPr>
        <w:pStyle w:val="a8"/>
        <w:rPr>
          <w:rFonts w:ascii="Arial" w:hAnsi="Arial" w:cs="Arial"/>
          <w:color w:val="000080"/>
          <w:szCs w:val="18"/>
        </w:rPr>
      </w:pPr>
    </w:p>
    <w:p w:rsidR="00EA14F5" w:rsidRPr="005077A2" w:rsidRDefault="00EA14F5" w:rsidP="00F60FF0">
      <w:pPr>
        <w:numPr>
          <w:ilvl w:val="0"/>
          <w:numId w:val="18"/>
        </w:numPr>
        <w:spacing w:line="360" w:lineRule="auto"/>
        <w:ind w:right="43"/>
        <w:jc w:val="both"/>
        <w:rPr>
          <w:rFonts w:ascii="Arial" w:hAnsi="Arial" w:cs="Arial"/>
          <w:color w:val="000080"/>
          <w:szCs w:val="18"/>
        </w:rPr>
      </w:pPr>
      <w:r>
        <w:rPr>
          <w:rFonts w:ascii="Arial" w:hAnsi="Arial" w:cs="Arial"/>
          <w:color w:val="000080"/>
          <w:szCs w:val="18"/>
        </w:rPr>
        <w:t xml:space="preserve">Το </w:t>
      </w:r>
      <w:r w:rsidRPr="00EA14F5">
        <w:rPr>
          <w:rFonts w:ascii="Arial" w:hAnsi="Arial" w:cs="Arial"/>
          <w:b/>
          <w:color w:val="000080"/>
          <w:szCs w:val="18"/>
        </w:rPr>
        <w:t>συνολικό αποτέλεσμα</w:t>
      </w:r>
      <w:r>
        <w:rPr>
          <w:rFonts w:ascii="Arial" w:hAnsi="Arial" w:cs="Arial"/>
          <w:color w:val="000080"/>
          <w:szCs w:val="18"/>
        </w:rPr>
        <w:t xml:space="preserve"> </w:t>
      </w:r>
      <w:r w:rsidR="00172946">
        <w:rPr>
          <w:rFonts w:ascii="Arial" w:hAnsi="Arial" w:cs="Arial"/>
          <w:color w:val="000080"/>
          <w:szCs w:val="18"/>
        </w:rPr>
        <w:t xml:space="preserve">ήταν αρνητικό </w:t>
      </w:r>
      <w:r>
        <w:rPr>
          <w:rFonts w:ascii="Arial" w:hAnsi="Arial" w:cs="Arial"/>
          <w:color w:val="000080"/>
          <w:szCs w:val="18"/>
        </w:rPr>
        <w:t>σε €1.166εκ.</w:t>
      </w:r>
      <w:r w:rsidR="005253DA" w:rsidRPr="005253DA">
        <w:rPr>
          <w:rFonts w:ascii="Arial" w:hAnsi="Arial" w:cs="Arial"/>
          <w:color w:val="000080"/>
          <w:szCs w:val="18"/>
        </w:rPr>
        <w:t xml:space="preserve"> </w:t>
      </w:r>
      <w:r w:rsidR="005253DA">
        <w:rPr>
          <w:rFonts w:ascii="Arial" w:hAnsi="Arial" w:cs="Arial"/>
          <w:color w:val="000080"/>
          <w:szCs w:val="18"/>
        </w:rPr>
        <w:t>το Α΄ εξάμηνο 2020</w:t>
      </w:r>
      <w:r>
        <w:rPr>
          <w:rFonts w:ascii="Arial" w:hAnsi="Arial" w:cs="Arial"/>
          <w:color w:val="000080"/>
          <w:szCs w:val="18"/>
        </w:rPr>
        <w:t xml:space="preserve"> και περιλαμβάνει τη</w:t>
      </w:r>
      <w:r w:rsidR="00172946">
        <w:rPr>
          <w:rFonts w:ascii="Arial" w:hAnsi="Arial" w:cs="Arial"/>
          <w:color w:val="000080"/>
          <w:szCs w:val="18"/>
        </w:rPr>
        <w:t xml:space="preserve"> ζημιά </w:t>
      </w:r>
      <w:r>
        <w:rPr>
          <w:rFonts w:ascii="Arial" w:hAnsi="Arial" w:cs="Arial"/>
          <w:color w:val="000080"/>
          <w:szCs w:val="18"/>
        </w:rPr>
        <w:t xml:space="preserve">από τις συναλλαγές </w:t>
      </w:r>
      <w:r>
        <w:rPr>
          <w:rFonts w:ascii="Arial" w:hAnsi="Arial" w:cs="Arial"/>
          <w:color w:val="000080"/>
          <w:szCs w:val="18"/>
          <w:lang w:val="en-US"/>
        </w:rPr>
        <w:t>Cairo</w:t>
      </w:r>
      <w:r w:rsidRPr="00EA14F5">
        <w:rPr>
          <w:rFonts w:ascii="Arial" w:hAnsi="Arial" w:cs="Arial"/>
          <w:color w:val="000080"/>
          <w:szCs w:val="18"/>
        </w:rPr>
        <w:t xml:space="preserve"> &amp; </w:t>
      </w:r>
      <w:r>
        <w:rPr>
          <w:rFonts w:ascii="Arial" w:hAnsi="Arial" w:cs="Arial"/>
          <w:color w:val="000080"/>
          <w:szCs w:val="18"/>
          <w:lang w:val="en-US"/>
        </w:rPr>
        <w:t>FPS</w:t>
      </w:r>
      <w:r w:rsidRPr="00EA14F5">
        <w:rPr>
          <w:rFonts w:ascii="Arial" w:hAnsi="Arial" w:cs="Arial"/>
          <w:color w:val="000080"/>
          <w:szCs w:val="18"/>
        </w:rPr>
        <w:t xml:space="preserve"> </w:t>
      </w:r>
      <w:r>
        <w:rPr>
          <w:rFonts w:ascii="Arial" w:hAnsi="Arial" w:cs="Arial"/>
          <w:color w:val="000080"/>
          <w:szCs w:val="18"/>
        </w:rPr>
        <w:t>ποσού €1.334εκ.</w:t>
      </w:r>
      <w:r w:rsidR="00CA5CDD" w:rsidRPr="00CA5CDD">
        <w:rPr>
          <w:rFonts w:ascii="Arial" w:hAnsi="Arial" w:cs="Arial"/>
          <w:color w:val="000080"/>
          <w:szCs w:val="18"/>
        </w:rPr>
        <w:t xml:space="preserve"> (</w:t>
      </w:r>
      <w:r w:rsidR="00CA5CDD">
        <w:rPr>
          <w:rFonts w:ascii="Arial" w:hAnsi="Arial" w:cs="Arial"/>
          <w:color w:val="000080"/>
          <w:szCs w:val="18"/>
        </w:rPr>
        <w:t>μετά φόρων).</w:t>
      </w:r>
      <w:r>
        <w:rPr>
          <w:rFonts w:ascii="Arial" w:hAnsi="Arial" w:cs="Arial"/>
          <w:color w:val="000080"/>
          <w:szCs w:val="18"/>
        </w:rPr>
        <w:t xml:space="preserve"> </w:t>
      </w:r>
    </w:p>
    <w:p w:rsidR="009F0722" w:rsidRDefault="009F0722" w:rsidP="00287942">
      <w:pPr>
        <w:pStyle w:val="a8"/>
        <w:ind w:left="1080"/>
        <w:rPr>
          <w:rFonts w:ascii="Arial" w:hAnsi="Arial" w:cs="Arial"/>
          <w:noProof/>
          <w:color w:val="000080"/>
          <w:szCs w:val="18"/>
        </w:rPr>
      </w:pPr>
    </w:p>
    <w:p w:rsidR="009F0722" w:rsidRPr="005077A2" w:rsidRDefault="004C1D5A" w:rsidP="00F60FF0">
      <w:pPr>
        <w:numPr>
          <w:ilvl w:val="0"/>
          <w:numId w:val="18"/>
        </w:numPr>
        <w:spacing w:line="360" w:lineRule="auto"/>
        <w:ind w:right="43"/>
        <w:jc w:val="both"/>
        <w:rPr>
          <w:rFonts w:ascii="Arial" w:hAnsi="Arial" w:cs="Arial"/>
          <w:color w:val="000080"/>
          <w:szCs w:val="18"/>
        </w:rPr>
      </w:pPr>
      <w:r>
        <w:rPr>
          <w:rFonts w:ascii="Arial" w:hAnsi="Arial" w:cs="Arial"/>
          <w:noProof/>
          <w:color w:val="000080"/>
          <w:szCs w:val="18"/>
        </w:rPr>
        <w:t>Ο</w:t>
      </w:r>
      <w:r w:rsidR="00267D72">
        <w:rPr>
          <w:rFonts w:ascii="Arial" w:hAnsi="Arial" w:cs="Arial"/>
          <w:noProof/>
          <w:color w:val="000080"/>
          <w:szCs w:val="18"/>
        </w:rPr>
        <w:t xml:space="preserve"> δείκτης</w:t>
      </w:r>
      <w:r w:rsidR="00267D72">
        <w:rPr>
          <w:rFonts w:ascii="Arial" w:hAnsi="Arial" w:cs="Arial"/>
          <w:b/>
          <w:noProof/>
          <w:color w:val="000080"/>
          <w:szCs w:val="18"/>
        </w:rPr>
        <w:t xml:space="preserve"> </w:t>
      </w:r>
      <w:r w:rsidR="00267D72" w:rsidRPr="005077A2">
        <w:rPr>
          <w:rFonts w:ascii="Arial" w:hAnsi="Arial" w:cs="Arial"/>
          <w:b/>
          <w:noProof/>
          <w:color w:val="000080"/>
          <w:szCs w:val="18"/>
        </w:rPr>
        <w:t xml:space="preserve">συνολικής κεφαλαιακής επάρκειας </w:t>
      </w:r>
      <w:r w:rsidR="00267D72" w:rsidRPr="005077A2">
        <w:rPr>
          <w:rFonts w:ascii="Arial" w:hAnsi="Arial" w:cs="Arial"/>
          <w:noProof/>
          <w:color w:val="000080"/>
          <w:szCs w:val="18"/>
        </w:rPr>
        <w:t>(</w:t>
      </w:r>
      <w:r w:rsidR="00267D72" w:rsidRPr="005077A2">
        <w:rPr>
          <w:rFonts w:ascii="Arial" w:hAnsi="Arial" w:cs="Arial"/>
          <w:noProof/>
          <w:color w:val="000080"/>
          <w:szCs w:val="18"/>
          <w:lang w:val="en-US"/>
        </w:rPr>
        <w:t>CAD</w:t>
      </w:r>
      <w:r w:rsidR="00267D72" w:rsidRPr="005077A2">
        <w:rPr>
          <w:rFonts w:ascii="Arial" w:hAnsi="Arial" w:cs="Arial"/>
          <w:noProof/>
          <w:color w:val="000080"/>
          <w:szCs w:val="18"/>
        </w:rPr>
        <w:t>)</w:t>
      </w:r>
      <w:r w:rsidR="00267D72">
        <w:rPr>
          <w:rFonts w:ascii="Arial" w:hAnsi="Arial" w:cs="Arial"/>
          <w:noProof/>
          <w:color w:val="000080"/>
          <w:szCs w:val="18"/>
        </w:rPr>
        <w:t xml:space="preserve"> </w:t>
      </w:r>
      <w:r>
        <w:rPr>
          <w:rFonts w:ascii="Arial" w:hAnsi="Arial" w:cs="Arial"/>
          <w:noProof/>
          <w:color w:val="000080"/>
          <w:szCs w:val="18"/>
        </w:rPr>
        <w:t>αυξήθηκε κατά</w:t>
      </w:r>
      <w:r w:rsidR="00267D72">
        <w:rPr>
          <w:rFonts w:ascii="Arial" w:hAnsi="Arial" w:cs="Arial"/>
          <w:noProof/>
          <w:color w:val="000080"/>
          <w:szCs w:val="18"/>
        </w:rPr>
        <w:t xml:space="preserve"> 110 μονάδες βάσης έναντι του Α΄ τριμήνου 2020</w:t>
      </w:r>
      <w:r>
        <w:rPr>
          <w:rFonts w:ascii="Arial" w:hAnsi="Arial" w:cs="Arial"/>
          <w:noProof/>
          <w:color w:val="000080"/>
          <w:szCs w:val="18"/>
        </w:rPr>
        <w:t xml:space="preserve"> και διαμορφώθηκε σε 15,5%</w:t>
      </w:r>
      <w:r w:rsidR="00267D72">
        <w:rPr>
          <w:rFonts w:ascii="Arial" w:hAnsi="Arial" w:cs="Arial"/>
          <w:noProof/>
          <w:color w:val="000080"/>
          <w:szCs w:val="18"/>
        </w:rPr>
        <w:t xml:space="preserve">, ενώ ο </w:t>
      </w:r>
      <w:r w:rsidR="009F0722" w:rsidRPr="005077A2">
        <w:rPr>
          <w:rFonts w:ascii="Arial" w:hAnsi="Arial" w:cs="Arial"/>
          <w:b/>
          <w:color w:val="000080"/>
          <w:szCs w:val="18"/>
        </w:rPr>
        <w:t>δείκτ</w:t>
      </w:r>
      <w:r w:rsidR="00E245DA">
        <w:rPr>
          <w:rFonts w:ascii="Arial" w:hAnsi="Arial" w:cs="Arial"/>
          <w:b/>
          <w:color w:val="000080"/>
          <w:szCs w:val="18"/>
        </w:rPr>
        <w:t>η</w:t>
      </w:r>
      <w:r w:rsidR="00C72221">
        <w:rPr>
          <w:rFonts w:ascii="Arial" w:hAnsi="Arial" w:cs="Arial"/>
          <w:b/>
          <w:color w:val="000080"/>
          <w:szCs w:val="18"/>
        </w:rPr>
        <w:t>ς</w:t>
      </w:r>
      <w:r w:rsidR="008F4C02" w:rsidRPr="005077A2">
        <w:rPr>
          <w:rFonts w:ascii="Arial" w:hAnsi="Arial" w:cs="Arial"/>
          <w:b/>
          <w:color w:val="000080"/>
          <w:szCs w:val="18"/>
        </w:rPr>
        <w:t xml:space="preserve"> </w:t>
      </w:r>
      <w:r w:rsidR="008F4C02" w:rsidRPr="005077A2">
        <w:rPr>
          <w:rFonts w:ascii="Arial" w:hAnsi="Arial" w:cs="Arial"/>
          <w:b/>
          <w:noProof/>
          <w:color w:val="000080"/>
          <w:szCs w:val="18"/>
          <w:lang w:val="en-US"/>
        </w:rPr>
        <w:t>CET</w:t>
      </w:r>
      <w:r w:rsidR="008F4C02" w:rsidRPr="005077A2">
        <w:rPr>
          <w:rFonts w:ascii="Arial" w:hAnsi="Arial" w:cs="Arial"/>
          <w:b/>
          <w:noProof/>
          <w:color w:val="000080"/>
          <w:szCs w:val="18"/>
        </w:rPr>
        <w:t>1</w:t>
      </w:r>
      <w:r w:rsidR="009F0722" w:rsidRPr="005077A2">
        <w:rPr>
          <w:rFonts w:ascii="Arial" w:hAnsi="Arial" w:cs="Arial"/>
          <w:b/>
          <w:noProof/>
          <w:color w:val="000080"/>
          <w:szCs w:val="18"/>
        </w:rPr>
        <w:t xml:space="preserve"> </w:t>
      </w:r>
      <w:r w:rsidR="00966D16">
        <w:rPr>
          <w:rFonts w:ascii="Arial" w:hAnsi="Arial" w:cs="Arial"/>
          <w:noProof/>
          <w:color w:val="000080"/>
          <w:szCs w:val="18"/>
        </w:rPr>
        <w:t>διαμορφώθηκε</w:t>
      </w:r>
      <w:r w:rsidR="002C7ED5">
        <w:rPr>
          <w:rFonts w:ascii="Arial" w:hAnsi="Arial" w:cs="Arial"/>
          <w:noProof/>
          <w:color w:val="000080"/>
          <w:szCs w:val="18"/>
        </w:rPr>
        <w:t xml:space="preserve"> σε 1</w:t>
      </w:r>
      <w:r w:rsidR="006970B5">
        <w:rPr>
          <w:rFonts w:ascii="Arial" w:hAnsi="Arial" w:cs="Arial"/>
          <w:noProof/>
          <w:color w:val="000080"/>
          <w:szCs w:val="18"/>
        </w:rPr>
        <w:t>3,0</w:t>
      </w:r>
      <w:r w:rsidR="00966D16">
        <w:rPr>
          <w:rFonts w:ascii="Arial" w:hAnsi="Arial" w:cs="Arial"/>
          <w:noProof/>
          <w:color w:val="000080"/>
          <w:szCs w:val="18"/>
        </w:rPr>
        <w:t xml:space="preserve">% </w:t>
      </w:r>
      <w:r w:rsidR="00C72221">
        <w:rPr>
          <w:rFonts w:ascii="Arial" w:hAnsi="Arial" w:cs="Arial"/>
          <w:noProof/>
          <w:color w:val="000080"/>
          <w:szCs w:val="18"/>
        </w:rPr>
        <w:t xml:space="preserve">το </w:t>
      </w:r>
      <w:r w:rsidR="00966D16">
        <w:rPr>
          <w:rFonts w:ascii="Arial" w:hAnsi="Arial" w:cs="Arial"/>
          <w:noProof/>
          <w:color w:val="000080"/>
          <w:szCs w:val="18"/>
        </w:rPr>
        <w:t xml:space="preserve">Α΄ </w:t>
      </w:r>
      <w:r w:rsidR="006970B5">
        <w:rPr>
          <w:rFonts w:ascii="Arial" w:hAnsi="Arial" w:cs="Arial"/>
          <w:noProof/>
          <w:color w:val="000080"/>
          <w:szCs w:val="18"/>
        </w:rPr>
        <w:t>εξάμην</w:t>
      </w:r>
      <w:r w:rsidR="00966D16">
        <w:rPr>
          <w:rFonts w:ascii="Arial" w:hAnsi="Arial" w:cs="Arial"/>
          <w:noProof/>
          <w:color w:val="000080"/>
          <w:szCs w:val="18"/>
        </w:rPr>
        <w:t>ο 2020</w:t>
      </w:r>
      <w:r>
        <w:rPr>
          <w:rFonts w:ascii="Arial" w:hAnsi="Arial" w:cs="Arial"/>
          <w:noProof/>
          <w:color w:val="000080"/>
          <w:szCs w:val="18"/>
        </w:rPr>
        <w:t xml:space="preserve">, μετά την επίπτωση από τις συναλλαγές </w:t>
      </w:r>
      <w:r>
        <w:rPr>
          <w:rFonts w:ascii="Arial" w:hAnsi="Arial" w:cs="Arial"/>
          <w:noProof/>
          <w:color w:val="000080"/>
          <w:szCs w:val="18"/>
          <w:lang w:val="en-US"/>
        </w:rPr>
        <w:t>Cairo</w:t>
      </w:r>
      <w:r w:rsidRPr="004C1D5A">
        <w:rPr>
          <w:rFonts w:ascii="Arial" w:hAnsi="Arial" w:cs="Arial"/>
          <w:noProof/>
          <w:color w:val="000080"/>
          <w:szCs w:val="18"/>
        </w:rPr>
        <w:t xml:space="preserve"> &amp; </w:t>
      </w:r>
      <w:r>
        <w:rPr>
          <w:rFonts w:ascii="Arial" w:hAnsi="Arial" w:cs="Arial"/>
          <w:noProof/>
          <w:color w:val="000080"/>
          <w:szCs w:val="18"/>
          <w:lang w:val="en-US"/>
        </w:rPr>
        <w:t>FPS</w:t>
      </w:r>
      <w:r w:rsidR="00267D72">
        <w:rPr>
          <w:rFonts w:ascii="Arial" w:hAnsi="Arial" w:cs="Arial"/>
          <w:noProof/>
          <w:color w:val="000080"/>
          <w:szCs w:val="18"/>
        </w:rPr>
        <w:t>.</w:t>
      </w:r>
      <w:r w:rsidR="006970B5">
        <w:rPr>
          <w:rFonts w:ascii="Arial" w:hAnsi="Arial" w:cs="Arial"/>
          <w:noProof/>
          <w:color w:val="000080"/>
          <w:szCs w:val="18"/>
        </w:rPr>
        <w:t xml:space="preserve"> </w:t>
      </w:r>
      <w:r w:rsidR="00940F8D">
        <w:rPr>
          <w:rFonts w:ascii="Arial" w:hAnsi="Arial" w:cs="Arial"/>
          <w:noProof/>
          <w:color w:val="000080"/>
          <w:szCs w:val="18"/>
        </w:rPr>
        <w:t>Το σταθμισμένο ενεργητικό διαμορφώ</w:t>
      </w:r>
      <w:r w:rsidR="00D86EC0">
        <w:rPr>
          <w:rFonts w:ascii="Arial" w:hAnsi="Arial" w:cs="Arial"/>
          <w:noProof/>
          <w:color w:val="000080"/>
          <w:szCs w:val="18"/>
        </w:rPr>
        <w:t>θηκε σε €4</w:t>
      </w:r>
      <w:r w:rsidR="006970B5">
        <w:rPr>
          <w:rFonts w:ascii="Arial" w:hAnsi="Arial" w:cs="Arial"/>
          <w:noProof/>
          <w:color w:val="000080"/>
          <w:szCs w:val="18"/>
        </w:rPr>
        <w:t>0,8</w:t>
      </w:r>
      <w:r w:rsidR="00940F8D">
        <w:rPr>
          <w:rFonts w:ascii="Arial" w:hAnsi="Arial" w:cs="Arial"/>
          <w:noProof/>
          <w:color w:val="000080"/>
          <w:szCs w:val="18"/>
        </w:rPr>
        <w:t>δισ.</w:t>
      </w:r>
      <w:r w:rsidR="006970B5">
        <w:rPr>
          <w:rFonts w:ascii="Arial" w:hAnsi="Arial" w:cs="Arial"/>
          <w:noProof/>
          <w:color w:val="000080"/>
          <w:szCs w:val="18"/>
        </w:rPr>
        <w:t xml:space="preserve"> στο τέλος Ιουνίου 2020</w:t>
      </w:r>
      <w:r w:rsidR="00966D16">
        <w:rPr>
          <w:rFonts w:ascii="Arial" w:hAnsi="Arial" w:cs="Arial"/>
          <w:noProof/>
          <w:color w:val="000080"/>
          <w:szCs w:val="18"/>
        </w:rPr>
        <w:t>.</w:t>
      </w:r>
    </w:p>
    <w:p w:rsidR="009F0722" w:rsidRDefault="009F0722" w:rsidP="00287942">
      <w:pPr>
        <w:pStyle w:val="a8"/>
        <w:ind w:left="1080"/>
        <w:rPr>
          <w:rFonts w:ascii="Arial" w:hAnsi="Arial" w:cs="Arial"/>
          <w:b/>
          <w:color w:val="000080"/>
          <w:szCs w:val="18"/>
        </w:rPr>
      </w:pPr>
    </w:p>
    <w:bookmarkEnd w:id="0"/>
    <w:bookmarkEnd w:id="1"/>
    <w:p w:rsidR="004B780A" w:rsidRDefault="004B780A" w:rsidP="004B780A">
      <w:pPr>
        <w:spacing w:line="360" w:lineRule="auto"/>
        <w:ind w:right="43"/>
        <w:jc w:val="both"/>
        <w:rPr>
          <w:rFonts w:ascii="Arial" w:hAnsi="Arial" w:cs="Arial"/>
          <w:color w:val="000080"/>
          <w:szCs w:val="18"/>
        </w:rPr>
      </w:pPr>
    </w:p>
    <w:p w:rsidR="00C65491" w:rsidRDefault="009F0A5E" w:rsidP="00AB01D8">
      <w:pPr>
        <w:autoSpaceDE w:val="0"/>
        <w:autoSpaceDN w:val="0"/>
        <w:adjustRightInd w:val="0"/>
        <w:spacing w:line="360" w:lineRule="auto"/>
        <w:jc w:val="both"/>
        <w:rPr>
          <w:rFonts w:ascii="Arial" w:hAnsi="Arial" w:cs="Arial"/>
          <w:color w:val="000080"/>
          <w:sz w:val="18"/>
          <w:szCs w:val="18"/>
        </w:rPr>
      </w:pPr>
      <w:r>
        <w:rPr>
          <w:rFonts w:ascii="Arial" w:hAnsi="Arial" w:cs="Arial"/>
          <w:noProof/>
          <w:color w:val="000080"/>
          <w:sz w:val="18"/>
          <w:szCs w:val="18"/>
        </w:rPr>
        <w:pict>
          <v:shape id="_x0000_s1517" type="#_x0000_t202" style="position:absolute;left:0;text-align:left;margin-left:66.2pt;margin-top:7.6pt;width:162pt;height:29.8pt;z-index:9;visibility:visible;mso-wrap-edited:f;mso-wrap-distance-left:2.88pt;mso-wrap-distance-top:2.88pt;mso-wrap-distance-right:2.88pt;mso-wrap-distance-bottom:2.88pt" filled="f" stroked="f" strokeweight="0" insetpen="t" o:cliptowrap="t">
            <v:shadow color="#ccc"/>
            <o:lock v:ext="edit" shapetype="t"/>
            <v:textbox style="mso-next-textbox:#_x0000_s1517;mso-column-margin:5.7pt" inset="2.85pt,2.85pt,2.85pt,2.85pt">
              <w:txbxContent>
                <w:p w:rsidR="008B0D4A" w:rsidRPr="00BF27F3"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Καθαρά Κέρδη</w:t>
                  </w:r>
                  <w:r w:rsidR="00076A80">
                    <w:rPr>
                      <w:rFonts w:ascii="Arial" w:hAnsi="Arial" w:cs="Arial"/>
                      <w:bCs/>
                      <w:color w:val="000066"/>
                      <w:sz w:val="14"/>
                      <w:szCs w:val="14"/>
                      <w:vertAlign w:val="superscript"/>
                    </w:rPr>
                    <w:t>4</w:t>
                  </w:r>
                </w:p>
                <w:p w:rsidR="008B0D4A" w:rsidRPr="00BF7659" w:rsidRDefault="008B0D4A" w:rsidP="008723AE">
                  <w:pPr>
                    <w:pStyle w:val="msoaccenttext5"/>
                    <w:widowControl w:val="0"/>
                    <w:jc w:val="center"/>
                    <w:rPr>
                      <w:rFonts w:ascii="Arial" w:hAnsi="Arial" w:cs="Arial"/>
                      <w:b/>
                      <w:bCs/>
                      <w:color w:val="000066"/>
                      <w:sz w:val="14"/>
                      <w:szCs w:val="14"/>
                    </w:rPr>
                  </w:pPr>
                  <w:r w:rsidRPr="00BF7659">
                    <w:rPr>
                      <w:rFonts w:ascii="Arial" w:hAnsi="Arial" w:cs="Arial"/>
                      <w:b/>
                      <w:bCs/>
                      <w:color w:val="000066"/>
                      <w:sz w:val="14"/>
                      <w:szCs w:val="14"/>
                    </w:rPr>
                    <w:t>(€εκ.)</w:t>
                  </w:r>
                </w:p>
                <w:p w:rsidR="008B0D4A" w:rsidRPr="002965F3" w:rsidRDefault="008B0D4A" w:rsidP="008723AE">
                  <w:pPr>
                    <w:pStyle w:val="msoaccenttext5"/>
                    <w:widowControl w:val="0"/>
                    <w:jc w:val="center"/>
                    <w:rPr>
                      <w:rFonts w:ascii="Arial" w:hAnsi="Arial" w:cs="Arial"/>
                      <w:b/>
                      <w:bCs/>
                      <w:color w:val="000066"/>
                      <w:sz w:val="14"/>
                      <w:szCs w:val="14"/>
                    </w:rPr>
                  </w:pPr>
                </w:p>
                <w:p w:rsidR="008B0D4A" w:rsidRPr="00F323F1" w:rsidRDefault="008B0D4A" w:rsidP="008723AE">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rect id="_x0000_s1519" style="position:absolute;left:0;text-align:left;margin-left:80.3pt;margin-top:20.8pt;width:140.1pt;height:161.45pt;z-index:11" o:preferrelative="t" filled="f" stroked="f" insetpen="t" o:cliptowrap="t">
            <v:imagedata r:id="rId9" o:title=""/>
            <v:path o:extrusionok="f"/>
            <o:lock v:ext="edit" aspectratio="t"/>
          </v:rect>
          <o:OLEObject Type="Embed" ProgID="MSGraph.Chart.8" ShapeID="_x0000_s1519" DrawAspect="Content" ObjectID="_1660487706" r:id="rId10"/>
        </w:pict>
      </w:r>
      <w:r>
        <w:rPr>
          <w:rFonts w:ascii="Arial" w:hAnsi="Arial" w:cs="Arial"/>
          <w:noProof/>
          <w:color w:val="000080"/>
          <w:sz w:val="18"/>
          <w:szCs w:val="18"/>
        </w:rPr>
        <w:pict>
          <v:roundrect id="_x0000_s1521" style="position:absolute;left:0;text-align:left;margin-left:262.8pt;margin-top:3.85pt;width:174pt;height:163.7pt;z-index:-16;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noProof/>
          <w:color w:val="000080"/>
          <w:sz w:val="18"/>
          <w:szCs w:val="18"/>
        </w:rPr>
        <w:pict>
          <v:shape id="_x0000_s1520" type="#_x0000_t202" style="position:absolute;left:0;text-align:left;margin-left:272.7pt;margin-top:6.65pt;width:162pt;height:29.8pt;z-index:12;visibility:visible;mso-wrap-edited:f;mso-wrap-distance-left:2.88pt;mso-wrap-distance-top:2.88pt;mso-wrap-distance-right:2.88pt;mso-wrap-distance-bottom:2.88pt" filled="f" stroked="f" strokeweight="0" insetpen="t" o:cliptowrap="t">
            <v:shadow color="#ccc"/>
            <o:lock v:ext="edit" shapetype="t"/>
            <v:textbox style="mso-next-textbox:#_x0000_s1520;mso-column-margin:5.7pt" inset="2.85pt,2.85pt,2.85pt,2.85pt">
              <w:txbxContent>
                <w:p w:rsidR="008B0D4A" w:rsidRPr="002965F3"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Οργανικά Κέρδη προ Προβλέψεων</w:t>
                  </w:r>
                </w:p>
                <w:p w:rsidR="008B0D4A" w:rsidRPr="00F323F1" w:rsidRDefault="008B0D4A" w:rsidP="008723AE">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rect id="_x0000_s1523" style="position:absolute;left:0;text-align:left;margin-left:289.3pt;margin-top:18.3pt;width:140.1pt;height:161.6pt;z-index:14" o:preferrelative="t" filled="f" stroked="f" insetpen="t" o:cliptowrap="t">
            <v:imagedata r:id="rId11" o:title=""/>
            <v:path o:extrusionok="f"/>
            <o:lock v:ext="edit" aspectratio="t"/>
          </v:rect>
          <o:OLEObject Type="Embed" ProgID="MSGraph.Chart.8" ShapeID="_x0000_s1523" DrawAspect="Content" ObjectID="_1660487707" r:id="rId12"/>
        </w:pict>
      </w:r>
      <w:r>
        <w:rPr>
          <w:rFonts w:ascii="Arial" w:hAnsi="Arial" w:cs="Arial"/>
          <w:noProof/>
          <w:color w:val="000080"/>
          <w:sz w:val="18"/>
          <w:szCs w:val="18"/>
        </w:rPr>
        <w:pict>
          <v:roundrect id="_x0000_s1518" style="position:absolute;left:0;text-align:left;margin-left:58.35pt;margin-top:4.35pt;width:174pt;height:163.7pt;z-index:-19;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076A80" w:rsidP="00076A80">
      <w:pPr>
        <w:tabs>
          <w:tab w:val="left" w:pos="4939"/>
        </w:tabs>
        <w:autoSpaceDE w:val="0"/>
        <w:autoSpaceDN w:val="0"/>
        <w:adjustRightInd w:val="0"/>
        <w:spacing w:line="360" w:lineRule="auto"/>
        <w:jc w:val="both"/>
        <w:rPr>
          <w:rFonts w:ascii="Arial" w:hAnsi="Arial" w:cs="Arial"/>
          <w:color w:val="000080"/>
          <w:sz w:val="18"/>
          <w:szCs w:val="18"/>
        </w:rPr>
      </w:pPr>
      <w:r>
        <w:rPr>
          <w:rFonts w:ascii="Arial" w:hAnsi="Arial" w:cs="Arial"/>
          <w:color w:val="000080"/>
          <w:sz w:val="18"/>
          <w:szCs w:val="18"/>
        </w:rPr>
        <w:tab/>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172946" w:rsidP="00AB01D8">
      <w:pPr>
        <w:autoSpaceDE w:val="0"/>
        <w:autoSpaceDN w:val="0"/>
        <w:adjustRightInd w:val="0"/>
        <w:spacing w:line="360" w:lineRule="auto"/>
        <w:jc w:val="both"/>
        <w:rPr>
          <w:rFonts w:ascii="Arial" w:hAnsi="Arial" w:cs="Arial"/>
          <w:color w:val="000080"/>
          <w:sz w:val="18"/>
          <w:szCs w:val="18"/>
        </w:rPr>
      </w:pPr>
      <w:r>
        <w:rPr>
          <w:rFonts w:ascii="Arial" w:hAnsi="Arial" w:cs="Arial"/>
          <w:noProof/>
          <w:color w:val="000080"/>
          <w:sz w:val="18"/>
          <w:szCs w:val="18"/>
        </w:rPr>
        <w:pict>
          <v:rect id="_x0000_s1525" style="position:absolute;left:0;text-align:left;margin-left:80.3pt;margin-top:24.75pt;width:140.05pt;height:160.6pt;z-index:16" o:preferrelative="t" filled="f" stroked="f" insetpen="t" o:cliptowrap="t">
            <v:imagedata r:id="rId13" o:title=""/>
            <v:path o:extrusionok="f"/>
            <o:lock v:ext="edit" aspectratio="t"/>
          </v:rect>
          <o:OLEObject Type="Embed" ProgID="MSGraph.Chart.8" ShapeID="_x0000_s1525" DrawAspect="Content" ObjectID="_1660487708" r:id="rId14"/>
        </w:pict>
      </w:r>
      <w:r>
        <w:rPr>
          <w:rFonts w:ascii="Arial" w:hAnsi="Arial" w:cs="Arial"/>
          <w:noProof/>
          <w:color w:val="000080"/>
          <w:sz w:val="18"/>
          <w:szCs w:val="18"/>
        </w:rPr>
        <w:pict>
          <v:shape id="_x0000_s1529" type="#_x0000_t202" style="position:absolute;left:0;text-align:left;margin-left:270.7pt;margin-top:12.7pt;width:162pt;height:29.8pt;z-index:20;visibility:visible;mso-wrap-edited:f;mso-wrap-distance-left:2.88pt;mso-wrap-distance-top:2.88pt;mso-wrap-distance-right:2.88pt;mso-wrap-distance-bottom:2.88pt" filled="f" stroked="f" strokeweight="0" insetpen="t" o:cliptowrap="t">
            <v:shadow color="#ccc"/>
            <o:lock v:ext="edit" shapetype="t"/>
            <v:textbox style="mso-next-textbox:#_x0000_s1529;mso-column-margin:5.7pt" inset="2.85pt,2.85pt,2.85pt,2.85pt">
              <w:txbxContent>
                <w:p w:rsidR="008B0D4A" w:rsidRPr="008723AE"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 xml:space="preserve">Δείκτης </w:t>
                  </w:r>
                  <w:r>
                    <w:rPr>
                      <w:rFonts w:ascii="Arial" w:hAnsi="Arial" w:cs="Arial"/>
                      <w:b/>
                      <w:bCs/>
                      <w:color w:val="000066"/>
                      <w:sz w:val="14"/>
                      <w:szCs w:val="14"/>
                      <w:lang w:val="en-US"/>
                    </w:rPr>
                    <w:t>NPEs</w:t>
                  </w:r>
                </w:p>
                <w:p w:rsidR="008B0D4A" w:rsidRPr="00BF7659"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w:t>
                  </w:r>
                  <w:r w:rsidRPr="00BF7659">
                    <w:rPr>
                      <w:rFonts w:ascii="Arial" w:hAnsi="Arial" w:cs="Arial"/>
                      <w:b/>
                      <w:bCs/>
                      <w:color w:val="000066"/>
                      <w:sz w:val="14"/>
                      <w:szCs w:val="14"/>
                    </w:rPr>
                    <w:t>)</w:t>
                  </w:r>
                </w:p>
                <w:p w:rsidR="008B0D4A" w:rsidRPr="002965F3" w:rsidRDefault="008B0D4A" w:rsidP="008723AE">
                  <w:pPr>
                    <w:pStyle w:val="msoaccenttext5"/>
                    <w:widowControl w:val="0"/>
                    <w:jc w:val="center"/>
                    <w:rPr>
                      <w:rFonts w:ascii="Arial" w:hAnsi="Arial" w:cs="Arial"/>
                      <w:b/>
                      <w:bCs/>
                      <w:color w:val="000066"/>
                      <w:sz w:val="14"/>
                      <w:szCs w:val="14"/>
                    </w:rPr>
                  </w:pPr>
                </w:p>
                <w:p w:rsidR="008B0D4A" w:rsidRPr="00F323F1" w:rsidRDefault="008B0D4A" w:rsidP="008723AE">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shape id="_x0000_s1526" type="#_x0000_t202" style="position:absolute;left:0;text-align:left;margin-left:62.7pt;margin-top:11.7pt;width:162pt;height:29.8pt;z-index:17;visibility:visible;mso-wrap-edited:f;mso-wrap-distance-left:2.88pt;mso-wrap-distance-top:2.88pt;mso-wrap-distance-right:2.88pt;mso-wrap-distance-bottom:2.88pt" filled="f" stroked="f" strokeweight="0" insetpen="t" o:cliptowrap="t">
            <v:shadow color="#ccc"/>
            <o:lock v:ext="edit" shapetype="t"/>
            <v:textbox style="mso-next-textbox:#_x0000_s1526;mso-column-margin:5.7pt" inset="2.85pt,2.85pt,2.85pt,2.85pt">
              <w:txbxContent>
                <w:p w:rsidR="008B0D4A" w:rsidRPr="008723AE"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Δείκτες Κεφαλαιακής Επάρκειας</w:t>
                  </w:r>
                </w:p>
                <w:p w:rsidR="008B0D4A" w:rsidRPr="00BF7659" w:rsidRDefault="008B0D4A" w:rsidP="008723AE">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w:t>
                  </w:r>
                  <w:r w:rsidRPr="00BF7659">
                    <w:rPr>
                      <w:rFonts w:ascii="Arial" w:hAnsi="Arial" w:cs="Arial"/>
                      <w:b/>
                      <w:bCs/>
                      <w:color w:val="000066"/>
                      <w:sz w:val="14"/>
                      <w:szCs w:val="14"/>
                    </w:rPr>
                    <w:t>)</w:t>
                  </w:r>
                </w:p>
                <w:p w:rsidR="008B0D4A" w:rsidRPr="002965F3" w:rsidRDefault="008B0D4A" w:rsidP="008723AE">
                  <w:pPr>
                    <w:pStyle w:val="msoaccenttext5"/>
                    <w:widowControl w:val="0"/>
                    <w:jc w:val="center"/>
                    <w:rPr>
                      <w:rFonts w:ascii="Arial" w:hAnsi="Arial" w:cs="Arial"/>
                      <w:b/>
                      <w:bCs/>
                      <w:color w:val="000066"/>
                      <w:sz w:val="14"/>
                      <w:szCs w:val="14"/>
                    </w:rPr>
                  </w:pPr>
                </w:p>
                <w:p w:rsidR="008B0D4A" w:rsidRPr="00F323F1" w:rsidRDefault="008B0D4A" w:rsidP="008723AE">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roundrect id="_x0000_s1527" style="position:absolute;left:0;text-align:left;margin-left:266.35pt;margin-top:9.35pt;width:174pt;height:163.7pt;z-index:-11;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noProof/>
          <w:color w:val="000080"/>
          <w:sz w:val="18"/>
          <w:szCs w:val="18"/>
        </w:rPr>
        <w:pict>
          <v:roundrect id="_x0000_s1540" style="position:absolute;left:0;text-align:left;margin-left:59.6pt;margin-top:182.55pt;width:174pt;height:163.7pt;z-index:-5;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noProof/>
          <w:color w:val="000080"/>
          <w:sz w:val="18"/>
          <w:szCs w:val="18"/>
        </w:rPr>
        <w:pict>
          <v:rect id="_x0000_s1541" style="position:absolute;left:0;text-align:left;margin-left:82pt;margin-top:197.65pt;width:140.1pt;height:161.6pt;z-index:25" o:preferrelative="t" filled="f" stroked="f" insetpen="t" o:cliptowrap="t">
            <v:imagedata r:id="rId15" o:title=""/>
            <v:path o:extrusionok="f"/>
            <o:lock v:ext="edit" aspectratio="t"/>
          </v:rect>
          <o:OLEObject Type="Embed" ProgID="MSGraph.Chart.8" ShapeID="_x0000_s1541" DrawAspect="Content" ObjectID="_1660487709" r:id="rId16"/>
        </w:pict>
      </w:r>
      <w:r>
        <w:rPr>
          <w:rFonts w:ascii="Arial" w:hAnsi="Arial" w:cs="Arial"/>
          <w:noProof/>
          <w:color w:val="000080"/>
          <w:sz w:val="18"/>
          <w:szCs w:val="18"/>
        </w:rPr>
        <w:pict>
          <v:roundrect id="_x0000_s1537" style="position:absolute;left:0;text-align:left;margin-left:267.55pt;margin-top:182pt;width:174pt;height:163.7pt;z-index:-8;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noProof/>
          <w:color w:val="000080"/>
          <w:sz w:val="18"/>
          <w:szCs w:val="18"/>
        </w:rPr>
        <w:pict>
          <v:shape id="_x0000_s1539" type="#_x0000_t202" style="position:absolute;left:0;text-align:left;margin-left:271.9pt;margin-top:185.35pt;width:162pt;height:29.8pt;z-index:23;visibility:visible;mso-wrap-edited:f;mso-wrap-distance-left:2.88pt;mso-wrap-distance-top:2.88pt;mso-wrap-distance-right:2.88pt;mso-wrap-distance-bottom:2.88pt" filled="f" stroked="f" strokeweight="0" insetpen="t" o:cliptowrap="t">
            <v:shadow color="#ccc"/>
            <o:lock v:ext="edit" shapetype="t"/>
            <v:textbox style="mso-next-textbox:#_x0000_s1539;mso-column-margin:5.7pt" inset="2.85pt,2.85pt,2.85pt,2.85pt">
              <w:txbxContent>
                <w:p w:rsidR="008B0D4A" w:rsidRPr="008723AE" w:rsidRDefault="008B0D4A" w:rsidP="006B1DD8">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 xml:space="preserve">Δείκτης Κάλυψης </w:t>
                  </w:r>
                  <w:r>
                    <w:rPr>
                      <w:rFonts w:ascii="Arial" w:hAnsi="Arial" w:cs="Arial"/>
                      <w:b/>
                      <w:bCs/>
                      <w:color w:val="000066"/>
                      <w:sz w:val="14"/>
                      <w:szCs w:val="14"/>
                      <w:lang w:val="en-US"/>
                    </w:rPr>
                    <w:t>NPEs</w:t>
                  </w:r>
                </w:p>
                <w:p w:rsidR="008B0D4A" w:rsidRPr="00BF7659" w:rsidRDefault="008B0D4A" w:rsidP="006B1DD8">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w:t>
                  </w:r>
                  <w:r w:rsidRPr="00BF7659">
                    <w:rPr>
                      <w:rFonts w:ascii="Arial" w:hAnsi="Arial" w:cs="Arial"/>
                      <w:b/>
                      <w:bCs/>
                      <w:color w:val="000066"/>
                      <w:sz w:val="14"/>
                      <w:szCs w:val="14"/>
                    </w:rPr>
                    <w:t>)</w:t>
                  </w:r>
                </w:p>
                <w:p w:rsidR="008B0D4A" w:rsidRPr="002965F3" w:rsidRDefault="008B0D4A" w:rsidP="006B1DD8">
                  <w:pPr>
                    <w:pStyle w:val="msoaccenttext5"/>
                    <w:widowControl w:val="0"/>
                    <w:jc w:val="center"/>
                    <w:rPr>
                      <w:rFonts w:ascii="Arial" w:hAnsi="Arial" w:cs="Arial"/>
                      <w:b/>
                      <w:bCs/>
                      <w:color w:val="000066"/>
                      <w:sz w:val="14"/>
                      <w:szCs w:val="14"/>
                    </w:rPr>
                  </w:pPr>
                </w:p>
                <w:p w:rsidR="008B0D4A" w:rsidRPr="00F323F1" w:rsidRDefault="008B0D4A" w:rsidP="006B1DD8">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shape id="_x0000_s1542" type="#_x0000_t202" style="position:absolute;left:0;text-align:left;margin-left:64.4pt;margin-top:187.25pt;width:162pt;height:29.8pt;z-index:26;visibility:visible;mso-wrap-edited:f;mso-wrap-distance-left:2.88pt;mso-wrap-distance-top:2.88pt;mso-wrap-distance-right:2.88pt;mso-wrap-distance-bottom:2.88pt" filled="f" stroked="f" strokeweight="0" insetpen="t" o:cliptowrap="t">
            <v:shadow color="#ccc"/>
            <o:lock v:ext="edit" shapetype="t"/>
            <v:textbox style="mso-next-textbox:#_x0000_s1542;mso-column-margin:5.7pt" inset="2.85pt,2.85pt,2.85pt,2.85pt">
              <w:txbxContent>
                <w:p w:rsidR="008B0D4A" w:rsidRPr="008723AE" w:rsidRDefault="008B0D4A" w:rsidP="00043870">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Δάνεια/Καταθέσεις</w:t>
                  </w:r>
                </w:p>
                <w:p w:rsidR="008B0D4A" w:rsidRPr="00BF7659" w:rsidRDefault="008B0D4A" w:rsidP="00043870">
                  <w:pPr>
                    <w:pStyle w:val="msoaccenttext5"/>
                    <w:widowControl w:val="0"/>
                    <w:jc w:val="center"/>
                    <w:rPr>
                      <w:rFonts w:ascii="Arial" w:hAnsi="Arial" w:cs="Arial"/>
                      <w:b/>
                      <w:bCs/>
                      <w:color w:val="000066"/>
                      <w:sz w:val="14"/>
                      <w:szCs w:val="14"/>
                    </w:rPr>
                  </w:pPr>
                  <w:r>
                    <w:rPr>
                      <w:rFonts w:ascii="Arial" w:hAnsi="Arial" w:cs="Arial"/>
                      <w:b/>
                      <w:bCs/>
                      <w:color w:val="000066"/>
                      <w:sz w:val="14"/>
                      <w:szCs w:val="14"/>
                    </w:rPr>
                    <w:t>(%</w:t>
                  </w:r>
                  <w:r w:rsidRPr="00BF7659">
                    <w:rPr>
                      <w:rFonts w:ascii="Arial" w:hAnsi="Arial" w:cs="Arial"/>
                      <w:b/>
                      <w:bCs/>
                      <w:color w:val="000066"/>
                      <w:sz w:val="14"/>
                      <w:szCs w:val="14"/>
                    </w:rPr>
                    <w:t>)</w:t>
                  </w:r>
                </w:p>
                <w:p w:rsidR="008B0D4A" w:rsidRPr="002965F3" w:rsidRDefault="008B0D4A" w:rsidP="00043870">
                  <w:pPr>
                    <w:pStyle w:val="msoaccenttext5"/>
                    <w:widowControl w:val="0"/>
                    <w:jc w:val="center"/>
                    <w:rPr>
                      <w:rFonts w:ascii="Arial" w:hAnsi="Arial" w:cs="Arial"/>
                      <w:b/>
                      <w:bCs/>
                      <w:color w:val="000066"/>
                      <w:sz w:val="14"/>
                      <w:szCs w:val="14"/>
                    </w:rPr>
                  </w:pPr>
                </w:p>
                <w:p w:rsidR="008B0D4A" w:rsidRPr="00F323F1" w:rsidRDefault="008B0D4A" w:rsidP="00043870">
                  <w:pPr>
                    <w:pStyle w:val="msoaccenttext5"/>
                    <w:widowControl w:val="0"/>
                    <w:jc w:val="center"/>
                    <w:rPr>
                      <w:rFonts w:ascii="Arial" w:hAnsi="Arial" w:cs="Arial"/>
                      <w:b/>
                      <w:bCs/>
                      <w:color w:val="000066"/>
                      <w:sz w:val="14"/>
                      <w:szCs w:val="14"/>
                    </w:rPr>
                  </w:pPr>
                  <w:r w:rsidRPr="00F323F1">
                    <w:rPr>
                      <w:rFonts w:ascii="Arial" w:hAnsi="Arial" w:cs="Arial"/>
                      <w:b/>
                      <w:bCs/>
                      <w:color w:val="000066"/>
                      <w:sz w:val="14"/>
                      <w:szCs w:val="14"/>
                    </w:rPr>
                    <w:t>(€εκ.)</w:t>
                  </w:r>
                </w:p>
              </w:txbxContent>
            </v:textbox>
          </v:shape>
        </w:pict>
      </w:r>
      <w:r>
        <w:rPr>
          <w:rFonts w:ascii="Arial" w:hAnsi="Arial" w:cs="Arial"/>
          <w:noProof/>
          <w:color w:val="000080"/>
          <w:sz w:val="18"/>
          <w:szCs w:val="18"/>
        </w:rPr>
        <w:pict>
          <v:roundrect id="_x0000_s1524" style="position:absolute;left:0;text-align:left;margin-left:58.35pt;margin-top:8.3pt;width:174pt;height:163.7pt;z-index:-14;visibility:visible;mso-wrap-distance-left:2.88pt;mso-wrap-distance-top:2.88pt;mso-wrap-distance-right:2.88pt;mso-wrap-distance-bottom:2.88pt" arcsize="5607f" fillcolor="#dfe4e9" stroked="f" strokecolor="#006" insetpen="t" o:cliptowrap="t">
            <v:shadow color="#ccc"/>
            <o:lock v:ext="edit" shapetype="t"/>
            <v:textbox inset="2.88pt,2.88pt,2.88pt,2.88pt"/>
          </v:roundrect>
        </w:pict>
      </w:r>
      <w:r>
        <w:rPr>
          <w:rFonts w:ascii="Arial" w:hAnsi="Arial" w:cs="Arial"/>
          <w:noProof/>
          <w:color w:val="000080"/>
          <w:sz w:val="18"/>
          <w:szCs w:val="18"/>
        </w:rPr>
        <w:pict>
          <v:rect id="_x0000_s1528" style="position:absolute;left:0;text-align:left;margin-left:288.3pt;margin-top:25.8pt;width:140.3pt;height:160.85pt;z-index:19" o:preferrelative="t" filled="f" stroked="f" insetpen="t" o:cliptowrap="t">
            <v:imagedata r:id="rId17" o:title=""/>
            <v:path o:extrusionok="f"/>
            <o:lock v:ext="edit" aspectratio="t"/>
          </v:rect>
          <o:OLEObject Type="Embed" ProgID="MSGraph.Chart.8" ShapeID="_x0000_s1528" DrawAspect="Content" ObjectID="_1660487710" r:id="rId18"/>
        </w:pict>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076A80" w:rsidP="00076A80">
      <w:pPr>
        <w:tabs>
          <w:tab w:val="left" w:pos="1339"/>
        </w:tabs>
        <w:autoSpaceDE w:val="0"/>
        <w:autoSpaceDN w:val="0"/>
        <w:adjustRightInd w:val="0"/>
        <w:spacing w:line="360" w:lineRule="auto"/>
        <w:jc w:val="both"/>
        <w:rPr>
          <w:rFonts w:ascii="Arial" w:hAnsi="Arial" w:cs="Arial"/>
          <w:color w:val="000080"/>
          <w:sz w:val="18"/>
          <w:szCs w:val="18"/>
        </w:rPr>
      </w:pPr>
      <w:r>
        <w:rPr>
          <w:rFonts w:ascii="Arial" w:hAnsi="Arial" w:cs="Arial"/>
          <w:color w:val="000080"/>
          <w:sz w:val="18"/>
          <w:szCs w:val="18"/>
        </w:rPr>
        <w:tab/>
      </w:r>
    </w:p>
    <w:p w:rsidR="00287942" w:rsidRDefault="008723AE" w:rsidP="008723AE">
      <w:pPr>
        <w:tabs>
          <w:tab w:val="left" w:pos="7971"/>
        </w:tabs>
        <w:autoSpaceDE w:val="0"/>
        <w:autoSpaceDN w:val="0"/>
        <w:adjustRightInd w:val="0"/>
        <w:spacing w:line="360" w:lineRule="auto"/>
        <w:jc w:val="both"/>
        <w:rPr>
          <w:rFonts w:ascii="Arial" w:hAnsi="Arial" w:cs="Arial"/>
          <w:color w:val="000080"/>
          <w:sz w:val="18"/>
          <w:szCs w:val="18"/>
        </w:rPr>
      </w:pPr>
      <w:r>
        <w:rPr>
          <w:rFonts w:ascii="Arial" w:hAnsi="Arial" w:cs="Arial"/>
          <w:color w:val="000080"/>
          <w:sz w:val="18"/>
          <w:szCs w:val="18"/>
        </w:rPr>
        <w:tab/>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6B1DD8" w:rsidP="00B7589C">
      <w:pPr>
        <w:tabs>
          <w:tab w:val="right" w:pos="8832"/>
        </w:tabs>
        <w:autoSpaceDE w:val="0"/>
        <w:autoSpaceDN w:val="0"/>
        <w:adjustRightInd w:val="0"/>
        <w:spacing w:line="360" w:lineRule="auto"/>
        <w:jc w:val="both"/>
        <w:rPr>
          <w:rFonts w:ascii="Arial" w:hAnsi="Arial" w:cs="Arial"/>
          <w:color w:val="000080"/>
          <w:sz w:val="18"/>
          <w:szCs w:val="18"/>
        </w:rPr>
      </w:pPr>
      <w:r>
        <w:rPr>
          <w:rFonts w:ascii="Arial" w:hAnsi="Arial" w:cs="Arial"/>
          <w:noProof/>
          <w:color w:val="000080"/>
          <w:sz w:val="18"/>
          <w:szCs w:val="18"/>
        </w:rPr>
        <w:pict>
          <v:rect id="_x0000_s1538" style="position:absolute;left:0;text-align:left;margin-left:289.5pt;margin-top:12.2pt;width:140.3pt;height:160.85pt;z-index:22" o:preferrelative="t" filled="f" stroked="f" insetpen="t" o:cliptowrap="t">
            <v:imagedata r:id="rId19" o:title=""/>
            <v:path o:extrusionok="f"/>
            <o:lock v:ext="edit" aspectratio="t"/>
          </v:rect>
          <o:OLEObject Type="Embed" ProgID="MSGraph.Chart.8" ShapeID="_x0000_s1538" DrawAspect="Content" ObjectID="_1660487711" r:id="rId20"/>
        </w:pict>
      </w:r>
      <w:r w:rsidR="00B7589C">
        <w:rPr>
          <w:rFonts w:ascii="Arial" w:hAnsi="Arial" w:cs="Arial"/>
          <w:color w:val="000080"/>
          <w:sz w:val="18"/>
          <w:szCs w:val="18"/>
        </w:rPr>
        <w:tab/>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287942" w:rsidRDefault="006B1DD8" w:rsidP="006B1DD8">
      <w:pPr>
        <w:tabs>
          <w:tab w:val="left" w:pos="1327"/>
        </w:tabs>
        <w:autoSpaceDE w:val="0"/>
        <w:autoSpaceDN w:val="0"/>
        <w:adjustRightInd w:val="0"/>
        <w:spacing w:line="360" w:lineRule="auto"/>
        <w:jc w:val="both"/>
        <w:rPr>
          <w:rFonts w:ascii="Arial" w:hAnsi="Arial" w:cs="Arial"/>
          <w:color w:val="000080"/>
          <w:sz w:val="18"/>
          <w:szCs w:val="18"/>
        </w:rPr>
      </w:pPr>
      <w:r>
        <w:rPr>
          <w:rFonts w:ascii="Arial" w:hAnsi="Arial" w:cs="Arial"/>
          <w:color w:val="000080"/>
          <w:sz w:val="18"/>
          <w:szCs w:val="18"/>
        </w:rPr>
        <w:tab/>
      </w:r>
    </w:p>
    <w:p w:rsidR="00287942" w:rsidRDefault="00287942"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AD316C" w:rsidRDefault="00AD316C" w:rsidP="00AB01D8">
      <w:pPr>
        <w:autoSpaceDE w:val="0"/>
        <w:autoSpaceDN w:val="0"/>
        <w:adjustRightInd w:val="0"/>
        <w:spacing w:line="360" w:lineRule="auto"/>
        <w:jc w:val="both"/>
        <w:rPr>
          <w:rFonts w:ascii="Arial" w:hAnsi="Arial" w:cs="Arial"/>
          <w:color w:val="000080"/>
          <w:sz w:val="18"/>
          <w:szCs w:val="18"/>
        </w:rPr>
      </w:pPr>
    </w:p>
    <w:p w:rsidR="00103634" w:rsidRDefault="00103634"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2423AA" w:rsidRDefault="002423AA" w:rsidP="00AB01D8">
      <w:pPr>
        <w:autoSpaceDE w:val="0"/>
        <w:autoSpaceDN w:val="0"/>
        <w:adjustRightInd w:val="0"/>
        <w:spacing w:line="360" w:lineRule="auto"/>
        <w:jc w:val="both"/>
        <w:rPr>
          <w:rFonts w:ascii="Arial" w:hAnsi="Arial" w:cs="Arial"/>
          <w:color w:val="000080"/>
          <w:sz w:val="18"/>
          <w:szCs w:val="18"/>
        </w:rPr>
      </w:pPr>
    </w:p>
    <w:p w:rsidR="00F40322" w:rsidRDefault="00291A1A" w:rsidP="005009A5">
      <w:pPr>
        <w:autoSpaceDE w:val="0"/>
        <w:autoSpaceDN w:val="0"/>
        <w:adjustRightInd w:val="0"/>
        <w:spacing w:line="360" w:lineRule="auto"/>
        <w:jc w:val="both"/>
        <w:rPr>
          <w:rFonts w:ascii="Arial" w:hAnsi="Arial" w:cs="Arial"/>
          <w:color w:val="000080"/>
          <w:sz w:val="18"/>
          <w:szCs w:val="18"/>
        </w:rPr>
      </w:pPr>
      <w:r>
        <w:rPr>
          <w:noProof/>
        </w:rPr>
        <w:lastRenderedPageBreak/>
        <w:pict>
          <v:rect id="_x0000_s1546" style="position:absolute;left:0;text-align:left;margin-left:-40.6pt;margin-top:7.4pt;width:484.7pt;height:30.15pt;z-index:27" fillcolor="navy">
            <v:textbox style="mso-next-textbox:#_x0000_s1546">
              <w:txbxContent>
                <w:p w:rsidR="00AC5584" w:rsidRPr="009F2F4C" w:rsidRDefault="00AC5584" w:rsidP="00AC5584">
                  <w:pPr>
                    <w:pStyle w:val="msotitle2"/>
                    <w:widowControl w:val="0"/>
                    <w:ind w:left="-540"/>
                  </w:pPr>
                  <w:r>
                    <w:rPr>
                      <w:rFonts w:ascii="Arial" w:hAnsi="Arial" w:cs="Arial"/>
                      <w:color w:val="000066"/>
                      <w:sz w:val="40"/>
                      <w:szCs w:val="40"/>
                    </w:rPr>
                    <w:t xml:space="preserve">Α  </w:t>
                  </w:r>
                  <w:r w:rsidRPr="008E028C">
                    <w:rPr>
                      <w:rFonts w:ascii="Arial" w:hAnsi="Arial" w:cs="Arial"/>
                      <w:color w:val="FFFFFF"/>
                      <w:sz w:val="32"/>
                      <w:szCs w:val="32"/>
                    </w:rPr>
                    <w:t xml:space="preserve">Οικονομικά </w:t>
                  </w:r>
                  <w:r>
                    <w:rPr>
                      <w:rFonts w:ascii="Arial" w:hAnsi="Arial" w:cs="Arial"/>
                      <w:color w:val="FFFFFF"/>
                      <w:sz w:val="32"/>
                      <w:szCs w:val="32"/>
                    </w:rPr>
                    <w:t>Στοιχεία</w:t>
                  </w:r>
                  <w:r w:rsidRPr="008E028C">
                    <w:rPr>
                      <w:rFonts w:ascii="Arial" w:hAnsi="Arial" w:cs="Arial"/>
                      <w:color w:val="FFFFFF"/>
                      <w:sz w:val="32"/>
                      <w:szCs w:val="32"/>
                    </w:rPr>
                    <w:t xml:space="preserve"> </w:t>
                  </w:r>
                  <w:r>
                    <w:rPr>
                      <w:rFonts w:ascii="Arial" w:hAnsi="Arial" w:cs="Arial"/>
                      <w:color w:val="FFFFFF"/>
                      <w:sz w:val="32"/>
                      <w:szCs w:val="32"/>
                      <w:lang w:val="en-US"/>
                    </w:rPr>
                    <w:t>Eurobank</w:t>
                  </w:r>
                  <w:r w:rsidR="007F4568">
                    <w:rPr>
                      <w:rFonts w:ascii="Arial" w:hAnsi="Arial" w:cs="Arial"/>
                      <w:color w:val="FFFFFF"/>
                      <w:sz w:val="32"/>
                      <w:szCs w:val="32"/>
                      <w:lang w:val="en-US"/>
                    </w:rPr>
                    <w:t xml:space="preserve"> Holdings</w:t>
                  </w:r>
                </w:p>
              </w:txbxContent>
            </v:textbox>
          </v:rect>
        </w:pict>
      </w:r>
      <w:r w:rsidR="00F40322">
        <w:rPr>
          <w:rFonts w:ascii="Arial" w:hAnsi="Arial" w:cs="Arial"/>
          <w:color w:val="000080"/>
          <w:sz w:val="18"/>
          <w:szCs w:val="18"/>
        </w:rPr>
        <w:t xml:space="preserve">                                                                                                         </w:t>
      </w:r>
    </w:p>
    <w:p w:rsidR="00F40322" w:rsidRPr="004264F9" w:rsidRDefault="00F40322" w:rsidP="00F40322">
      <w:pPr>
        <w:tabs>
          <w:tab w:val="left" w:pos="7200"/>
        </w:tabs>
        <w:spacing w:line="360" w:lineRule="auto"/>
        <w:ind w:right="-688"/>
        <w:jc w:val="both"/>
        <w:rPr>
          <w:rFonts w:ascii="Arial" w:hAnsi="Arial" w:cs="Arial"/>
          <w:color w:val="000080"/>
          <w:sz w:val="18"/>
          <w:szCs w:val="18"/>
        </w:rPr>
      </w:pPr>
    </w:p>
    <w:p w:rsidR="00F40322" w:rsidRPr="003D3383" w:rsidRDefault="00F40322" w:rsidP="00F40322">
      <w:pPr>
        <w:widowControl w:val="0"/>
        <w:rPr>
          <w:color w:val="auto"/>
          <w:kern w:val="0"/>
          <w:sz w:val="22"/>
          <w:szCs w:val="22"/>
        </w:rPr>
      </w:pPr>
      <w:r>
        <w:rPr>
          <w:noProof/>
        </w:rPr>
        <w:pict>
          <v:roundrect id="_x0000_s1064" style="position:absolute;margin-left:-43pt;margin-top:10.5pt;width:495.9pt;height:229pt;z-index:-23;visibility:visible;mso-wrap-edited:f;mso-wrap-distance-left:2.88pt;mso-wrap-distance-top:2.88pt;mso-wrap-distance-right:2.88pt;mso-wrap-distance-bottom:2.88pt" arcsize="3468f" fillcolor="#f1f3f5" strokecolor="#006" strokeweight="2pt" insetpen="t" o:cliptowrap="t">
            <v:shadow color="#ccc"/>
            <o:lock v:ext="edit" shapetype="t"/>
            <v:textbox inset="2.88pt,2.88pt,2.88pt,2.88pt"/>
          </v:roundrect>
        </w:pict>
      </w:r>
    </w:p>
    <w:tbl>
      <w:tblPr>
        <w:tblW w:w="9651" w:type="dxa"/>
        <w:tblInd w:w="-662" w:type="dxa"/>
        <w:tblBorders>
          <w:top w:val="single" w:sz="4" w:space="0" w:color="003366"/>
          <w:bottom w:val="single" w:sz="4" w:space="0" w:color="003366"/>
          <w:right w:val="single" w:sz="4" w:space="0" w:color="003366"/>
          <w:insideH w:val="single" w:sz="4" w:space="0" w:color="003366"/>
          <w:insideV w:val="single" w:sz="4" w:space="0" w:color="003366"/>
        </w:tblBorders>
        <w:tblLayout w:type="fixed"/>
        <w:tblCellMar>
          <w:left w:w="0" w:type="dxa"/>
          <w:right w:w="0" w:type="dxa"/>
        </w:tblCellMar>
        <w:tblLook w:val="0000"/>
      </w:tblPr>
      <w:tblGrid>
        <w:gridCol w:w="4264"/>
        <w:gridCol w:w="1985"/>
        <w:gridCol w:w="1701"/>
        <w:gridCol w:w="1701"/>
      </w:tblGrid>
      <w:tr w:rsidR="00294A2E" w:rsidRPr="002A1856" w:rsidTr="00E245DA">
        <w:trPr>
          <w:trHeight w:hRule="exact" w:val="619"/>
        </w:trPr>
        <w:tc>
          <w:tcPr>
            <w:tcW w:w="4264" w:type="dxa"/>
            <w:shd w:val="clear" w:color="auto" w:fill="F1F3F5"/>
            <w:tcMar>
              <w:top w:w="58" w:type="dxa"/>
              <w:left w:w="58" w:type="dxa"/>
              <w:bottom w:w="58" w:type="dxa"/>
              <w:right w:w="58" w:type="dxa"/>
            </w:tcMar>
            <w:vAlign w:val="center"/>
          </w:tcPr>
          <w:p w:rsidR="00294A2E" w:rsidRPr="00B915BB" w:rsidRDefault="00294A2E" w:rsidP="0097700A">
            <w:pPr>
              <w:widowControl w:val="0"/>
              <w:rPr>
                <w:rFonts w:ascii="Arial" w:hAnsi="Arial" w:cs="Arial"/>
                <w:b/>
                <w:bCs/>
                <w:color w:val="800000"/>
                <w:sz w:val="16"/>
                <w:szCs w:val="16"/>
              </w:rPr>
            </w:pPr>
          </w:p>
          <w:p w:rsidR="00294A2E" w:rsidRPr="00B915BB" w:rsidRDefault="00294A2E" w:rsidP="0097700A">
            <w:pPr>
              <w:widowControl w:val="0"/>
              <w:rPr>
                <w:rFonts w:ascii="Arial" w:hAnsi="Arial" w:cs="Arial"/>
                <w:b/>
                <w:bCs/>
                <w:color w:val="800000"/>
                <w:sz w:val="16"/>
                <w:szCs w:val="16"/>
              </w:rPr>
            </w:pPr>
            <w:r w:rsidRPr="00B915BB">
              <w:rPr>
                <w:rFonts w:ascii="Arial" w:hAnsi="Arial" w:cs="Arial"/>
                <w:b/>
                <w:bCs/>
                <w:color w:val="800000"/>
                <w:sz w:val="16"/>
                <w:szCs w:val="16"/>
              </w:rPr>
              <w:t>Βασικά Οικονομικά Μεγέθη</w:t>
            </w:r>
            <w:r w:rsidR="003C5B45">
              <w:rPr>
                <w:rStyle w:val="a7"/>
                <w:rFonts w:ascii="Arial" w:hAnsi="Arial" w:cs="Arial"/>
                <w:b/>
                <w:bCs/>
                <w:color w:val="800000"/>
                <w:sz w:val="16"/>
                <w:szCs w:val="16"/>
              </w:rPr>
              <w:footnoteReference w:id="6"/>
            </w:r>
          </w:p>
        </w:tc>
        <w:tc>
          <w:tcPr>
            <w:tcW w:w="1985" w:type="dxa"/>
            <w:shd w:val="clear" w:color="auto" w:fill="F1F3F5"/>
            <w:vAlign w:val="center"/>
          </w:tcPr>
          <w:p w:rsidR="00294A2E" w:rsidRPr="00C75F4A" w:rsidRDefault="008B0D4A" w:rsidP="00354963">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354963">
              <w:rPr>
                <w:rFonts w:ascii="Arial" w:hAnsi="Arial" w:cs="Arial"/>
                <w:b/>
                <w:bCs/>
                <w:color w:val="800000"/>
                <w:sz w:val="16"/>
                <w:szCs w:val="16"/>
              </w:rPr>
              <w:t>Εξά</w:t>
            </w:r>
            <w:r>
              <w:rPr>
                <w:rFonts w:ascii="Arial" w:hAnsi="Arial" w:cs="Arial"/>
                <w:b/>
                <w:bCs/>
                <w:color w:val="800000"/>
                <w:sz w:val="16"/>
                <w:szCs w:val="16"/>
              </w:rPr>
              <w:t xml:space="preserve">μηνο </w:t>
            </w:r>
            <w:r w:rsidR="00294A2E">
              <w:rPr>
                <w:rFonts w:ascii="Arial" w:hAnsi="Arial" w:cs="Arial"/>
                <w:b/>
                <w:bCs/>
                <w:color w:val="800000"/>
                <w:sz w:val="16"/>
                <w:szCs w:val="16"/>
              </w:rPr>
              <w:t>20</w:t>
            </w:r>
            <w:r>
              <w:rPr>
                <w:rFonts w:ascii="Arial" w:hAnsi="Arial" w:cs="Arial"/>
                <w:b/>
                <w:bCs/>
                <w:color w:val="800000"/>
                <w:sz w:val="16"/>
                <w:szCs w:val="16"/>
              </w:rPr>
              <w:t>20</w:t>
            </w:r>
          </w:p>
        </w:tc>
        <w:tc>
          <w:tcPr>
            <w:tcW w:w="1701" w:type="dxa"/>
            <w:shd w:val="clear" w:color="auto" w:fill="F1F3F5"/>
            <w:vAlign w:val="center"/>
          </w:tcPr>
          <w:p w:rsidR="00294A2E" w:rsidRDefault="008B0D4A" w:rsidP="00354963">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354963">
              <w:rPr>
                <w:rFonts w:ascii="Arial" w:hAnsi="Arial" w:cs="Arial"/>
                <w:b/>
                <w:bCs/>
                <w:color w:val="800000"/>
                <w:sz w:val="16"/>
                <w:szCs w:val="16"/>
              </w:rPr>
              <w:t>Εξά</w:t>
            </w:r>
            <w:r>
              <w:rPr>
                <w:rFonts w:ascii="Arial" w:hAnsi="Arial" w:cs="Arial"/>
                <w:b/>
                <w:bCs/>
                <w:color w:val="800000"/>
                <w:sz w:val="16"/>
                <w:szCs w:val="16"/>
              </w:rPr>
              <w:t>μηνο 2019</w:t>
            </w:r>
          </w:p>
        </w:tc>
        <w:tc>
          <w:tcPr>
            <w:tcW w:w="1701" w:type="dxa"/>
            <w:shd w:val="clear" w:color="auto" w:fill="F1F3F5"/>
            <w:vAlign w:val="center"/>
          </w:tcPr>
          <w:p w:rsidR="00294A2E" w:rsidRDefault="00294A2E" w:rsidP="0097700A">
            <w:pPr>
              <w:widowControl w:val="0"/>
              <w:jc w:val="center"/>
              <w:rPr>
                <w:rFonts w:ascii="Arial" w:hAnsi="Arial" w:cs="Arial"/>
                <w:b/>
                <w:bCs/>
                <w:color w:val="800000"/>
                <w:sz w:val="16"/>
                <w:szCs w:val="16"/>
              </w:rPr>
            </w:pPr>
            <w:r>
              <w:rPr>
                <w:rFonts w:ascii="Arial" w:hAnsi="Arial" w:cs="Arial"/>
                <w:b/>
                <w:bCs/>
                <w:color w:val="800000"/>
                <w:sz w:val="16"/>
                <w:szCs w:val="16"/>
              </w:rPr>
              <w:t>Μεταβολή</w:t>
            </w:r>
          </w:p>
        </w:tc>
      </w:tr>
      <w:tr w:rsidR="008B0D4A" w:rsidRPr="00595343" w:rsidTr="00E245DA">
        <w:trPr>
          <w:trHeight w:hRule="exact" w:val="342"/>
        </w:trPr>
        <w:tc>
          <w:tcPr>
            <w:tcW w:w="4264" w:type="dxa"/>
            <w:shd w:val="clear" w:color="auto" w:fill="F1F3F5"/>
            <w:tcMar>
              <w:top w:w="58" w:type="dxa"/>
              <w:left w:w="58" w:type="dxa"/>
              <w:bottom w:w="58" w:type="dxa"/>
              <w:right w:w="58" w:type="dxa"/>
            </w:tcMar>
            <w:vAlign w:val="center"/>
          </w:tcPr>
          <w:p w:rsidR="008B0D4A" w:rsidRPr="00B915BB" w:rsidRDefault="008B0D4A" w:rsidP="008B0D4A">
            <w:pPr>
              <w:widowControl w:val="0"/>
              <w:rPr>
                <w:rFonts w:ascii="Arial" w:hAnsi="Arial" w:cs="Arial"/>
                <w:color w:val="000066"/>
                <w:sz w:val="16"/>
                <w:szCs w:val="16"/>
              </w:rPr>
            </w:pPr>
            <w:r w:rsidRPr="00B915BB">
              <w:rPr>
                <w:rFonts w:ascii="Arial" w:hAnsi="Arial" w:cs="Arial"/>
                <w:color w:val="000066"/>
                <w:sz w:val="16"/>
                <w:szCs w:val="16"/>
              </w:rPr>
              <w:t>Καθαρά Έσοδα από Τόκους</w:t>
            </w:r>
          </w:p>
        </w:tc>
        <w:tc>
          <w:tcPr>
            <w:tcW w:w="1985" w:type="dxa"/>
            <w:shd w:val="clear" w:color="auto" w:fill="F1F3F5"/>
            <w:vAlign w:val="center"/>
          </w:tcPr>
          <w:p w:rsidR="008B0D4A" w:rsidRPr="00334425" w:rsidRDefault="008B0D4A" w:rsidP="00354963">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689</w:t>
            </w:r>
            <w:r w:rsidRPr="00334425">
              <w:rPr>
                <w:rFonts w:ascii="Arial" w:hAnsi="Arial" w:cs="Arial"/>
                <w:color w:val="000066"/>
                <w:sz w:val="16"/>
                <w:szCs w:val="16"/>
              </w:rPr>
              <w:t>εκ</w:t>
            </w:r>
            <w:r>
              <w:rPr>
                <w:rFonts w:ascii="Arial" w:hAnsi="Arial" w:cs="Arial"/>
                <w:color w:val="000066"/>
                <w:sz w:val="16"/>
                <w:szCs w:val="16"/>
              </w:rPr>
              <w:t>.</w:t>
            </w:r>
          </w:p>
        </w:tc>
        <w:tc>
          <w:tcPr>
            <w:tcW w:w="1701" w:type="dxa"/>
            <w:shd w:val="clear" w:color="auto" w:fill="F1F3F5"/>
            <w:vAlign w:val="center"/>
          </w:tcPr>
          <w:p w:rsidR="008B0D4A" w:rsidRDefault="008B0D4A" w:rsidP="00354963">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685</w:t>
            </w:r>
            <w:r>
              <w:rPr>
                <w:rFonts w:ascii="Arial" w:hAnsi="Arial" w:cs="Arial"/>
                <w:color w:val="000066"/>
                <w:sz w:val="16"/>
                <w:szCs w:val="16"/>
              </w:rPr>
              <w:t>εκ.</w:t>
            </w:r>
          </w:p>
        </w:tc>
        <w:tc>
          <w:tcPr>
            <w:tcW w:w="1701" w:type="dxa"/>
            <w:shd w:val="clear" w:color="auto" w:fill="F1F3F5"/>
            <w:vAlign w:val="center"/>
          </w:tcPr>
          <w:p w:rsidR="008B0D4A" w:rsidRPr="00334425" w:rsidRDefault="00354963" w:rsidP="008B0D4A">
            <w:pPr>
              <w:widowControl w:val="0"/>
              <w:jc w:val="center"/>
              <w:rPr>
                <w:rFonts w:ascii="Arial" w:hAnsi="Arial" w:cs="Arial"/>
                <w:color w:val="000066"/>
                <w:sz w:val="16"/>
                <w:szCs w:val="16"/>
              </w:rPr>
            </w:pPr>
            <w:r>
              <w:rPr>
                <w:rFonts w:ascii="Arial" w:hAnsi="Arial" w:cs="Arial"/>
                <w:color w:val="000066"/>
                <w:sz w:val="16"/>
                <w:szCs w:val="16"/>
              </w:rPr>
              <w:t>0,6</w:t>
            </w:r>
            <w:r w:rsidR="008B0D4A">
              <w:rPr>
                <w:rFonts w:ascii="Arial" w:hAnsi="Arial" w:cs="Arial"/>
                <w:color w:val="000066"/>
                <w:sz w:val="16"/>
                <w:szCs w:val="16"/>
              </w:rPr>
              <w:t>%</w:t>
            </w:r>
          </w:p>
        </w:tc>
      </w:tr>
      <w:tr w:rsidR="008B0D4A" w:rsidRPr="002A1856" w:rsidTr="00E245DA">
        <w:trPr>
          <w:trHeight w:hRule="exact" w:val="294"/>
        </w:trPr>
        <w:tc>
          <w:tcPr>
            <w:tcW w:w="4264" w:type="dxa"/>
            <w:shd w:val="clear" w:color="auto" w:fill="F1F3F5"/>
            <w:tcMar>
              <w:top w:w="58" w:type="dxa"/>
              <w:left w:w="58" w:type="dxa"/>
              <w:bottom w:w="58" w:type="dxa"/>
              <w:right w:w="58" w:type="dxa"/>
            </w:tcMar>
            <w:vAlign w:val="center"/>
          </w:tcPr>
          <w:p w:rsidR="008B0D4A" w:rsidRPr="00B915BB" w:rsidRDefault="008B0D4A" w:rsidP="008B0D4A">
            <w:pPr>
              <w:widowControl w:val="0"/>
              <w:rPr>
                <w:rFonts w:ascii="Arial" w:hAnsi="Arial" w:cs="Arial"/>
                <w:color w:val="000066"/>
                <w:sz w:val="16"/>
                <w:szCs w:val="16"/>
              </w:rPr>
            </w:pPr>
            <w:r w:rsidRPr="00B915BB">
              <w:rPr>
                <w:rFonts w:ascii="Arial" w:hAnsi="Arial" w:cs="Arial"/>
                <w:color w:val="000066"/>
                <w:sz w:val="16"/>
                <w:szCs w:val="16"/>
              </w:rPr>
              <w:t xml:space="preserve">Καθαρά Έσοδα Προμηθειών </w:t>
            </w:r>
          </w:p>
        </w:tc>
        <w:tc>
          <w:tcPr>
            <w:tcW w:w="1985" w:type="dxa"/>
            <w:shd w:val="clear" w:color="auto" w:fill="F1F3F5"/>
            <w:vAlign w:val="center"/>
          </w:tcPr>
          <w:p w:rsidR="008B0D4A" w:rsidRDefault="008B0D4A" w:rsidP="00354963">
            <w:pPr>
              <w:jc w:val="center"/>
            </w:pPr>
            <w:r w:rsidRPr="000C7668">
              <w:rPr>
                <w:rFonts w:ascii="Arial" w:hAnsi="Arial" w:cs="Arial"/>
                <w:color w:val="000066"/>
                <w:sz w:val="16"/>
                <w:szCs w:val="16"/>
              </w:rPr>
              <w:t>€</w:t>
            </w:r>
            <w:r w:rsidR="00354963">
              <w:rPr>
                <w:rFonts w:ascii="Arial" w:hAnsi="Arial" w:cs="Arial"/>
                <w:color w:val="000066"/>
                <w:sz w:val="16"/>
                <w:szCs w:val="16"/>
              </w:rPr>
              <w:t>180</w:t>
            </w:r>
            <w:r w:rsidRPr="000C7668">
              <w:rPr>
                <w:rFonts w:ascii="Arial" w:hAnsi="Arial" w:cs="Arial"/>
                <w:color w:val="000066"/>
                <w:sz w:val="16"/>
                <w:szCs w:val="16"/>
              </w:rPr>
              <w:t>εκ.</w:t>
            </w:r>
          </w:p>
        </w:tc>
        <w:tc>
          <w:tcPr>
            <w:tcW w:w="1701" w:type="dxa"/>
            <w:shd w:val="clear" w:color="auto" w:fill="F1F3F5"/>
            <w:vAlign w:val="center"/>
          </w:tcPr>
          <w:p w:rsidR="008B0D4A" w:rsidRDefault="008B0D4A" w:rsidP="00354963">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15</w:t>
            </w:r>
            <w:r>
              <w:rPr>
                <w:rFonts w:ascii="Arial" w:hAnsi="Arial" w:cs="Arial"/>
                <w:color w:val="000066"/>
                <w:sz w:val="16"/>
                <w:szCs w:val="16"/>
              </w:rPr>
              <w:t>6εκ.</w:t>
            </w:r>
          </w:p>
        </w:tc>
        <w:tc>
          <w:tcPr>
            <w:tcW w:w="1701" w:type="dxa"/>
            <w:shd w:val="clear" w:color="auto" w:fill="F1F3F5"/>
            <w:vAlign w:val="center"/>
          </w:tcPr>
          <w:p w:rsidR="008B0D4A" w:rsidRPr="00374A4E" w:rsidRDefault="00354963" w:rsidP="008B0D4A">
            <w:pPr>
              <w:widowControl w:val="0"/>
              <w:jc w:val="center"/>
              <w:rPr>
                <w:rFonts w:ascii="Arial" w:hAnsi="Arial" w:cs="Arial"/>
                <w:color w:val="000066"/>
                <w:sz w:val="16"/>
                <w:szCs w:val="16"/>
              </w:rPr>
            </w:pPr>
            <w:r>
              <w:rPr>
                <w:rFonts w:ascii="Arial" w:hAnsi="Arial" w:cs="Arial"/>
                <w:color w:val="000066"/>
                <w:sz w:val="16"/>
                <w:szCs w:val="16"/>
              </w:rPr>
              <w:t>15,7</w:t>
            </w:r>
            <w:r w:rsidR="008B0D4A">
              <w:rPr>
                <w:rFonts w:ascii="Arial" w:hAnsi="Arial" w:cs="Arial"/>
                <w:color w:val="000066"/>
                <w:sz w:val="16"/>
                <w:szCs w:val="16"/>
              </w:rPr>
              <w:t>%</w:t>
            </w:r>
          </w:p>
        </w:tc>
      </w:tr>
      <w:tr w:rsidR="008B0D4A" w:rsidRPr="002A1856" w:rsidTr="008B0D4A">
        <w:trPr>
          <w:trHeight w:hRule="exact" w:val="342"/>
        </w:trPr>
        <w:tc>
          <w:tcPr>
            <w:tcW w:w="4264" w:type="dxa"/>
            <w:tcMar>
              <w:top w:w="58" w:type="dxa"/>
              <w:left w:w="58" w:type="dxa"/>
              <w:bottom w:w="58" w:type="dxa"/>
              <w:right w:w="58" w:type="dxa"/>
            </w:tcMar>
            <w:vAlign w:val="center"/>
          </w:tcPr>
          <w:p w:rsidR="008B0D4A" w:rsidRPr="00B915BB" w:rsidRDefault="008B0D4A" w:rsidP="008B0D4A">
            <w:pPr>
              <w:widowControl w:val="0"/>
              <w:rPr>
                <w:rFonts w:ascii="Arial" w:hAnsi="Arial" w:cs="Arial"/>
                <w:color w:val="000080"/>
                <w:sz w:val="16"/>
                <w:szCs w:val="16"/>
              </w:rPr>
            </w:pPr>
            <w:r w:rsidRPr="00B915BB">
              <w:rPr>
                <w:rFonts w:ascii="Arial" w:hAnsi="Arial" w:cs="Arial"/>
                <w:color w:val="000080"/>
                <w:sz w:val="16"/>
                <w:szCs w:val="16"/>
              </w:rPr>
              <w:t>Λειτουργικά Έσοδα</w:t>
            </w:r>
          </w:p>
        </w:tc>
        <w:tc>
          <w:tcPr>
            <w:tcW w:w="1985" w:type="dxa"/>
            <w:shd w:val="clear" w:color="auto" w:fill="F1F3F5"/>
            <w:vAlign w:val="center"/>
          </w:tcPr>
          <w:p w:rsidR="008B0D4A" w:rsidRDefault="008B0D4A" w:rsidP="00354963">
            <w:pPr>
              <w:jc w:val="center"/>
            </w:pPr>
            <w:r w:rsidRPr="000C7668">
              <w:rPr>
                <w:rFonts w:ascii="Arial" w:hAnsi="Arial" w:cs="Arial"/>
                <w:color w:val="000066"/>
                <w:sz w:val="16"/>
                <w:szCs w:val="16"/>
              </w:rPr>
              <w:t>€</w:t>
            </w:r>
            <w:r w:rsidR="00354963">
              <w:rPr>
                <w:rFonts w:ascii="Arial" w:hAnsi="Arial" w:cs="Arial"/>
                <w:color w:val="000066"/>
                <w:sz w:val="16"/>
                <w:szCs w:val="16"/>
              </w:rPr>
              <w:t>935</w:t>
            </w:r>
            <w:r w:rsidRPr="000C7668">
              <w:rPr>
                <w:rFonts w:ascii="Arial" w:hAnsi="Arial" w:cs="Arial"/>
                <w:color w:val="000066"/>
                <w:sz w:val="16"/>
                <w:szCs w:val="16"/>
              </w:rPr>
              <w:t>εκ.</w:t>
            </w:r>
          </w:p>
        </w:tc>
        <w:tc>
          <w:tcPr>
            <w:tcW w:w="1701" w:type="dxa"/>
            <w:shd w:val="clear" w:color="auto" w:fill="F1F3F5"/>
            <w:vAlign w:val="center"/>
          </w:tcPr>
          <w:p w:rsidR="008B0D4A" w:rsidRDefault="008B0D4A" w:rsidP="0038681E">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912</w:t>
            </w:r>
            <w:r>
              <w:rPr>
                <w:rFonts w:ascii="Arial" w:hAnsi="Arial" w:cs="Arial"/>
                <w:color w:val="000066"/>
                <w:sz w:val="16"/>
                <w:szCs w:val="16"/>
              </w:rPr>
              <w:t>εκ.</w:t>
            </w:r>
          </w:p>
        </w:tc>
        <w:tc>
          <w:tcPr>
            <w:tcW w:w="1701" w:type="dxa"/>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2,6</w:t>
            </w:r>
            <w:r w:rsidR="008B0D4A">
              <w:rPr>
                <w:rFonts w:ascii="Arial" w:hAnsi="Arial" w:cs="Arial"/>
                <w:color w:val="000066"/>
                <w:sz w:val="16"/>
                <w:szCs w:val="16"/>
              </w:rPr>
              <w:t>%</w:t>
            </w:r>
          </w:p>
        </w:tc>
      </w:tr>
      <w:tr w:rsidR="008B0D4A" w:rsidRPr="002A1856" w:rsidTr="00E245DA">
        <w:trPr>
          <w:trHeight w:hRule="exact" w:val="342"/>
        </w:trPr>
        <w:tc>
          <w:tcPr>
            <w:tcW w:w="4264" w:type="dxa"/>
            <w:shd w:val="clear" w:color="auto" w:fill="F1F3F5"/>
            <w:tcMar>
              <w:top w:w="58" w:type="dxa"/>
              <w:left w:w="58" w:type="dxa"/>
              <w:bottom w:w="58" w:type="dxa"/>
              <w:right w:w="58" w:type="dxa"/>
            </w:tcMar>
            <w:vAlign w:val="center"/>
          </w:tcPr>
          <w:p w:rsidR="008B0D4A" w:rsidRPr="00CF0B64" w:rsidRDefault="008B0D4A" w:rsidP="008B0D4A">
            <w:pPr>
              <w:widowControl w:val="0"/>
              <w:rPr>
                <w:rFonts w:ascii="Arial" w:hAnsi="Arial" w:cs="Arial"/>
                <w:color w:val="000080"/>
                <w:sz w:val="16"/>
                <w:szCs w:val="16"/>
              </w:rPr>
            </w:pPr>
            <w:r w:rsidRPr="00CF0B64">
              <w:rPr>
                <w:rFonts w:ascii="Arial" w:hAnsi="Arial" w:cs="Arial"/>
                <w:color w:val="000080"/>
                <w:sz w:val="16"/>
                <w:szCs w:val="16"/>
              </w:rPr>
              <w:t>Λειτουργικά Έξοδα</w:t>
            </w:r>
            <w:r>
              <w:rPr>
                <w:rFonts w:ascii="Arial" w:hAnsi="Arial" w:cs="Arial"/>
                <w:color w:val="000080"/>
                <w:sz w:val="16"/>
                <w:szCs w:val="16"/>
              </w:rPr>
              <w:t xml:space="preserve"> </w:t>
            </w:r>
          </w:p>
        </w:tc>
        <w:tc>
          <w:tcPr>
            <w:tcW w:w="1985" w:type="dxa"/>
            <w:shd w:val="clear" w:color="auto" w:fill="F1F3F5"/>
            <w:vAlign w:val="center"/>
          </w:tcPr>
          <w:p w:rsidR="008B0D4A" w:rsidRPr="00294A2E" w:rsidRDefault="008B0D4A" w:rsidP="008B0D4A">
            <w:pPr>
              <w:jc w:val="center"/>
              <w:rPr>
                <w:rFonts w:ascii="Arial" w:hAnsi="Arial" w:cs="Arial"/>
                <w:color w:val="000066"/>
                <w:sz w:val="16"/>
                <w:szCs w:val="16"/>
              </w:rPr>
            </w:pPr>
            <w:r w:rsidRPr="000C7668">
              <w:rPr>
                <w:rFonts w:ascii="Arial" w:hAnsi="Arial" w:cs="Arial"/>
                <w:color w:val="000066"/>
                <w:sz w:val="16"/>
                <w:szCs w:val="16"/>
              </w:rPr>
              <w:t>€</w:t>
            </w:r>
            <w:r w:rsidR="00354963">
              <w:rPr>
                <w:rFonts w:ascii="Arial" w:hAnsi="Arial" w:cs="Arial"/>
                <w:color w:val="000066"/>
                <w:sz w:val="16"/>
                <w:szCs w:val="16"/>
              </w:rPr>
              <w:t>434</w:t>
            </w:r>
            <w:r w:rsidRPr="000C7668">
              <w:rPr>
                <w:rFonts w:ascii="Arial" w:hAnsi="Arial" w:cs="Arial"/>
                <w:color w:val="000066"/>
                <w:sz w:val="16"/>
                <w:szCs w:val="16"/>
              </w:rPr>
              <w:t>εκ.</w:t>
            </w:r>
          </w:p>
        </w:tc>
        <w:tc>
          <w:tcPr>
            <w:tcW w:w="1701" w:type="dxa"/>
            <w:shd w:val="clear" w:color="auto" w:fill="F1F3F5"/>
            <w:vAlign w:val="center"/>
          </w:tcPr>
          <w:p w:rsidR="008B0D4A" w:rsidRDefault="00CA5CDD" w:rsidP="008B0D4A">
            <w:pPr>
              <w:widowControl w:val="0"/>
              <w:jc w:val="center"/>
              <w:rPr>
                <w:rFonts w:ascii="Arial" w:hAnsi="Arial" w:cs="Arial"/>
                <w:color w:val="000066"/>
                <w:sz w:val="16"/>
                <w:szCs w:val="16"/>
              </w:rPr>
            </w:pPr>
            <w:r>
              <w:rPr>
                <w:rFonts w:ascii="Arial" w:hAnsi="Arial" w:cs="Arial"/>
                <w:color w:val="000066"/>
                <w:sz w:val="16"/>
                <w:szCs w:val="16"/>
              </w:rPr>
              <w:t>€438</w:t>
            </w:r>
            <w:r w:rsidR="008B0D4A">
              <w:rPr>
                <w:rFonts w:ascii="Arial" w:hAnsi="Arial" w:cs="Arial"/>
                <w:color w:val="000066"/>
                <w:sz w:val="16"/>
                <w:szCs w:val="16"/>
              </w:rPr>
              <w:t>εκ.</w:t>
            </w:r>
          </w:p>
        </w:tc>
        <w:tc>
          <w:tcPr>
            <w:tcW w:w="1701" w:type="dxa"/>
            <w:shd w:val="clear" w:color="auto" w:fill="F1F3F5"/>
            <w:vAlign w:val="center"/>
          </w:tcPr>
          <w:p w:rsidR="008B0D4A" w:rsidRPr="00294A2E" w:rsidRDefault="00354963" w:rsidP="00354963">
            <w:pPr>
              <w:widowControl w:val="0"/>
              <w:jc w:val="center"/>
              <w:rPr>
                <w:rFonts w:ascii="Arial" w:hAnsi="Arial" w:cs="Arial"/>
                <w:color w:val="000066"/>
                <w:sz w:val="16"/>
                <w:szCs w:val="16"/>
              </w:rPr>
            </w:pPr>
            <w:r>
              <w:rPr>
                <w:rFonts w:ascii="Arial" w:hAnsi="Arial" w:cs="Arial"/>
                <w:color w:val="000066"/>
                <w:sz w:val="16"/>
                <w:szCs w:val="16"/>
              </w:rPr>
              <w:t>-0,8</w:t>
            </w:r>
            <w:r w:rsidR="00913579">
              <w:rPr>
                <w:rFonts w:ascii="Arial" w:hAnsi="Arial" w:cs="Arial"/>
                <w:color w:val="000066"/>
                <w:sz w:val="16"/>
                <w:szCs w:val="16"/>
              </w:rPr>
              <w:t>%</w:t>
            </w:r>
          </w:p>
        </w:tc>
      </w:tr>
      <w:tr w:rsidR="008B0D4A" w:rsidRPr="002A1856" w:rsidTr="00E245DA">
        <w:trPr>
          <w:trHeight w:hRule="exact" w:val="342"/>
        </w:trPr>
        <w:tc>
          <w:tcPr>
            <w:tcW w:w="4264" w:type="dxa"/>
            <w:shd w:val="clear" w:color="auto" w:fill="F1F3F5"/>
            <w:tcMar>
              <w:top w:w="58" w:type="dxa"/>
              <w:left w:w="58" w:type="dxa"/>
              <w:bottom w:w="58" w:type="dxa"/>
              <w:right w:w="58" w:type="dxa"/>
            </w:tcMar>
            <w:vAlign w:val="center"/>
          </w:tcPr>
          <w:p w:rsidR="008B0D4A" w:rsidRDefault="008B0D4A" w:rsidP="008B0D4A">
            <w:pPr>
              <w:widowControl w:val="0"/>
              <w:rPr>
                <w:rFonts w:ascii="Arial" w:hAnsi="Arial" w:cs="Arial"/>
                <w:color w:val="000080"/>
                <w:sz w:val="16"/>
                <w:szCs w:val="16"/>
              </w:rPr>
            </w:pPr>
            <w:r>
              <w:rPr>
                <w:rFonts w:ascii="Arial" w:hAnsi="Arial" w:cs="Arial"/>
                <w:color w:val="000080"/>
                <w:sz w:val="16"/>
                <w:szCs w:val="16"/>
              </w:rPr>
              <w:t>Οργανικά Κέρδη</w:t>
            </w:r>
            <w:r w:rsidRPr="00B915BB">
              <w:rPr>
                <w:rFonts w:ascii="Arial" w:hAnsi="Arial" w:cs="Arial"/>
                <w:color w:val="000080"/>
                <w:sz w:val="16"/>
                <w:szCs w:val="16"/>
              </w:rPr>
              <w:t xml:space="preserve"> προ Προβλέψεων</w:t>
            </w:r>
            <w:r>
              <w:rPr>
                <w:rFonts w:ascii="Arial" w:hAnsi="Arial" w:cs="Arial"/>
                <w:color w:val="000080"/>
                <w:sz w:val="16"/>
                <w:szCs w:val="16"/>
              </w:rPr>
              <w:t xml:space="preserve"> </w:t>
            </w:r>
          </w:p>
        </w:tc>
        <w:tc>
          <w:tcPr>
            <w:tcW w:w="1985" w:type="dxa"/>
            <w:shd w:val="clear" w:color="auto" w:fill="F1F3F5"/>
            <w:vAlign w:val="center"/>
          </w:tcPr>
          <w:p w:rsidR="008B0D4A" w:rsidRPr="00294A2E" w:rsidRDefault="008B0D4A" w:rsidP="00913579">
            <w:pPr>
              <w:jc w:val="center"/>
              <w:rPr>
                <w:rFonts w:ascii="Arial" w:hAnsi="Arial" w:cs="Arial"/>
                <w:color w:val="000066"/>
                <w:sz w:val="16"/>
                <w:szCs w:val="16"/>
              </w:rPr>
            </w:pPr>
            <w:r w:rsidRPr="000C7668">
              <w:rPr>
                <w:rFonts w:ascii="Arial" w:hAnsi="Arial" w:cs="Arial"/>
                <w:color w:val="000066"/>
                <w:sz w:val="16"/>
                <w:szCs w:val="16"/>
              </w:rPr>
              <w:t>€</w:t>
            </w:r>
            <w:r w:rsidR="00354963">
              <w:rPr>
                <w:rFonts w:ascii="Arial" w:hAnsi="Arial" w:cs="Arial"/>
                <w:color w:val="000066"/>
                <w:sz w:val="16"/>
                <w:szCs w:val="16"/>
              </w:rPr>
              <w:t>435</w:t>
            </w:r>
            <w:r w:rsidRPr="000C7668">
              <w:rPr>
                <w:rFonts w:ascii="Arial" w:hAnsi="Arial" w:cs="Arial"/>
                <w:color w:val="000066"/>
                <w:sz w:val="16"/>
                <w:szCs w:val="16"/>
              </w:rPr>
              <w:t>εκ.</w:t>
            </w:r>
          </w:p>
        </w:tc>
        <w:tc>
          <w:tcPr>
            <w:tcW w:w="1701" w:type="dxa"/>
            <w:shd w:val="clear" w:color="auto" w:fill="F1F3F5"/>
            <w:vAlign w:val="center"/>
          </w:tcPr>
          <w:p w:rsidR="008B0D4A" w:rsidRDefault="008B0D4A" w:rsidP="008B0D4A">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403</w:t>
            </w:r>
            <w:r>
              <w:rPr>
                <w:rFonts w:ascii="Arial" w:hAnsi="Arial" w:cs="Arial"/>
                <w:color w:val="000066"/>
                <w:sz w:val="16"/>
                <w:szCs w:val="16"/>
              </w:rPr>
              <w:t>εκ.</w:t>
            </w:r>
          </w:p>
        </w:tc>
        <w:tc>
          <w:tcPr>
            <w:tcW w:w="1701" w:type="dxa"/>
            <w:shd w:val="clear" w:color="auto" w:fill="F1F3F5"/>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8,0</w:t>
            </w:r>
            <w:r w:rsidR="00913579">
              <w:rPr>
                <w:rFonts w:ascii="Arial" w:hAnsi="Arial" w:cs="Arial"/>
                <w:color w:val="000066"/>
                <w:sz w:val="16"/>
                <w:szCs w:val="16"/>
              </w:rPr>
              <w:t>%</w:t>
            </w:r>
          </w:p>
        </w:tc>
      </w:tr>
      <w:tr w:rsidR="008B0D4A" w:rsidRPr="002A1856" w:rsidTr="00E245DA">
        <w:trPr>
          <w:trHeight w:hRule="exact" w:val="342"/>
        </w:trPr>
        <w:tc>
          <w:tcPr>
            <w:tcW w:w="4264" w:type="dxa"/>
            <w:shd w:val="clear" w:color="auto" w:fill="F1F3F5"/>
            <w:tcMar>
              <w:top w:w="58" w:type="dxa"/>
              <w:left w:w="58" w:type="dxa"/>
              <w:bottom w:w="58" w:type="dxa"/>
              <w:right w:w="58" w:type="dxa"/>
            </w:tcMar>
            <w:vAlign w:val="center"/>
          </w:tcPr>
          <w:p w:rsidR="008B0D4A" w:rsidRPr="00CF0B64" w:rsidRDefault="008B0D4A" w:rsidP="008B0D4A">
            <w:pPr>
              <w:widowControl w:val="0"/>
              <w:rPr>
                <w:rFonts w:ascii="Arial" w:hAnsi="Arial" w:cs="Arial"/>
                <w:color w:val="000080"/>
                <w:sz w:val="16"/>
                <w:szCs w:val="16"/>
              </w:rPr>
            </w:pPr>
            <w:r w:rsidRPr="00CF0B64">
              <w:rPr>
                <w:rFonts w:ascii="Arial" w:hAnsi="Arial" w:cs="Arial"/>
                <w:color w:val="000080"/>
                <w:sz w:val="16"/>
                <w:szCs w:val="16"/>
              </w:rPr>
              <w:t xml:space="preserve">Κέρδη προ Προβλέψεων </w:t>
            </w:r>
          </w:p>
        </w:tc>
        <w:tc>
          <w:tcPr>
            <w:tcW w:w="1985" w:type="dxa"/>
            <w:shd w:val="clear" w:color="auto" w:fill="F1F3F5"/>
            <w:vAlign w:val="center"/>
          </w:tcPr>
          <w:p w:rsidR="008B0D4A" w:rsidRPr="00294A2E" w:rsidRDefault="008B0D4A" w:rsidP="008B0D4A">
            <w:pPr>
              <w:jc w:val="center"/>
              <w:rPr>
                <w:rFonts w:ascii="Arial" w:hAnsi="Arial" w:cs="Arial"/>
                <w:color w:val="000066"/>
                <w:sz w:val="16"/>
                <w:szCs w:val="16"/>
              </w:rPr>
            </w:pPr>
            <w:r w:rsidRPr="000C7668">
              <w:rPr>
                <w:rFonts w:ascii="Arial" w:hAnsi="Arial" w:cs="Arial"/>
                <w:color w:val="000066"/>
                <w:sz w:val="16"/>
                <w:szCs w:val="16"/>
              </w:rPr>
              <w:t>€</w:t>
            </w:r>
            <w:r w:rsidR="00354963">
              <w:rPr>
                <w:rFonts w:ascii="Arial" w:hAnsi="Arial" w:cs="Arial"/>
                <w:color w:val="000066"/>
                <w:sz w:val="16"/>
                <w:szCs w:val="16"/>
              </w:rPr>
              <w:t>501</w:t>
            </w:r>
            <w:r w:rsidRPr="000C7668">
              <w:rPr>
                <w:rFonts w:ascii="Arial" w:hAnsi="Arial" w:cs="Arial"/>
                <w:color w:val="000066"/>
                <w:sz w:val="16"/>
                <w:szCs w:val="16"/>
              </w:rPr>
              <w:t>εκ.</w:t>
            </w:r>
          </w:p>
        </w:tc>
        <w:tc>
          <w:tcPr>
            <w:tcW w:w="1701" w:type="dxa"/>
            <w:shd w:val="clear" w:color="auto" w:fill="F1F3F5"/>
            <w:vAlign w:val="center"/>
          </w:tcPr>
          <w:p w:rsidR="008B0D4A" w:rsidRDefault="00354963" w:rsidP="008B0D4A">
            <w:pPr>
              <w:widowControl w:val="0"/>
              <w:jc w:val="center"/>
              <w:rPr>
                <w:rFonts w:ascii="Arial" w:hAnsi="Arial" w:cs="Arial"/>
                <w:color w:val="000066"/>
                <w:sz w:val="16"/>
                <w:szCs w:val="16"/>
              </w:rPr>
            </w:pPr>
            <w:r>
              <w:rPr>
                <w:rFonts w:ascii="Arial" w:hAnsi="Arial" w:cs="Arial"/>
                <w:color w:val="000066"/>
                <w:sz w:val="16"/>
                <w:szCs w:val="16"/>
              </w:rPr>
              <w:t>€474</w:t>
            </w:r>
            <w:r w:rsidR="008B0D4A">
              <w:rPr>
                <w:rFonts w:ascii="Arial" w:hAnsi="Arial" w:cs="Arial"/>
                <w:color w:val="000066"/>
                <w:sz w:val="16"/>
                <w:szCs w:val="16"/>
              </w:rPr>
              <w:t>εκ.</w:t>
            </w:r>
          </w:p>
        </w:tc>
        <w:tc>
          <w:tcPr>
            <w:tcW w:w="1701" w:type="dxa"/>
            <w:shd w:val="clear" w:color="auto" w:fill="F1F3F5"/>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5,7</w:t>
            </w:r>
            <w:r w:rsidR="00913579">
              <w:rPr>
                <w:rFonts w:ascii="Arial" w:hAnsi="Arial" w:cs="Arial"/>
                <w:color w:val="000066"/>
                <w:sz w:val="16"/>
                <w:szCs w:val="16"/>
              </w:rPr>
              <w:t>%</w:t>
            </w:r>
          </w:p>
        </w:tc>
      </w:tr>
      <w:tr w:rsidR="008B0D4A" w:rsidRPr="002A1856" w:rsidTr="00E245DA">
        <w:trPr>
          <w:trHeight w:hRule="exact" w:val="342"/>
        </w:trPr>
        <w:tc>
          <w:tcPr>
            <w:tcW w:w="4264" w:type="dxa"/>
            <w:shd w:val="clear" w:color="auto" w:fill="F1F3F5"/>
            <w:tcMar>
              <w:top w:w="58" w:type="dxa"/>
              <w:left w:w="58" w:type="dxa"/>
              <w:bottom w:w="58" w:type="dxa"/>
              <w:right w:w="58" w:type="dxa"/>
            </w:tcMar>
            <w:vAlign w:val="center"/>
          </w:tcPr>
          <w:p w:rsidR="008B0D4A" w:rsidRPr="00CF0B64" w:rsidRDefault="008B0D4A" w:rsidP="008B0D4A">
            <w:pPr>
              <w:widowControl w:val="0"/>
              <w:rPr>
                <w:rFonts w:ascii="Arial" w:hAnsi="Arial" w:cs="Arial"/>
                <w:color w:val="000080"/>
                <w:sz w:val="16"/>
                <w:szCs w:val="16"/>
                <w:lang w:val="en-GB"/>
              </w:rPr>
            </w:pPr>
            <w:r w:rsidRPr="00CF0B64">
              <w:rPr>
                <w:rFonts w:ascii="Arial" w:hAnsi="Arial" w:cs="Arial"/>
                <w:color w:val="000080"/>
                <w:sz w:val="16"/>
                <w:szCs w:val="16"/>
              </w:rPr>
              <w:t>Προβλέψεις για Πιστωτικούς Κινδύνους</w:t>
            </w:r>
          </w:p>
        </w:tc>
        <w:tc>
          <w:tcPr>
            <w:tcW w:w="1985" w:type="dxa"/>
            <w:shd w:val="clear" w:color="auto" w:fill="F1F3F5"/>
            <w:vAlign w:val="center"/>
          </w:tcPr>
          <w:p w:rsidR="008B0D4A" w:rsidRPr="00294A2E" w:rsidRDefault="008B0D4A" w:rsidP="00913579">
            <w:pPr>
              <w:jc w:val="center"/>
              <w:rPr>
                <w:rFonts w:ascii="Arial" w:hAnsi="Arial" w:cs="Arial"/>
                <w:color w:val="000066"/>
                <w:sz w:val="16"/>
                <w:szCs w:val="16"/>
              </w:rPr>
            </w:pPr>
            <w:r w:rsidRPr="000C7668">
              <w:rPr>
                <w:rFonts w:ascii="Arial" w:hAnsi="Arial" w:cs="Arial"/>
                <w:color w:val="000066"/>
                <w:sz w:val="16"/>
                <w:szCs w:val="16"/>
              </w:rPr>
              <w:t>€</w:t>
            </w:r>
            <w:r w:rsidR="00354963">
              <w:rPr>
                <w:rFonts w:ascii="Arial" w:hAnsi="Arial" w:cs="Arial"/>
                <w:color w:val="000066"/>
                <w:sz w:val="16"/>
                <w:szCs w:val="16"/>
              </w:rPr>
              <w:t>271</w:t>
            </w:r>
            <w:r w:rsidRPr="000C7668">
              <w:rPr>
                <w:rFonts w:ascii="Arial" w:hAnsi="Arial" w:cs="Arial"/>
                <w:color w:val="000066"/>
                <w:sz w:val="16"/>
                <w:szCs w:val="16"/>
              </w:rPr>
              <w:t>εκ.</w:t>
            </w:r>
          </w:p>
        </w:tc>
        <w:tc>
          <w:tcPr>
            <w:tcW w:w="1701" w:type="dxa"/>
            <w:shd w:val="clear" w:color="auto" w:fill="F1F3F5"/>
            <w:vAlign w:val="center"/>
          </w:tcPr>
          <w:p w:rsidR="008B0D4A" w:rsidRDefault="00354963" w:rsidP="008B0D4A">
            <w:pPr>
              <w:widowControl w:val="0"/>
              <w:jc w:val="center"/>
              <w:rPr>
                <w:rFonts w:ascii="Arial" w:hAnsi="Arial" w:cs="Arial"/>
                <w:color w:val="000066"/>
                <w:sz w:val="16"/>
                <w:szCs w:val="16"/>
              </w:rPr>
            </w:pPr>
            <w:r>
              <w:rPr>
                <w:rFonts w:ascii="Arial" w:hAnsi="Arial" w:cs="Arial"/>
                <w:color w:val="000066"/>
                <w:sz w:val="16"/>
                <w:szCs w:val="16"/>
              </w:rPr>
              <w:t>€348</w:t>
            </w:r>
            <w:r w:rsidR="008B0D4A">
              <w:rPr>
                <w:rFonts w:ascii="Arial" w:hAnsi="Arial" w:cs="Arial"/>
                <w:color w:val="000066"/>
                <w:sz w:val="16"/>
                <w:szCs w:val="16"/>
              </w:rPr>
              <w:t>εκ.</w:t>
            </w:r>
          </w:p>
        </w:tc>
        <w:tc>
          <w:tcPr>
            <w:tcW w:w="1701" w:type="dxa"/>
            <w:shd w:val="clear" w:color="auto" w:fill="F1F3F5"/>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-22,1%</w:t>
            </w:r>
          </w:p>
        </w:tc>
      </w:tr>
      <w:tr w:rsidR="008B0D4A" w:rsidRPr="002A1856" w:rsidTr="00913579">
        <w:trPr>
          <w:trHeight w:hRule="exact" w:val="418"/>
        </w:trPr>
        <w:tc>
          <w:tcPr>
            <w:tcW w:w="4264" w:type="dxa"/>
            <w:shd w:val="clear" w:color="auto" w:fill="F1F3F5"/>
            <w:tcMar>
              <w:top w:w="58" w:type="dxa"/>
              <w:left w:w="58" w:type="dxa"/>
              <w:bottom w:w="58" w:type="dxa"/>
              <w:right w:w="58" w:type="dxa"/>
            </w:tcMar>
            <w:vAlign w:val="center"/>
          </w:tcPr>
          <w:p w:rsidR="008B0D4A" w:rsidRPr="00F65694" w:rsidRDefault="008B0D4A" w:rsidP="008B0D4A">
            <w:pPr>
              <w:widowControl w:val="0"/>
              <w:rPr>
                <w:rFonts w:ascii="Arial" w:hAnsi="Arial" w:cs="Arial"/>
                <w:color w:val="000080"/>
                <w:sz w:val="16"/>
                <w:szCs w:val="16"/>
              </w:rPr>
            </w:pPr>
            <w:r>
              <w:rPr>
                <w:rFonts w:ascii="Arial" w:hAnsi="Arial" w:cs="Arial"/>
                <w:color w:val="000080"/>
                <w:sz w:val="16"/>
                <w:szCs w:val="16"/>
              </w:rPr>
              <w:t>Προσαρμοσμένα Καθαρά Κέρδη</w:t>
            </w:r>
          </w:p>
        </w:tc>
        <w:tc>
          <w:tcPr>
            <w:tcW w:w="1985" w:type="dxa"/>
            <w:shd w:val="clear" w:color="auto" w:fill="F1F3F5"/>
            <w:vAlign w:val="center"/>
          </w:tcPr>
          <w:p w:rsidR="008B0D4A" w:rsidRPr="00294A2E" w:rsidRDefault="008B0D4A" w:rsidP="00913579">
            <w:pPr>
              <w:jc w:val="center"/>
              <w:rPr>
                <w:rFonts w:ascii="Arial" w:hAnsi="Arial" w:cs="Arial"/>
                <w:color w:val="000066"/>
                <w:sz w:val="16"/>
                <w:szCs w:val="16"/>
              </w:rPr>
            </w:pPr>
            <w:r w:rsidRPr="000C7668">
              <w:rPr>
                <w:rFonts w:ascii="Arial" w:hAnsi="Arial" w:cs="Arial"/>
                <w:color w:val="000066"/>
                <w:sz w:val="16"/>
                <w:szCs w:val="16"/>
              </w:rPr>
              <w:t>€</w:t>
            </w:r>
            <w:r w:rsidR="00354963">
              <w:rPr>
                <w:rFonts w:ascii="Arial" w:hAnsi="Arial" w:cs="Arial"/>
                <w:color w:val="000066"/>
                <w:sz w:val="16"/>
                <w:szCs w:val="16"/>
              </w:rPr>
              <w:t>176</w:t>
            </w:r>
            <w:r w:rsidRPr="000C7668">
              <w:rPr>
                <w:rFonts w:ascii="Arial" w:hAnsi="Arial" w:cs="Arial"/>
                <w:color w:val="000066"/>
                <w:sz w:val="16"/>
                <w:szCs w:val="16"/>
              </w:rPr>
              <w:t>εκ.</w:t>
            </w:r>
          </w:p>
        </w:tc>
        <w:tc>
          <w:tcPr>
            <w:tcW w:w="1701" w:type="dxa"/>
            <w:shd w:val="clear" w:color="auto" w:fill="F1F3F5"/>
            <w:vAlign w:val="center"/>
          </w:tcPr>
          <w:p w:rsidR="008B0D4A" w:rsidRDefault="008B0D4A" w:rsidP="00913579">
            <w:pPr>
              <w:widowControl w:val="0"/>
              <w:jc w:val="center"/>
              <w:rPr>
                <w:rFonts w:ascii="Arial" w:hAnsi="Arial" w:cs="Arial"/>
                <w:color w:val="000066"/>
                <w:sz w:val="16"/>
                <w:szCs w:val="16"/>
              </w:rPr>
            </w:pPr>
            <w:r>
              <w:rPr>
                <w:rFonts w:ascii="Arial" w:hAnsi="Arial" w:cs="Arial"/>
                <w:color w:val="000066"/>
                <w:sz w:val="16"/>
                <w:szCs w:val="16"/>
              </w:rPr>
              <w:t>€</w:t>
            </w:r>
            <w:r w:rsidR="00354963">
              <w:rPr>
                <w:rFonts w:ascii="Arial" w:hAnsi="Arial" w:cs="Arial"/>
                <w:color w:val="000066"/>
                <w:sz w:val="16"/>
                <w:szCs w:val="16"/>
              </w:rPr>
              <w:t>97</w:t>
            </w:r>
            <w:r>
              <w:rPr>
                <w:rFonts w:ascii="Arial" w:hAnsi="Arial" w:cs="Arial"/>
                <w:color w:val="000066"/>
                <w:sz w:val="16"/>
                <w:szCs w:val="16"/>
              </w:rPr>
              <w:t>εκ.</w:t>
            </w:r>
          </w:p>
        </w:tc>
        <w:tc>
          <w:tcPr>
            <w:tcW w:w="1701" w:type="dxa"/>
            <w:shd w:val="clear" w:color="auto" w:fill="F1F3F5"/>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82,2</w:t>
            </w:r>
            <w:r w:rsidR="00913579">
              <w:rPr>
                <w:rFonts w:ascii="Arial" w:hAnsi="Arial" w:cs="Arial"/>
                <w:color w:val="000066"/>
                <w:sz w:val="16"/>
                <w:szCs w:val="16"/>
              </w:rPr>
              <w:t>%</w:t>
            </w:r>
          </w:p>
        </w:tc>
      </w:tr>
      <w:tr w:rsidR="008B0D4A" w:rsidRPr="002A1856" w:rsidTr="00913579">
        <w:trPr>
          <w:trHeight w:hRule="exact" w:val="429"/>
        </w:trPr>
        <w:tc>
          <w:tcPr>
            <w:tcW w:w="4264" w:type="dxa"/>
            <w:shd w:val="clear" w:color="auto" w:fill="F1F3F5"/>
            <w:tcMar>
              <w:top w:w="58" w:type="dxa"/>
              <w:left w:w="58" w:type="dxa"/>
              <w:bottom w:w="58" w:type="dxa"/>
              <w:right w:w="58" w:type="dxa"/>
            </w:tcMar>
            <w:vAlign w:val="center"/>
          </w:tcPr>
          <w:p w:rsidR="008B0D4A" w:rsidRPr="00F65694" w:rsidRDefault="008B0D4A" w:rsidP="008B0D4A">
            <w:pPr>
              <w:widowControl w:val="0"/>
              <w:rPr>
                <w:rFonts w:ascii="Arial" w:hAnsi="Arial" w:cs="Arial"/>
                <w:color w:val="000080"/>
                <w:sz w:val="16"/>
                <w:szCs w:val="16"/>
              </w:rPr>
            </w:pPr>
            <w:r w:rsidRPr="00B915BB">
              <w:rPr>
                <w:rFonts w:ascii="Arial" w:hAnsi="Arial" w:cs="Arial"/>
                <w:color w:val="000080"/>
                <w:sz w:val="16"/>
                <w:szCs w:val="16"/>
              </w:rPr>
              <w:t>Καθαρ</w:t>
            </w:r>
            <w:r>
              <w:rPr>
                <w:rFonts w:ascii="Arial" w:hAnsi="Arial" w:cs="Arial"/>
                <w:color w:val="000080"/>
                <w:sz w:val="16"/>
                <w:szCs w:val="16"/>
              </w:rPr>
              <w:t>ά Κέρδη μετά φόρων</w:t>
            </w:r>
          </w:p>
        </w:tc>
        <w:tc>
          <w:tcPr>
            <w:tcW w:w="1985" w:type="dxa"/>
            <w:shd w:val="clear" w:color="auto" w:fill="F1F3F5"/>
            <w:vAlign w:val="center"/>
          </w:tcPr>
          <w:p w:rsidR="008B0D4A" w:rsidRPr="00294A2E" w:rsidRDefault="00354963" w:rsidP="00354963">
            <w:pPr>
              <w:jc w:val="center"/>
              <w:rPr>
                <w:rFonts w:ascii="Arial" w:hAnsi="Arial" w:cs="Arial"/>
                <w:color w:val="000066"/>
                <w:sz w:val="16"/>
                <w:szCs w:val="16"/>
              </w:rPr>
            </w:pPr>
            <w:r>
              <w:rPr>
                <w:rFonts w:ascii="Arial" w:hAnsi="Arial" w:cs="Arial"/>
                <w:color w:val="000066"/>
                <w:sz w:val="16"/>
                <w:szCs w:val="16"/>
              </w:rPr>
              <w:t>-</w:t>
            </w:r>
            <w:r w:rsidR="008B0D4A" w:rsidRPr="000C7668">
              <w:rPr>
                <w:rFonts w:ascii="Arial" w:hAnsi="Arial" w:cs="Arial"/>
                <w:color w:val="000066"/>
                <w:sz w:val="16"/>
                <w:szCs w:val="16"/>
              </w:rPr>
              <w:t>€</w:t>
            </w:r>
            <w:r>
              <w:rPr>
                <w:rFonts w:ascii="Arial" w:hAnsi="Arial" w:cs="Arial"/>
                <w:color w:val="000066"/>
                <w:sz w:val="16"/>
                <w:szCs w:val="16"/>
              </w:rPr>
              <w:t>1.166</w:t>
            </w:r>
            <w:r w:rsidR="008B0D4A" w:rsidRPr="000C7668">
              <w:rPr>
                <w:rFonts w:ascii="Arial" w:hAnsi="Arial" w:cs="Arial"/>
                <w:color w:val="000066"/>
                <w:sz w:val="16"/>
                <w:szCs w:val="16"/>
              </w:rPr>
              <w:t>εκ.</w:t>
            </w:r>
          </w:p>
        </w:tc>
        <w:tc>
          <w:tcPr>
            <w:tcW w:w="1701" w:type="dxa"/>
            <w:shd w:val="clear" w:color="auto" w:fill="F1F3F5"/>
            <w:vAlign w:val="center"/>
          </w:tcPr>
          <w:p w:rsidR="008B0D4A" w:rsidRPr="00374A4E" w:rsidRDefault="00913579" w:rsidP="00913579">
            <w:pPr>
              <w:widowControl w:val="0"/>
              <w:jc w:val="center"/>
              <w:rPr>
                <w:rFonts w:ascii="Arial" w:hAnsi="Arial" w:cs="Arial"/>
                <w:color w:val="000066"/>
                <w:sz w:val="16"/>
                <w:szCs w:val="16"/>
              </w:rPr>
            </w:pPr>
            <w:r>
              <w:rPr>
                <w:rFonts w:ascii="Arial" w:hAnsi="Arial" w:cs="Arial"/>
                <w:color w:val="000066"/>
                <w:sz w:val="16"/>
                <w:szCs w:val="16"/>
              </w:rPr>
              <w:t>€</w:t>
            </w:r>
            <w:r w:rsidR="00CA5CDD">
              <w:rPr>
                <w:rFonts w:ascii="Arial" w:hAnsi="Arial" w:cs="Arial"/>
                <w:color w:val="000066"/>
                <w:sz w:val="16"/>
                <w:szCs w:val="16"/>
              </w:rPr>
              <w:t>3</w:t>
            </w:r>
            <w:r w:rsidR="00354963">
              <w:rPr>
                <w:rFonts w:ascii="Arial" w:hAnsi="Arial" w:cs="Arial"/>
                <w:color w:val="000066"/>
                <w:sz w:val="16"/>
                <w:szCs w:val="16"/>
              </w:rPr>
              <w:t>2</w:t>
            </w:r>
            <w:r w:rsidR="008B0D4A" w:rsidRPr="009E7215">
              <w:rPr>
                <w:rFonts w:ascii="Arial" w:hAnsi="Arial" w:cs="Arial"/>
                <w:color w:val="000066"/>
                <w:sz w:val="16"/>
                <w:szCs w:val="16"/>
              </w:rPr>
              <w:t>εκ.</w:t>
            </w:r>
          </w:p>
        </w:tc>
        <w:tc>
          <w:tcPr>
            <w:tcW w:w="1701" w:type="dxa"/>
            <w:shd w:val="clear" w:color="auto" w:fill="F1F3F5"/>
            <w:vAlign w:val="center"/>
          </w:tcPr>
          <w:p w:rsidR="008B0D4A" w:rsidRPr="00294A2E" w:rsidRDefault="00354963" w:rsidP="008B0D4A">
            <w:pPr>
              <w:widowControl w:val="0"/>
              <w:jc w:val="center"/>
              <w:rPr>
                <w:rFonts w:ascii="Arial" w:hAnsi="Arial" w:cs="Arial"/>
                <w:color w:val="000066"/>
                <w:sz w:val="16"/>
                <w:szCs w:val="16"/>
              </w:rPr>
            </w:pPr>
            <w:r>
              <w:rPr>
                <w:rFonts w:ascii="Arial" w:hAnsi="Arial" w:cs="Arial"/>
                <w:color w:val="000066"/>
                <w:sz w:val="16"/>
                <w:szCs w:val="16"/>
              </w:rPr>
              <w:t>-</w:t>
            </w:r>
          </w:p>
        </w:tc>
      </w:tr>
    </w:tbl>
    <w:p w:rsidR="00F40322" w:rsidRPr="003D3383" w:rsidRDefault="00F40322" w:rsidP="00F40322">
      <w:pPr>
        <w:ind w:left="-540" w:right="1652"/>
        <w:jc w:val="both"/>
        <w:rPr>
          <w:rFonts w:ascii="Arial" w:hAnsi="Arial" w:cs="Arial"/>
          <w:sz w:val="15"/>
          <w:szCs w:val="15"/>
        </w:rPr>
      </w:pPr>
    </w:p>
    <w:p w:rsidR="00F40322" w:rsidRPr="003D3383" w:rsidRDefault="00F40322" w:rsidP="00F40322">
      <w:pPr>
        <w:rPr>
          <w:color w:val="auto"/>
          <w:kern w:val="0"/>
          <w:sz w:val="22"/>
          <w:szCs w:val="22"/>
        </w:rPr>
      </w:pPr>
      <w:r>
        <w:rPr>
          <w:noProof/>
        </w:rPr>
        <w:pict>
          <v:roundrect id="_x0000_s1058" style="position:absolute;margin-left:-43.05pt;margin-top:6.8pt;width:500.05pt;height:189.55pt;z-index:-26;visibility:visible;mso-wrap-edited:f;mso-wrap-distance-left:2.88pt;mso-wrap-distance-top:2.88pt;mso-wrap-distance-right:2.88pt;mso-wrap-distance-bottom:2.88pt" arcsize="3468f" fillcolor="#f1f3f5" strokecolor="#006" strokeweight="2pt" insetpen="t" o:cliptowrap="t">
            <v:shadow color="#ccc"/>
            <o:lock v:ext="edit" shapetype="t"/>
            <v:textbox inset="2.88pt,2.88pt,2.88pt,2.88pt"/>
          </v:roundrect>
        </w:pict>
      </w:r>
      <w:r>
        <w:rPr>
          <w:noProof/>
        </w:rPr>
        <w:pict>
          <v:shapetype id="_x0000_t201" coordsize="21600,21600" o:spt="201" path="m,l,21600r21600,l21600,xe">
            <v:stroke joinstyle="miter"/>
            <v:path shadowok="f" o:extrusionok="f" strokeok="f" fillok="f" o:connecttype="rect"/>
            <o:lock v:ext="edit" shapetype="t"/>
          </v:shapetype>
          <v:shape id="_x0000_s1060" type="#_x0000_t201" style="position:absolute;margin-left:55.9pt;margin-top:348.9pt;width:481.15pt;height:179.4pt;z-index:4;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9787" w:type="dxa"/>
        <w:tblInd w:w="-72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left w:w="0" w:type="dxa"/>
          <w:right w:w="0" w:type="dxa"/>
        </w:tblCellMar>
        <w:tblLook w:val="0000"/>
      </w:tblPr>
      <w:tblGrid>
        <w:gridCol w:w="4747"/>
        <w:gridCol w:w="2520"/>
        <w:gridCol w:w="2520"/>
      </w:tblGrid>
      <w:tr w:rsidR="008B0D4A" w:rsidRPr="00A65C59" w:rsidTr="008B0D4A">
        <w:trPr>
          <w:trHeight w:hRule="exact" w:val="315"/>
        </w:trPr>
        <w:tc>
          <w:tcPr>
            <w:tcW w:w="4747" w:type="dxa"/>
            <w:tcBorders>
              <w:top w:val="single" w:sz="4" w:space="0" w:color="003366"/>
              <w:left w:val="nil"/>
            </w:tcBorders>
            <w:shd w:val="clear" w:color="auto" w:fill="F1F3F5"/>
            <w:tcMar>
              <w:top w:w="58" w:type="dxa"/>
              <w:left w:w="58" w:type="dxa"/>
              <w:bottom w:w="58" w:type="dxa"/>
              <w:right w:w="58" w:type="dxa"/>
            </w:tcMar>
            <w:vAlign w:val="center"/>
          </w:tcPr>
          <w:p w:rsidR="008B0D4A" w:rsidRPr="00447B61" w:rsidRDefault="008B0D4A" w:rsidP="008B0D4A">
            <w:pPr>
              <w:widowControl w:val="0"/>
              <w:rPr>
                <w:rFonts w:ascii="Arial" w:hAnsi="Arial" w:cs="Arial"/>
                <w:b/>
                <w:bCs/>
                <w:color w:val="800000"/>
                <w:sz w:val="16"/>
                <w:szCs w:val="16"/>
                <w:lang w:val="en-US"/>
              </w:rPr>
            </w:pPr>
            <w:r w:rsidRPr="00A65C59">
              <w:rPr>
                <w:rFonts w:ascii="Arial" w:hAnsi="Arial" w:cs="Arial"/>
                <w:b/>
                <w:bCs/>
                <w:color w:val="800000"/>
                <w:sz w:val="16"/>
                <w:szCs w:val="16"/>
              </w:rPr>
              <w:t xml:space="preserve">Στοιχεία Ισολογισμού </w:t>
            </w:r>
          </w:p>
        </w:tc>
        <w:tc>
          <w:tcPr>
            <w:tcW w:w="2520" w:type="dxa"/>
            <w:shd w:val="clear" w:color="auto" w:fill="F1F3F5"/>
            <w:vAlign w:val="center"/>
          </w:tcPr>
          <w:p w:rsidR="008B0D4A" w:rsidRPr="00C75F4A" w:rsidRDefault="008B0D4A" w:rsidP="001E574D">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1E574D">
              <w:rPr>
                <w:rFonts w:ascii="Arial" w:hAnsi="Arial" w:cs="Arial"/>
                <w:b/>
                <w:bCs/>
                <w:color w:val="800000"/>
                <w:sz w:val="16"/>
                <w:szCs w:val="16"/>
              </w:rPr>
              <w:t>Εξά</w:t>
            </w:r>
            <w:r>
              <w:rPr>
                <w:rFonts w:ascii="Arial" w:hAnsi="Arial" w:cs="Arial"/>
                <w:b/>
                <w:bCs/>
                <w:color w:val="800000"/>
                <w:sz w:val="16"/>
                <w:szCs w:val="16"/>
              </w:rPr>
              <w:t>μηνο 2020</w:t>
            </w:r>
          </w:p>
        </w:tc>
        <w:tc>
          <w:tcPr>
            <w:tcW w:w="2520" w:type="dxa"/>
            <w:shd w:val="clear" w:color="auto" w:fill="F1F3F5"/>
            <w:vAlign w:val="center"/>
          </w:tcPr>
          <w:p w:rsidR="008B0D4A" w:rsidRDefault="008B0D4A" w:rsidP="001E574D">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1E574D">
              <w:rPr>
                <w:rFonts w:ascii="Arial" w:hAnsi="Arial" w:cs="Arial"/>
                <w:b/>
                <w:bCs/>
                <w:color w:val="800000"/>
                <w:sz w:val="16"/>
                <w:szCs w:val="16"/>
              </w:rPr>
              <w:t>Εξά</w:t>
            </w:r>
            <w:r>
              <w:rPr>
                <w:rFonts w:ascii="Arial" w:hAnsi="Arial" w:cs="Arial"/>
                <w:b/>
                <w:bCs/>
                <w:color w:val="800000"/>
                <w:sz w:val="16"/>
                <w:szCs w:val="16"/>
              </w:rPr>
              <w:t>μηνο 2019</w:t>
            </w:r>
          </w:p>
        </w:tc>
      </w:tr>
      <w:tr w:rsidR="008B0D4A" w:rsidRPr="00A65C59" w:rsidTr="00BA2942">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color w:val="000066"/>
                <w:sz w:val="16"/>
                <w:szCs w:val="16"/>
              </w:rPr>
            </w:pPr>
            <w:r w:rsidRPr="00A65C59">
              <w:rPr>
                <w:rFonts w:ascii="Arial" w:hAnsi="Arial" w:cs="Arial"/>
                <w:color w:val="000066"/>
                <w:sz w:val="16"/>
                <w:szCs w:val="16"/>
              </w:rPr>
              <w:t>Καταναλωτικά Δάνεια</w:t>
            </w:r>
          </w:p>
        </w:tc>
        <w:tc>
          <w:tcPr>
            <w:tcW w:w="2520" w:type="dxa"/>
            <w:shd w:val="clear" w:color="auto" w:fill="F1F3F5"/>
            <w:vAlign w:val="center"/>
          </w:tcPr>
          <w:p w:rsidR="008B0D4A" w:rsidRPr="002C7ED5" w:rsidRDefault="008B0D4A" w:rsidP="008B0D4A">
            <w:pPr>
              <w:jc w:val="center"/>
              <w:rPr>
                <w:rFonts w:ascii="Arial" w:hAnsi="Arial" w:cs="Arial"/>
                <w:color w:val="000066"/>
                <w:sz w:val="16"/>
                <w:szCs w:val="16"/>
              </w:rPr>
            </w:pPr>
            <w:r>
              <w:rPr>
                <w:rFonts w:ascii="Arial" w:hAnsi="Arial" w:cs="Arial"/>
                <w:color w:val="000066"/>
                <w:sz w:val="16"/>
                <w:szCs w:val="16"/>
                <w:lang w:val="en-US"/>
              </w:rPr>
              <w:t>€</w:t>
            </w:r>
            <w:r w:rsidR="001E574D">
              <w:rPr>
                <w:rFonts w:ascii="Arial" w:hAnsi="Arial" w:cs="Arial"/>
                <w:color w:val="000066"/>
                <w:sz w:val="16"/>
                <w:szCs w:val="16"/>
                <w:lang w:val="en-US"/>
              </w:rPr>
              <w:t>3.456</w:t>
            </w:r>
            <w:r>
              <w:rPr>
                <w:rFonts w:ascii="Arial" w:hAnsi="Arial" w:cs="Arial"/>
                <w:color w:val="000066"/>
                <w:sz w:val="16"/>
                <w:szCs w:val="16"/>
              </w:rPr>
              <w:t>εκ.</w:t>
            </w:r>
          </w:p>
        </w:tc>
        <w:tc>
          <w:tcPr>
            <w:tcW w:w="2520" w:type="dxa"/>
            <w:shd w:val="clear" w:color="auto" w:fill="F1F3F5"/>
            <w:vAlign w:val="center"/>
          </w:tcPr>
          <w:p w:rsidR="008B0D4A" w:rsidRPr="00197AF8" w:rsidRDefault="008B0D4A" w:rsidP="008B0D4A">
            <w:pPr>
              <w:jc w:val="center"/>
              <w:rPr>
                <w:rFonts w:ascii="Arial" w:hAnsi="Arial" w:cs="Arial"/>
                <w:color w:val="000066"/>
                <w:sz w:val="16"/>
                <w:szCs w:val="16"/>
              </w:rPr>
            </w:pPr>
            <w:r w:rsidRPr="00197AF8">
              <w:rPr>
                <w:rFonts w:ascii="Arial" w:hAnsi="Arial" w:cs="Arial"/>
                <w:color w:val="000066"/>
                <w:sz w:val="16"/>
                <w:szCs w:val="16"/>
              </w:rPr>
              <w:t>€</w:t>
            </w:r>
            <w:r w:rsidR="001E574D">
              <w:rPr>
                <w:rFonts w:ascii="Arial" w:hAnsi="Arial" w:cs="Arial"/>
                <w:color w:val="000066"/>
                <w:sz w:val="16"/>
                <w:szCs w:val="16"/>
                <w:lang w:val="en-US"/>
              </w:rPr>
              <w:t>3.960</w:t>
            </w:r>
            <w:r w:rsidRPr="00197AF8">
              <w:rPr>
                <w:rFonts w:ascii="Arial" w:hAnsi="Arial" w:cs="Arial"/>
                <w:color w:val="000066"/>
                <w:sz w:val="16"/>
                <w:szCs w:val="16"/>
              </w:rPr>
              <w:t>εκ.</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color w:val="000066"/>
                <w:sz w:val="16"/>
                <w:szCs w:val="16"/>
              </w:rPr>
            </w:pPr>
            <w:r w:rsidRPr="00A65C59">
              <w:rPr>
                <w:rFonts w:ascii="Arial" w:hAnsi="Arial" w:cs="Arial"/>
                <w:color w:val="000066"/>
                <w:sz w:val="16"/>
                <w:szCs w:val="16"/>
              </w:rPr>
              <w:t>Στεγαστικά Δάνεια</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1E574D">
              <w:rPr>
                <w:rFonts w:ascii="Arial" w:hAnsi="Arial" w:cs="Arial"/>
                <w:color w:val="000066"/>
                <w:sz w:val="16"/>
                <w:szCs w:val="16"/>
                <w:lang w:val="en-US"/>
              </w:rPr>
              <w:t>11.777</w:t>
            </w:r>
            <w:r w:rsidRPr="00507A07">
              <w:rPr>
                <w:rFonts w:ascii="Arial" w:hAnsi="Arial" w:cs="Arial"/>
                <w:color w:val="000066"/>
                <w:sz w:val="16"/>
                <w:szCs w:val="16"/>
              </w:rPr>
              <w:t>εκ.</w:t>
            </w:r>
          </w:p>
        </w:tc>
        <w:tc>
          <w:tcPr>
            <w:tcW w:w="2520" w:type="dxa"/>
            <w:shd w:val="clear" w:color="auto" w:fill="F1F3F5"/>
            <w:vAlign w:val="center"/>
          </w:tcPr>
          <w:p w:rsidR="008B0D4A" w:rsidRPr="00197AF8" w:rsidRDefault="008B0D4A" w:rsidP="008B0D4A">
            <w:pPr>
              <w:jc w:val="center"/>
            </w:pPr>
            <w:r w:rsidRPr="00197AF8">
              <w:rPr>
                <w:rFonts w:ascii="Arial" w:hAnsi="Arial" w:cs="Arial"/>
                <w:color w:val="000066"/>
                <w:sz w:val="16"/>
                <w:szCs w:val="16"/>
              </w:rPr>
              <w:t>€</w:t>
            </w:r>
            <w:r w:rsidR="001E574D">
              <w:rPr>
                <w:rFonts w:ascii="Arial" w:hAnsi="Arial" w:cs="Arial"/>
                <w:color w:val="000066"/>
                <w:sz w:val="16"/>
                <w:szCs w:val="16"/>
                <w:lang w:val="en-US"/>
              </w:rPr>
              <w:t>14.152</w:t>
            </w:r>
            <w:r w:rsidRPr="00197AF8">
              <w:rPr>
                <w:rFonts w:ascii="Arial" w:hAnsi="Arial" w:cs="Arial"/>
                <w:color w:val="000066"/>
                <w:sz w:val="16"/>
                <w:szCs w:val="16"/>
              </w:rPr>
              <w:t>εκ.</w:t>
            </w:r>
          </w:p>
        </w:tc>
      </w:tr>
      <w:tr w:rsidR="008B0D4A" w:rsidRPr="00A65C59" w:rsidTr="002C625E">
        <w:trPr>
          <w:trHeight w:hRule="exact" w:val="340"/>
        </w:trPr>
        <w:tc>
          <w:tcPr>
            <w:tcW w:w="4747" w:type="dxa"/>
            <w:tcBorders>
              <w:left w:val="nil"/>
            </w:tcBorders>
            <w:tcMar>
              <w:top w:w="58" w:type="dxa"/>
              <w:left w:w="58" w:type="dxa"/>
              <w:bottom w:w="58" w:type="dxa"/>
              <w:right w:w="58" w:type="dxa"/>
            </w:tcMar>
            <w:vAlign w:val="center"/>
          </w:tcPr>
          <w:p w:rsidR="008B0D4A" w:rsidRPr="00A65C59" w:rsidRDefault="008B0D4A" w:rsidP="008B0D4A">
            <w:pPr>
              <w:widowControl w:val="0"/>
              <w:rPr>
                <w:color w:val="000066"/>
                <w:sz w:val="16"/>
                <w:szCs w:val="16"/>
              </w:rPr>
            </w:pPr>
            <w:r w:rsidRPr="00A65C59">
              <w:rPr>
                <w:rFonts w:ascii="Arial" w:hAnsi="Arial" w:cs="Arial"/>
                <w:color w:val="000066"/>
                <w:sz w:val="16"/>
                <w:szCs w:val="16"/>
              </w:rPr>
              <w:t>Δάνεια προς Μικρές Επιχειρήσεις</w:t>
            </w:r>
          </w:p>
        </w:tc>
        <w:tc>
          <w:tcPr>
            <w:tcW w:w="2520" w:type="dxa"/>
            <w:shd w:val="clear" w:color="auto" w:fill="F1F3F5"/>
            <w:vAlign w:val="center"/>
          </w:tcPr>
          <w:p w:rsidR="008B0D4A" w:rsidRDefault="008B0D4A" w:rsidP="001E574D">
            <w:pPr>
              <w:jc w:val="center"/>
            </w:pPr>
            <w:r w:rsidRPr="00507A07">
              <w:rPr>
                <w:rFonts w:ascii="Arial" w:hAnsi="Arial" w:cs="Arial"/>
                <w:color w:val="000066"/>
                <w:sz w:val="16"/>
                <w:szCs w:val="16"/>
                <w:lang w:val="en-US"/>
              </w:rPr>
              <w:t>€</w:t>
            </w:r>
            <w:r w:rsidR="001E574D">
              <w:rPr>
                <w:rFonts w:ascii="Arial" w:hAnsi="Arial" w:cs="Arial"/>
                <w:color w:val="000066"/>
                <w:sz w:val="16"/>
                <w:szCs w:val="16"/>
              </w:rPr>
              <w:t>4.117</w:t>
            </w:r>
            <w:r w:rsidRPr="00507A07">
              <w:rPr>
                <w:rFonts w:ascii="Arial" w:hAnsi="Arial" w:cs="Arial"/>
                <w:color w:val="000066"/>
                <w:sz w:val="16"/>
                <w:szCs w:val="16"/>
              </w:rPr>
              <w:t>εκ.</w:t>
            </w:r>
          </w:p>
        </w:tc>
        <w:tc>
          <w:tcPr>
            <w:tcW w:w="2520" w:type="dxa"/>
            <w:shd w:val="clear" w:color="auto" w:fill="F1F3F5"/>
            <w:vAlign w:val="center"/>
          </w:tcPr>
          <w:p w:rsidR="008B0D4A" w:rsidRPr="00197AF8" w:rsidRDefault="008B0D4A" w:rsidP="001E574D">
            <w:pPr>
              <w:jc w:val="center"/>
              <w:rPr>
                <w:rFonts w:ascii="Arial" w:hAnsi="Arial" w:cs="Arial"/>
                <w:color w:val="000066"/>
                <w:sz w:val="16"/>
                <w:szCs w:val="16"/>
              </w:rPr>
            </w:pPr>
            <w:r w:rsidRPr="00197AF8">
              <w:rPr>
                <w:rFonts w:ascii="Arial" w:hAnsi="Arial" w:cs="Arial"/>
                <w:color w:val="000066"/>
                <w:sz w:val="16"/>
                <w:szCs w:val="16"/>
              </w:rPr>
              <w:t>€</w:t>
            </w:r>
            <w:r>
              <w:rPr>
                <w:rFonts w:ascii="Arial" w:hAnsi="Arial" w:cs="Arial"/>
                <w:color w:val="000066"/>
                <w:sz w:val="16"/>
                <w:szCs w:val="16"/>
                <w:lang w:val="en-US"/>
              </w:rPr>
              <w:t>6.</w:t>
            </w:r>
            <w:r w:rsidR="001E574D">
              <w:rPr>
                <w:rFonts w:ascii="Arial" w:hAnsi="Arial" w:cs="Arial"/>
                <w:color w:val="000066"/>
                <w:sz w:val="16"/>
                <w:szCs w:val="16"/>
              </w:rPr>
              <w:t>528</w:t>
            </w:r>
            <w:r w:rsidRPr="00197AF8">
              <w:rPr>
                <w:rFonts w:ascii="Arial" w:hAnsi="Arial" w:cs="Arial"/>
                <w:color w:val="000066"/>
                <w:sz w:val="16"/>
                <w:szCs w:val="16"/>
              </w:rPr>
              <w:t>εκ.</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color w:val="000066"/>
                <w:sz w:val="16"/>
                <w:szCs w:val="16"/>
              </w:rPr>
            </w:pPr>
            <w:r w:rsidRPr="00A65C59">
              <w:rPr>
                <w:rFonts w:ascii="Arial" w:hAnsi="Arial" w:cs="Arial"/>
                <w:color w:val="000066"/>
                <w:sz w:val="16"/>
                <w:szCs w:val="16"/>
              </w:rPr>
              <w:t>Δάνεια προς Μεσαίες &amp; Μεγάλες Επιχειρήσεις</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1E574D">
              <w:rPr>
                <w:rFonts w:ascii="Arial" w:hAnsi="Arial" w:cs="Arial"/>
                <w:color w:val="000066"/>
                <w:sz w:val="16"/>
                <w:szCs w:val="16"/>
                <w:lang w:val="en-US"/>
              </w:rPr>
              <w:t>17.686</w:t>
            </w:r>
            <w:r w:rsidRPr="00507A07">
              <w:rPr>
                <w:rFonts w:ascii="Arial" w:hAnsi="Arial" w:cs="Arial"/>
                <w:color w:val="000066"/>
                <w:sz w:val="16"/>
                <w:szCs w:val="16"/>
              </w:rPr>
              <w:t>εκ.</w:t>
            </w:r>
          </w:p>
        </w:tc>
        <w:tc>
          <w:tcPr>
            <w:tcW w:w="2520" w:type="dxa"/>
            <w:shd w:val="clear" w:color="auto" w:fill="F1F3F5"/>
            <w:vAlign w:val="center"/>
          </w:tcPr>
          <w:p w:rsidR="008B0D4A" w:rsidRPr="00197AF8" w:rsidRDefault="008B0D4A" w:rsidP="008B0D4A">
            <w:pPr>
              <w:jc w:val="center"/>
            </w:pPr>
            <w:r w:rsidRPr="00197AF8">
              <w:rPr>
                <w:rFonts w:ascii="Arial" w:hAnsi="Arial" w:cs="Arial"/>
                <w:color w:val="000066"/>
                <w:sz w:val="16"/>
                <w:szCs w:val="16"/>
              </w:rPr>
              <w:t>€</w:t>
            </w:r>
            <w:r w:rsidR="001E574D">
              <w:rPr>
                <w:rFonts w:ascii="Arial" w:hAnsi="Arial" w:cs="Arial"/>
                <w:color w:val="000066"/>
                <w:sz w:val="16"/>
                <w:szCs w:val="16"/>
                <w:lang w:val="en-US"/>
              </w:rPr>
              <w:t>18.841</w:t>
            </w:r>
            <w:r w:rsidRPr="00197AF8">
              <w:rPr>
                <w:rFonts w:ascii="Arial" w:hAnsi="Arial" w:cs="Arial"/>
                <w:color w:val="000066"/>
                <w:sz w:val="16"/>
                <w:szCs w:val="16"/>
              </w:rPr>
              <w:t>εκ.</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10779C" w:rsidRDefault="008B0D4A" w:rsidP="008B0D4A">
            <w:pPr>
              <w:widowControl w:val="0"/>
              <w:rPr>
                <w:rFonts w:ascii="Arial" w:hAnsi="Arial" w:cs="Arial"/>
                <w:color w:val="000066"/>
                <w:sz w:val="16"/>
                <w:szCs w:val="16"/>
              </w:rPr>
            </w:pPr>
            <w:r>
              <w:rPr>
                <w:rFonts w:ascii="Arial" w:hAnsi="Arial" w:cs="Arial"/>
                <w:color w:val="000066"/>
                <w:sz w:val="16"/>
                <w:szCs w:val="16"/>
              </w:rPr>
              <w:t>Ομόλογα Υψηλής Διαβάθμισης</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60181A">
              <w:rPr>
                <w:rFonts w:ascii="Arial" w:hAnsi="Arial" w:cs="Arial"/>
                <w:color w:val="000066"/>
                <w:sz w:val="16"/>
                <w:szCs w:val="16"/>
                <w:lang w:val="en-US"/>
              </w:rPr>
              <w:t>1.062</w:t>
            </w:r>
            <w:r w:rsidRPr="00507A07">
              <w:rPr>
                <w:rFonts w:ascii="Arial" w:hAnsi="Arial" w:cs="Arial"/>
                <w:color w:val="000066"/>
                <w:sz w:val="16"/>
                <w:szCs w:val="16"/>
              </w:rPr>
              <w:t>εκ.</w:t>
            </w:r>
          </w:p>
        </w:tc>
        <w:tc>
          <w:tcPr>
            <w:tcW w:w="2520" w:type="dxa"/>
            <w:shd w:val="clear" w:color="auto" w:fill="F1F3F5"/>
            <w:vAlign w:val="center"/>
          </w:tcPr>
          <w:p w:rsidR="008B0D4A" w:rsidRPr="00197AF8" w:rsidRDefault="008B0D4A" w:rsidP="008B0D4A">
            <w:pPr>
              <w:jc w:val="center"/>
              <w:rPr>
                <w:rFonts w:ascii="Arial" w:hAnsi="Arial" w:cs="Arial"/>
                <w:color w:val="000066"/>
                <w:sz w:val="16"/>
                <w:szCs w:val="16"/>
              </w:rPr>
            </w:pPr>
            <w:r>
              <w:rPr>
                <w:rFonts w:ascii="Arial" w:hAnsi="Arial" w:cs="Arial"/>
                <w:color w:val="000066"/>
                <w:sz w:val="16"/>
                <w:szCs w:val="16"/>
              </w:rPr>
              <w:t>-</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rFonts w:ascii="Arial" w:hAnsi="Arial" w:cs="Arial"/>
                <w:color w:val="000066"/>
                <w:sz w:val="16"/>
                <w:szCs w:val="16"/>
              </w:rPr>
            </w:pPr>
            <w:r w:rsidRPr="00A65C59">
              <w:rPr>
                <w:rFonts w:ascii="Arial" w:hAnsi="Arial" w:cs="Arial"/>
                <w:color w:val="000066"/>
                <w:sz w:val="16"/>
                <w:szCs w:val="16"/>
              </w:rPr>
              <w:t>Σύνολο Χορηγήσεων (προ προβλέψεων)</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1E574D">
              <w:rPr>
                <w:rFonts w:ascii="Arial" w:hAnsi="Arial" w:cs="Arial"/>
                <w:color w:val="000066"/>
                <w:sz w:val="16"/>
                <w:szCs w:val="16"/>
                <w:lang w:val="en-US"/>
              </w:rPr>
              <w:t>38.142</w:t>
            </w:r>
            <w:r w:rsidRPr="00507A07">
              <w:rPr>
                <w:rFonts w:ascii="Arial" w:hAnsi="Arial" w:cs="Arial"/>
                <w:color w:val="000066"/>
                <w:sz w:val="16"/>
                <w:szCs w:val="16"/>
              </w:rPr>
              <w:t>εκ.</w:t>
            </w:r>
          </w:p>
        </w:tc>
        <w:tc>
          <w:tcPr>
            <w:tcW w:w="2520" w:type="dxa"/>
            <w:shd w:val="clear" w:color="auto" w:fill="F1F3F5"/>
            <w:vAlign w:val="center"/>
          </w:tcPr>
          <w:p w:rsidR="008B0D4A" w:rsidRPr="00197AF8" w:rsidRDefault="008B0D4A" w:rsidP="008B0D4A">
            <w:pPr>
              <w:jc w:val="center"/>
              <w:rPr>
                <w:rFonts w:ascii="Arial" w:hAnsi="Arial" w:cs="Arial"/>
                <w:color w:val="000066"/>
                <w:sz w:val="16"/>
                <w:szCs w:val="16"/>
              </w:rPr>
            </w:pPr>
            <w:r w:rsidRPr="00197AF8">
              <w:rPr>
                <w:rFonts w:ascii="Arial" w:hAnsi="Arial" w:cs="Arial"/>
                <w:color w:val="000066"/>
                <w:sz w:val="16"/>
                <w:szCs w:val="16"/>
              </w:rPr>
              <w:t>€</w:t>
            </w:r>
            <w:r w:rsidR="001E574D">
              <w:rPr>
                <w:rFonts w:ascii="Arial" w:hAnsi="Arial" w:cs="Arial"/>
                <w:color w:val="000066"/>
                <w:sz w:val="16"/>
                <w:szCs w:val="16"/>
                <w:lang w:val="en-US"/>
              </w:rPr>
              <w:t>43.563</w:t>
            </w:r>
            <w:r w:rsidRPr="00197AF8">
              <w:rPr>
                <w:rFonts w:ascii="Arial" w:hAnsi="Arial" w:cs="Arial"/>
                <w:color w:val="000066"/>
                <w:sz w:val="16"/>
                <w:szCs w:val="16"/>
              </w:rPr>
              <w:t>εκ.</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rFonts w:ascii="Arial" w:hAnsi="Arial" w:cs="Arial"/>
                <w:color w:val="000066"/>
                <w:sz w:val="16"/>
                <w:szCs w:val="16"/>
              </w:rPr>
            </w:pPr>
            <w:r w:rsidRPr="00A65C59">
              <w:rPr>
                <w:rFonts w:ascii="Arial" w:hAnsi="Arial" w:cs="Arial"/>
                <w:color w:val="000066"/>
                <w:sz w:val="16"/>
                <w:szCs w:val="16"/>
              </w:rPr>
              <w:t xml:space="preserve">Σύνολο Καταθέσεων </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1E574D">
              <w:rPr>
                <w:rFonts w:ascii="Arial" w:hAnsi="Arial" w:cs="Arial"/>
                <w:color w:val="000066"/>
                <w:sz w:val="16"/>
                <w:szCs w:val="16"/>
                <w:lang w:val="en-US"/>
              </w:rPr>
              <w:t>45.157</w:t>
            </w:r>
            <w:r w:rsidRPr="00507A07">
              <w:rPr>
                <w:rFonts w:ascii="Arial" w:hAnsi="Arial" w:cs="Arial"/>
                <w:color w:val="000066"/>
                <w:sz w:val="16"/>
                <w:szCs w:val="16"/>
              </w:rPr>
              <w:t>εκ.</w:t>
            </w:r>
          </w:p>
        </w:tc>
        <w:tc>
          <w:tcPr>
            <w:tcW w:w="2520" w:type="dxa"/>
            <w:shd w:val="clear" w:color="auto" w:fill="F1F3F5"/>
            <w:vAlign w:val="center"/>
          </w:tcPr>
          <w:p w:rsidR="008B0D4A" w:rsidRPr="00A65C59" w:rsidRDefault="008B0D4A" w:rsidP="008B0D4A">
            <w:pPr>
              <w:jc w:val="center"/>
            </w:pPr>
            <w:r w:rsidRPr="00A65C59">
              <w:rPr>
                <w:rFonts w:ascii="Arial" w:hAnsi="Arial" w:cs="Arial"/>
                <w:color w:val="000066"/>
                <w:sz w:val="16"/>
                <w:szCs w:val="16"/>
              </w:rPr>
              <w:t>€</w:t>
            </w:r>
            <w:r w:rsidR="001E574D">
              <w:rPr>
                <w:rFonts w:ascii="Arial" w:hAnsi="Arial" w:cs="Arial"/>
                <w:color w:val="000066"/>
                <w:sz w:val="16"/>
                <w:szCs w:val="16"/>
                <w:lang w:val="en-US"/>
              </w:rPr>
              <w:t>41.344</w:t>
            </w:r>
            <w:r w:rsidRPr="00A65C59">
              <w:rPr>
                <w:rFonts w:ascii="Arial" w:hAnsi="Arial" w:cs="Arial"/>
                <w:color w:val="000066"/>
                <w:sz w:val="16"/>
                <w:szCs w:val="16"/>
              </w:rPr>
              <w:t>εκ.</w:t>
            </w:r>
          </w:p>
        </w:tc>
      </w:tr>
      <w:tr w:rsidR="008B0D4A" w:rsidRPr="00A65C59" w:rsidTr="002C625E">
        <w:trPr>
          <w:trHeight w:hRule="exact" w:val="340"/>
        </w:trPr>
        <w:tc>
          <w:tcPr>
            <w:tcW w:w="4747" w:type="dxa"/>
            <w:tcBorders>
              <w:left w:val="nil"/>
            </w:tcBorders>
            <w:shd w:val="clear" w:color="auto" w:fill="F1F3F5"/>
            <w:tcMar>
              <w:top w:w="58" w:type="dxa"/>
              <w:left w:w="58" w:type="dxa"/>
              <w:bottom w:w="58" w:type="dxa"/>
              <w:right w:w="58" w:type="dxa"/>
            </w:tcMar>
            <w:vAlign w:val="center"/>
          </w:tcPr>
          <w:p w:rsidR="008B0D4A" w:rsidRPr="00A65C59" w:rsidRDefault="008B0D4A" w:rsidP="008B0D4A">
            <w:pPr>
              <w:widowControl w:val="0"/>
              <w:rPr>
                <w:rFonts w:ascii="Arial" w:hAnsi="Arial" w:cs="Arial"/>
                <w:color w:val="000066"/>
                <w:sz w:val="16"/>
                <w:szCs w:val="16"/>
              </w:rPr>
            </w:pPr>
            <w:r w:rsidRPr="00A65C59">
              <w:rPr>
                <w:rFonts w:ascii="Arial" w:hAnsi="Arial" w:cs="Arial"/>
                <w:color w:val="000066"/>
                <w:sz w:val="16"/>
                <w:szCs w:val="16"/>
              </w:rPr>
              <w:t>Σύνολο Ενεργητικού</w:t>
            </w:r>
          </w:p>
        </w:tc>
        <w:tc>
          <w:tcPr>
            <w:tcW w:w="2520" w:type="dxa"/>
            <w:shd w:val="clear" w:color="auto" w:fill="F1F3F5"/>
            <w:vAlign w:val="center"/>
          </w:tcPr>
          <w:p w:rsidR="008B0D4A" w:rsidRDefault="008B0D4A" w:rsidP="008B0D4A">
            <w:pPr>
              <w:jc w:val="center"/>
            </w:pPr>
            <w:r w:rsidRPr="00507A07">
              <w:rPr>
                <w:rFonts w:ascii="Arial" w:hAnsi="Arial" w:cs="Arial"/>
                <w:color w:val="000066"/>
                <w:sz w:val="16"/>
                <w:szCs w:val="16"/>
                <w:lang w:val="en-US"/>
              </w:rPr>
              <w:t>€</w:t>
            </w:r>
            <w:r w:rsidR="001E574D">
              <w:rPr>
                <w:rFonts w:ascii="Arial" w:hAnsi="Arial" w:cs="Arial"/>
                <w:color w:val="000066"/>
                <w:sz w:val="16"/>
                <w:szCs w:val="16"/>
                <w:lang w:val="en-US"/>
              </w:rPr>
              <w:t>66.965</w:t>
            </w:r>
            <w:r w:rsidRPr="00507A07">
              <w:rPr>
                <w:rFonts w:ascii="Arial" w:hAnsi="Arial" w:cs="Arial"/>
                <w:color w:val="000066"/>
                <w:sz w:val="16"/>
                <w:szCs w:val="16"/>
              </w:rPr>
              <w:t>εκ.</w:t>
            </w:r>
          </w:p>
        </w:tc>
        <w:tc>
          <w:tcPr>
            <w:tcW w:w="2520" w:type="dxa"/>
            <w:shd w:val="clear" w:color="auto" w:fill="F1F3F5"/>
            <w:vAlign w:val="center"/>
          </w:tcPr>
          <w:p w:rsidR="008B0D4A" w:rsidRPr="00A65C59" w:rsidRDefault="008B0D4A" w:rsidP="008B0D4A">
            <w:pPr>
              <w:jc w:val="center"/>
              <w:rPr>
                <w:rFonts w:ascii="Arial" w:hAnsi="Arial" w:cs="Arial"/>
                <w:color w:val="000066"/>
                <w:sz w:val="16"/>
                <w:szCs w:val="16"/>
              </w:rPr>
            </w:pPr>
            <w:r w:rsidRPr="00A65C59">
              <w:rPr>
                <w:rFonts w:ascii="Arial" w:hAnsi="Arial" w:cs="Arial"/>
                <w:color w:val="000066"/>
                <w:sz w:val="16"/>
                <w:szCs w:val="16"/>
              </w:rPr>
              <w:t>€</w:t>
            </w:r>
            <w:r w:rsidR="001E574D">
              <w:rPr>
                <w:rFonts w:ascii="Arial" w:hAnsi="Arial" w:cs="Arial"/>
                <w:color w:val="000066"/>
                <w:sz w:val="16"/>
                <w:szCs w:val="16"/>
                <w:lang w:val="en-US"/>
              </w:rPr>
              <w:t>62.402</w:t>
            </w:r>
            <w:r w:rsidRPr="00A65C59">
              <w:rPr>
                <w:rFonts w:ascii="Arial" w:hAnsi="Arial" w:cs="Arial"/>
                <w:color w:val="000066"/>
                <w:sz w:val="16"/>
                <w:szCs w:val="16"/>
              </w:rPr>
              <w:t>εκ.</w:t>
            </w:r>
          </w:p>
        </w:tc>
      </w:tr>
    </w:tbl>
    <w:p w:rsidR="00F40322" w:rsidRPr="00A65C59" w:rsidRDefault="00F40322" w:rsidP="00F40322">
      <w:pPr>
        <w:ind w:right="1652"/>
        <w:jc w:val="both"/>
        <w:rPr>
          <w:rFonts w:ascii="Arial" w:hAnsi="Arial" w:cs="Arial"/>
          <w:sz w:val="18"/>
          <w:szCs w:val="18"/>
        </w:rPr>
      </w:pPr>
    </w:p>
    <w:tbl>
      <w:tblPr>
        <w:tblpPr w:leftFromText="180" w:rightFromText="180" w:vertAnchor="text" w:horzAnchor="margin" w:tblpX="-651" w:tblpY="344"/>
        <w:tblW w:w="9840"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CellMar>
          <w:left w:w="0" w:type="dxa"/>
          <w:right w:w="0" w:type="dxa"/>
        </w:tblCellMar>
        <w:tblLook w:val="0000"/>
      </w:tblPr>
      <w:tblGrid>
        <w:gridCol w:w="4736"/>
        <w:gridCol w:w="2552"/>
        <w:gridCol w:w="2552"/>
      </w:tblGrid>
      <w:tr w:rsidR="008B0D4A" w:rsidRPr="00A65C59" w:rsidTr="008B0D4A">
        <w:trPr>
          <w:trHeight w:hRule="exact" w:val="285"/>
        </w:trPr>
        <w:tc>
          <w:tcPr>
            <w:tcW w:w="4736" w:type="dxa"/>
            <w:tcBorders>
              <w:left w:val="nil"/>
            </w:tcBorders>
            <w:shd w:val="clear" w:color="auto" w:fill="F1F3F5"/>
            <w:tcMar>
              <w:top w:w="58" w:type="dxa"/>
              <w:left w:w="58" w:type="dxa"/>
              <w:bottom w:w="58" w:type="dxa"/>
              <w:right w:w="58" w:type="dxa"/>
            </w:tcMar>
          </w:tcPr>
          <w:p w:rsidR="008B0D4A" w:rsidRPr="00447B61" w:rsidRDefault="008B0D4A" w:rsidP="008B0D4A">
            <w:pPr>
              <w:widowControl w:val="0"/>
              <w:rPr>
                <w:rFonts w:ascii="Arial" w:hAnsi="Arial" w:cs="Arial"/>
                <w:color w:val="800000"/>
                <w:sz w:val="16"/>
                <w:szCs w:val="16"/>
                <w:lang w:val="en-US"/>
              </w:rPr>
            </w:pPr>
            <w:r w:rsidRPr="00A65C59">
              <w:rPr>
                <w:rFonts w:ascii="Arial" w:hAnsi="Arial" w:cs="Arial"/>
                <w:b/>
                <w:bCs/>
                <w:color w:val="800000"/>
                <w:sz w:val="16"/>
                <w:szCs w:val="16"/>
                <w:lang w:val="en-GB"/>
              </w:rPr>
              <w:t>Χρηματοοικονομικοί Δείκτες</w:t>
            </w:r>
            <w:r w:rsidRPr="00A65C59">
              <w:rPr>
                <w:rFonts w:ascii="Arial" w:hAnsi="Arial" w:cs="Arial"/>
                <w:b/>
                <w:bCs/>
                <w:color w:val="800000"/>
                <w:sz w:val="16"/>
                <w:szCs w:val="16"/>
              </w:rPr>
              <w:t xml:space="preserve"> </w:t>
            </w:r>
          </w:p>
          <w:p w:rsidR="008B0D4A" w:rsidRPr="00A65C59" w:rsidRDefault="008B0D4A" w:rsidP="008B0D4A">
            <w:pPr>
              <w:widowControl w:val="0"/>
              <w:rPr>
                <w:rFonts w:ascii="Arial" w:hAnsi="Arial" w:cs="Arial"/>
                <w:b/>
                <w:bCs/>
                <w:color w:val="800000"/>
                <w:sz w:val="16"/>
                <w:szCs w:val="16"/>
                <w:lang w:val="en-GB"/>
              </w:rPr>
            </w:pPr>
          </w:p>
        </w:tc>
        <w:tc>
          <w:tcPr>
            <w:tcW w:w="2552" w:type="dxa"/>
            <w:shd w:val="clear" w:color="auto" w:fill="F1F3F5"/>
            <w:vAlign w:val="center"/>
          </w:tcPr>
          <w:p w:rsidR="008B0D4A" w:rsidRPr="00C75F4A" w:rsidRDefault="008B0D4A" w:rsidP="004A1297">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4A1297">
              <w:rPr>
                <w:rFonts w:ascii="Arial" w:hAnsi="Arial" w:cs="Arial"/>
                <w:b/>
                <w:bCs/>
                <w:color w:val="800000"/>
                <w:sz w:val="16"/>
                <w:szCs w:val="16"/>
              </w:rPr>
              <w:t xml:space="preserve">Εξάμηνο </w:t>
            </w:r>
            <w:r>
              <w:rPr>
                <w:rFonts w:ascii="Arial" w:hAnsi="Arial" w:cs="Arial"/>
                <w:b/>
                <w:bCs/>
                <w:color w:val="800000"/>
                <w:sz w:val="16"/>
                <w:szCs w:val="16"/>
              </w:rPr>
              <w:t>2020</w:t>
            </w:r>
          </w:p>
        </w:tc>
        <w:tc>
          <w:tcPr>
            <w:tcW w:w="2552" w:type="dxa"/>
            <w:shd w:val="clear" w:color="auto" w:fill="F1F3F5"/>
            <w:vAlign w:val="center"/>
          </w:tcPr>
          <w:p w:rsidR="008B0D4A" w:rsidRDefault="008B0D4A" w:rsidP="004A1297">
            <w:pPr>
              <w:widowControl w:val="0"/>
              <w:jc w:val="center"/>
              <w:rPr>
                <w:rFonts w:ascii="Arial" w:hAnsi="Arial" w:cs="Arial"/>
                <w:b/>
                <w:bCs/>
                <w:color w:val="800000"/>
                <w:sz w:val="16"/>
                <w:szCs w:val="16"/>
              </w:rPr>
            </w:pPr>
            <w:r>
              <w:rPr>
                <w:rFonts w:ascii="Arial" w:hAnsi="Arial" w:cs="Arial"/>
                <w:b/>
                <w:bCs/>
                <w:color w:val="800000"/>
                <w:sz w:val="16"/>
                <w:szCs w:val="16"/>
              </w:rPr>
              <w:t xml:space="preserve">Α΄ </w:t>
            </w:r>
            <w:r w:rsidR="004A1297">
              <w:rPr>
                <w:rFonts w:ascii="Arial" w:hAnsi="Arial" w:cs="Arial"/>
                <w:b/>
                <w:bCs/>
                <w:color w:val="800000"/>
                <w:sz w:val="16"/>
                <w:szCs w:val="16"/>
              </w:rPr>
              <w:t>Εξά</w:t>
            </w:r>
            <w:r>
              <w:rPr>
                <w:rFonts w:ascii="Arial" w:hAnsi="Arial" w:cs="Arial"/>
                <w:b/>
                <w:bCs/>
                <w:color w:val="800000"/>
                <w:sz w:val="16"/>
                <w:szCs w:val="16"/>
              </w:rPr>
              <w:t>μηνο 2019</w:t>
            </w:r>
          </w:p>
        </w:tc>
      </w:tr>
      <w:tr w:rsidR="00BA2942" w:rsidRPr="00A65C59"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A65C59" w:rsidRDefault="00BA2942" w:rsidP="00BA2942">
            <w:pPr>
              <w:widowControl w:val="0"/>
              <w:rPr>
                <w:rFonts w:ascii="Arial" w:hAnsi="Arial" w:cs="Arial"/>
                <w:color w:val="000066"/>
                <w:sz w:val="16"/>
                <w:szCs w:val="16"/>
              </w:rPr>
            </w:pPr>
            <w:r w:rsidRPr="00A65C59">
              <w:rPr>
                <w:rFonts w:ascii="Arial" w:hAnsi="Arial" w:cs="Arial"/>
                <w:color w:val="000066"/>
                <w:sz w:val="16"/>
                <w:szCs w:val="16"/>
              </w:rPr>
              <w:t>Καθαρό Περιθώριο Επιτοκίου</w:t>
            </w:r>
          </w:p>
          <w:p w:rsidR="00BA2942" w:rsidRPr="00A65C59" w:rsidRDefault="00BA2942" w:rsidP="00BA2942">
            <w:pPr>
              <w:widowControl w:val="0"/>
              <w:rPr>
                <w:rFonts w:ascii="Arial" w:hAnsi="Arial" w:cs="Arial"/>
                <w:sz w:val="16"/>
                <w:szCs w:val="16"/>
              </w:rPr>
            </w:pPr>
          </w:p>
          <w:p w:rsidR="00BA2942" w:rsidRPr="00A65C59" w:rsidRDefault="00BA2942" w:rsidP="00BA2942">
            <w:pPr>
              <w:widowControl w:val="0"/>
              <w:rPr>
                <w:rFonts w:ascii="Arial" w:hAnsi="Arial" w:cs="Arial"/>
                <w:b/>
                <w:bCs/>
                <w:color w:val="800000"/>
                <w:sz w:val="16"/>
                <w:szCs w:val="16"/>
              </w:rPr>
            </w:pPr>
          </w:p>
        </w:tc>
        <w:tc>
          <w:tcPr>
            <w:tcW w:w="2552" w:type="dxa"/>
            <w:shd w:val="clear" w:color="auto" w:fill="F1F3F5"/>
          </w:tcPr>
          <w:p w:rsidR="00BA2942" w:rsidRPr="00E245DA" w:rsidRDefault="004A1297" w:rsidP="00BA2942">
            <w:pPr>
              <w:widowControl w:val="0"/>
              <w:jc w:val="center"/>
              <w:rPr>
                <w:rFonts w:ascii="Arial" w:hAnsi="Arial" w:cs="Arial"/>
                <w:color w:val="000066"/>
                <w:sz w:val="16"/>
                <w:szCs w:val="16"/>
              </w:rPr>
            </w:pPr>
            <w:r>
              <w:rPr>
                <w:rFonts w:ascii="Arial" w:hAnsi="Arial" w:cs="Arial"/>
                <w:color w:val="000066"/>
                <w:sz w:val="16"/>
                <w:szCs w:val="16"/>
              </w:rPr>
              <w:t>2,09</w:t>
            </w:r>
            <w:r w:rsidR="00217902">
              <w:rPr>
                <w:rFonts w:ascii="Arial" w:hAnsi="Arial" w:cs="Arial"/>
                <w:color w:val="000066"/>
                <w:sz w:val="16"/>
                <w:szCs w:val="16"/>
              </w:rPr>
              <w:t>%</w:t>
            </w:r>
          </w:p>
        </w:tc>
        <w:tc>
          <w:tcPr>
            <w:tcW w:w="2552" w:type="dxa"/>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2,28</w:t>
            </w:r>
            <w:r w:rsidR="00217902">
              <w:rPr>
                <w:rFonts w:ascii="Arial" w:hAnsi="Arial" w:cs="Arial"/>
                <w:color w:val="000066"/>
                <w:sz w:val="16"/>
                <w:szCs w:val="16"/>
              </w:rPr>
              <w:t>%</w:t>
            </w:r>
          </w:p>
        </w:tc>
      </w:tr>
      <w:tr w:rsidR="00BA2942" w:rsidRPr="00A65C59"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A65C59" w:rsidRDefault="00BA2942" w:rsidP="00BA2942">
            <w:pPr>
              <w:widowControl w:val="0"/>
              <w:rPr>
                <w:rFonts w:ascii="Arial" w:hAnsi="Arial" w:cs="Arial"/>
                <w:color w:val="000066"/>
                <w:sz w:val="16"/>
                <w:szCs w:val="16"/>
              </w:rPr>
            </w:pPr>
            <w:r w:rsidRPr="00A65C59">
              <w:rPr>
                <w:rFonts w:ascii="Arial" w:hAnsi="Arial" w:cs="Arial"/>
                <w:color w:val="000066"/>
                <w:sz w:val="16"/>
                <w:szCs w:val="16"/>
              </w:rPr>
              <w:t>Δείκτης Κόστους προς Έσοδα</w:t>
            </w:r>
          </w:p>
          <w:p w:rsidR="00BA2942" w:rsidRPr="00A65C59" w:rsidRDefault="00BA2942" w:rsidP="00BA2942">
            <w:pPr>
              <w:widowControl w:val="0"/>
              <w:rPr>
                <w:rFonts w:ascii="Arial" w:hAnsi="Arial" w:cs="Arial"/>
                <w:sz w:val="16"/>
                <w:szCs w:val="16"/>
              </w:rPr>
            </w:pPr>
          </w:p>
          <w:p w:rsidR="00BA2942" w:rsidRPr="00A65C59" w:rsidRDefault="00BA2942" w:rsidP="00BA2942">
            <w:pPr>
              <w:widowControl w:val="0"/>
              <w:rPr>
                <w:rFonts w:ascii="Arial" w:hAnsi="Arial" w:cs="Arial"/>
                <w:b/>
                <w:bCs/>
                <w:color w:val="800000"/>
                <w:sz w:val="16"/>
                <w:szCs w:val="16"/>
              </w:rPr>
            </w:pPr>
          </w:p>
        </w:tc>
        <w:tc>
          <w:tcPr>
            <w:tcW w:w="2552" w:type="dxa"/>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46,4</w:t>
            </w:r>
            <w:r w:rsidR="00217902">
              <w:rPr>
                <w:rFonts w:ascii="Arial" w:hAnsi="Arial" w:cs="Arial"/>
                <w:color w:val="000066"/>
                <w:sz w:val="16"/>
                <w:szCs w:val="16"/>
              </w:rPr>
              <w:t>%</w:t>
            </w:r>
          </w:p>
        </w:tc>
        <w:tc>
          <w:tcPr>
            <w:tcW w:w="2552" w:type="dxa"/>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48,0</w:t>
            </w:r>
            <w:r w:rsidR="00217902">
              <w:rPr>
                <w:rFonts w:ascii="Arial" w:hAnsi="Arial" w:cs="Arial"/>
                <w:color w:val="000066"/>
                <w:sz w:val="16"/>
                <w:szCs w:val="16"/>
              </w:rPr>
              <w:t>%</w:t>
            </w:r>
          </w:p>
        </w:tc>
      </w:tr>
      <w:tr w:rsidR="00BA2942" w:rsidRPr="00A65C59"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A65C59" w:rsidRDefault="00BA2942" w:rsidP="00BA2942">
            <w:pPr>
              <w:widowControl w:val="0"/>
              <w:rPr>
                <w:rFonts w:ascii="Arial" w:hAnsi="Arial" w:cs="Arial"/>
                <w:color w:val="000066"/>
                <w:sz w:val="16"/>
                <w:szCs w:val="16"/>
                <w:lang w:val="en-US"/>
              </w:rPr>
            </w:pPr>
            <w:r w:rsidRPr="00A65C59">
              <w:rPr>
                <w:rFonts w:ascii="Arial" w:hAnsi="Arial" w:cs="Arial"/>
                <w:color w:val="000066"/>
                <w:sz w:val="16"/>
                <w:szCs w:val="16"/>
              </w:rPr>
              <w:t>Μη Εξυπηρετούμενα Ανοίγματα (</w:t>
            </w:r>
            <w:r w:rsidRPr="00A65C59">
              <w:rPr>
                <w:rFonts w:ascii="Arial" w:hAnsi="Arial" w:cs="Arial"/>
                <w:color w:val="000066"/>
                <w:sz w:val="16"/>
                <w:szCs w:val="16"/>
                <w:lang w:val="en-US"/>
              </w:rPr>
              <w:t>NPEs)</w:t>
            </w:r>
          </w:p>
        </w:tc>
        <w:tc>
          <w:tcPr>
            <w:tcW w:w="2552" w:type="dxa"/>
            <w:shd w:val="clear" w:color="auto" w:fill="F1F3F5"/>
          </w:tcPr>
          <w:p w:rsidR="00BA2942" w:rsidRPr="00E245DA" w:rsidRDefault="004A1297" w:rsidP="00BA2942">
            <w:pPr>
              <w:widowControl w:val="0"/>
              <w:jc w:val="center"/>
              <w:rPr>
                <w:rFonts w:ascii="Arial" w:hAnsi="Arial" w:cs="Arial"/>
                <w:color w:val="000066"/>
                <w:sz w:val="16"/>
                <w:szCs w:val="16"/>
              </w:rPr>
            </w:pPr>
            <w:r>
              <w:rPr>
                <w:rFonts w:ascii="Arial" w:hAnsi="Arial" w:cs="Arial"/>
                <w:color w:val="000066"/>
                <w:sz w:val="16"/>
                <w:szCs w:val="16"/>
              </w:rPr>
              <w:t>15,3</w:t>
            </w:r>
            <w:r w:rsidR="00217902">
              <w:rPr>
                <w:rFonts w:ascii="Arial" w:hAnsi="Arial" w:cs="Arial"/>
                <w:color w:val="000066"/>
                <w:sz w:val="16"/>
                <w:szCs w:val="16"/>
              </w:rPr>
              <w:t>%</w:t>
            </w:r>
          </w:p>
        </w:tc>
        <w:tc>
          <w:tcPr>
            <w:tcW w:w="2552" w:type="dxa"/>
            <w:shd w:val="clear" w:color="auto" w:fill="F1F3F5"/>
          </w:tcPr>
          <w:p w:rsidR="00BA2942" w:rsidRPr="00E245DA" w:rsidRDefault="004A1297" w:rsidP="00BA2942">
            <w:pPr>
              <w:widowControl w:val="0"/>
              <w:jc w:val="center"/>
              <w:rPr>
                <w:rFonts w:ascii="Arial" w:hAnsi="Arial" w:cs="Arial"/>
                <w:color w:val="000066"/>
                <w:sz w:val="16"/>
                <w:szCs w:val="16"/>
              </w:rPr>
            </w:pPr>
            <w:r>
              <w:rPr>
                <w:rFonts w:ascii="Arial" w:hAnsi="Arial" w:cs="Arial"/>
                <w:color w:val="000066"/>
                <w:sz w:val="16"/>
                <w:szCs w:val="16"/>
              </w:rPr>
              <w:t>32,8</w:t>
            </w:r>
            <w:r w:rsidR="00217902">
              <w:rPr>
                <w:rFonts w:ascii="Arial" w:hAnsi="Arial" w:cs="Arial"/>
                <w:color w:val="000066"/>
                <w:sz w:val="16"/>
                <w:szCs w:val="16"/>
              </w:rPr>
              <w:t>%</w:t>
            </w:r>
          </w:p>
        </w:tc>
      </w:tr>
      <w:tr w:rsidR="00BA2942" w:rsidRPr="00A65C59"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A65C59" w:rsidRDefault="00BA2942" w:rsidP="00BA2942">
            <w:pPr>
              <w:widowControl w:val="0"/>
              <w:rPr>
                <w:rFonts w:ascii="Arial" w:hAnsi="Arial" w:cs="Arial"/>
                <w:color w:val="000066"/>
                <w:sz w:val="16"/>
                <w:szCs w:val="16"/>
              </w:rPr>
            </w:pPr>
            <w:r>
              <w:rPr>
                <w:rFonts w:ascii="Arial" w:hAnsi="Arial" w:cs="Arial"/>
                <w:color w:val="000066"/>
                <w:sz w:val="16"/>
                <w:szCs w:val="16"/>
              </w:rPr>
              <w:t>Σωρευτικές προβλέψεις προς μη εξυπηρετούμενα</w:t>
            </w:r>
            <w:r w:rsidRPr="00A65C59">
              <w:rPr>
                <w:rFonts w:ascii="Arial" w:hAnsi="Arial" w:cs="Arial"/>
                <w:color w:val="000066"/>
                <w:sz w:val="16"/>
                <w:szCs w:val="16"/>
              </w:rPr>
              <w:t xml:space="preserve"> </w:t>
            </w:r>
            <w:r>
              <w:rPr>
                <w:rFonts w:ascii="Arial" w:hAnsi="Arial" w:cs="Arial"/>
                <w:color w:val="000066"/>
                <w:sz w:val="16"/>
                <w:szCs w:val="16"/>
              </w:rPr>
              <w:t>ανοί</w:t>
            </w:r>
            <w:r w:rsidRPr="00A65C59">
              <w:rPr>
                <w:rFonts w:ascii="Arial" w:hAnsi="Arial" w:cs="Arial"/>
                <w:color w:val="000066"/>
                <w:sz w:val="16"/>
                <w:szCs w:val="16"/>
              </w:rPr>
              <w:t>γμ</w:t>
            </w:r>
            <w:r>
              <w:rPr>
                <w:rFonts w:ascii="Arial" w:hAnsi="Arial" w:cs="Arial"/>
                <w:color w:val="000066"/>
                <w:sz w:val="16"/>
                <w:szCs w:val="16"/>
              </w:rPr>
              <w:t>ατα</w:t>
            </w:r>
          </w:p>
        </w:tc>
        <w:tc>
          <w:tcPr>
            <w:tcW w:w="2552" w:type="dxa"/>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60,6</w:t>
            </w:r>
            <w:r w:rsidR="00217902">
              <w:rPr>
                <w:rFonts w:ascii="Arial" w:hAnsi="Arial" w:cs="Arial"/>
                <w:color w:val="000066"/>
                <w:sz w:val="16"/>
                <w:szCs w:val="16"/>
              </w:rPr>
              <w:t>%</w:t>
            </w:r>
          </w:p>
        </w:tc>
        <w:tc>
          <w:tcPr>
            <w:tcW w:w="2552" w:type="dxa"/>
            <w:shd w:val="clear" w:color="auto" w:fill="F1F3F5"/>
          </w:tcPr>
          <w:p w:rsidR="00BA2942" w:rsidRPr="00E245DA" w:rsidRDefault="00217902" w:rsidP="004A1297">
            <w:pPr>
              <w:widowControl w:val="0"/>
              <w:jc w:val="center"/>
              <w:rPr>
                <w:rFonts w:ascii="Arial" w:hAnsi="Arial" w:cs="Arial"/>
                <w:color w:val="000066"/>
                <w:sz w:val="16"/>
                <w:szCs w:val="16"/>
              </w:rPr>
            </w:pPr>
            <w:r>
              <w:rPr>
                <w:rFonts w:ascii="Arial" w:hAnsi="Arial" w:cs="Arial"/>
                <w:color w:val="000066"/>
                <w:sz w:val="16"/>
                <w:szCs w:val="16"/>
              </w:rPr>
              <w:t>5</w:t>
            </w:r>
            <w:r w:rsidR="004A1297">
              <w:rPr>
                <w:rFonts w:ascii="Arial" w:hAnsi="Arial" w:cs="Arial"/>
                <w:color w:val="000066"/>
                <w:sz w:val="16"/>
                <w:szCs w:val="16"/>
              </w:rPr>
              <w:t>4,5</w:t>
            </w:r>
            <w:r>
              <w:rPr>
                <w:rFonts w:ascii="Arial" w:hAnsi="Arial" w:cs="Arial"/>
                <w:color w:val="000066"/>
                <w:sz w:val="16"/>
                <w:szCs w:val="16"/>
              </w:rPr>
              <w:t>%</w:t>
            </w:r>
          </w:p>
        </w:tc>
      </w:tr>
      <w:tr w:rsidR="00BA2942" w:rsidRPr="00A65C59" w:rsidTr="00BA2942">
        <w:trPr>
          <w:trHeight w:hRule="exact" w:val="285"/>
        </w:trPr>
        <w:tc>
          <w:tcPr>
            <w:tcW w:w="4736" w:type="dxa"/>
            <w:tcBorders>
              <w:left w:val="nil"/>
              <w:bottom w:val="single" w:sz="4" w:space="0" w:color="003366"/>
            </w:tcBorders>
            <w:shd w:val="clear" w:color="auto" w:fill="F1F3F5"/>
            <w:tcMar>
              <w:top w:w="58" w:type="dxa"/>
              <w:left w:w="58" w:type="dxa"/>
              <w:bottom w:w="58" w:type="dxa"/>
              <w:right w:w="58" w:type="dxa"/>
            </w:tcMar>
            <w:vAlign w:val="center"/>
          </w:tcPr>
          <w:p w:rsidR="00BA2942" w:rsidRPr="00A27259" w:rsidRDefault="00BA2942" w:rsidP="00BA2942">
            <w:pPr>
              <w:widowControl w:val="0"/>
              <w:rPr>
                <w:rFonts w:ascii="Arial" w:hAnsi="Arial" w:cs="Arial"/>
                <w:sz w:val="16"/>
                <w:szCs w:val="16"/>
              </w:rPr>
            </w:pPr>
            <w:r w:rsidRPr="00A65C59">
              <w:rPr>
                <w:rFonts w:ascii="Arial" w:hAnsi="Arial" w:cs="Arial"/>
                <w:color w:val="000066"/>
                <w:sz w:val="16"/>
                <w:szCs w:val="16"/>
              </w:rPr>
              <w:t>Προ</w:t>
            </w:r>
            <w:r w:rsidRPr="00A27259">
              <w:rPr>
                <w:rFonts w:ascii="Arial" w:hAnsi="Arial" w:cs="Arial"/>
                <w:color w:val="000066"/>
                <w:sz w:val="16"/>
                <w:szCs w:val="16"/>
              </w:rPr>
              <w:t>βλ</w:t>
            </w:r>
            <w:r w:rsidRPr="00A65C59">
              <w:rPr>
                <w:rFonts w:ascii="Arial" w:hAnsi="Arial" w:cs="Arial"/>
                <w:color w:val="000066"/>
                <w:sz w:val="16"/>
                <w:szCs w:val="16"/>
              </w:rPr>
              <w:t>έψεις</w:t>
            </w:r>
            <w:r w:rsidRPr="00A27259">
              <w:rPr>
                <w:rFonts w:ascii="Arial" w:hAnsi="Arial" w:cs="Arial"/>
                <w:color w:val="000066"/>
                <w:sz w:val="16"/>
                <w:szCs w:val="16"/>
              </w:rPr>
              <w:t xml:space="preserve"> προς </w:t>
            </w:r>
            <w:r w:rsidRPr="00A65C59">
              <w:rPr>
                <w:rFonts w:ascii="Arial" w:hAnsi="Arial" w:cs="Arial"/>
                <w:color w:val="000066"/>
                <w:sz w:val="16"/>
                <w:szCs w:val="16"/>
              </w:rPr>
              <w:t>Δά</w:t>
            </w:r>
            <w:r w:rsidRPr="00A27259">
              <w:rPr>
                <w:rFonts w:ascii="Arial" w:hAnsi="Arial" w:cs="Arial"/>
                <w:color w:val="000066"/>
                <w:sz w:val="16"/>
                <w:szCs w:val="16"/>
              </w:rPr>
              <w:t xml:space="preserve">νεια </w:t>
            </w:r>
            <w:r w:rsidR="00A27259">
              <w:rPr>
                <w:rFonts w:ascii="Arial" w:hAnsi="Arial" w:cs="Arial"/>
                <w:color w:val="000066"/>
                <w:sz w:val="16"/>
                <w:szCs w:val="16"/>
              </w:rPr>
              <w:t>(Κόστος Κινδύνου)</w:t>
            </w:r>
          </w:p>
          <w:p w:rsidR="00BA2942" w:rsidRPr="00A65C59" w:rsidRDefault="00BA2942" w:rsidP="00BA2942">
            <w:pPr>
              <w:widowControl w:val="0"/>
              <w:rPr>
                <w:rFonts w:ascii="Arial" w:hAnsi="Arial" w:cs="Arial"/>
                <w:color w:val="000066"/>
                <w:sz w:val="16"/>
                <w:szCs w:val="16"/>
              </w:rPr>
            </w:pPr>
          </w:p>
        </w:tc>
        <w:tc>
          <w:tcPr>
            <w:tcW w:w="2552" w:type="dxa"/>
            <w:tcBorders>
              <w:bottom w:val="single" w:sz="4" w:space="0" w:color="003366"/>
            </w:tcBorders>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1,4</w:t>
            </w:r>
            <w:r w:rsidR="00217902">
              <w:rPr>
                <w:rFonts w:ascii="Arial" w:hAnsi="Arial" w:cs="Arial"/>
                <w:color w:val="000066"/>
                <w:sz w:val="16"/>
                <w:szCs w:val="16"/>
              </w:rPr>
              <w:t>4%</w:t>
            </w:r>
          </w:p>
        </w:tc>
        <w:tc>
          <w:tcPr>
            <w:tcW w:w="2552" w:type="dxa"/>
            <w:tcBorders>
              <w:bottom w:val="single" w:sz="4" w:space="0" w:color="003366"/>
            </w:tcBorders>
            <w:shd w:val="clear" w:color="auto" w:fill="F1F3F5"/>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1,90</w:t>
            </w:r>
            <w:r w:rsidR="00217902">
              <w:rPr>
                <w:rFonts w:ascii="Arial" w:hAnsi="Arial" w:cs="Arial"/>
                <w:color w:val="000066"/>
                <w:sz w:val="16"/>
                <w:szCs w:val="16"/>
              </w:rPr>
              <w:t>%</w:t>
            </w:r>
          </w:p>
        </w:tc>
      </w:tr>
      <w:tr w:rsidR="00BA2942" w:rsidRPr="002A1856"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A65C59" w:rsidRDefault="00BA2942" w:rsidP="00BA2942">
            <w:pPr>
              <w:widowControl w:val="0"/>
              <w:rPr>
                <w:rFonts w:ascii="Arial" w:hAnsi="Arial" w:cs="Arial"/>
                <w:color w:val="000066"/>
                <w:sz w:val="16"/>
                <w:szCs w:val="16"/>
              </w:rPr>
            </w:pPr>
            <w:r w:rsidRPr="00A65C59">
              <w:rPr>
                <w:rFonts w:ascii="Arial" w:hAnsi="Arial" w:cs="Arial"/>
                <w:color w:val="000066"/>
                <w:sz w:val="16"/>
                <w:szCs w:val="16"/>
              </w:rPr>
              <w:t>Κεφάλαια Κοινών Μετοχών Κατηγορίας Ι (</w:t>
            </w:r>
            <w:r w:rsidRPr="00A65C59">
              <w:rPr>
                <w:rFonts w:ascii="Arial" w:hAnsi="Arial" w:cs="Arial"/>
                <w:color w:val="000066"/>
                <w:sz w:val="16"/>
                <w:szCs w:val="16"/>
                <w:lang w:val="en-US"/>
              </w:rPr>
              <w:t>CET</w:t>
            </w:r>
            <w:r w:rsidRPr="00A65C59">
              <w:rPr>
                <w:rFonts w:ascii="Arial" w:hAnsi="Arial" w:cs="Arial"/>
                <w:color w:val="000066"/>
                <w:sz w:val="16"/>
                <w:szCs w:val="16"/>
              </w:rPr>
              <w:t>1)</w:t>
            </w:r>
          </w:p>
        </w:tc>
        <w:tc>
          <w:tcPr>
            <w:tcW w:w="2552" w:type="dxa"/>
            <w:shd w:val="clear" w:color="auto" w:fill="F1F3F5"/>
            <w:vAlign w:val="center"/>
          </w:tcPr>
          <w:p w:rsidR="00BA2942" w:rsidRPr="00E245DA" w:rsidRDefault="004A1297" w:rsidP="00497C64">
            <w:pPr>
              <w:widowControl w:val="0"/>
              <w:jc w:val="center"/>
              <w:rPr>
                <w:rFonts w:ascii="Arial" w:hAnsi="Arial" w:cs="Arial"/>
                <w:color w:val="000066"/>
                <w:sz w:val="16"/>
                <w:szCs w:val="16"/>
              </w:rPr>
            </w:pPr>
            <w:r>
              <w:rPr>
                <w:rFonts w:ascii="Arial" w:hAnsi="Arial" w:cs="Arial"/>
                <w:color w:val="000066"/>
                <w:sz w:val="16"/>
                <w:szCs w:val="16"/>
              </w:rPr>
              <w:t>13,0</w:t>
            </w:r>
            <w:r w:rsidR="00217902">
              <w:rPr>
                <w:rFonts w:ascii="Arial" w:hAnsi="Arial" w:cs="Arial"/>
                <w:color w:val="000066"/>
                <w:sz w:val="16"/>
                <w:szCs w:val="16"/>
              </w:rPr>
              <w:t>%</w:t>
            </w:r>
          </w:p>
        </w:tc>
        <w:tc>
          <w:tcPr>
            <w:tcW w:w="2552" w:type="dxa"/>
            <w:shd w:val="clear" w:color="auto" w:fill="F1F3F5"/>
            <w:vAlign w:val="center"/>
          </w:tcPr>
          <w:p w:rsidR="00BA2942" w:rsidRPr="005666BC" w:rsidRDefault="004A1297" w:rsidP="00BA2942">
            <w:pPr>
              <w:widowControl w:val="0"/>
              <w:jc w:val="center"/>
              <w:rPr>
                <w:rFonts w:ascii="Arial" w:hAnsi="Arial" w:cs="Arial"/>
                <w:color w:val="000066"/>
                <w:sz w:val="16"/>
                <w:szCs w:val="16"/>
                <w:lang w:val="en-US"/>
              </w:rPr>
            </w:pPr>
            <w:r>
              <w:rPr>
                <w:rFonts w:ascii="Arial" w:hAnsi="Arial" w:cs="Arial"/>
                <w:color w:val="000066"/>
                <w:sz w:val="16"/>
                <w:szCs w:val="16"/>
                <w:lang w:val="en-US"/>
              </w:rPr>
              <w:t>15,9</w:t>
            </w:r>
            <w:r w:rsidR="005666BC">
              <w:rPr>
                <w:rFonts w:ascii="Arial" w:hAnsi="Arial" w:cs="Arial"/>
                <w:color w:val="000066"/>
                <w:sz w:val="16"/>
                <w:szCs w:val="16"/>
                <w:lang w:val="en-US"/>
              </w:rPr>
              <w:t>%</w:t>
            </w:r>
          </w:p>
        </w:tc>
      </w:tr>
      <w:tr w:rsidR="00BA2942" w:rsidRPr="002A1856" w:rsidTr="00BA2942">
        <w:trPr>
          <w:trHeight w:hRule="exact" w:val="285"/>
        </w:trPr>
        <w:tc>
          <w:tcPr>
            <w:tcW w:w="4736" w:type="dxa"/>
            <w:tcBorders>
              <w:left w:val="nil"/>
            </w:tcBorders>
            <w:shd w:val="clear" w:color="auto" w:fill="F1F3F5"/>
            <w:tcMar>
              <w:top w:w="58" w:type="dxa"/>
              <w:left w:w="58" w:type="dxa"/>
              <w:bottom w:w="58" w:type="dxa"/>
              <w:right w:w="58" w:type="dxa"/>
            </w:tcMar>
            <w:vAlign w:val="center"/>
          </w:tcPr>
          <w:p w:rsidR="00BA2942" w:rsidRPr="000C08B9" w:rsidRDefault="00BA2942" w:rsidP="00BA2942">
            <w:pPr>
              <w:widowControl w:val="0"/>
              <w:rPr>
                <w:rFonts w:ascii="Arial" w:hAnsi="Arial" w:cs="Arial"/>
                <w:color w:val="000066"/>
                <w:sz w:val="16"/>
                <w:szCs w:val="16"/>
                <w:lang w:val="en-US"/>
              </w:rPr>
            </w:pPr>
            <w:r>
              <w:rPr>
                <w:rFonts w:ascii="Arial" w:hAnsi="Arial" w:cs="Arial"/>
                <w:color w:val="000066"/>
                <w:sz w:val="16"/>
                <w:szCs w:val="16"/>
              </w:rPr>
              <w:t>Συνολική Κεφαλαιακή Επάρκεια (</w:t>
            </w:r>
            <w:r>
              <w:rPr>
                <w:rFonts w:ascii="Arial" w:hAnsi="Arial" w:cs="Arial"/>
                <w:color w:val="000066"/>
                <w:sz w:val="16"/>
                <w:szCs w:val="16"/>
                <w:lang w:val="en-US"/>
              </w:rPr>
              <w:t>CAD)</w:t>
            </w:r>
          </w:p>
        </w:tc>
        <w:tc>
          <w:tcPr>
            <w:tcW w:w="2552" w:type="dxa"/>
            <w:shd w:val="clear" w:color="auto" w:fill="F1F3F5"/>
            <w:vAlign w:val="center"/>
          </w:tcPr>
          <w:p w:rsidR="00BA2942" w:rsidRPr="00E245DA" w:rsidRDefault="004A1297" w:rsidP="00BA2942">
            <w:pPr>
              <w:widowControl w:val="0"/>
              <w:jc w:val="center"/>
              <w:rPr>
                <w:rFonts w:ascii="Arial" w:hAnsi="Arial" w:cs="Arial"/>
                <w:color w:val="000066"/>
                <w:sz w:val="16"/>
                <w:szCs w:val="16"/>
              </w:rPr>
            </w:pPr>
            <w:r>
              <w:rPr>
                <w:rFonts w:ascii="Arial" w:hAnsi="Arial" w:cs="Arial"/>
                <w:color w:val="000066"/>
                <w:sz w:val="16"/>
                <w:szCs w:val="16"/>
              </w:rPr>
              <w:t>15,5</w:t>
            </w:r>
            <w:r w:rsidR="00217902">
              <w:rPr>
                <w:rFonts w:ascii="Arial" w:hAnsi="Arial" w:cs="Arial"/>
                <w:color w:val="000066"/>
                <w:sz w:val="16"/>
                <w:szCs w:val="16"/>
              </w:rPr>
              <w:t>%</w:t>
            </w:r>
          </w:p>
        </w:tc>
        <w:tc>
          <w:tcPr>
            <w:tcW w:w="2552" w:type="dxa"/>
            <w:shd w:val="clear" w:color="auto" w:fill="F1F3F5"/>
            <w:vAlign w:val="center"/>
          </w:tcPr>
          <w:p w:rsidR="00BA2942" w:rsidRPr="005666BC" w:rsidRDefault="004A1297" w:rsidP="00BA2942">
            <w:pPr>
              <w:widowControl w:val="0"/>
              <w:jc w:val="center"/>
              <w:rPr>
                <w:rFonts w:ascii="Arial" w:hAnsi="Arial" w:cs="Arial"/>
                <w:color w:val="000066"/>
                <w:sz w:val="16"/>
                <w:szCs w:val="16"/>
                <w:lang w:val="en-US"/>
              </w:rPr>
            </w:pPr>
            <w:r>
              <w:rPr>
                <w:rFonts w:ascii="Arial" w:hAnsi="Arial" w:cs="Arial"/>
                <w:color w:val="000066"/>
                <w:sz w:val="16"/>
                <w:szCs w:val="16"/>
                <w:lang w:val="en-US"/>
              </w:rPr>
              <w:t>18,4</w:t>
            </w:r>
            <w:r w:rsidR="005666BC">
              <w:rPr>
                <w:rFonts w:ascii="Arial" w:hAnsi="Arial" w:cs="Arial"/>
                <w:color w:val="000066"/>
                <w:sz w:val="16"/>
                <w:szCs w:val="16"/>
                <w:lang w:val="en-US"/>
              </w:rPr>
              <w:t>%</w:t>
            </w:r>
          </w:p>
        </w:tc>
      </w:tr>
    </w:tbl>
    <w:p w:rsidR="00F40322" w:rsidRDefault="00F40322" w:rsidP="00F40322">
      <w:r>
        <w:rPr>
          <w:noProof/>
        </w:rPr>
        <w:pict>
          <v:roundrect id="_x0000_s1057" style="position:absolute;margin-left:-39.3pt;margin-top:7.45pt;width:498.9pt;height:153.75pt;z-index:-27;visibility:visible;mso-wrap-edited:f;mso-wrap-distance-left:2.88pt;mso-wrap-distance-top:2.88pt;mso-wrap-distance-right:2.88pt;mso-wrap-distance-bottom:2.88pt;mso-position-horizontal-relative:text;mso-position-vertical-relative:text" arcsize="3468f" fillcolor="#f1f3f5" strokecolor="#006" strokeweight="2pt" insetpen="t" o:cliptowrap="t">
            <v:shadow color="#ccc"/>
            <o:lock v:ext="edit" shapetype="t"/>
            <v:textbox inset="2.88pt,2.88pt,2.88pt,2.88pt"/>
          </v:roundrect>
        </w:pict>
      </w:r>
      <w:r>
        <w:rPr>
          <w:noProof/>
        </w:rPr>
        <w:pict>
          <v:shape id="_x0000_s1061" type="#_x0000_t201" style="position:absolute;margin-left:56.55pt;margin-top:560.8pt;width:478.95pt;height:210.75pt;z-index:5;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bookmarkStart w:id="3" w:name="_Hlk262047241"/>
    </w:p>
    <w:bookmarkEnd w:id="3"/>
    <w:p w:rsidR="00A72EE4" w:rsidRDefault="00A72EE4" w:rsidP="00017377">
      <w:pPr>
        <w:ind w:right="1652" w:firstLine="720"/>
        <w:jc w:val="center"/>
        <w:rPr>
          <w:rFonts w:ascii="Arial" w:hAnsi="Arial" w:cs="Arial"/>
          <w:b/>
          <w:color w:val="000080"/>
          <w:sz w:val="22"/>
          <w:szCs w:val="18"/>
          <w:u w:val="single"/>
        </w:rPr>
      </w:pPr>
    </w:p>
    <w:p w:rsidR="004A37AB" w:rsidRDefault="004A37AB" w:rsidP="003C7B98">
      <w:pPr>
        <w:kinsoku w:val="0"/>
        <w:overflowPunct w:val="0"/>
        <w:spacing w:before="53" w:line="360" w:lineRule="auto"/>
        <w:jc w:val="both"/>
        <w:textAlignment w:val="baseline"/>
        <w:rPr>
          <w:rFonts w:ascii="Arial" w:hAnsi="Arial" w:cs="Arial"/>
          <w:b/>
          <w:color w:val="000080"/>
          <w:sz w:val="18"/>
          <w:szCs w:val="18"/>
          <w:u w:val="single"/>
        </w:rPr>
      </w:pPr>
    </w:p>
    <w:p w:rsidR="00017377" w:rsidRPr="003C7B98" w:rsidRDefault="00017377" w:rsidP="003C7B98">
      <w:pPr>
        <w:kinsoku w:val="0"/>
        <w:overflowPunct w:val="0"/>
        <w:spacing w:before="53" w:line="360" w:lineRule="auto"/>
        <w:jc w:val="both"/>
        <w:textAlignment w:val="baseline"/>
        <w:rPr>
          <w:rFonts w:ascii="Arial" w:hAnsi="Arial" w:cs="Arial"/>
          <w:b/>
          <w:color w:val="000080"/>
          <w:sz w:val="18"/>
          <w:szCs w:val="18"/>
          <w:u w:val="single"/>
        </w:rPr>
      </w:pPr>
      <w:r w:rsidRPr="003C7B98">
        <w:rPr>
          <w:rFonts w:ascii="Arial" w:hAnsi="Arial" w:cs="Arial"/>
          <w:b/>
          <w:color w:val="000080"/>
          <w:sz w:val="18"/>
          <w:szCs w:val="18"/>
          <w:u w:val="single"/>
        </w:rPr>
        <w:t>Ορολογία</w:t>
      </w:r>
      <w:r w:rsidR="003C7B98" w:rsidRPr="003C7B98">
        <w:rPr>
          <w:rFonts w:ascii="Arial" w:hAnsi="Arial" w:cs="Arial"/>
          <w:b/>
          <w:color w:val="000080"/>
          <w:sz w:val="18"/>
          <w:szCs w:val="18"/>
          <w:u w:val="single"/>
        </w:rPr>
        <w:t xml:space="preserve"> – Ορισμός Εναλλακτικών Δεικτών Μέτρησης της Απόδοσης (ΕΔΜΑ) και λοιπών χρηματοοικονομικών δεικτών</w:t>
      </w:r>
    </w:p>
    <w:p w:rsidR="00355C38" w:rsidRPr="00355C38" w:rsidRDefault="00355C38" w:rsidP="00355C38">
      <w:pPr>
        <w:spacing w:after="160" w:line="259" w:lineRule="auto"/>
        <w:ind w:left="714"/>
        <w:contextualSpacing/>
        <w:jc w:val="both"/>
        <w:rPr>
          <w:rFonts w:ascii="Calibri" w:eastAsia="Calibri" w:hAnsi="Calibri" w:cs="Calibri"/>
          <w:color w:val="auto"/>
          <w:kern w:val="0"/>
          <w:sz w:val="19"/>
          <w:szCs w:val="19"/>
          <w:lang w:eastAsia="en-US"/>
        </w:rPr>
      </w:pPr>
    </w:p>
    <w:p w:rsidR="00DA1071" w:rsidRPr="00DA1071" w:rsidRDefault="00DA1071" w:rsidP="00DA1071">
      <w:pPr>
        <w:numPr>
          <w:ilvl w:val="0"/>
          <w:numId w:val="24"/>
        </w:numPr>
        <w:spacing w:after="160" w:line="259" w:lineRule="auto"/>
        <w:ind w:left="714" w:hanging="357"/>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Δείκτης Δανείων προς Καταθέσεις:</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δανείων και απαιτήσεων από πελάτες που επιμετρώνται στο αποσβέσιμο κόστος (</w:t>
      </w:r>
      <w:r w:rsidRPr="00DA1071">
        <w:rPr>
          <w:rFonts w:ascii="Arial" w:hAnsi="Arial" w:cs="Arial"/>
          <w:color w:val="000080"/>
          <w:sz w:val="18"/>
          <w:szCs w:val="18"/>
          <w:lang w:val="en-US"/>
        </w:rPr>
        <w:t>amortised</w:t>
      </w:r>
      <w:r w:rsidRPr="00DA1071">
        <w:rPr>
          <w:rFonts w:ascii="Arial" w:hAnsi="Arial" w:cs="Arial"/>
          <w:color w:val="000080"/>
          <w:sz w:val="18"/>
          <w:szCs w:val="18"/>
        </w:rPr>
        <w:t xml:space="preserve"> </w:t>
      </w:r>
      <w:r w:rsidRPr="00DA1071">
        <w:rPr>
          <w:rFonts w:ascii="Arial" w:hAnsi="Arial" w:cs="Arial"/>
          <w:color w:val="000080"/>
          <w:sz w:val="18"/>
          <w:szCs w:val="18"/>
          <w:lang w:val="en-US"/>
        </w:rPr>
        <w:t>cost</w:t>
      </w:r>
      <w:r w:rsidRPr="00DA1071">
        <w:rPr>
          <w:rFonts w:ascii="Arial" w:hAnsi="Arial" w:cs="Arial"/>
          <w:color w:val="000080"/>
          <w:sz w:val="18"/>
          <w:szCs w:val="18"/>
        </w:rPr>
        <w:t>) προς τις υποχρεώσεις προς πελάτες στο τέλος της υπό εξέταση περιόδου</w:t>
      </w:r>
      <w:r w:rsidRPr="00DA1071">
        <w:rPr>
          <w:rFonts w:ascii="Calibri" w:eastAsia="Calibri" w:hAnsi="Calibri"/>
          <w:color w:val="auto"/>
          <w:kern w:val="0"/>
          <w:sz w:val="22"/>
          <w:szCs w:val="22"/>
          <w:lang w:eastAsia="en-US"/>
        </w:rPr>
        <w:t>.</w:t>
      </w:r>
    </w:p>
    <w:p w:rsidR="00DA1071" w:rsidRPr="00DA1071" w:rsidRDefault="00DA1071" w:rsidP="00DA1071">
      <w:pPr>
        <w:spacing w:after="160" w:line="259" w:lineRule="auto"/>
        <w:ind w:left="720"/>
        <w:contextualSpacing/>
        <w:rPr>
          <w:rFonts w:ascii="Calibri" w:eastAsia="Calibri" w:hAnsi="Calibri" w:cs="Calibri"/>
          <w:color w:val="auto"/>
          <w:kern w:val="0"/>
          <w:sz w:val="19"/>
          <w:szCs w:val="19"/>
          <w:lang w:eastAsia="en-US"/>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Κέρδη προ προβλέψεων (PPI):</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Λειτουργικά κέρδη προ απομειώσεων, προβλέψεων και εξόδων αναδιάρθρωσης όπως γνωστοποιούνται στις οικονομικές καταστάσεις της υπό εξέταση περιόδου.</w:t>
      </w:r>
    </w:p>
    <w:p w:rsidR="00DA1071" w:rsidRPr="00DA1071" w:rsidRDefault="00DA1071" w:rsidP="00DA1071">
      <w:pPr>
        <w:spacing w:after="160"/>
        <w:ind w:left="720"/>
        <w:contextualSpacing/>
        <w:jc w:val="both"/>
        <w:rPr>
          <w:rFonts w:ascii="Arial" w:hAnsi="Arial" w:cs="Arial"/>
          <w:color w:val="000080"/>
          <w:sz w:val="18"/>
          <w:szCs w:val="18"/>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Οργανικά κέρδη προ προβλέψεων (Core PPI)</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Το σύνολο των καθαρών εσόδων από τόκους, των καθαρών εσόδων από τραπεζικές αμοιβές και προμήθειες και των εσόδων από μη τραπεζικές υπηρεσίες αφαιρουμένων των λειτουργικών εξόδων της υπό εξέταση περιόδου.</w:t>
      </w:r>
    </w:p>
    <w:p w:rsidR="00DA1071" w:rsidRPr="00DA1071" w:rsidRDefault="00DA1071" w:rsidP="00DA1071">
      <w:pPr>
        <w:spacing w:after="160"/>
        <w:ind w:left="720"/>
        <w:contextualSpacing/>
        <w:jc w:val="both"/>
        <w:rPr>
          <w:rFonts w:ascii="Arial" w:hAnsi="Arial" w:cs="Arial"/>
          <w:color w:val="000080"/>
          <w:sz w:val="18"/>
          <w:szCs w:val="18"/>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Καθαρό Περιθώριο Επιτοκίου (NIM):</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καθαρών εσόδων από τόκους σε ετησιοποιημένη βάση, προς το μέσο υπόλοιπο του συνόλου ενεργητικού των συνεχιζόμενων δραστηριοτήτων (ο αριθμητικός μέσος όρος του συνόλου ενεργητικού, εξαιρουμένων των στοιχείων ενεργητικού από μη συνεχιζόμενες δραστηριότητες, στην αρχή και στο τέλος της υπό εξέταση περιόδου καθώς επίσης και στο τέλος των ενδιάμεσων τριμήνων ).</w:t>
      </w:r>
    </w:p>
    <w:p w:rsidR="00DA1071" w:rsidRPr="00DA1071" w:rsidRDefault="00DA1071" w:rsidP="00DA1071">
      <w:pPr>
        <w:spacing w:after="160"/>
        <w:ind w:left="720"/>
        <w:contextualSpacing/>
        <w:jc w:val="both"/>
        <w:rPr>
          <w:rFonts w:ascii="Arial" w:hAnsi="Arial" w:cs="Arial"/>
          <w:b/>
          <w:color w:val="000080"/>
          <w:sz w:val="18"/>
          <w:szCs w:val="18"/>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Έσοδα από αμοιβές και προμήθειες:</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Το σύνολο των καθαρών εσόδων από τραπεζικές αμοιβές και προμήθειες και των εσόδων από μη τραπεζικές υπηρεσίες της υπό εξέταση περιόδου.</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Έσοδα από εμπορικές και λοιπές δραστηριότητες:</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Το σύνολο των εσόδων από αποτελέσματα χαρτοφυλακίου συναλλαγών, αποτελέσματα από επενδυτικούς τίτλους και λοιπά έσοδα/(έξοδα) της υπό εξέταση περιόδου.</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Δείκτης Κόστους προς Έσοδα:</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 xml:space="preserve">Ο λόγος των λειτουργικών εξόδων προς τα λειτουργικά έσοδα. </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 xml:space="preserve">Προσαρμοσμένα καθαρά κέρδη: </w:t>
      </w:r>
      <w:r w:rsidRPr="00DA1071">
        <w:rPr>
          <w:rFonts w:ascii="Arial" w:hAnsi="Arial" w:cs="Arial"/>
          <w:color w:val="000080"/>
          <w:sz w:val="18"/>
          <w:szCs w:val="18"/>
        </w:rPr>
        <w:t>Τα καθαρά κέρδη από συνεχιζόμενες δραστηριότητες, εξαιρουμένων των εξόδων αναδιάρθρωσης, της ζημιάς απομείωσης υπεραξίας και τα κέρδη / ζημιές που σχετίζονται με το σχέδιο μετασχηματισμού, μετά από φόρο.</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Μη Εξυπηρετούμενα Ανοίγματα (NPEs):</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 xml:space="preserve">Σύμφωνα με το υφιστάμενο πλαίσιο της Ευρωπαϊκής Αρχής Τραπεζών (ΕΑΤ) - European Banking Authority (EBA) - στα NPEs περιλαμβάνονται δάνεια και απαιτήσεις από πελάτες σε καθυστέρηση άνω των 90 ημερών και δάνεια και απαιτήσεις από πελάτες αβέβαιης είσπραξης, δηλαδή δάνεια και απαιτήσεις από πελάτες τα οποία θεωρούνται μη εξυπηρετούμενα, παρόλο που είτε είναι ενήμερα, είτε είναι σε καθυστέρηση μέχρι 90 ημέρες, καθώς υπάρχουν ενδείξεις για δυσκολίες πλήρους αποπληρωμής χωρίς τη ρευστοποίηση της εξασφάλισης. Τα NPEs, όπως αναφέρονται στο παρόν, αφορούν τα δάνεια (προ προβλέψεων) που επιμετρώνται στο αποσβέσιμο κόστος, εκτός εκείνων που έχουν ταξινομηθεί ως κατεχόμενα προς πώληση. </w:t>
      </w:r>
    </w:p>
    <w:p w:rsidR="00DA1071" w:rsidRPr="00DA1071" w:rsidRDefault="00DA1071" w:rsidP="00DA1071">
      <w:pPr>
        <w:spacing w:after="160"/>
        <w:ind w:left="720"/>
        <w:contextualSpacing/>
        <w:jc w:val="both"/>
        <w:rPr>
          <w:rFonts w:ascii="Arial" w:hAnsi="Arial" w:cs="Arial"/>
          <w:color w:val="000080"/>
          <w:sz w:val="18"/>
          <w:szCs w:val="18"/>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Δείκτης NPEs:</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NPEs προς το σύνολο των δανείων και απαιτήσεων από πελάτες (προ προβλέψεων), που επιμετρώνται στο αποσβέσιμο κόστος στο τέλος της υπό εξέταση περιόδου.</w:t>
      </w:r>
    </w:p>
    <w:p w:rsidR="00DA1071" w:rsidRPr="00DA1071" w:rsidRDefault="00DA1071" w:rsidP="00DA1071">
      <w:pPr>
        <w:spacing w:after="160"/>
        <w:ind w:left="720"/>
        <w:contextualSpacing/>
        <w:jc w:val="both"/>
        <w:rPr>
          <w:rFonts w:ascii="Arial" w:hAnsi="Arial" w:cs="Arial"/>
          <w:color w:val="000080"/>
          <w:sz w:val="18"/>
          <w:szCs w:val="18"/>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Calibri" w:eastAsia="Calibri" w:hAnsi="Calibri"/>
          <w:color w:val="auto"/>
          <w:kern w:val="0"/>
          <w:sz w:val="22"/>
          <w:szCs w:val="22"/>
          <w:lang w:eastAsia="en-US"/>
        </w:rPr>
        <w:t xml:space="preserve"> </w:t>
      </w:r>
      <w:r w:rsidRPr="00DA1071">
        <w:rPr>
          <w:rFonts w:ascii="Arial" w:hAnsi="Arial" w:cs="Arial"/>
          <w:b/>
          <w:color w:val="000080"/>
          <w:sz w:val="18"/>
          <w:szCs w:val="18"/>
        </w:rPr>
        <w:t>NPEs (σχηματισμός):</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Καθαρή αύξηση/μείωση των NPEs της υπό εξέταση περιόδου εξαιρουμένης της επίπτωσης των διαγραφών, των πωλήσεων και λοιπών μεταβολών.</w:t>
      </w:r>
      <w:r w:rsidRPr="00DA1071">
        <w:rPr>
          <w:rFonts w:ascii="Calibri" w:eastAsia="Calibri" w:hAnsi="Calibri"/>
          <w:color w:val="auto"/>
          <w:kern w:val="0"/>
          <w:sz w:val="22"/>
          <w:szCs w:val="22"/>
          <w:lang w:eastAsia="en-US"/>
        </w:rPr>
        <w:t xml:space="preserve"> </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Δείκτης Κάλυψης NPEs:</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συσσωρευμένων προβλέψεων για πιστωτικούς κινδύνους από δάνεια και απαιτήσεις από πελάτες, περιλαμβανομένων των προβλέψεων για δεσμεύσεις που σχετίζονται με το πιστωτικό κίνδυνο (στοιχεία εκτός ισολογισμού), προς το σύνολο των NPEs, στο τέλος της υπό εξέταση περιόδου.</w:t>
      </w:r>
      <w:r w:rsidRPr="00DA1071">
        <w:rPr>
          <w:rFonts w:ascii="Calibri" w:eastAsia="Calibri" w:hAnsi="Calibri"/>
          <w:color w:val="auto"/>
          <w:kern w:val="0"/>
          <w:sz w:val="22"/>
          <w:szCs w:val="22"/>
          <w:lang w:eastAsia="en-US"/>
        </w:rPr>
        <w:t xml:space="preserve"> </w:t>
      </w:r>
    </w:p>
    <w:p w:rsidR="00DA1071" w:rsidRDefault="00DA1071" w:rsidP="00DA1071">
      <w:pPr>
        <w:spacing w:after="160"/>
        <w:ind w:left="720"/>
        <w:contextualSpacing/>
        <w:jc w:val="both"/>
        <w:rPr>
          <w:rFonts w:ascii="Calibri" w:eastAsia="Calibri" w:hAnsi="Calibri"/>
          <w:color w:val="auto"/>
          <w:kern w:val="0"/>
          <w:sz w:val="22"/>
          <w:szCs w:val="22"/>
          <w:lang w:eastAsia="en-US"/>
        </w:rPr>
      </w:pPr>
    </w:p>
    <w:p w:rsidR="00355C38" w:rsidRDefault="00355C38" w:rsidP="00DA1071">
      <w:pPr>
        <w:spacing w:after="160"/>
        <w:ind w:left="720"/>
        <w:contextualSpacing/>
        <w:jc w:val="both"/>
        <w:rPr>
          <w:rFonts w:ascii="Calibri" w:eastAsia="Calibri" w:hAnsi="Calibri"/>
          <w:color w:val="auto"/>
          <w:kern w:val="0"/>
          <w:sz w:val="22"/>
          <w:szCs w:val="22"/>
          <w:lang w:eastAsia="en-US"/>
        </w:rPr>
      </w:pPr>
    </w:p>
    <w:p w:rsidR="00355C38" w:rsidRDefault="00355C38" w:rsidP="00DA1071">
      <w:pPr>
        <w:spacing w:after="160"/>
        <w:ind w:left="720"/>
        <w:contextualSpacing/>
        <w:jc w:val="both"/>
        <w:rPr>
          <w:rFonts w:ascii="Calibri" w:eastAsia="Calibri" w:hAnsi="Calibri"/>
          <w:color w:val="auto"/>
          <w:kern w:val="0"/>
          <w:sz w:val="22"/>
          <w:szCs w:val="22"/>
          <w:lang w:eastAsia="en-US"/>
        </w:rPr>
      </w:pPr>
    </w:p>
    <w:p w:rsidR="00355C38" w:rsidRDefault="00355C38" w:rsidP="00DA1071">
      <w:pPr>
        <w:spacing w:after="160"/>
        <w:ind w:left="720"/>
        <w:contextualSpacing/>
        <w:jc w:val="both"/>
        <w:rPr>
          <w:rFonts w:ascii="Calibri" w:eastAsia="Calibri" w:hAnsi="Calibri"/>
          <w:color w:val="auto"/>
          <w:kern w:val="0"/>
          <w:sz w:val="22"/>
          <w:szCs w:val="22"/>
          <w:lang w:eastAsia="en-US"/>
        </w:rPr>
      </w:pPr>
    </w:p>
    <w:p w:rsidR="00355C38" w:rsidRDefault="00355C38" w:rsidP="00DA1071">
      <w:pPr>
        <w:spacing w:after="160"/>
        <w:ind w:left="720"/>
        <w:contextualSpacing/>
        <w:jc w:val="both"/>
        <w:rPr>
          <w:rFonts w:ascii="Calibri" w:eastAsia="Calibri" w:hAnsi="Calibri"/>
          <w:color w:val="auto"/>
          <w:kern w:val="0"/>
          <w:sz w:val="22"/>
          <w:szCs w:val="22"/>
          <w:lang w:eastAsia="en-US"/>
        </w:rPr>
      </w:pPr>
    </w:p>
    <w:p w:rsidR="00355C38" w:rsidRDefault="00355C38"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Δείκτης Προβλέψεων (ζημιές) προς το μέσο υπόλοιπο δανείων (μετά από προβλέψεις) - Κόστος Κινδύνου:</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προβλέψεων (ζημιών) για πιστωτικούς κινδύνους από δάνεια και απαιτήσεις της υπό εξέταση περιόδου σε ετησιοποιημένη βάση, προς το μέσο υπόλοιπο των δανείων και απαιτήσεων από πελάτες που επιμετρώνται στο αποσβέσιμο κόστος (amortised cost) (ο αριθμητικός μέσος όρος των δανείων και απαιτήσεων από πελάτες στο αποσβέσιμο κόστος, συμπεριλαμβανομένων εκείνων που έχουν ταξινομηθεί ως κατεχόμενα προς πώληση, στην αρχή και στο τέλος της υπό εξέταση περιόδου</w:t>
      </w:r>
      <w:r w:rsidR="00355C38">
        <w:rPr>
          <w:rFonts w:ascii="Arial" w:hAnsi="Arial" w:cs="Arial"/>
          <w:color w:val="000080"/>
          <w:sz w:val="18"/>
          <w:szCs w:val="18"/>
        </w:rPr>
        <w:t>,</w:t>
      </w:r>
      <w:r w:rsidRPr="00DA1071">
        <w:rPr>
          <w:rFonts w:ascii="Arial" w:hAnsi="Arial" w:cs="Arial"/>
          <w:color w:val="000080"/>
          <w:sz w:val="18"/>
          <w:szCs w:val="18"/>
        </w:rPr>
        <w:t xml:space="preserve"> καθώς επίσης και  στο τέλος των ενδιάμεσων τριμήνων). </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Συνολικός δείκτης Κεφαλαιακής Επάρκειας (Total Capital Adequacy ratio):</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συνολικών εποπτικών κεφαλαίων, όπως ορίζονται με τους κανονισμούς (EE) Αρ.575/2013 και Αρ.2395/2017 με την εφαρμογή των σχετικών μεταβατικών διατάξεων που αφορούν την υπό εξέταση περίοδο, προς το σύνολο του σταθμισμένου ενεργητικού (Risk Weighted Assets - RWA).</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Το σταθμισμένο ενεργητικό είναι το σύνολο του ενεργητικού και των στοιχείων εκτός ισολογισμού του Ομίλου, σταθμισμένα με βάση τους συντελεστές στάθμισης κινδύνου σύμφωνα με τον κανονισμό (ΕΕ) Αρ. 575/2013, λαμβάνοντας υπόψη τον πιστωτικό, λειτουργικό και το κίνδυνο αγοράς.</w:t>
      </w:r>
    </w:p>
    <w:p w:rsidR="00DA1071" w:rsidRPr="00DA1071" w:rsidRDefault="00DA1071" w:rsidP="00DA1071">
      <w:pPr>
        <w:spacing w:after="160"/>
        <w:ind w:left="720"/>
        <w:contextualSpacing/>
        <w:jc w:val="both"/>
        <w:rPr>
          <w:rFonts w:ascii="Calibri" w:eastAsia="Calibri" w:hAnsi="Calibri" w:cs="Calibri"/>
          <w:color w:val="auto"/>
          <w:kern w:val="0"/>
          <w:sz w:val="19"/>
          <w:szCs w:val="19"/>
          <w:lang w:eastAsia="en-US"/>
        </w:rPr>
      </w:pPr>
    </w:p>
    <w:p w:rsidR="00DA1071" w:rsidRPr="00DA1071" w:rsidRDefault="00DA1071" w:rsidP="00DA1071">
      <w:pPr>
        <w:numPr>
          <w:ilvl w:val="0"/>
          <w:numId w:val="24"/>
        </w:numPr>
        <w:spacing w:after="160" w:line="259" w:lineRule="auto"/>
        <w:contextualSpacing/>
        <w:jc w:val="both"/>
        <w:rPr>
          <w:rFonts w:ascii="Calibri" w:eastAsia="Calibri" w:hAnsi="Calibri" w:cs="Calibri"/>
          <w:color w:val="auto"/>
          <w:kern w:val="0"/>
          <w:sz w:val="19"/>
          <w:szCs w:val="19"/>
          <w:lang w:eastAsia="en-US"/>
        </w:rPr>
      </w:pPr>
      <w:r w:rsidRPr="00DA1071">
        <w:rPr>
          <w:rFonts w:ascii="Arial" w:hAnsi="Arial" w:cs="Arial"/>
          <w:b/>
          <w:color w:val="000080"/>
          <w:sz w:val="18"/>
          <w:szCs w:val="18"/>
        </w:rPr>
        <w:t xml:space="preserve">Δείκτης κεφαλαίου κοινών μετοχών κατηγορίας 1 (CET1): </w:t>
      </w:r>
      <w:r w:rsidRPr="00DA1071">
        <w:rPr>
          <w:rFonts w:ascii="Arial" w:hAnsi="Arial" w:cs="Arial"/>
          <w:color w:val="000080"/>
          <w:sz w:val="18"/>
          <w:szCs w:val="18"/>
        </w:rPr>
        <w:t xml:space="preserve">Ο λόγος των εποπτικών κεφαλαίων κοινών μετοχών κατηγορίας 1, όπως ορίζονται με τους κανονισμούς (EE) Αρ.575/2013 και Αρ. 2395/2017 με την εφαρμογή των σχετικών μεταβατικών διατάξεων που αφορούν την υπό εξέταση περίοδο, προς το σύνολο του σταθμισμένου ενεργητικού (Risk Weighted Assets - RWA). </w:t>
      </w:r>
    </w:p>
    <w:p w:rsidR="00DA1071" w:rsidRPr="00DA1071" w:rsidRDefault="00DA1071" w:rsidP="00DA1071">
      <w:pPr>
        <w:spacing w:after="160"/>
        <w:ind w:left="720"/>
        <w:contextualSpacing/>
        <w:jc w:val="both"/>
        <w:rPr>
          <w:rFonts w:ascii="Calibri" w:eastAsia="Calibri" w:hAnsi="Calibri"/>
          <w:color w:val="auto"/>
          <w:kern w:val="0"/>
          <w:sz w:val="22"/>
          <w:szCs w:val="22"/>
          <w:lang w:eastAsia="en-US"/>
        </w:rPr>
      </w:pPr>
    </w:p>
    <w:p w:rsidR="00DA1071" w:rsidRPr="00DA1071" w:rsidRDefault="00DA1071" w:rsidP="00DA1071">
      <w:pPr>
        <w:numPr>
          <w:ilvl w:val="0"/>
          <w:numId w:val="24"/>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Δείκτης κεφαλαίου κοινών μετοχών της κατηγορίας 1 (Πλήρης εφαρμογή):</w:t>
      </w:r>
      <w:r w:rsidRPr="00DA1071">
        <w:rPr>
          <w:rFonts w:ascii="Calibri" w:eastAsia="Calibri" w:hAnsi="Calibri"/>
          <w:color w:val="auto"/>
          <w:kern w:val="0"/>
          <w:sz w:val="22"/>
          <w:szCs w:val="22"/>
          <w:lang w:eastAsia="en-US"/>
        </w:rPr>
        <w:t xml:space="preserve"> </w:t>
      </w:r>
      <w:r w:rsidRPr="00DA1071">
        <w:rPr>
          <w:rFonts w:ascii="Arial" w:hAnsi="Arial" w:cs="Arial"/>
          <w:color w:val="000080"/>
          <w:sz w:val="18"/>
          <w:szCs w:val="18"/>
        </w:rPr>
        <w:t>Ο λόγος των εποπτικών κεφαλαίων κοινών μετοχών της κατηγορίας 1, όπως ορίζονται από τους κανονισμούς (EE) Αρ.575/2013 και Αρ.2395/2017 χωρίς την εφαρμογή των σχετικών μεταβατικών διατάξεων προς το σύνολο του σταθμισμένου ενεργητικού (RWA).</w:t>
      </w:r>
    </w:p>
    <w:p w:rsidR="00355C38" w:rsidRPr="00355C38" w:rsidRDefault="00355C38" w:rsidP="00355C38">
      <w:pPr>
        <w:spacing w:after="160" w:line="259" w:lineRule="auto"/>
        <w:ind w:left="720"/>
        <w:jc w:val="both"/>
        <w:rPr>
          <w:rFonts w:ascii="Arial" w:hAnsi="Arial" w:cs="Arial"/>
          <w:color w:val="000080"/>
          <w:sz w:val="18"/>
          <w:szCs w:val="18"/>
        </w:rPr>
      </w:pPr>
    </w:p>
    <w:p w:rsidR="00DA1071" w:rsidRPr="00DA1071" w:rsidRDefault="00DA1071" w:rsidP="00DA1071">
      <w:pPr>
        <w:numPr>
          <w:ilvl w:val="0"/>
          <w:numId w:val="22"/>
        </w:numPr>
        <w:spacing w:after="160" w:line="259" w:lineRule="auto"/>
        <w:jc w:val="both"/>
        <w:rPr>
          <w:rFonts w:ascii="Arial" w:hAnsi="Arial" w:cs="Arial"/>
          <w:color w:val="000080"/>
          <w:sz w:val="18"/>
          <w:szCs w:val="18"/>
        </w:rPr>
      </w:pPr>
      <w:r w:rsidRPr="00DA1071">
        <w:rPr>
          <w:rFonts w:ascii="Arial" w:hAnsi="Arial" w:cs="Arial"/>
          <w:b/>
          <w:color w:val="000080"/>
          <w:sz w:val="18"/>
          <w:szCs w:val="18"/>
        </w:rPr>
        <w:t>Ενσώματη Λογιστική Αξία (Tangible Book Value)</w:t>
      </w:r>
      <w:r w:rsidRPr="00DA1071">
        <w:rPr>
          <w:rFonts w:ascii="Arial" w:hAnsi="Arial" w:cs="Arial"/>
          <w:color w:val="000080"/>
          <w:sz w:val="18"/>
          <w:szCs w:val="18"/>
        </w:rPr>
        <w:t>:</w:t>
      </w:r>
      <w:r w:rsidRPr="00DA1071">
        <w:rPr>
          <w:rFonts w:ascii="Arial" w:hAnsi="Arial" w:cs="Arial"/>
          <w:b/>
          <w:color w:val="000080"/>
          <w:sz w:val="18"/>
          <w:szCs w:val="18"/>
        </w:rPr>
        <w:t xml:space="preserve"> </w:t>
      </w:r>
      <w:r w:rsidRPr="00DA1071">
        <w:rPr>
          <w:rFonts w:ascii="Arial" w:hAnsi="Arial" w:cs="Arial"/>
          <w:color w:val="000080"/>
          <w:sz w:val="18"/>
          <w:szCs w:val="18"/>
        </w:rPr>
        <w:t>Το σύνολο των Ιδίων Κεφαλαίων που αναλογούν στους μετόχους εξαιρουμένων των προνομιούχων μετοχών, των προνομιούχων τίτλων, δικαιωμάτων τρίτων και άυλων πάγιων στοιχείων.</w:t>
      </w:r>
      <w:r w:rsidRPr="00DA1071">
        <w:rPr>
          <w:rFonts w:ascii="Arial" w:hAnsi="Arial" w:cs="Arial"/>
          <w:b/>
          <w:color w:val="000080"/>
          <w:sz w:val="18"/>
          <w:szCs w:val="18"/>
        </w:rPr>
        <w:t xml:space="preserve"> </w:t>
      </w:r>
    </w:p>
    <w:p w:rsidR="00DA1071" w:rsidRPr="00DA1071" w:rsidRDefault="00DA1071" w:rsidP="00DA1071">
      <w:pPr>
        <w:ind w:left="720"/>
        <w:jc w:val="both"/>
        <w:rPr>
          <w:rFonts w:ascii="Arial" w:hAnsi="Arial" w:cs="Arial"/>
          <w:b/>
          <w:color w:val="000080"/>
          <w:sz w:val="18"/>
          <w:szCs w:val="18"/>
        </w:rPr>
      </w:pPr>
    </w:p>
    <w:p w:rsidR="00355C38" w:rsidRDefault="00DA1071" w:rsidP="00355C38">
      <w:pPr>
        <w:numPr>
          <w:ilvl w:val="0"/>
          <w:numId w:val="22"/>
        </w:numPr>
        <w:spacing w:after="160" w:line="259" w:lineRule="auto"/>
        <w:jc w:val="both"/>
        <w:rPr>
          <w:rFonts w:ascii="Arial" w:hAnsi="Arial" w:cs="Arial"/>
          <w:color w:val="000080"/>
          <w:sz w:val="18"/>
          <w:szCs w:val="18"/>
        </w:rPr>
      </w:pPr>
      <w:r w:rsidRPr="00DA1071">
        <w:rPr>
          <w:rFonts w:ascii="Arial" w:hAnsi="Arial" w:cs="Arial"/>
          <w:b/>
          <w:color w:val="000080"/>
          <w:sz w:val="18"/>
          <w:szCs w:val="18"/>
        </w:rPr>
        <w:t>Ενσώματα ίδια κεφάλαια ανά μετοχή</w:t>
      </w:r>
      <w:r w:rsidRPr="00DA1071">
        <w:rPr>
          <w:rFonts w:ascii="Arial" w:hAnsi="Arial" w:cs="Arial"/>
          <w:b/>
          <w:bCs/>
          <w:color w:val="1F497D"/>
        </w:rPr>
        <w:t xml:space="preserve"> </w:t>
      </w:r>
      <w:r w:rsidRPr="00DA1071">
        <w:rPr>
          <w:rFonts w:ascii="Arial" w:hAnsi="Arial" w:cs="Arial"/>
          <w:b/>
          <w:color w:val="000080"/>
          <w:sz w:val="18"/>
          <w:szCs w:val="18"/>
        </w:rPr>
        <w:t>(Tangible Book Value/Share)</w:t>
      </w:r>
      <w:r w:rsidRPr="00DA1071">
        <w:rPr>
          <w:rFonts w:ascii="Arial" w:hAnsi="Arial" w:cs="Arial"/>
          <w:color w:val="000080"/>
          <w:sz w:val="18"/>
          <w:szCs w:val="18"/>
        </w:rPr>
        <w:t>:</w:t>
      </w:r>
      <w:r w:rsidRPr="00DA1071">
        <w:rPr>
          <w:rFonts w:ascii="Arial" w:hAnsi="Arial" w:cs="Arial"/>
          <w:color w:val="000080"/>
        </w:rPr>
        <w:t xml:space="preserve"> </w:t>
      </w:r>
      <w:r w:rsidRPr="00DA1071">
        <w:rPr>
          <w:rFonts w:ascii="Arial" w:hAnsi="Arial" w:cs="Arial"/>
          <w:color w:val="000080"/>
          <w:sz w:val="18"/>
          <w:szCs w:val="18"/>
        </w:rPr>
        <w:t>Ο λόγος της ενσώματης λογιστικής αξίας προς τον αριθμό κοινών μετοχών σε κυκλοφορία στο τέλος της περιόδου, εξαιρώντας τον αριθμό των ιδίων μετοχών</w:t>
      </w:r>
      <w:r w:rsidR="00355C38">
        <w:rPr>
          <w:rFonts w:ascii="Arial" w:hAnsi="Arial" w:cs="Arial"/>
          <w:color w:val="000080"/>
          <w:sz w:val="18"/>
          <w:szCs w:val="18"/>
        </w:rPr>
        <w:t>.</w:t>
      </w:r>
    </w:p>
    <w:p w:rsidR="00355C38" w:rsidRDefault="00355C38" w:rsidP="00355C38">
      <w:pPr>
        <w:pStyle w:val="a8"/>
        <w:rPr>
          <w:rFonts w:ascii="Arial" w:hAnsi="Arial" w:cs="Arial"/>
          <w:b/>
          <w:color w:val="000080"/>
          <w:sz w:val="18"/>
          <w:szCs w:val="18"/>
        </w:rPr>
      </w:pPr>
    </w:p>
    <w:p w:rsidR="00DA1071" w:rsidRPr="00DA1071" w:rsidRDefault="00DA1071" w:rsidP="00355C38">
      <w:pPr>
        <w:numPr>
          <w:ilvl w:val="0"/>
          <w:numId w:val="22"/>
        </w:numPr>
        <w:spacing w:after="160" w:line="259" w:lineRule="auto"/>
        <w:jc w:val="both"/>
        <w:rPr>
          <w:rFonts w:ascii="Arial" w:hAnsi="Arial" w:cs="Arial"/>
          <w:color w:val="000080"/>
          <w:sz w:val="18"/>
          <w:szCs w:val="18"/>
        </w:rPr>
      </w:pPr>
      <w:r w:rsidRPr="00DA1071">
        <w:rPr>
          <w:rFonts w:ascii="Arial" w:hAnsi="Arial" w:cs="Arial"/>
          <w:b/>
          <w:color w:val="000080"/>
          <w:sz w:val="18"/>
          <w:szCs w:val="18"/>
        </w:rPr>
        <w:t>Απόδοση Ενσώματων Ιδίων Κεφαλαίων:</w:t>
      </w:r>
      <w:r w:rsidRPr="00355C38">
        <w:rPr>
          <w:rFonts w:ascii="Calibri" w:eastAsia="Calibri" w:hAnsi="Calibri"/>
          <w:color w:val="auto"/>
          <w:kern w:val="0"/>
          <w:sz w:val="22"/>
          <w:szCs w:val="22"/>
          <w:lang w:eastAsia="en-US"/>
        </w:rPr>
        <w:t xml:space="preserve"> </w:t>
      </w:r>
      <w:r w:rsidRPr="00DA1071">
        <w:rPr>
          <w:rFonts w:ascii="Arial" w:hAnsi="Arial" w:cs="Arial"/>
          <w:color w:val="000080"/>
          <w:sz w:val="18"/>
          <w:szCs w:val="18"/>
        </w:rPr>
        <w:t xml:space="preserve">Ο λόγος των προσαρμοσμένων καθαρών κερδών προς την Ενσώματη Λογιστική Αξία (Tangible Book Value). </w:t>
      </w:r>
    </w:p>
    <w:p w:rsidR="00355C38" w:rsidRPr="00355C38" w:rsidRDefault="00355C38" w:rsidP="00355C38">
      <w:pPr>
        <w:spacing w:after="160" w:line="259" w:lineRule="auto"/>
        <w:ind w:left="720"/>
        <w:contextualSpacing/>
        <w:jc w:val="both"/>
        <w:rPr>
          <w:rFonts w:ascii="Arial" w:hAnsi="Arial" w:cs="Arial"/>
          <w:color w:val="000080"/>
          <w:sz w:val="18"/>
          <w:szCs w:val="18"/>
        </w:rPr>
      </w:pPr>
    </w:p>
    <w:p w:rsidR="00DA1071" w:rsidRPr="00DA1071" w:rsidRDefault="00DA1071" w:rsidP="00DA1071">
      <w:pPr>
        <w:numPr>
          <w:ilvl w:val="0"/>
          <w:numId w:val="22"/>
        </w:numPr>
        <w:spacing w:after="160" w:line="259" w:lineRule="auto"/>
        <w:contextualSpacing/>
        <w:jc w:val="both"/>
        <w:rPr>
          <w:rFonts w:ascii="Arial" w:hAnsi="Arial" w:cs="Arial"/>
          <w:color w:val="000080"/>
          <w:sz w:val="18"/>
          <w:szCs w:val="18"/>
        </w:rPr>
      </w:pPr>
      <w:r w:rsidRPr="00DA1071">
        <w:rPr>
          <w:rFonts w:ascii="Arial" w:hAnsi="Arial" w:cs="Arial"/>
          <w:b/>
          <w:color w:val="000080"/>
          <w:sz w:val="18"/>
          <w:szCs w:val="18"/>
        </w:rPr>
        <w:t xml:space="preserve">Βασικά Κέρδη ανά μετοχή </w:t>
      </w:r>
      <w:r w:rsidRPr="00DA1071">
        <w:rPr>
          <w:rFonts w:ascii="Arial" w:hAnsi="Arial" w:cs="Arial"/>
          <w:color w:val="000080"/>
          <w:sz w:val="18"/>
          <w:szCs w:val="18"/>
        </w:rPr>
        <w:t>(Basic Earnings per share - EPS): Ο  λόγος των καθαρών κερδών που αναλογούν στους κατόχους κοινών μετοχών προς το μέσο σταθμισμένο αριθμό κοινών μετοχών σε κυκλοφορία κατά τη διάρκεια της περιόδου, εξαιρώντας το μέσο αριθμό ιδίων μετοχών κατά τη διάρκεια της περιόδου.</w:t>
      </w:r>
    </w:p>
    <w:p w:rsidR="00DA1071" w:rsidRPr="00DA1071" w:rsidRDefault="00DA1071" w:rsidP="00DA1071">
      <w:pPr>
        <w:tabs>
          <w:tab w:val="left" w:pos="969"/>
        </w:tabs>
        <w:spacing w:after="160"/>
        <w:jc w:val="both"/>
        <w:rPr>
          <w:rFonts w:ascii="Calibri" w:eastAsia="Calibri" w:hAnsi="Calibri"/>
          <w:color w:val="auto"/>
          <w:kern w:val="0"/>
          <w:sz w:val="22"/>
          <w:szCs w:val="22"/>
        </w:rPr>
      </w:pPr>
    </w:p>
    <w:p w:rsidR="00E73D8F" w:rsidRPr="003C7B98" w:rsidRDefault="00E73D8F" w:rsidP="003C7B98">
      <w:pPr>
        <w:kinsoku w:val="0"/>
        <w:overflowPunct w:val="0"/>
        <w:spacing w:before="53" w:line="360" w:lineRule="auto"/>
        <w:jc w:val="both"/>
        <w:textAlignment w:val="baseline"/>
        <w:rPr>
          <w:rFonts w:ascii="Arial" w:hAnsi="Arial" w:cs="Arial"/>
          <w:b/>
          <w:color w:val="000080"/>
          <w:sz w:val="18"/>
          <w:szCs w:val="18"/>
        </w:rPr>
      </w:pPr>
    </w:p>
    <w:sectPr w:rsidR="00E73D8F" w:rsidRPr="003C7B98" w:rsidSect="00794C4E">
      <w:headerReference w:type="default" r:id="rId21"/>
      <w:footerReference w:type="default" r:id="rId22"/>
      <w:pgSz w:w="11906" w:h="16838" w:code="9"/>
      <w:pgMar w:top="1440" w:right="1274"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D7A" w:rsidRDefault="00AC7D7A">
      <w:r>
        <w:separator/>
      </w:r>
    </w:p>
  </w:endnote>
  <w:endnote w:type="continuationSeparator" w:id="1">
    <w:p w:rsidR="00AC7D7A" w:rsidRDefault="00AC7D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Typewriter">
    <w:altName w:val="Lucida Sans Unicode"/>
    <w:charset w:val="00"/>
    <w:family w:val="modern"/>
    <w:pitch w:val="fixed"/>
    <w:sig w:usb0="00000003" w:usb1="00000000" w:usb2="00000000" w:usb3="00000000" w:csb0="00000001" w:csb1="00000000"/>
  </w:font>
  <w:font w:name="Tw Cen MT Condensed Extra Bold">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A" w:rsidRPr="00922E1D" w:rsidRDefault="008B0D4A">
    <w:pPr>
      <w:pStyle w:val="a4"/>
      <w:jc w:val="center"/>
      <w:rPr>
        <w:rFonts w:ascii="Arial" w:hAnsi="Arial" w:cs="Arial"/>
        <w:color w:val="365F91"/>
        <w:sz w:val="18"/>
      </w:rPr>
    </w:pPr>
    <w:r w:rsidRPr="00922E1D">
      <w:rPr>
        <w:rFonts w:ascii="Arial" w:hAnsi="Arial" w:cs="Arial"/>
        <w:color w:val="365F91"/>
        <w:sz w:val="18"/>
      </w:rPr>
      <w:fldChar w:fldCharType="begin"/>
    </w:r>
    <w:r w:rsidRPr="00922E1D">
      <w:rPr>
        <w:rFonts w:ascii="Arial" w:hAnsi="Arial" w:cs="Arial"/>
        <w:color w:val="365F91"/>
        <w:sz w:val="18"/>
      </w:rPr>
      <w:instrText xml:space="preserve"> PAGE   \* MERGEFORMAT </w:instrText>
    </w:r>
    <w:r w:rsidRPr="00922E1D">
      <w:rPr>
        <w:rFonts w:ascii="Arial" w:hAnsi="Arial" w:cs="Arial"/>
        <w:color w:val="365F91"/>
        <w:sz w:val="18"/>
      </w:rPr>
      <w:fldChar w:fldCharType="separate"/>
    </w:r>
    <w:r w:rsidR="00820D1F">
      <w:rPr>
        <w:rFonts w:ascii="Arial" w:hAnsi="Arial" w:cs="Arial"/>
        <w:noProof/>
        <w:color w:val="365F91"/>
        <w:sz w:val="18"/>
      </w:rPr>
      <w:t>1</w:t>
    </w:r>
    <w:r w:rsidRPr="00922E1D">
      <w:rPr>
        <w:rFonts w:ascii="Arial" w:hAnsi="Arial" w:cs="Arial"/>
        <w:noProof/>
        <w:color w:val="365F91"/>
        <w:sz w:val="18"/>
      </w:rPr>
      <w:fldChar w:fldCharType="end"/>
    </w:r>
  </w:p>
  <w:p w:rsidR="008B0D4A" w:rsidRPr="003D3383" w:rsidRDefault="008B0D4A" w:rsidP="00F62462">
    <w:pPr>
      <w:pStyle w:val="a4"/>
      <w:jc w:val="center"/>
      <w:rPr>
        <w:rFonts w:ascii="Arial" w:hAnsi="Arial" w:cs="Arial"/>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D7A" w:rsidRDefault="00AC7D7A">
      <w:r>
        <w:separator/>
      </w:r>
    </w:p>
  </w:footnote>
  <w:footnote w:type="continuationSeparator" w:id="1">
    <w:p w:rsidR="00AC7D7A" w:rsidRDefault="00AC7D7A">
      <w:r>
        <w:continuationSeparator/>
      </w:r>
    </w:p>
  </w:footnote>
  <w:footnote w:id="2">
    <w:p w:rsidR="001950E3" w:rsidRPr="001950E3" w:rsidRDefault="001950E3">
      <w:pPr>
        <w:pStyle w:val="a6"/>
      </w:pPr>
      <w:r w:rsidRPr="001950E3">
        <w:rPr>
          <w:rFonts w:ascii="Arial" w:hAnsi="Arial" w:cs="Arial"/>
          <w:color w:val="000066"/>
          <w:sz w:val="12"/>
          <w:szCs w:val="16"/>
          <w:vertAlign w:val="superscript"/>
        </w:rPr>
        <w:footnoteRef/>
      </w:r>
      <w:r>
        <w:t xml:space="preserve"> </w:t>
      </w:r>
      <w:r w:rsidR="0022074E" w:rsidRPr="0022074E">
        <w:rPr>
          <w:rFonts w:ascii="Arial" w:hAnsi="Arial" w:cs="Arial"/>
          <w:color w:val="000066"/>
          <w:sz w:val="12"/>
          <w:szCs w:val="16"/>
        </w:rPr>
        <w:t>P</w:t>
      </w:r>
      <w:r w:rsidRPr="001950E3">
        <w:rPr>
          <w:rFonts w:ascii="Arial" w:hAnsi="Arial" w:cs="Arial"/>
          <w:color w:val="000066"/>
          <w:sz w:val="12"/>
          <w:szCs w:val="16"/>
        </w:rPr>
        <w:t xml:space="preserve">ro-forma για την </w:t>
      </w:r>
      <w:r w:rsidR="0022074E">
        <w:rPr>
          <w:rFonts w:ascii="Arial" w:hAnsi="Arial" w:cs="Arial"/>
          <w:color w:val="000066"/>
          <w:sz w:val="12"/>
          <w:szCs w:val="16"/>
        </w:rPr>
        <w:t xml:space="preserve">αναγνώριση των ομολόγων υψηλής διαβάθμισης της </w:t>
      </w:r>
      <w:r w:rsidRPr="001950E3">
        <w:rPr>
          <w:rFonts w:ascii="Arial" w:hAnsi="Arial" w:cs="Arial"/>
          <w:color w:val="000066"/>
          <w:sz w:val="12"/>
          <w:szCs w:val="16"/>
        </w:rPr>
        <w:t>συναλλαγής Cairo.</w:t>
      </w:r>
    </w:p>
  </w:footnote>
  <w:footnote w:id="3">
    <w:p w:rsidR="00DB08E9" w:rsidRPr="00080D62" w:rsidRDefault="00DB08E9" w:rsidP="00DB08E9">
      <w:pPr>
        <w:pStyle w:val="a6"/>
      </w:pPr>
      <w:r w:rsidRPr="00080D62">
        <w:rPr>
          <w:rFonts w:ascii="Arial" w:hAnsi="Arial" w:cs="Arial"/>
          <w:color w:val="000066"/>
          <w:sz w:val="12"/>
          <w:szCs w:val="16"/>
          <w:vertAlign w:val="superscript"/>
        </w:rPr>
        <w:footnoteRef/>
      </w:r>
      <w:r w:rsidRPr="00C84E36">
        <w:rPr>
          <w:rFonts w:ascii="Arial" w:hAnsi="Arial" w:cs="Arial"/>
          <w:color w:val="000066"/>
          <w:sz w:val="12"/>
          <w:szCs w:val="16"/>
          <w:vertAlign w:val="superscript"/>
        </w:rPr>
        <w:t xml:space="preserve"> </w:t>
      </w:r>
      <w:r w:rsidRPr="005A76A9">
        <w:rPr>
          <w:rFonts w:ascii="Arial" w:hAnsi="Arial" w:cs="Arial"/>
          <w:color w:val="000066"/>
          <w:sz w:val="12"/>
          <w:szCs w:val="16"/>
          <w:vertAlign w:val="superscript"/>
        </w:rPr>
        <w:t xml:space="preserve"> </w:t>
      </w:r>
      <w:r>
        <w:rPr>
          <w:rFonts w:ascii="Arial" w:hAnsi="Arial" w:cs="Arial"/>
          <w:color w:val="000066"/>
          <w:sz w:val="12"/>
          <w:szCs w:val="16"/>
        </w:rPr>
        <w:t>Προσαρμοσμένα καθαρά κέρδη</w:t>
      </w:r>
      <w:r w:rsidRPr="00C84E36">
        <w:rPr>
          <w:rFonts w:ascii="Arial" w:hAnsi="Arial" w:cs="Arial"/>
          <w:color w:val="000066"/>
          <w:sz w:val="12"/>
          <w:szCs w:val="16"/>
        </w:rPr>
        <w:t>.</w:t>
      </w:r>
      <w:r w:rsidRPr="00080D62">
        <w:rPr>
          <w:rFonts w:ascii="Arial" w:hAnsi="Arial" w:cs="Arial"/>
          <w:color w:val="000066"/>
          <w:sz w:val="12"/>
          <w:szCs w:val="16"/>
          <w:vertAlign w:val="superscript"/>
        </w:rPr>
        <w:t xml:space="preserve"> </w:t>
      </w:r>
    </w:p>
  </w:footnote>
  <w:footnote w:id="4">
    <w:p w:rsidR="008B0D4A" w:rsidRDefault="008B0D4A">
      <w:pPr>
        <w:pStyle w:val="a6"/>
      </w:pPr>
      <w:r w:rsidRPr="00555846">
        <w:rPr>
          <w:rFonts w:ascii="Arial" w:hAnsi="Arial" w:cs="Arial"/>
          <w:color w:val="000066"/>
          <w:sz w:val="12"/>
          <w:szCs w:val="16"/>
          <w:vertAlign w:val="superscript"/>
        </w:rPr>
        <w:footnoteRef/>
      </w:r>
      <w:r w:rsidRPr="00C84E36">
        <w:rPr>
          <w:rFonts w:ascii="Arial" w:hAnsi="Arial" w:cs="Arial"/>
          <w:color w:val="000066"/>
          <w:sz w:val="12"/>
          <w:szCs w:val="16"/>
        </w:rPr>
        <w:t xml:space="preserve"> </w:t>
      </w:r>
      <w:r>
        <w:rPr>
          <w:rFonts w:ascii="Arial" w:hAnsi="Arial" w:cs="Arial"/>
          <w:color w:val="000066"/>
          <w:sz w:val="12"/>
          <w:szCs w:val="16"/>
        </w:rPr>
        <w:t>Προσαρμοσμένα καθαρά κέρδη.</w:t>
      </w:r>
      <w:r>
        <w:t xml:space="preserve"> </w:t>
      </w:r>
    </w:p>
  </w:footnote>
  <w:footnote w:id="5">
    <w:p w:rsidR="008B0D4A" w:rsidRDefault="008B0D4A">
      <w:pPr>
        <w:pStyle w:val="a6"/>
      </w:pPr>
      <w:r w:rsidRPr="00DD6DF8">
        <w:rPr>
          <w:rFonts w:ascii="Arial" w:hAnsi="Arial" w:cs="Arial"/>
          <w:color w:val="000066"/>
          <w:sz w:val="12"/>
          <w:szCs w:val="16"/>
          <w:vertAlign w:val="superscript"/>
        </w:rPr>
        <w:footnoteRef/>
      </w:r>
      <w:r w:rsidRPr="00C84E36">
        <w:rPr>
          <w:rFonts w:ascii="Arial" w:hAnsi="Arial" w:cs="Arial"/>
          <w:color w:val="000066"/>
          <w:sz w:val="12"/>
          <w:szCs w:val="16"/>
        </w:rPr>
        <w:t xml:space="preserve"> </w:t>
      </w:r>
      <w:r>
        <w:rPr>
          <w:rFonts w:ascii="Arial" w:hAnsi="Arial" w:cs="Arial"/>
          <w:color w:val="000066"/>
          <w:sz w:val="12"/>
          <w:szCs w:val="16"/>
        </w:rPr>
        <w:t>Προσαρμοσμένα καθαρά κέρδη.</w:t>
      </w:r>
    </w:p>
  </w:footnote>
  <w:footnote w:id="6">
    <w:tbl>
      <w:tblPr>
        <w:tblW w:w="0" w:type="auto"/>
        <w:tblBorders>
          <w:top w:val="nil"/>
          <w:left w:val="nil"/>
          <w:bottom w:val="nil"/>
          <w:right w:val="nil"/>
        </w:tblBorders>
        <w:tblLayout w:type="fixed"/>
        <w:tblLook w:val="0000"/>
      </w:tblPr>
      <w:tblGrid>
        <w:gridCol w:w="9039"/>
      </w:tblGrid>
      <w:tr w:rsidR="008B0D4A" w:rsidRPr="002B55DF" w:rsidTr="00502A33">
        <w:tblPrEx>
          <w:tblCellMar>
            <w:top w:w="0" w:type="dxa"/>
            <w:bottom w:w="0" w:type="dxa"/>
          </w:tblCellMar>
        </w:tblPrEx>
        <w:trPr>
          <w:trHeight w:val="76"/>
        </w:trPr>
        <w:tc>
          <w:tcPr>
            <w:tcW w:w="9039" w:type="dxa"/>
          </w:tcPr>
          <w:p w:rsidR="008B0D4A" w:rsidRPr="002B55DF" w:rsidRDefault="008B0D4A" w:rsidP="00CE2A9B">
            <w:pPr>
              <w:autoSpaceDE w:val="0"/>
              <w:autoSpaceDN w:val="0"/>
              <w:adjustRightInd w:val="0"/>
              <w:jc w:val="both"/>
              <w:rPr>
                <w:rFonts w:ascii="Arial" w:hAnsi="Arial" w:cs="Arial"/>
                <w:kern w:val="0"/>
                <w:sz w:val="16"/>
                <w:szCs w:val="16"/>
              </w:rPr>
            </w:pPr>
            <w:r w:rsidRPr="003C5B45">
              <w:rPr>
                <w:rFonts w:ascii="Arial" w:hAnsi="Arial" w:cs="Arial"/>
                <w:color w:val="000066"/>
                <w:sz w:val="12"/>
                <w:szCs w:val="16"/>
                <w:vertAlign w:val="superscript"/>
              </w:rPr>
              <w:footnoteRef/>
            </w:r>
            <w:r w:rsidR="00137F19">
              <w:rPr>
                <w:rFonts w:ascii="Arial" w:hAnsi="Arial" w:cs="Arial"/>
                <w:color w:val="000066"/>
                <w:kern w:val="0"/>
                <w:sz w:val="12"/>
                <w:szCs w:val="16"/>
              </w:rPr>
              <w:t xml:space="preserve"> </w:t>
            </w:r>
            <w:r w:rsidR="00CE2A9B" w:rsidRPr="00CE2A9B">
              <w:rPr>
                <w:rFonts w:ascii="Arial" w:hAnsi="Arial" w:cs="Arial"/>
                <w:color w:val="000066"/>
                <w:kern w:val="0"/>
                <w:sz w:val="12"/>
                <w:szCs w:val="16"/>
              </w:rPr>
              <w:t>Το Δ’ τρίμηνο του 2019, ο Όμιλος προέβη σε αλλαγή της λογιστικής πολιτικής επιμέτρησης των επενδύσεων σε ακίνητα από τη μέθοδο κόστους στη μέθοδο της εύλογης αξίας με αναδρομική εφαρμογή της. Ως εκ τούτου, τα συγκριτικά στοιχεία που αφορούν στα προηγούμενα τρίμηνα του 2019 έχουν αναμορφωθεί.</w:t>
            </w:r>
          </w:p>
        </w:tc>
      </w:tr>
    </w:tbl>
    <w:p w:rsidR="008B0D4A" w:rsidRPr="00511307" w:rsidRDefault="008B0D4A" w:rsidP="002B55DF">
      <w:pPr>
        <w:pStyle w:val="a6"/>
        <w:rPr>
          <w:rFonts w:ascii="Arial" w:hAnsi="Arial" w:cs="Arial"/>
          <w:color w:val="000066"/>
          <w:sz w:val="12"/>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DF" w:rsidRPr="00481ADF" w:rsidRDefault="00481ADF" w:rsidP="00907CD4">
    <w:pPr>
      <w:ind w:left="-850"/>
      <w:rPr>
        <w:rFonts w:ascii="Arial" w:hAnsi="Arial" w:cs="Arial"/>
        <w:color w:val="002060"/>
        <w:sz w:val="18"/>
        <w:szCs w:val="18"/>
      </w:rPr>
    </w:pPr>
    <w:r w:rsidRPr="00481A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46pt">
          <v:imagedata r:id="rId1" o:title="EUROBANK HOLDINGScmyk-01"/>
        </v:shape>
      </w:pict>
    </w:r>
    <w:r>
      <w:rPr>
        <w:lang w:val="en-US"/>
      </w:rPr>
      <w:t xml:space="preserve">  </w:t>
    </w:r>
    <w:r>
      <w:t xml:space="preserve">                                                                                                                </w:t>
    </w:r>
    <w:r w:rsidR="00DB08E9">
      <w:t xml:space="preserve">          </w:t>
    </w:r>
    <w:r w:rsidR="00DB08E9">
      <w:rPr>
        <w:rFonts w:ascii="Arial" w:hAnsi="Arial" w:cs="Arial"/>
        <w:color w:val="002060"/>
        <w:sz w:val="18"/>
        <w:szCs w:val="18"/>
        <w:lang w:val="en-US"/>
      </w:rPr>
      <w:t xml:space="preserve">1 </w:t>
    </w:r>
    <w:r w:rsidR="00DB08E9">
      <w:rPr>
        <w:rFonts w:ascii="Arial" w:hAnsi="Arial" w:cs="Arial"/>
        <w:color w:val="002060"/>
        <w:sz w:val="18"/>
        <w:szCs w:val="18"/>
      </w:rPr>
      <w:t>Σεπτεμβρίου</w:t>
    </w:r>
    <w:r w:rsidRPr="00481ADF">
      <w:rPr>
        <w:rFonts w:ascii="Arial" w:hAnsi="Arial" w:cs="Arial"/>
        <w:color w:val="002060"/>
        <w:sz w:val="18"/>
        <w:szCs w:val="18"/>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28E6"/>
    <w:multiLevelType w:val="hybridMultilevel"/>
    <w:tmpl w:val="990AAE22"/>
    <w:lvl w:ilvl="0" w:tplc="0408000D">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
    <w:nsid w:val="0CA547B2"/>
    <w:multiLevelType w:val="hybridMultilevel"/>
    <w:tmpl w:val="6428BFA2"/>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6352CDC"/>
    <w:multiLevelType w:val="hybridMultilevel"/>
    <w:tmpl w:val="40F8F9FA"/>
    <w:lvl w:ilvl="0" w:tplc="627CBF52">
      <w:start w:val="1"/>
      <w:numFmt w:val="bullet"/>
      <w:lvlText w:val=""/>
      <w:lvlJc w:val="left"/>
      <w:pPr>
        <w:tabs>
          <w:tab w:val="num" w:pos="3960"/>
        </w:tabs>
        <w:ind w:left="3960" w:hanging="360"/>
      </w:pPr>
      <w:rPr>
        <w:rFonts w:ascii="Wingdings" w:hAnsi="Wingdings" w:hint="default"/>
        <w:color w:val="000080"/>
      </w:rPr>
    </w:lvl>
    <w:lvl w:ilvl="1" w:tplc="04080003" w:tentative="1">
      <w:start w:val="1"/>
      <w:numFmt w:val="bullet"/>
      <w:lvlText w:val="o"/>
      <w:lvlJc w:val="left"/>
      <w:pPr>
        <w:tabs>
          <w:tab w:val="num" w:pos="3960"/>
        </w:tabs>
        <w:ind w:left="3960" w:hanging="360"/>
      </w:pPr>
      <w:rPr>
        <w:rFonts w:ascii="Courier New" w:hAnsi="Courier New" w:cs="Courier New" w:hint="default"/>
      </w:rPr>
    </w:lvl>
    <w:lvl w:ilvl="2" w:tplc="04080005" w:tentative="1">
      <w:start w:val="1"/>
      <w:numFmt w:val="bullet"/>
      <w:lvlText w:val=""/>
      <w:lvlJc w:val="left"/>
      <w:pPr>
        <w:tabs>
          <w:tab w:val="num" w:pos="4680"/>
        </w:tabs>
        <w:ind w:left="4680" w:hanging="360"/>
      </w:pPr>
      <w:rPr>
        <w:rFonts w:ascii="Wingdings" w:hAnsi="Wingdings" w:hint="default"/>
      </w:rPr>
    </w:lvl>
    <w:lvl w:ilvl="3" w:tplc="04080001">
      <w:start w:val="1"/>
      <w:numFmt w:val="bullet"/>
      <w:lvlText w:val=""/>
      <w:lvlJc w:val="left"/>
      <w:pPr>
        <w:tabs>
          <w:tab w:val="num" w:pos="5400"/>
        </w:tabs>
        <w:ind w:left="5400" w:hanging="360"/>
      </w:pPr>
      <w:rPr>
        <w:rFonts w:ascii="Symbol" w:hAnsi="Symbol" w:hint="default"/>
      </w:rPr>
    </w:lvl>
    <w:lvl w:ilvl="4" w:tplc="04080003" w:tentative="1">
      <w:start w:val="1"/>
      <w:numFmt w:val="bullet"/>
      <w:lvlText w:val="o"/>
      <w:lvlJc w:val="left"/>
      <w:pPr>
        <w:tabs>
          <w:tab w:val="num" w:pos="6120"/>
        </w:tabs>
        <w:ind w:left="6120" w:hanging="360"/>
      </w:pPr>
      <w:rPr>
        <w:rFonts w:ascii="Courier New" w:hAnsi="Courier New" w:cs="Courier New" w:hint="default"/>
      </w:rPr>
    </w:lvl>
    <w:lvl w:ilvl="5" w:tplc="04080005" w:tentative="1">
      <w:start w:val="1"/>
      <w:numFmt w:val="bullet"/>
      <w:lvlText w:val=""/>
      <w:lvlJc w:val="left"/>
      <w:pPr>
        <w:tabs>
          <w:tab w:val="num" w:pos="6840"/>
        </w:tabs>
        <w:ind w:left="6840" w:hanging="360"/>
      </w:pPr>
      <w:rPr>
        <w:rFonts w:ascii="Wingdings" w:hAnsi="Wingdings" w:hint="default"/>
      </w:rPr>
    </w:lvl>
    <w:lvl w:ilvl="6" w:tplc="04080001" w:tentative="1">
      <w:start w:val="1"/>
      <w:numFmt w:val="bullet"/>
      <w:lvlText w:val=""/>
      <w:lvlJc w:val="left"/>
      <w:pPr>
        <w:tabs>
          <w:tab w:val="num" w:pos="7560"/>
        </w:tabs>
        <w:ind w:left="7560" w:hanging="360"/>
      </w:pPr>
      <w:rPr>
        <w:rFonts w:ascii="Symbol" w:hAnsi="Symbol" w:hint="default"/>
      </w:rPr>
    </w:lvl>
    <w:lvl w:ilvl="7" w:tplc="04080003" w:tentative="1">
      <w:start w:val="1"/>
      <w:numFmt w:val="bullet"/>
      <w:lvlText w:val="o"/>
      <w:lvlJc w:val="left"/>
      <w:pPr>
        <w:tabs>
          <w:tab w:val="num" w:pos="8280"/>
        </w:tabs>
        <w:ind w:left="8280" w:hanging="360"/>
      </w:pPr>
      <w:rPr>
        <w:rFonts w:ascii="Courier New" w:hAnsi="Courier New" w:cs="Courier New" w:hint="default"/>
      </w:rPr>
    </w:lvl>
    <w:lvl w:ilvl="8" w:tplc="04080005" w:tentative="1">
      <w:start w:val="1"/>
      <w:numFmt w:val="bullet"/>
      <w:lvlText w:val=""/>
      <w:lvlJc w:val="left"/>
      <w:pPr>
        <w:tabs>
          <w:tab w:val="num" w:pos="9000"/>
        </w:tabs>
        <w:ind w:left="9000" w:hanging="360"/>
      </w:pPr>
      <w:rPr>
        <w:rFonts w:ascii="Wingdings" w:hAnsi="Wingdings" w:hint="default"/>
      </w:rPr>
    </w:lvl>
  </w:abstractNum>
  <w:abstractNum w:abstractNumId="3">
    <w:nsid w:val="17BA5E3D"/>
    <w:multiLevelType w:val="hybridMultilevel"/>
    <w:tmpl w:val="F12EFE70"/>
    <w:lvl w:ilvl="0" w:tplc="0408000B">
      <w:start w:val="1"/>
      <w:numFmt w:val="bullet"/>
      <w:lvlText w:val=""/>
      <w:lvlJc w:val="left"/>
      <w:pPr>
        <w:ind w:left="3272" w:hanging="360"/>
      </w:pPr>
      <w:rPr>
        <w:rFonts w:ascii="Wingdings" w:hAnsi="Wingdings" w:hint="default"/>
      </w:rPr>
    </w:lvl>
    <w:lvl w:ilvl="1" w:tplc="04080003" w:tentative="1">
      <w:start w:val="1"/>
      <w:numFmt w:val="bullet"/>
      <w:lvlText w:val="o"/>
      <w:lvlJc w:val="left"/>
      <w:pPr>
        <w:ind w:left="3992" w:hanging="360"/>
      </w:pPr>
      <w:rPr>
        <w:rFonts w:ascii="Courier New" w:hAnsi="Courier New" w:cs="Courier New" w:hint="default"/>
      </w:rPr>
    </w:lvl>
    <w:lvl w:ilvl="2" w:tplc="04080005" w:tentative="1">
      <w:start w:val="1"/>
      <w:numFmt w:val="bullet"/>
      <w:lvlText w:val=""/>
      <w:lvlJc w:val="left"/>
      <w:pPr>
        <w:ind w:left="4712" w:hanging="360"/>
      </w:pPr>
      <w:rPr>
        <w:rFonts w:ascii="Wingdings" w:hAnsi="Wingdings" w:hint="default"/>
      </w:rPr>
    </w:lvl>
    <w:lvl w:ilvl="3" w:tplc="04080001" w:tentative="1">
      <w:start w:val="1"/>
      <w:numFmt w:val="bullet"/>
      <w:lvlText w:val=""/>
      <w:lvlJc w:val="left"/>
      <w:pPr>
        <w:ind w:left="5432" w:hanging="360"/>
      </w:pPr>
      <w:rPr>
        <w:rFonts w:ascii="Symbol" w:hAnsi="Symbol" w:hint="default"/>
      </w:rPr>
    </w:lvl>
    <w:lvl w:ilvl="4" w:tplc="04080003" w:tentative="1">
      <w:start w:val="1"/>
      <w:numFmt w:val="bullet"/>
      <w:lvlText w:val="o"/>
      <w:lvlJc w:val="left"/>
      <w:pPr>
        <w:ind w:left="6152" w:hanging="360"/>
      </w:pPr>
      <w:rPr>
        <w:rFonts w:ascii="Courier New" w:hAnsi="Courier New" w:cs="Courier New" w:hint="default"/>
      </w:rPr>
    </w:lvl>
    <w:lvl w:ilvl="5" w:tplc="04080005" w:tentative="1">
      <w:start w:val="1"/>
      <w:numFmt w:val="bullet"/>
      <w:lvlText w:val=""/>
      <w:lvlJc w:val="left"/>
      <w:pPr>
        <w:ind w:left="6872" w:hanging="360"/>
      </w:pPr>
      <w:rPr>
        <w:rFonts w:ascii="Wingdings" w:hAnsi="Wingdings" w:hint="default"/>
      </w:rPr>
    </w:lvl>
    <w:lvl w:ilvl="6" w:tplc="04080001" w:tentative="1">
      <w:start w:val="1"/>
      <w:numFmt w:val="bullet"/>
      <w:lvlText w:val=""/>
      <w:lvlJc w:val="left"/>
      <w:pPr>
        <w:ind w:left="7592" w:hanging="360"/>
      </w:pPr>
      <w:rPr>
        <w:rFonts w:ascii="Symbol" w:hAnsi="Symbol" w:hint="default"/>
      </w:rPr>
    </w:lvl>
    <w:lvl w:ilvl="7" w:tplc="04080003" w:tentative="1">
      <w:start w:val="1"/>
      <w:numFmt w:val="bullet"/>
      <w:lvlText w:val="o"/>
      <w:lvlJc w:val="left"/>
      <w:pPr>
        <w:ind w:left="8312" w:hanging="360"/>
      </w:pPr>
      <w:rPr>
        <w:rFonts w:ascii="Courier New" w:hAnsi="Courier New" w:cs="Courier New" w:hint="default"/>
      </w:rPr>
    </w:lvl>
    <w:lvl w:ilvl="8" w:tplc="04080005" w:tentative="1">
      <w:start w:val="1"/>
      <w:numFmt w:val="bullet"/>
      <w:lvlText w:val=""/>
      <w:lvlJc w:val="left"/>
      <w:pPr>
        <w:ind w:left="9032" w:hanging="360"/>
      </w:pPr>
      <w:rPr>
        <w:rFonts w:ascii="Wingdings" w:hAnsi="Wingdings" w:hint="default"/>
      </w:rPr>
    </w:lvl>
  </w:abstractNum>
  <w:abstractNum w:abstractNumId="4">
    <w:nsid w:val="1A1F4EB4"/>
    <w:multiLevelType w:val="hybridMultilevel"/>
    <w:tmpl w:val="0EB6CDE6"/>
    <w:lvl w:ilvl="0" w:tplc="04080001">
      <w:start w:val="1"/>
      <w:numFmt w:val="bullet"/>
      <w:lvlText w:val=""/>
      <w:lvlJc w:val="left"/>
      <w:pPr>
        <w:ind w:left="5541" w:hanging="360"/>
      </w:pPr>
      <w:rPr>
        <w:rFonts w:ascii="Symbol" w:hAnsi="Symbol" w:hint="default"/>
      </w:rPr>
    </w:lvl>
    <w:lvl w:ilvl="1" w:tplc="04080003" w:tentative="1">
      <w:start w:val="1"/>
      <w:numFmt w:val="bullet"/>
      <w:lvlText w:val="o"/>
      <w:lvlJc w:val="left"/>
      <w:pPr>
        <w:ind w:left="6261" w:hanging="360"/>
      </w:pPr>
      <w:rPr>
        <w:rFonts w:ascii="Courier New" w:hAnsi="Courier New" w:cs="Courier New" w:hint="default"/>
      </w:rPr>
    </w:lvl>
    <w:lvl w:ilvl="2" w:tplc="04080005" w:tentative="1">
      <w:start w:val="1"/>
      <w:numFmt w:val="bullet"/>
      <w:lvlText w:val=""/>
      <w:lvlJc w:val="left"/>
      <w:pPr>
        <w:ind w:left="6981" w:hanging="360"/>
      </w:pPr>
      <w:rPr>
        <w:rFonts w:ascii="Wingdings" w:hAnsi="Wingdings" w:hint="default"/>
      </w:rPr>
    </w:lvl>
    <w:lvl w:ilvl="3" w:tplc="04080001" w:tentative="1">
      <w:start w:val="1"/>
      <w:numFmt w:val="bullet"/>
      <w:lvlText w:val=""/>
      <w:lvlJc w:val="left"/>
      <w:pPr>
        <w:ind w:left="7701" w:hanging="360"/>
      </w:pPr>
      <w:rPr>
        <w:rFonts w:ascii="Symbol" w:hAnsi="Symbol" w:hint="default"/>
      </w:rPr>
    </w:lvl>
    <w:lvl w:ilvl="4" w:tplc="04080003" w:tentative="1">
      <w:start w:val="1"/>
      <w:numFmt w:val="bullet"/>
      <w:lvlText w:val="o"/>
      <w:lvlJc w:val="left"/>
      <w:pPr>
        <w:ind w:left="8421" w:hanging="360"/>
      </w:pPr>
      <w:rPr>
        <w:rFonts w:ascii="Courier New" w:hAnsi="Courier New" w:cs="Courier New" w:hint="default"/>
      </w:rPr>
    </w:lvl>
    <w:lvl w:ilvl="5" w:tplc="04080005" w:tentative="1">
      <w:start w:val="1"/>
      <w:numFmt w:val="bullet"/>
      <w:lvlText w:val=""/>
      <w:lvlJc w:val="left"/>
      <w:pPr>
        <w:ind w:left="9141" w:hanging="360"/>
      </w:pPr>
      <w:rPr>
        <w:rFonts w:ascii="Wingdings" w:hAnsi="Wingdings" w:hint="default"/>
      </w:rPr>
    </w:lvl>
    <w:lvl w:ilvl="6" w:tplc="04080001" w:tentative="1">
      <w:start w:val="1"/>
      <w:numFmt w:val="bullet"/>
      <w:lvlText w:val=""/>
      <w:lvlJc w:val="left"/>
      <w:pPr>
        <w:ind w:left="9861" w:hanging="360"/>
      </w:pPr>
      <w:rPr>
        <w:rFonts w:ascii="Symbol" w:hAnsi="Symbol" w:hint="default"/>
      </w:rPr>
    </w:lvl>
    <w:lvl w:ilvl="7" w:tplc="04080003" w:tentative="1">
      <w:start w:val="1"/>
      <w:numFmt w:val="bullet"/>
      <w:lvlText w:val="o"/>
      <w:lvlJc w:val="left"/>
      <w:pPr>
        <w:ind w:left="10581" w:hanging="360"/>
      </w:pPr>
      <w:rPr>
        <w:rFonts w:ascii="Courier New" w:hAnsi="Courier New" w:cs="Courier New" w:hint="default"/>
      </w:rPr>
    </w:lvl>
    <w:lvl w:ilvl="8" w:tplc="04080005" w:tentative="1">
      <w:start w:val="1"/>
      <w:numFmt w:val="bullet"/>
      <w:lvlText w:val=""/>
      <w:lvlJc w:val="left"/>
      <w:pPr>
        <w:ind w:left="11301" w:hanging="360"/>
      </w:pPr>
      <w:rPr>
        <w:rFonts w:ascii="Wingdings" w:hAnsi="Wingdings" w:hint="default"/>
      </w:rPr>
    </w:lvl>
  </w:abstractNum>
  <w:abstractNum w:abstractNumId="5">
    <w:nsid w:val="1AD5067C"/>
    <w:multiLevelType w:val="hybridMultilevel"/>
    <w:tmpl w:val="EA1A7986"/>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nsid w:val="1DA169CD"/>
    <w:multiLevelType w:val="hybridMultilevel"/>
    <w:tmpl w:val="BA5AC2B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EA5685F"/>
    <w:multiLevelType w:val="hybridMultilevel"/>
    <w:tmpl w:val="C9320446"/>
    <w:lvl w:ilvl="0" w:tplc="77965502">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E941DD"/>
    <w:multiLevelType w:val="hybridMultilevel"/>
    <w:tmpl w:val="EB40A59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A92601"/>
    <w:multiLevelType w:val="hybridMultilevel"/>
    <w:tmpl w:val="5DC01A6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BC8443D"/>
    <w:multiLevelType w:val="hybridMultilevel"/>
    <w:tmpl w:val="54E8A458"/>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30264EE7"/>
    <w:multiLevelType w:val="hybridMultilevel"/>
    <w:tmpl w:val="6D1A0702"/>
    <w:lvl w:ilvl="0" w:tplc="903E35E2">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5B46717"/>
    <w:multiLevelType w:val="hybridMultilevel"/>
    <w:tmpl w:val="30FA2F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D91FDF"/>
    <w:multiLevelType w:val="hybridMultilevel"/>
    <w:tmpl w:val="CB60D94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C5B2AF0"/>
    <w:multiLevelType w:val="hybridMultilevel"/>
    <w:tmpl w:val="836EBB28"/>
    <w:lvl w:ilvl="0" w:tplc="6A20B118">
      <w:start w:val="1"/>
      <w:numFmt w:val="bullet"/>
      <w:lvlText w:val=""/>
      <w:lvlJc w:val="left"/>
      <w:pPr>
        <w:ind w:left="720" w:hanging="360"/>
      </w:pPr>
      <w:rPr>
        <w:rFonts w:ascii="Wingdings" w:hAnsi="Wingdings" w:hint="default"/>
        <w:color w:val="14047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E8E7C5A"/>
    <w:multiLevelType w:val="hybridMultilevel"/>
    <w:tmpl w:val="D34CCAD4"/>
    <w:lvl w:ilvl="0" w:tplc="63D0AC5C">
      <w:numFmt w:val="bullet"/>
      <w:lvlText w:val="-"/>
      <w:lvlJc w:val="left"/>
      <w:pPr>
        <w:ind w:left="3195" w:hanging="360"/>
      </w:pPr>
      <w:rPr>
        <w:rFonts w:ascii="Arial" w:eastAsia="Times New Roman" w:hAnsi="Arial" w:cs="Arial" w:hint="default"/>
      </w:rPr>
    </w:lvl>
    <w:lvl w:ilvl="1" w:tplc="04080003" w:tentative="1">
      <w:start w:val="1"/>
      <w:numFmt w:val="bullet"/>
      <w:lvlText w:val="o"/>
      <w:lvlJc w:val="left"/>
      <w:pPr>
        <w:ind w:left="3915" w:hanging="360"/>
      </w:pPr>
      <w:rPr>
        <w:rFonts w:ascii="Courier New" w:hAnsi="Courier New" w:cs="Courier New" w:hint="default"/>
      </w:rPr>
    </w:lvl>
    <w:lvl w:ilvl="2" w:tplc="04080005" w:tentative="1">
      <w:start w:val="1"/>
      <w:numFmt w:val="bullet"/>
      <w:lvlText w:val=""/>
      <w:lvlJc w:val="left"/>
      <w:pPr>
        <w:ind w:left="4635" w:hanging="360"/>
      </w:pPr>
      <w:rPr>
        <w:rFonts w:ascii="Wingdings" w:hAnsi="Wingdings" w:hint="default"/>
      </w:rPr>
    </w:lvl>
    <w:lvl w:ilvl="3" w:tplc="04080001" w:tentative="1">
      <w:start w:val="1"/>
      <w:numFmt w:val="bullet"/>
      <w:lvlText w:val=""/>
      <w:lvlJc w:val="left"/>
      <w:pPr>
        <w:ind w:left="5355" w:hanging="360"/>
      </w:pPr>
      <w:rPr>
        <w:rFonts w:ascii="Symbol" w:hAnsi="Symbol" w:hint="default"/>
      </w:rPr>
    </w:lvl>
    <w:lvl w:ilvl="4" w:tplc="04080003" w:tentative="1">
      <w:start w:val="1"/>
      <w:numFmt w:val="bullet"/>
      <w:lvlText w:val="o"/>
      <w:lvlJc w:val="left"/>
      <w:pPr>
        <w:ind w:left="6075" w:hanging="360"/>
      </w:pPr>
      <w:rPr>
        <w:rFonts w:ascii="Courier New" w:hAnsi="Courier New" w:cs="Courier New" w:hint="default"/>
      </w:rPr>
    </w:lvl>
    <w:lvl w:ilvl="5" w:tplc="04080005" w:tentative="1">
      <w:start w:val="1"/>
      <w:numFmt w:val="bullet"/>
      <w:lvlText w:val=""/>
      <w:lvlJc w:val="left"/>
      <w:pPr>
        <w:ind w:left="6795" w:hanging="360"/>
      </w:pPr>
      <w:rPr>
        <w:rFonts w:ascii="Wingdings" w:hAnsi="Wingdings" w:hint="default"/>
      </w:rPr>
    </w:lvl>
    <w:lvl w:ilvl="6" w:tplc="04080001" w:tentative="1">
      <w:start w:val="1"/>
      <w:numFmt w:val="bullet"/>
      <w:lvlText w:val=""/>
      <w:lvlJc w:val="left"/>
      <w:pPr>
        <w:ind w:left="7515" w:hanging="360"/>
      </w:pPr>
      <w:rPr>
        <w:rFonts w:ascii="Symbol" w:hAnsi="Symbol" w:hint="default"/>
      </w:rPr>
    </w:lvl>
    <w:lvl w:ilvl="7" w:tplc="04080003" w:tentative="1">
      <w:start w:val="1"/>
      <w:numFmt w:val="bullet"/>
      <w:lvlText w:val="o"/>
      <w:lvlJc w:val="left"/>
      <w:pPr>
        <w:ind w:left="8235" w:hanging="360"/>
      </w:pPr>
      <w:rPr>
        <w:rFonts w:ascii="Courier New" w:hAnsi="Courier New" w:cs="Courier New" w:hint="default"/>
      </w:rPr>
    </w:lvl>
    <w:lvl w:ilvl="8" w:tplc="04080005" w:tentative="1">
      <w:start w:val="1"/>
      <w:numFmt w:val="bullet"/>
      <w:lvlText w:val=""/>
      <w:lvlJc w:val="left"/>
      <w:pPr>
        <w:ind w:left="8955" w:hanging="360"/>
      </w:pPr>
      <w:rPr>
        <w:rFonts w:ascii="Wingdings" w:hAnsi="Wingdings" w:hint="default"/>
      </w:rPr>
    </w:lvl>
  </w:abstractNum>
  <w:abstractNum w:abstractNumId="16">
    <w:nsid w:val="403F01D7"/>
    <w:multiLevelType w:val="hybridMultilevel"/>
    <w:tmpl w:val="050E5E10"/>
    <w:lvl w:ilvl="0" w:tplc="04080005">
      <w:start w:val="1"/>
      <w:numFmt w:val="bullet"/>
      <w:lvlText w:val=""/>
      <w:lvlJc w:val="left"/>
      <w:pPr>
        <w:ind w:left="8280" w:hanging="360"/>
      </w:pPr>
      <w:rPr>
        <w:rFonts w:ascii="Wingdings" w:hAnsi="Wingdings" w:hint="default"/>
      </w:rPr>
    </w:lvl>
    <w:lvl w:ilvl="1" w:tplc="04080003">
      <w:start w:val="1"/>
      <w:numFmt w:val="bullet"/>
      <w:lvlText w:val="o"/>
      <w:lvlJc w:val="left"/>
      <w:pPr>
        <w:ind w:left="9000" w:hanging="360"/>
      </w:pPr>
      <w:rPr>
        <w:rFonts w:ascii="Courier New" w:hAnsi="Courier New" w:cs="Courier New" w:hint="default"/>
      </w:rPr>
    </w:lvl>
    <w:lvl w:ilvl="2" w:tplc="04080005">
      <w:start w:val="1"/>
      <w:numFmt w:val="bullet"/>
      <w:lvlText w:val=""/>
      <w:lvlJc w:val="left"/>
      <w:pPr>
        <w:ind w:left="9720" w:hanging="360"/>
      </w:pPr>
      <w:rPr>
        <w:rFonts w:ascii="Wingdings" w:hAnsi="Wingdings" w:hint="default"/>
      </w:rPr>
    </w:lvl>
    <w:lvl w:ilvl="3" w:tplc="04080001" w:tentative="1">
      <w:start w:val="1"/>
      <w:numFmt w:val="bullet"/>
      <w:lvlText w:val=""/>
      <w:lvlJc w:val="left"/>
      <w:pPr>
        <w:ind w:left="10440" w:hanging="360"/>
      </w:pPr>
      <w:rPr>
        <w:rFonts w:ascii="Symbol" w:hAnsi="Symbol" w:hint="default"/>
      </w:rPr>
    </w:lvl>
    <w:lvl w:ilvl="4" w:tplc="04080003" w:tentative="1">
      <w:start w:val="1"/>
      <w:numFmt w:val="bullet"/>
      <w:lvlText w:val="o"/>
      <w:lvlJc w:val="left"/>
      <w:pPr>
        <w:ind w:left="11160" w:hanging="360"/>
      </w:pPr>
      <w:rPr>
        <w:rFonts w:ascii="Courier New" w:hAnsi="Courier New" w:cs="Courier New" w:hint="default"/>
      </w:rPr>
    </w:lvl>
    <w:lvl w:ilvl="5" w:tplc="04080005" w:tentative="1">
      <w:start w:val="1"/>
      <w:numFmt w:val="bullet"/>
      <w:lvlText w:val=""/>
      <w:lvlJc w:val="left"/>
      <w:pPr>
        <w:ind w:left="11880" w:hanging="360"/>
      </w:pPr>
      <w:rPr>
        <w:rFonts w:ascii="Wingdings" w:hAnsi="Wingdings" w:hint="default"/>
      </w:rPr>
    </w:lvl>
    <w:lvl w:ilvl="6" w:tplc="04080001" w:tentative="1">
      <w:start w:val="1"/>
      <w:numFmt w:val="bullet"/>
      <w:lvlText w:val=""/>
      <w:lvlJc w:val="left"/>
      <w:pPr>
        <w:ind w:left="12600" w:hanging="360"/>
      </w:pPr>
      <w:rPr>
        <w:rFonts w:ascii="Symbol" w:hAnsi="Symbol" w:hint="default"/>
      </w:rPr>
    </w:lvl>
    <w:lvl w:ilvl="7" w:tplc="04080003" w:tentative="1">
      <w:start w:val="1"/>
      <w:numFmt w:val="bullet"/>
      <w:lvlText w:val="o"/>
      <w:lvlJc w:val="left"/>
      <w:pPr>
        <w:ind w:left="13320" w:hanging="360"/>
      </w:pPr>
      <w:rPr>
        <w:rFonts w:ascii="Courier New" w:hAnsi="Courier New" w:cs="Courier New" w:hint="default"/>
      </w:rPr>
    </w:lvl>
    <w:lvl w:ilvl="8" w:tplc="04080005" w:tentative="1">
      <w:start w:val="1"/>
      <w:numFmt w:val="bullet"/>
      <w:lvlText w:val=""/>
      <w:lvlJc w:val="left"/>
      <w:pPr>
        <w:ind w:left="14040" w:hanging="360"/>
      </w:pPr>
      <w:rPr>
        <w:rFonts w:ascii="Wingdings" w:hAnsi="Wingdings" w:hint="default"/>
      </w:rPr>
    </w:lvl>
  </w:abstractNum>
  <w:abstractNum w:abstractNumId="17">
    <w:nsid w:val="491A30C0"/>
    <w:multiLevelType w:val="hybridMultilevel"/>
    <w:tmpl w:val="0EFEAC60"/>
    <w:lvl w:ilvl="0" w:tplc="04080009">
      <w:start w:val="1"/>
      <w:numFmt w:val="bullet"/>
      <w:lvlText w:val=""/>
      <w:lvlJc w:val="left"/>
      <w:pPr>
        <w:tabs>
          <w:tab w:val="num" w:pos="3240"/>
        </w:tabs>
        <w:ind w:left="3240" w:hanging="360"/>
      </w:pPr>
      <w:rPr>
        <w:rFonts w:ascii="Wingdings" w:hAnsi="Wingdings" w:hint="default"/>
      </w:rPr>
    </w:lvl>
    <w:lvl w:ilvl="1" w:tplc="04080003" w:tentative="1">
      <w:start w:val="1"/>
      <w:numFmt w:val="bullet"/>
      <w:lvlText w:val="o"/>
      <w:lvlJc w:val="left"/>
      <w:pPr>
        <w:tabs>
          <w:tab w:val="num" w:pos="3960"/>
        </w:tabs>
        <w:ind w:left="3960" w:hanging="360"/>
      </w:pPr>
      <w:rPr>
        <w:rFonts w:ascii="Courier New" w:hAnsi="Courier New" w:cs="Courier New" w:hint="default"/>
      </w:rPr>
    </w:lvl>
    <w:lvl w:ilvl="2" w:tplc="04080005" w:tentative="1">
      <w:start w:val="1"/>
      <w:numFmt w:val="bullet"/>
      <w:lvlText w:val=""/>
      <w:lvlJc w:val="left"/>
      <w:pPr>
        <w:tabs>
          <w:tab w:val="num" w:pos="4680"/>
        </w:tabs>
        <w:ind w:left="4680" w:hanging="360"/>
      </w:pPr>
      <w:rPr>
        <w:rFonts w:ascii="Wingdings" w:hAnsi="Wingdings" w:hint="default"/>
      </w:rPr>
    </w:lvl>
    <w:lvl w:ilvl="3" w:tplc="04080001" w:tentative="1">
      <w:start w:val="1"/>
      <w:numFmt w:val="bullet"/>
      <w:lvlText w:val=""/>
      <w:lvlJc w:val="left"/>
      <w:pPr>
        <w:tabs>
          <w:tab w:val="num" w:pos="5400"/>
        </w:tabs>
        <w:ind w:left="5400" w:hanging="360"/>
      </w:pPr>
      <w:rPr>
        <w:rFonts w:ascii="Symbol" w:hAnsi="Symbol" w:hint="default"/>
      </w:rPr>
    </w:lvl>
    <w:lvl w:ilvl="4" w:tplc="04080003" w:tentative="1">
      <w:start w:val="1"/>
      <w:numFmt w:val="bullet"/>
      <w:lvlText w:val="o"/>
      <w:lvlJc w:val="left"/>
      <w:pPr>
        <w:tabs>
          <w:tab w:val="num" w:pos="6120"/>
        </w:tabs>
        <w:ind w:left="6120" w:hanging="360"/>
      </w:pPr>
      <w:rPr>
        <w:rFonts w:ascii="Courier New" w:hAnsi="Courier New" w:cs="Courier New" w:hint="default"/>
      </w:rPr>
    </w:lvl>
    <w:lvl w:ilvl="5" w:tplc="04080005" w:tentative="1">
      <w:start w:val="1"/>
      <w:numFmt w:val="bullet"/>
      <w:lvlText w:val=""/>
      <w:lvlJc w:val="left"/>
      <w:pPr>
        <w:tabs>
          <w:tab w:val="num" w:pos="6840"/>
        </w:tabs>
        <w:ind w:left="6840" w:hanging="360"/>
      </w:pPr>
      <w:rPr>
        <w:rFonts w:ascii="Wingdings" w:hAnsi="Wingdings" w:hint="default"/>
      </w:rPr>
    </w:lvl>
    <w:lvl w:ilvl="6" w:tplc="04080001" w:tentative="1">
      <w:start w:val="1"/>
      <w:numFmt w:val="bullet"/>
      <w:lvlText w:val=""/>
      <w:lvlJc w:val="left"/>
      <w:pPr>
        <w:tabs>
          <w:tab w:val="num" w:pos="7560"/>
        </w:tabs>
        <w:ind w:left="7560" w:hanging="360"/>
      </w:pPr>
      <w:rPr>
        <w:rFonts w:ascii="Symbol" w:hAnsi="Symbol" w:hint="default"/>
      </w:rPr>
    </w:lvl>
    <w:lvl w:ilvl="7" w:tplc="04080003" w:tentative="1">
      <w:start w:val="1"/>
      <w:numFmt w:val="bullet"/>
      <w:lvlText w:val="o"/>
      <w:lvlJc w:val="left"/>
      <w:pPr>
        <w:tabs>
          <w:tab w:val="num" w:pos="8280"/>
        </w:tabs>
        <w:ind w:left="8280" w:hanging="360"/>
      </w:pPr>
      <w:rPr>
        <w:rFonts w:ascii="Courier New" w:hAnsi="Courier New" w:cs="Courier New" w:hint="default"/>
      </w:rPr>
    </w:lvl>
    <w:lvl w:ilvl="8" w:tplc="04080005" w:tentative="1">
      <w:start w:val="1"/>
      <w:numFmt w:val="bullet"/>
      <w:lvlText w:val=""/>
      <w:lvlJc w:val="left"/>
      <w:pPr>
        <w:tabs>
          <w:tab w:val="num" w:pos="9000"/>
        </w:tabs>
        <w:ind w:left="9000" w:hanging="360"/>
      </w:pPr>
      <w:rPr>
        <w:rFonts w:ascii="Wingdings" w:hAnsi="Wingdings" w:hint="default"/>
      </w:rPr>
    </w:lvl>
  </w:abstractNum>
  <w:abstractNum w:abstractNumId="18">
    <w:nsid w:val="4D366477"/>
    <w:multiLevelType w:val="hybridMultilevel"/>
    <w:tmpl w:val="362EDFB6"/>
    <w:lvl w:ilvl="0" w:tplc="F230A65A">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1A15FCC"/>
    <w:multiLevelType w:val="hybridMultilevel"/>
    <w:tmpl w:val="AD087846"/>
    <w:lvl w:ilvl="0" w:tplc="0408000B">
      <w:start w:val="1"/>
      <w:numFmt w:val="bullet"/>
      <w:lvlText w:val=""/>
      <w:lvlJc w:val="left"/>
      <w:pPr>
        <w:ind w:left="3555" w:hanging="360"/>
      </w:pPr>
      <w:rPr>
        <w:rFonts w:ascii="Wingdings" w:hAnsi="Wingdings" w:hint="default"/>
      </w:rPr>
    </w:lvl>
    <w:lvl w:ilvl="1" w:tplc="04080003" w:tentative="1">
      <w:start w:val="1"/>
      <w:numFmt w:val="bullet"/>
      <w:lvlText w:val="o"/>
      <w:lvlJc w:val="left"/>
      <w:pPr>
        <w:ind w:left="4275" w:hanging="360"/>
      </w:pPr>
      <w:rPr>
        <w:rFonts w:ascii="Courier New" w:hAnsi="Courier New" w:cs="Courier New" w:hint="default"/>
      </w:rPr>
    </w:lvl>
    <w:lvl w:ilvl="2" w:tplc="04080005" w:tentative="1">
      <w:start w:val="1"/>
      <w:numFmt w:val="bullet"/>
      <w:lvlText w:val=""/>
      <w:lvlJc w:val="left"/>
      <w:pPr>
        <w:ind w:left="4995" w:hanging="360"/>
      </w:pPr>
      <w:rPr>
        <w:rFonts w:ascii="Wingdings" w:hAnsi="Wingdings" w:hint="default"/>
      </w:rPr>
    </w:lvl>
    <w:lvl w:ilvl="3" w:tplc="04080001" w:tentative="1">
      <w:start w:val="1"/>
      <w:numFmt w:val="bullet"/>
      <w:lvlText w:val=""/>
      <w:lvlJc w:val="left"/>
      <w:pPr>
        <w:ind w:left="5715" w:hanging="360"/>
      </w:pPr>
      <w:rPr>
        <w:rFonts w:ascii="Symbol" w:hAnsi="Symbol" w:hint="default"/>
      </w:rPr>
    </w:lvl>
    <w:lvl w:ilvl="4" w:tplc="04080003" w:tentative="1">
      <w:start w:val="1"/>
      <w:numFmt w:val="bullet"/>
      <w:lvlText w:val="o"/>
      <w:lvlJc w:val="left"/>
      <w:pPr>
        <w:ind w:left="6435" w:hanging="360"/>
      </w:pPr>
      <w:rPr>
        <w:rFonts w:ascii="Courier New" w:hAnsi="Courier New" w:cs="Courier New" w:hint="default"/>
      </w:rPr>
    </w:lvl>
    <w:lvl w:ilvl="5" w:tplc="04080005" w:tentative="1">
      <w:start w:val="1"/>
      <w:numFmt w:val="bullet"/>
      <w:lvlText w:val=""/>
      <w:lvlJc w:val="left"/>
      <w:pPr>
        <w:ind w:left="7155" w:hanging="360"/>
      </w:pPr>
      <w:rPr>
        <w:rFonts w:ascii="Wingdings" w:hAnsi="Wingdings" w:hint="default"/>
      </w:rPr>
    </w:lvl>
    <w:lvl w:ilvl="6" w:tplc="04080001" w:tentative="1">
      <w:start w:val="1"/>
      <w:numFmt w:val="bullet"/>
      <w:lvlText w:val=""/>
      <w:lvlJc w:val="left"/>
      <w:pPr>
        <w:ind w:left="7875" w:hanging="360"/>
      </w:pPr>
      <w:rPr>
        <w:rFonts w:ascii="Symbol" w:hAnsi="Symbol" w:hint="default"/>
      </w:rPr>
    </w:lvl>
    <w:lvl w:ilvl="7" w:tplc="04080003" w:tentative="1">
      <w:start w:val="1"/>
      <w:numFmt w:val="bullet"/>
      <w:lvlText w:val="o"/>
      <w:lvlJc w:val="left"/>
      <w:pPr>
        <w:ind w:left="8595" w:hanging="360"/>
      </w:pPr>
      <w:rPr>
        <w:rFonts w:ascii="Courier New" w:hAnsi="Courier New" w:cs="Courier New" w:hint="default"/>
      </w:rPr>
    </w:lvl>
    <w:lvl w:ilvl="8" w:tplc="04080005" w:tentative="1">
      <w:start w:val="1"/>
      <w:numFmt w:val="bullet"/>
      <w:lvlText w:val=""/>
      <w:lvlJc w:val="left"/>
      <w:pPr>
        <w:ind w:left="9315" w:hanging="360"/>
      </w:pPr>
      <w:rPr>
        <w:rFonts w:ascii="Wingdings" w:hAnsi="Wingdings" w:hint="default"/>
      </w:rPr>
    </w:lvl>
  </w:abstractNum>
  <w:abstractNum w:abstractNumId="20">
    <w:nsid w:val="52892206"/>
    <w:multiLevelType w:val="hybridMultilevel"/>
    <w:tmpl w:val="B436F9AC"/>
    <w:lvl w:ilvl="0" w:tplc="B1861312">
      <w:start w:val="1"/>
      <w:numFmt w:val="bullet"/>
      <w:lvlText w:val=""/>
      <w:lvlJc w:val="left"/>
      <w:pPr>
        <w:tabs>
          <w:tab w:val="num" w:pos="1287"/>
        </w:tabs>
        <w:ind w:left="1287" w:hanging="360"/>
      </w:pPr>
      <w:rPr>
        <w:rFonts w:ascii="Wingdings" w:hAnsi="Wingdings" w:hint="default"/>
      </w:rPr>
    </w:lvl>
    <w:lvl w:ilvl="1" w:tplc="0408000D">
      <w:start w:val="1"/>
      <w:numFmt w:val="bullet"/>
      <w:lvlText w:val=""/>
      <w:lvlJc w:val="left"/>
      <w:pPr>
        <w:tabs>
          <w:tab w:val="num" w:pos="2007"/>
        </w:tabs>
        <w:ind w:left="2007" w:hanging="360"/>
      </w:pPr>
      <w:rPr>
        <w:rFonts w:ascii="Wingdings" w:hAnsi="Wingdings"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1">
    <w:nsid w:val="57116FEB"/>
    <w:multiLevelType w:val="hybridMultilevel"/>
    <w:tmpl w:val="C456A686"/>
    <w:lvl w:ilvl="0" w:tplc="0408000D">
      <w:start w:val="1"/>
      <w:numFmt w:val="bullet"/>
      <w:lvlText w:val=""/>
      <w:lvlJc w:val="left"/>
      <w:pPr>
        <w:tabs>
          <w:tab w:val="num" w:pos="1287"/>
        </w:tabs>
        <w:ind w:left="1287" w:hanging="360"/>
      </w:pPr>
      <w:rPr>
        <w:rFonts w:ascii="Wingdings" w:hAnsi="Wingdings" w:hint="default"/>
      </w:rPr>
    </w:lvl>
    <w:lvl w:ilvl="1" w:tplc="0408000D">
      <w:start w:val="1"/>
      <w:numFmt w:val="bullet"/>
      <w:lvlText w:val=""/>
      <w:lvlJc w:val="left"/>
      <w:pPr>
        <w:tabs>
          <w:tab w:val="num" w:pos="2007"/>
        </w:tabs>
        <w:ind w:left="2007" w:hanging="360"/>
      </w:pPr>
      <w:rPr>
        <w:rFonts w:ascii="Wingdings" w:hAnsi="Wingdings"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2">
    <w:nsid w:val="57523F5C"/>
    <w:multiLevelType w:val="hybridMultilevel"/>
    <w:tmpl w:val="4E46539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81275AA"/>
    <w:multiLevelType w:val="hybridMultilevel"/>
    <w:tmpl w:val="A0E28C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AF3875"/>
    <w:multiLevelType w:val="hybridMultilevel"/>
    <w:tmpl w:val="E062AE86"/>
    <w:lvl w:ilvl="0" w:tplc="B186131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C823643"/>
    <w:multiLevelType w:val="hybridMultilevel"/>
    <w:tmpl w:val="9670D700"/>
    <w:lvl w:ilvl="0" w:tplc="04080005">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49A4293"/>
    <w:multiLevelType w:val="hybridMultilevel"/>
    <w:tmpl w:val="6EFC3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595581C"/>
    <w:multiLevelType w:val="hybridMultilevel"/>
    <w:tmpl w:val="E35CF7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0566B04"/>
    <w:multiLevelType w:val="hybridMultilevel"/>
    <w:tmpl w:val="674658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2BE2D94"/>
    <w:multiLevelType w:val="hybridMultilevel"/>
    <w:tmpl w:val="B8566D6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5E10EB7"/>
    <w:multiLevelType w:val="hybridMultilevel"/>
    <w:tmpl w:val="719AA300"/>
    <w:lvl w:ilvl="0" w:tplc="98BE37A8">
      <w:start w:val="5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7"/>
  </w:num>
  <w:num w:numId="4">
    <w:abstractNumId w:val="16"/>
  </w:num>
  <w:num w:numId="5">
    <w:abstractNumId w:val="18"/>
  </w:num>
  <w:num w:numId="6">
    <w:abstractNumId w:val="7"/>
  </w:num>
  <w:num w:numId="7">
    <w:abstractNumId w:val="11"/>
  </w:num>
  <w:num w:numId="8">
    <w:abstractNumId w:val="30"/>
  </w:num>
  <w:num w:numId="9">
    <w:abstractNumId w:val="3"/>
  </w:num>
  <w:num w:numId="10">
    <w:abstractNumId w:val="6"/>
  </w:num>
  <w:num w:numId="11">
    <w:abstractNumId w:val="13"/>
  </w:num>
  <w:num w:numId="12">
    <w:abstractNumId w:val="4"/>
  </w:num>
  <w:num w:numId="13">
    <w:abstractNumId w:val="5"/>
  </w:num>
  <w:num w:numId="14">
    <w:abstractNumId w:val="19"/>
  </w:num>
  <w:num w:numId="15">
    <w:abstractNumId w:val="15"/>
  </w:num>
  <w:num w:numId="16">
    <w:abstractNumId w:val="28"/>
  </w:num>
  <w:num w:numId="17">
    <w:abstractNumId w:val="26"/>
  </w:num>
  <w:num w:numId="18">
    <w:abstractNumId w:val="12"/>
  </w:num>
  <w:num w:numId="19">
    <w:abstractNumId w:val="9"/>
  </w:num>
  <w:num w:numId="20">
    <w:abstractNumId w:val="23"/>
  </w:num>
  <w:num w:numId="21">
    <w:abstractNumId w:val="27"/>
  </w:num>
  <w:num w:numId="22">
    <w:abstractNumId w:val="29"/>
  </w:num>
  <w:num w:numId="23">
    <w:abstractNumId w:val="24"/>
  </w:num>
  <w:num w:numId="24">
    <w:abstractNumId w:val="14"/>
  </w:num>
  <w:num w:numId="25">
    <w:abstractNumId w:val="22"/>
  </w:num>
  <w:num w:numId="26">
    <w:abstractNumId w:val="10"/>
  </w:num>
  <w:num w:numId="27">
    <w:abstractNumId w:val="8"/>
  </w:num>
  <w:num w:numId="28">
    <w:abstractNumId w:val="1"/>
  </w:num>
  <w:num w:numId="29">
    <w:abstractNumId w:val="0"/>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379A"/>
    <w:rsid w:val="00001F97"/>
    <w:rsid w:val="0000239C"/>
    <w:rsid w:val="000034BA"/>
    <w:rsid w:val="000034DB"/>
    <w:rsid w:val="00003C0D"/>
    <w:rsid w:val="00003D2B"/>
    <w:rsid w:val="00003DC6"/>
    <w:rsid w:val="00004E0C"/>
    <w:rsid w:val="000057B7"/>
    <w:rsid w:val="000067A9"/>
    <w:rsid w:val="000078E0"/>
    <w:rsid w:val="00007C75"/>
    <w:rsid w:val="00010204"/>
    <w:rsid w:val="00012435"/>
    <w:rsid w:val="00012491"/>
    <w:rsid w:val="000156C8"/>
    <w:rsid w:val="000158AA"/>
    <w:rsid w:val="000159B2"/>
    <w:rsid w:val="00016690"/>
    <w:rsid w:val="00016DAB"/>
    <w:rsid w:val="00017377"/>
    <w:rsid w:val="00017EBF"/>
    <w:rsid w:val="000205F3"/>
    <w:rsid w:val="0002247A"/>
    <w:rsid w:val="00022F3B"/>
    <w:rsid w:val="000232F4"/>
    <w:rsid w:val="00023771"/>
    <w:rsid w:val="00024AC6"/>
    <w:rsid w:val="00025B1A"/>
    <w:rsid w:val="00027184"/>
    <w:rsid w:val="00027ECD"/>
    <w:rsid w:val="00030529"/>
    <w:rsid w:val="00030A16"/>
    <w:rsid w:val="00030AE3"/>
    <w:rsid w:val="00030CCA"/>
    <w:rsid w:val="000314C4"/>
    <w:rsid w:val="0003164D"/>
    <w:rsid w:val="000327E1"/>
    <w:rsid w:val="000337B0"/>
    <w:rsid w:val="00034390"/>
    <w:rsid w:val="00034CB4"/>
    <w:rsid w:val="000350DA"/>
    <w:rsid w:val="0003538C"/>
    <w:rsid w:val="00035C73"/>
    <w:rsid w:val="00036104"/>
    <w:rsid w:val="00036893"/>
    <w:rsid w:val="00036A4A"/>
    <w:rsid w:val="00037717"/>
    <w:rsid w:val="00037836"/>
    <w:rsid w:val="00041388"/>
    <w:rsid w:val="000413CB"/>
    <w:rsid w:val="000413F7"/>
    <w:rsid w:val="000416CD"/>
    <w:rsid w:val="00041BD1"/>
    <w:rsid w:val="0004215A"/>
    <w:rsid w:val="000432C9"/>
    <w:rsid w:val="000437D7"/>
    <w:rsid w:val="00043870"/>
    <w:rsid w:val="00043EC0"/>
    <w:rsid w:val="0004488C"/>
    <w:rsid w:val="00044A2E"/>
    <w:rsid w:val="00044BFE"/>
    <w:rsid w:val="000451C3"/>
    <w:rsid w:val="000452C8"/>
    <w:rsid w:val="0004584E"/>
    <w:rsid w:val="0004690F"/>
    <w:rsid w:val="000469A5"/>
    <w:rsid w:val="000479C3"/>
    <w:rsid w:val="00047B84"/>
    <w:rsid w:val="00047EE5"/>
    <w:rsid w:val="00050234"/>
    <w:rsid w:val="000515FD"/>
    <w:rsid w:val="00051B54"/>
    <w:rsid w:val="00051C68"/>
    <w:rsid w:val="00052E23"/>
    <w:rsid w:val="000534EB"/>
    <w:rsid w:val="000544BB"/>
    <w:rsid w:val="00054752"/>
    <w:rsid w:val="00055BB2"/>
    <w:rsid w:val="0005618A"/>
    <w:rsid w:val="00056C32"/>
    <w:rsid w:val="00056CC2"/>
    <w:rsid w:val="00057971"/>
    <w:rsid w:val="00057D7F"/>
    <w:rsid w:val="0006008A"/>
    <w:rsid w:val="00060CA1"/>
    <w:rsid w:val="0006207E"/>
    <w:rsid w:val="00062FFF"/>
    <w:rsid w:val="00063B29"/>
    <w:rsid w:val="00064BBA"/>
    <w:rsid w:val="00064C98"/>
    <w:rsid w:val="00064CD9"/>
    <w:rsid w:val="000650B9"/>
    <w:rsid w:val="000655DD"/>
    <w:rsid w:val="00065ABD"/>
    <w:rsid w:val="0006722E"/>
    <w:rsid w:val="000673BC"/>
    <w:rsid w:val="0006753F"/>
    <w:rsid w:val="00067D7B"/>
    <w:rsid w:val="00070802"/>
    <w:rsid w:val="00070C0E"/>
    <w:rsid w:val="000734C6"/>
    <w:rsid w:val="00074704"/>
    <w:rsid w:val="00074944"/>
    <w:rsid w:val="00074C6D"/>
    <w:rsid w:val="00076A80"/>
    <w:rsid w:val="00076F86"/>
    <w:rsid w:val="000771BF"/>
    <w:rsid w:val="000779C3"/>
    <w:rsid w:val="00080420"/>
    <w:rsid w:val="00080D62"/>
    <w:rsid w:val="00081932"/>
    <w:rsid w:val="00082153"/>
    <w:rsid w:val="0008289F"/>
    <w:rsid w:val="000832E3"/>
    <w:rsid w:val="0008351B"/>
    <w:rsid w:val="00083A08"/>
    <w:rsid w:val="00083CFE"/>
    <w:rsid w:val="00084FFC"/>
    <w:rsid w:val="0008539E"/>
    <w:rsid w:val="000859CD"/>
    <w:rsid w:val="00086FAB"/>
    <w:rsid w:val="000870FD"/>
    <w:rsid w:val="000873C3"/>
    <w:rsid w:val="00091612"/>
    <w:rsid w:val="00093F9D"/>
    <w:rsid w:val="00095975"/>
    <w:rsid w:val="00096325"/>
    <w:rsid w:val="00096E89"/>
    <w:rsid w:val="000A0BB6"/>
    <w:rsid w:val="000A0C52"/>
    <w:rsid w:val="000A35B4"/>
    <w:rsid w:val="000A47FD"/>
    <w:rsid w:val="000A4F9F"/>
    <w:rsid w:val="000A5117"/>
    <w:rsid w:val="000A51EF"/>
    <w:rsid w:val="000A6510"/>
    <w:rsid w:val="000A73D5"/>
    <w:rsid w:val="000A757F"/>
    <w:rsid w:val="000A7C55"/>
    <w:rsid w:val="000B0E08"/>
    <w:rsid w:val="000B1CCD"/>
    <w:rsid w:val="000B1DEC"/>
    <w:rsid w:val="000B228E"/>
    <w:rsid w:val="000B27E5"/>
    <w:rsid w:val="000B293B"/>
    <w:rsid w:val="000B3CF3"/>
    <w:rsid w:val="000B40B9"/>
    <w:rsid w:val="000B40D5"/>
    <w:rsid w:val="000B4534"/>
    <w:rsid w:val="000B47C0"/>
    <w:rsid w:val="000B486D"/>
    <w:rsid w:val="000B5133"/>
    <w:rsid w:val="000B6255"/>
    <w:rsid w:val="000B6400"/>
    <w:rsid w:val="000B6567"/>
    <w:rsid w:val="000B69FD"/>
    <w:rsid w:val="000B6A33"/>
    <w:rsid w:val="000B7F66"/>
    <w:rsid w:val="000C08B9"/>
    <w:rsid w:val="000C09F6"/>
    <w:rsid w:val="000C1032"/>
    <w:rsid w:val="000C2C5E"/>
    <w:rsid w:val="000C3186"/>
    <w:rsid w:val="000C3F61"/>
    <w:rsid w:val="000C4244"/>
    <w:rsid w:val="000C4541"/>
    <w:rsid w:val="000C4AAA"/>
    <w:rsid w:val="000C54D8"/>
    <w:rsid w:val="000C5704"/>
    <w:rsid w:val="000C6D23"/>
    <w:rsid w:val="000C7010"/>
    <w:rsid w:val="000C7CE3"/>
    <w:rsid w:val="000D00DF"/>
    <w:rsid w:val="000D080F"/>
    <w:rsid w:val="000D114C"/>
    <w:rsid w:val="000D1B6C"/>
    <w:rsid w:val="000D24B3"/>
    <w:rsid w:val="000D478A"/>
    <w:rsid w:val="000D4C18"/>
    <w:rsid w:val="000D50E5"/>
    <w:rsid w:val="000D5B0E"/>
    <w:rsid w:val="000D65C9"/>
    <w:rsid w:val="000D6A41"/>
    <w:rsid w:val="000D6C2F"/>
    <w:rsid w:val="000D70EB"/>
    <w:rsid w:val="000D73CB"/>
    <w:rsid w:val="000D76CA"/>
    <w:rsid w:val="000D7C7B"/>
    <w:rsid w:val="000E064F"/>
    <w:rsid w:val="000E0722"/>
    <w:rsid w:val="000E0971"/>
    <w:rsid w:val="000E0F83"/>
    <w:rsid w:val="000E119D"/>
    <w:rsid w:val="000E203C"/>
    <w:rsid w:val="000E2170"/>
    <w:rsid w:val="000E23B6"/>
    <w:rsid w:val="000E240A"/>
    <w:rsid w:val="000E286A"/>
    <w:rsid w:val="000E3571"/>
    <w:rsid w:val="000E3B46"/>
    <w:rsid w:val="000E5692"/>
    <w:rsid w:val="000E59B6"/>
    <w:rsid w:val="000F0B7C"/>
    <w:rsid w:val="000F14A4"/>
    <w:rsid w:val="000F1640"/>
    <w:rsid w:val="000F259E"/>
    <w:rsid w:val="000F2F7B"/>
    <w:rsid w:val="000F48AB"/>
    <w:rsid w:val="000F54E5"/>
    <w:rsid w:val="000F6C3C"/>
    <w:rsid w:val="000F6FCE"/>
    <w:rsid w:val="000F77A1"/>
    <w:rsid w:val="00100938"/>
    <w:rsid w:val="00100BFE"/>
    <w:rsid w:val="0010104D"/>
    <w:rsid w:val="00101725"/>
    <w:rsid w:val="001022E0"/>
    <w:rsid w:val="00102346"/>
    <w:rsid w:val="00103634"/>
    <w:rsid w:val="001038E2"/>
    <w:rsid w:val="00103DC5"/>
    <w:rsid w:val="0010439E"/>
    <w:rsid w:val="001049D0"/>
    <w:rsid w:val="00104AD0"/>
    <w:rsid w:val="00105285"/>
    <w:rsid w:val="00105FC8"/>
    <w:rsid w:val="001062E4"/>
    <w:rsid w:val="0010643A"/>
    <w:rsid w:val="00106670"/>
    <w:rsid w:val="00106FE2"/>
    <w:rsid w:val="0010779C"/>
    <w:rsid w:val="001077F1"/>
    <w:rsid w:val="00111511"/>
    <w:rsid w:val="00111B43"/>
    <w:rsid w:val="00111FA7"/>
    <w:rsid w:val="00112970"/>
    <w:rsid w:val="00113AA3"/>
    <w:rsid w:val="00113E55"/>
    <w:rsid w:val="00114C2A"/>
    <w:rsid w:val="00115404"/>
    <w:rsid w:val="00115435"/>
    <w:rsid w:val="001163CD"/>
    <w:rsid w:val="00116619"/>
    <w:rsid w:val="0011723B"/>
    <w:rsid w:val="00117872"/>
    <w:rsid w:val="00117883"/>
    <w:rsid w:val="001200AC"/>
    <w:rsid w:val="00121038"/>
    <w:rsid w:val="00123063"/>
    <w:rsid w:val="00124CEC"/>
    <w:rsid w:val="0012561F"/>
    <w:rsid w:val="001259FF"/>
    <w:rsid w:val="00127A7D"/>
    <w:rsid w:val="001301AF"/>
    <w:rsid w:val="001307A4"/>
    <w:rsid w:val="00130CAC"/>
    <w:rsid w:val="0013124D"/>
    <w:rsid w:val="001314D4"/>
    <w:rsid w:val="00131708"/>
    <w:rsid w:val="0013233A"/>
    <w:rsid w:val="00132468"/>
    <w:rsid w:val="00132AD4"/>
    <w:rsid w:val="00133034"/>
    <w:rsid w:val="001331D2"/>
    <w:rsid w:val="001331E1"/>
    <w:rsid w:val="00133CA1"/>
    <w:rsid w:val="00133D92"/>
    <w:rsid w:val="00133E26"/>
    <w:rsid w:val="00133E60"/>
    <w:rsid w:val="00134264"/>
    <w:rsid w:val="001346FD"/>
    <w:rsid w:val="001356C6"/>
    <w:rsid w:val="00136185"/>
    <w:rsid w:val="0013635C"/>
    <w:rsid w:val="00136B69"/>
    <w:rsid w:val="00137615"/>
    <w:rsid w:val="001377EE"/>
    <w:rsid w:val="00137DBA"/>
    <w:rsid w:val="00137F19"/>
    <w:rsid w:val="00140D6D"/>
    <w:rsid w:val="0014165F"/>
    <w:rsid w:val="001417E0"/>
    <w:rsid w:val="00142753"/>
    <w:rsid w:val="00142935"/>
    <w:rsid w:val="00142E48"/>
    <w:rsid w:val="00144B72"/>
    <w:rsid w:val="00144F54"/>
    <w:rsid w:val="00146364"/>
    <w:rsid w:val="00147A6E"/>
    <w:rsid w:val="00147D24"/>
    <w:rsid w:val="00150AC3"/>
    <w:rsid w:val="00153F33"/>
    <w:rsid w:val="00156280"/>
    <w:rsid w:val="001562D3"/>
    <w:rsid w:val="0015755E"/>
    <w:rsid w:val="001575CB"/>
    <w:rsid w:val="0015761E"/>
    <w:rsid w:val="00160AC6"/>
    <w:rsid w:val="00160ED8"/>
    <w:rsid w:val="00161206"/>
    <w:rsid w:val="001617CA"/>
    <w:rsid w:val="0016260C"/>
    <w:rsid w:val="00162E27"/>
    <w:rsid w:val="001640B1"/>
    <w:rsid w:val="0016460C"/>
    <w:rsid w:val="00165040"/>
    <w:rsid w:val="00165173"/>
    <w:rsid w:val="001658A9"/>
    <w:rsid w:val="00165B57"/>
    <w:rsid w:val="001665C8"/>
    <w:rsid w:val="00167740"/>
    <w:rsid w:val="00170051"/>
    <w:rsid w:val="001702A5"/>
    <w:rsid w:val="00170F31"/>
    <w:rsid w:val="00171396"/>
    <w:rsid w:val="00172946"/>
    <w:rsid w:val="0017297D"/>
    <w:rsid w:val="001734F4"/>
    <w:rsid w:val="00173F12"/>
    <w:rsid w:val="00173FE9"/>
    <w:rsid w:val="0017449C"/>
    <w:rsid w:val="00174A89"/>
    <w:rsid w:val="001759B0"/>
    <w:rsid w:val="00176745"/>
    <w:rsid w:val="00176DF0"/>
    <w:rsid w:val="00177719"/>
    <w:rsid w:val="00177817"/>
    <w:rsid w:val="001807BA"/>
    <w:rsid w:val="00180DFA"/>
    <w:rsid w:val="00181134"/>
    <w:rsid w:val="001813AE"/>
    <w:rsid w:val="00181441"/>
    <w:rsid w:val="00181817"/>
    <w:rsid w:val="00182076"/>
    <w:rsid w:val="0018213A"/>
    <w:rsid w:val="00182BA7"/>
    <w:rsid w:val="00183A55"/>
    <w:rsid w:val="00184227"/>
    <w:rsid w:val="00184353"/>
    <w:rsid w:val="001848A6"/>
    <w:rsid w:val="00185024"/>
    <w:rsid w:val="00185AC8"/>
    <w:rsid w:val="0019106B"/>
    <w:rsid w:val="00191DD9"/>
    <w:rsid w:val="00192A28"/>
    <w:rsid w:val="00192AEA"/>
    <w:rsid w:val="00193030"/>
    <w:rsid w:val="0019316C"/>
    <w:rsid w:val="001937CE"/>
    <w:rsid w:val="00193CE2"/>
    <w:rsid w:val="00193D7A"/>
    <w:rsid w:val="00194264"/>
    <w:rsid w:val="00194372"/>
    <w:rsid w:val="00194539"/>
    <w:rsid w:val="001950E3"/>
    <w:rsid w:val="001957B1"/>
    <w:rsid w:val="00197319"/>
    <w:rsid w:val="00197572"/>
    <w:rsid w:val="00197AF8"/>
    <w:rsid w:val="00197D8A"/>
    <w:rsid w:val="001A03C0"/>
    <w:rsid w:val="001A1412"/>
    <w:rsid w:val="001A160A"/>
    <w:rsid w:val="001A1B6F"/>
    <w:rsid w:val="001A2108"/>
    <w:rsid w:val="001A333B"/>
    <w:rsid w:val="001A3EF2"/>
    <w:rsid w:val="001A4F69"/>
    <w:rsid w:val="001A56A1"/>
    <w:rsid w:val="001A71BD"/>
    <w:rsid w:val="001A732C"/>
    <w:rsid w:val="001B05F2"/>
    <w:rsid w:val="001B08B8"/>
    <w:rsid w:val="001B0A99"/>
    <w:rsid w:val="001B0F07"/>
    <w:rsid w:val="001B17EC"/>
    <w:rsid w:val="001B1DC7"/>
    <w:rsid w:val="001B1DD3"/>
    <w:rsid w:val="001B1FA2"/>
    <w:rsid w:val="001B3793"/>
    <w:rsid w:val="001B5488"/>
    <w:rsid w:val="001B5F13"/>
    <w:rsid w:val="001B7C33"/>
    <w:rsid w:val="001C0402"/>
    <w:rsid w:val="001C0EF0"/>
    <w:rsid w:val="001C13B0"/>
    <w:rsid w:val="001C1F30"/>
    <w:rsid w:val="001C21F5"/>
    <w:rsid w:val="001C2306"/>
    <w:rsid w:val="001C236F"/>
    <w:rsid w:val="001C31F5"/>
    <w:rsid w:val="001C3395"/>
    <w:rsid w:val="001C3460"/>
    <w:rsid w:val="001C3AD1"/>
    <w:rsid w:val="001C3F07"/>
    <w:rsid w:val="001C4754"/>
    <w:rsid w:val="001C5157"/>
    <w:rsid w:val="001C5AE0"/>
    <w:rsid w:val="001C5EFF"/>
    <w:rsid w:val="001C6AF4"/>
    <w:rsid w:val="001C71FB"/>
    <w:rsid w:val="001C7BE1"/>
    <w:rsid w:val="001D04F7"/>
    <w:rsid w:val="001D086A"/>
    <w:rsid w:val="001D156B"/>
    <w:rsid w:val="001D2E5A"/>
    <w:rsid w:val="001D32A0"/>
    <w:rsid w:val="001D3949"/>
    <w:rsid w:val="001D3DA6"/>
    <w:rsid w:val="001D475F"/>
    <w:rsid w:val="001D487E"/>
    <w:rsid w:val="001D5DEC"/>
    <w:rsid w:val="001E00C3"/>
    <w:rsid w:val="001E0361"/>
    <w:rsid w:val="001E156D"/>
    <w:rsid w:val="001E1BC1"/>
    <w:rsid w:val="001E215D"/>
    <w:rsid w:val="001E4135"/>
    <w:rsid w:val="001E4D96"/>
    <w:rsid w:val="001E574D"/>
    <w:rsid w:val="001E7027"/>
    <w:rsid w:val="001E7BDA"/>
    <w:rsid w:val="001F07FA"/>
    <w:rsid w:val="001F13A6"/>
    <w:rsid w:val="001F2012"/>
    <w:rsid w:val="001F274C"/>
    <w:rsid w:val="001F28BC"/>
    <w:rsid w:val="001F2EA0"/>
    <w:rsid w:val="001F3279"/>
    <w:rsid w:val="001F3E7F"/>
    <w:rsid w:val="001F4AFD"/>
    <w:rsid w:val="001F51F5"/>
    <w:rsid w:val="001F5706"/>
    <w:rsid w:val="001F5772"/>
    <w:rsid w:val="001F5AF9"/>
    <w:rsid w:val="001F5CF0"/>
    <w:rsid w:val="001F60D8"/>
    <w:rsid w:val="001F7489"/>
    <w:rsid w:val="001F7C73"/>
    <w:rsid w:val="002013FD"/>
    <w:rsid w:val="002016A7"/>
    <w:rsid w:val="002018D3"/>
    <w:rsid w:val="0020342C"/>
    <w:rsid w:val="002045B7"/>
    <w:rsid w:val="002046B4"/>
    <w:rsid w:val="0020549C"/>
    <w:rsid w:val="00205A4D"/>
    <w:rsid w:val="00205DCA"/>
    <w:rsid w:val="00206A9F"/>
    <w:rsid w:val="00210C6B"/>
    <w:rsid w:val="002128CA"/>
    <w:rsid w:val="002130D1"/>
    <w:rsid w:val="0021479E"/>
    <w:rsid w:val="00214952"/>
    <w:rsid w:val="00214E04"/>
    <w:rsid w:val="00215D34"/>
    <w:rsid w:val="00216000"/>
    <w:rsid w:val="00216989"/>
    <w:rsid w:val="00217902"/>
    <w:rsid w:val="0022074E"/>
    <w:rsid w:val="002207B0"/>
    <w:rsid w:val="00220A09"/>
    <w:rsid w:val="00221124"/>
    <w:rsid w:val="00223660"/>
    <w:rsid w:val="002256BD"/>
    <w:rsid w:val="00226077"/>
    <w:rsid w:val="00226A91"/>
    <w:rsid w:val="00227186"/>
    <w:rsid w:val="00227A52"/>
    <w:rsid w:val="00227F38"/>
    <w:rsid w:val="00230967"/>
    <w:rsid w:val="00230CD1"/>
    <w:rsid w:val="002325A8"/>
    <w:rsid w:val="00232C66"/>
    <w:rsid w:val="00232D07"/>
    <w:rsid w:val="002339A5"/>
    <w:rsid w:val="00233A0A"/>
    <w:rsid w:val="00233DB6"/>
    <w:rsid w:val="0023525D"/>
    <w:rsid w:val="002369B5"/>
    <w:rsid w:val="0023743A"/>
    <w:rsid w:val="002376CE"/>
    <w:rsid w:val="00237F51"/>
    <w:rsid w:val="00240644"/>
    <w:rsid w:val="002406E6"/>
    <w:rsid w:val="00240874"/>
    <w:rsid w:val="00240D83"/>
    <w:rsid w:val="00241165"/>
    <w:rsid w:val="002423AA"/>
    <w:rsid w:val="00242664"/>
    <w:rsid w:val="002448BD"/>
    <w:rsid w:val="00244B70"/>
    <w:rsid w:val="002456AE"/>
    <w:rsid w:val="002463C9"/>
    <w:rsid w:val="00246411"/>
    <w:rsid w:val="002472A7"/>
    <w:rsid w:val="00247500"/>
    <w:rsid w:val="00250384"/>
    <w:rsid w:val="0025071D"/>
    <w:rsid w:val="00252839"/>
    <w:rsid w:val="00252E80"/>
    <w:rsid w:val="00252F64"/>
    <w:rsid w:val="0025351D"/>
    <w:rsid w:val="00253974"/>
    <w:rsid w:val="00253AFC"/>
    <w:rsid w:val="0025429E"/>
    <w:rsid w:val="002545D9"/>
    <w:rsid w:val="002548AC"/>
    <w:rsid w:val="00255A88"/>
    <w:rsid w:val="002567DF"/>
    <w:rsid w:val="002570B0"/>
    <w:rsid w:val="002579F4"/>
    <w:rsid w:val="00257E59"/>
    <w:rsid w:val="002601D8"/>
    <w:rsid w:val="00260B7F"/>
    <w:rsid w:val="00260DD7"/>
    <w:rsid w:val="002617EE"/>
    <w:rsid w:val="002625C9"/>
    <w:rsid w:val="0026391F"/>
    <w:rsid w:val="00263C78"/>
    <w:rsid w:val="00263E7B"/>
    <w:rsid w:val="00265216"/>
    <w:rsid w:val="0026562F"/>
    <w:rsid w:val="002658E1"/>
    <w:rsid w:val="00265A9A"/>
    <w:rsid w:val="00266468"/>
    <w:rsid w:val="00266CBA"/>
    <w:rsid w:val="00266F58"/>
    <w:rsid w:val="00267071"/>
    <w:rsid w:val="00267502"/>
    <w:rsid w:val="00267D72"/>
    <w:rsid w:val="00270B5F"/>
    <w:rsid w:val="002716F7"/>
    <w:rsid w:val="002718B2"/>
    <w:rsid w:val="00271D97"/>
    <w:rsid w:val="00271F32"/>
    <w:rsid w:val="00272404"/>
    <w:rsid w:val="002731ED"/>
    <w:rsid w:val="002735A8"/>
    <w:rsid w:val="00273670"/>
    <w:rsid w:val="00274FCD"/>
    <w:rsid w:val="00275C2B"/>
    <w:rsid w:val="00275C93"/>
    <w:rsid w:val="00276B26"/>
    <w:rsid w:val="00277689"/>
    <w:rsid w:val="002800D5"/>
    <w:rsid w:val="00281101"/>
    <w:rsid w:val="002813A0"/>
    <w:rsid w:val="00281786"/>
    <w:rsid w:val="00282490"/>
    <w:rsid w:val="00282983"/>
    <w:rsid w:val="00282E40"/>
    <w:rsid w:val="00285CEE"/>
    <w:rsid w:val="00286177"/>
    <w:rsid w:val="00287168"/>
    <w:rsid w:val="00287942"/>
    <w:rsid w:val="00287B74"/>
    <w:rsid w:val="00290C3D"/>
    <w:rsid w:val="00290D44"/>
    <w:rsid w:val="00291A1A"/>
    <w:rsid w:val="00291AC9"/>
    <w:rsid w:val="00291BFC"/>
    <w:rsid w:val="0029255D"/>
    <w:rsid w:val="00292D13"/>
    <w:rsid w:val="002932A0"/>
    <w:rsid w:val="00294A2E"/>
    <w:rsid w:val="00294F1B"/>
    <w:rsid w:val="00294F21"/>
    <w:rsid w:val="0029529B"/>
    <w:rsid w:val="00295B4A"/>
    <w:rsid w:val="00296182"/>
    <w:rsid w:val="002965F3"/>
    <w:rsid w:val="002967E6"/>
    <w:rsid w:val="00297A03"/>
    <w:rsid w:val="00297A87"/>
    <w:rsid w:val="002A01CF"/>
    <w:rsid w:val="002A0BB6"/>
    <w:rsid w:val="002A131D"/>
    <w:rsid w:val="002A37E2"/>
    <w:rsid w:val="002A4711"/>
    <w:rsid w:val="002A4D37"/>
    <w:rsid w:val="002A65AE"/>
    <w:rsid w:val="002A7570"/>
    <w:rsid w:val="002A769E"/>
    <w:rsid w:val="002A7DF9"/>
    <w:rsid w:val="002B0E11"/>
    <w:rsid w:val="002B1AE8"/>
    <w:rsid w:val="002B271D"/>
    <w:rsid w:val="002B319C"/>
    <w:rsid w:val="002B3241"/>
    <w:rsid w:val="002B3E28"/>
    <w:rsid w:val="002B3EFA"/>
    <w:rsid w:val="002B49E4"/>
    <w:rsid w:val="002B55DF"/>
    <w:rsid w:val="002B5655"/>
    <w:rsid w:val="002B6419"/>
    <w:rsid w:val="002B6CE7"/>
    <w:rsid w:val="002B73A9"/>
    <w:rsid w:val="002B741F"/>
    <w:rsid w:val="002B7C49"/>
    <w:rsid w:val="002C03B8"/>
    <w:rsid w:val="002C0421"/>
    <w:rsid w:val="002C0E3F"/>
    <w:rsid w:val="002C107B"/>
    <w:rsid w:val="002C1C54"/>
    <w:rsid w:val="002C2016"/>
    <w:rsid w:val="002C211F"/>
    <w:rsid w:val="002C2BD9"/>
    <w:rsid w:val="002C321B"/>
    <w:rsid w:val="002C33F8"/>
    <w:rsid w:val="002C3EA6"/>
    <w:rsid w:val="002C4F24"/>
    <w:rsid w:val="002C55CE"/>
    <w:rsid w:val="002C5E08"/>
    <w:rsid w:val="002C5FC8"/>
    <w:rsid w:val="002C625E"/>
    <w:rsid w:val="002C7ED5"/>
    <w:rsid w:val="002D109E"/>
    <w:rsid w:val="002D113C"/>
    <w:rsid w:val="002D1DDD"/>
    <w:rsid w:val="002D2B22"/>
    <w:rsid w:val="002D4201"/>
    <w:rsid w:val="002D46AF"/>
    <w:rsid w:val="002D4DC5"/>
    <w:rsid w:val="002D5EE0"/>
    <w:rsid w:val="002D719F"/>
    <w:rsid w:val="002D7270"/>
    <w:rsid w:val="002D79EC"/>
    <w:rsid w:val="002E00EA"/>
    <w:rsid w:val="002E0D1C"/>
    <w:rsid w:val="002E0D94"/>
    <w:rsid w:val="002E0F6A"/>
    <w:rsid w:val="002E0F9A"/>
    <w:rsid w:val="002E14CC"/>
    <w:rsid w:val="002E1DA6"/>
    <w:rsid w:val="002E2CA4"/>
    <w:rsid w:val="002E4E69"/>
    <w:rsid w:val="002E4EDE"/>
    <w:rsid w:val="002E4FE0"/>
    <w:rsid w:val="002E5537"/>
    <w:rsid w:val="002E5D65"/>
    <w:rsid w:val="002E73D1"/>
    <w:rsid w:val="002E769E"/>
    <w:rsid w:val="002E7725"/>
    <w:rsid w:val="002E7C06"/>
    <w:rsid w:val="002F07EB"/>
    <w:rsid w:val="002F0F1B"/>
    <w:rsid w:val="002F0FE6"/>
    <w:rsid w:val="002F117F"/>
    <w:rsid w:val="002F15AF"/>
    <w:rsid w:val="002F16D0"/>
    <w:rsid w:val="002F2171"/>
    <w:rsid w:val="002F4195"/>
    <w:rsid w:val="002F5475"/>
    <w:rsid w:val="002F5854"/>
    <w:rsid w:val="002F7BF4"/>
    <w:rsid w:val="003000D0"/>
    <w:rsid w:val="00300761"/>
    <w:rsid w:val="0030244C"/>
    <w:rsid w:val="00302DFA"/>
    <w:rsid w:val="003037B4"/>
    <w:rsid w:val="00305FD6"/>
    <w:rsid w:val="0031145E"/>
    <w:rsid w:val="003123C4"/>
    <w:rsid w:val="00312993"/>
    <w:rsid w:val="00312A0E"/>
    <w:rsid w:val="00312FA2"/>
    <w:rsid w:val="00313E40"/>
    <w:rsid w:val="003143F6"/>
    <w:rsid w:val="00314574"/>
    <w:rsid w:val="00314ECF"/>
    <w:rsid w:val="0031506E"/>
    <w:rsid w:val="00315523"/>
    <w:rsid w:val="00315E32"/>
    <w:rsid w:val="00316102"/>
    <w:rsid w:val="00316B6C"/>
    <w:rsid w:val="00316B8A"/>
    <w:rsid w:val="00317570"/>
    <w:rsid w:val="00317FE1"/>
    <w:rsid w:val="00320041"/>
    <w:rsid w:val="00320EAA"/>
    <w:rsid w:val="0032102C"/>
    <w:rsid w:val="003211D0"/>
    <w:rsid w:val="00322305"/>
    <w:rsid w:val="00322808"/>
    <w:rsid w:val="00322D2A"/>
    <w:rsid w:val="00324CB6"/>
    <w:rsid w:val="003253F8"/>
    <w:rsid w:val="00325747"/>
    <w:rsid w:val="00325D0F"/>
    <w:rsid w:val="00327AFB"/>
    <w:rsid w:val="00330048"/>
    <w:rsid w:val="00330183"/>
    <w:rsid w:val="00330328"/>
    <w:rsid w:val="00330CAB"/>
    <w:rsid w:val="00330D72"/>
    <w:rsid w:val="00331012"/>
    <w:rsid w:val="003312AD"/>
    <w:rsid w:val="0033133F"/>
    <w:rsid w:val="003333B5"/>
    <w:rsid w:val="0033372D"/>
    <w:rsid w:val="00333C22"/>
    <w:rsid w:val="00334425"/>
    <w:rsid w:val="0033497C"/>
    <w:rsid w:val="003359D6"/>
    <w:rsid w:val="00335B16"/>
    <w:rsid w:val="0033606E"/>
    <w:rsid w:val="003363F1"/>
    <w:rsid w:val="003364E8"/>
    <w:rsid w:val="0033656F"/>
    <w:rsid w:val="00336A61"/>
    <w:rsid w:val="003370C0"/>
    <w:rsid w:val="00337AEF"/>
    <w:rsid w:val="00340071"/>
    <w:rsid w:val="00340431"/>
    <w:rsid w:val="00341EA8"/>
    <w:rsid w:val="003420BF"/>
    <w:rsid w:val="00342DA5"/>
    <w:rsid w:val="00342ED6"/>
    <w:rsid w:val="00343A7B"/>
    <w:rsid w:val="00344AC6"/>
    <w:rsid w:val="0034546D"/>
    <w:rsid w:val="00345735"/>
    <w:rsid w:val="00345D19"/>
    <w:rsid w:val="003467FF"/>
    <w:rsid w:val="003472FF"/>
    <w:rsid w:val="00347E84"/>
    <w:rsid w:val="00350AEE"/>
    <w:rsid w:val="00350D36"/>
    <w:rsid w:val="00351207"/>
    <w:rsid w:val="00351F6E"/>
    <w:rsid w:val="0035204E"/>
    <w:rsid w:val="0035210A"/>
    <w:rsid w:val="00352561"/>
    <w:rsid w:val="00352852"/>
    <w:rsid w:val="00352D99"/>
    <w:rsid w:val="00354878"/>
    <w:rsid w:val="00354963"/>
    <w:rsid w:val="00355C38"/>
    <w:rsid w:val="003574E7"/>
    <w:rsid w:val="00360636"/>
    <w:rsid w:val="00360C43"/>
    <w:rsid w:val="00360CB6"/>
    <w:rsid w:val="0036136E"/>
    <w:rsid w:val="0036353B"/>
    <w:rsid w:val="00363E3F"/>
    <w:rsid w:val="0036417A"/>
    <w:rsid w:val="00364D82"/>
    <w:rsid w:val="00365AD8"/>
    <w:rsid w:val="003668FE"/>
    <w:rsid w:val="00370A2A"/>
    <w:rsid w:val="00370BA8"/>
    <w:rsid w:val="00371EB4"/>
    <w:rsid w:val="003728BC"/>
    <w:rsid w:val="00373C4F"/>
    <w:rsid w:val="00373E6E"/>
    <w:rsid w:val="00373E8E"/>
    <w:rsid w:val="00374002"/>
    <w:rsid w:val="00374A4E"/>
    <w:rsid w:val="00375879"/>
    <w:rsid w:val="003769AF"/>
    <w:rsid w:val="00377522"/>
    <w:rsid w:val="00377A1E"/>
    <w:rsid w:val="00381445"/>
    <w:rsid w:val="00383DB3"/>
    <w:rsid w:val="00383E9F"/>
    <w:rsid w:val="00384894"/>
    <w:rsid w:val="00384A4C"/>
    <w:rsid w:val="003852EC"/>
    <w:rsid w:val="0038658C"/>
    <w:rsid w:val="003866BC"/>
    <w:rsid w:val="0038681E"/>
    <w:rsid w:val="0038799F"/>
    <w:rsid w:val="003879EB"/>
    <w:rsid w:val="00390830"/>
    <w:rsid w:val="00390F4E"/>
    <w:rsid w:val="0039276B"/>
    <w:rsid w:val="00392B99"/>
    <w:rsid w:val="00394A79"/>
    <w:rsid w:val="00394A81"/>
    <w:rsid w:val="0039539D"/>
    <w:rsid w:val="00395732"/>
    <w:rsid w:val="00395AEE"/>
    <w:rsid w:val="00396267"/>
    <w:rsid w:val="00396391"/>
    <w:rsid w:val="003A043E"/>
    <w:rsid w:val="003A09B4"/>
    <w:rsid w:val="003A0D0E"/>
    <w:rsid w:val="003A1323"/>
    <w:rsid w:val="003A1500"/>
    <w:rsid w:val="003A21D9"/>
    <w:rsid w:val="003A3704"/>
    <w:rsid w:val="003A3ABE"/>
    <w:rsid w:val="003A446D"/>
    <w:rsid w:val="003A44D8"/>
    <w:rsid w:val="003A58B5"/>
    <w:rsid w:val="003A62C5"/>
    <w:rsid w:val="003A631F"/>
    <w:rsid w:val="003A6803"/>
    <w:rsid w:val="003A6A20"/>
    <w:rsid w:val="003A6F1F"/>
    <w:rsid w:val="003A710C"/>
    <w:rsid w:val="003B013D"/>
    <w:rsid w:val="003B09F1"/>
    <w:rsid w:val="003B0E34"/>
    <w:rsid w:val="003B28B7"/>
    <w:rsid w:val="003B3153"/>
    <w:rsid w:val="003B3339"/>
    <w:rsid w:val="003B3D3F"/>
    <w:rsid w:val="003B3E38"/>
    <w:rsid w:val="003B4840"/>
    <w:rsid w:val="003B4F16"/>
    <w:rsid w:val="003B51A9"/>
    <w:rsid w:val="003B7CF2"/>
    <w:rsid w:val="003C0FF1"/>
    <w:rsid w:val="003C184C"/>
    <w:rsid w:val="003C1E04"/>
    <w:rsid w:val="003C31DE"/>
    <w:rsid w:val="003C32B9"/>
    <w:rsid w:val="003C334F"/>
    <w:rsid w:val="003C33DE"/>
    <w:rsid w:val="003C34D8"/>
    <w:rsid w:val="003C4297"/>
    <w:rsid w:val="003C4486"/>
    <w:rsid w:val="003C5773"/>
    <w:rsid w:val="003C5B45"/>
    <w:rsid w:val="003C628A"/>
    <w:rsid w:val="003C62AF"/>
    <w:rsid w:val="003C65F6"/>
    <w:rsid w:val="003C7B98"/>
    <w:rsid w:val="003C7D7C"/>
    <w:rsid w:val="003D0917"/>
    <w:rsid w:val="003D0C43"/>
    <w:rsid w:val="003D24B4"/>
    <w:rsid w:val="003D268F"/>
    <w:rsid w:val="003D2A4E"/>
    <w:rsid w:val="003D2F18"/>
    <w:rsid w:val="003D3481"/>
    <w:rsid w:val="003D4145"/>
    <w:rsid w:val="003D5C00"/>
    <w:rsid w:val="003D5DAA"/>
    <w:rsid w:val="003E0263"/>
    <w:rsid w:val="003E0367"/>
    <w:rsid w:val="003E1C9B"/>
    <w:rsid w:val="003E1E95"/>
    <w:rsid w:val="003E202E"/>
    <w:rsid w:val="003E210D"/>
    <w:rsid w:val="003E25CA"/>
    <w:rsid w:val="003E2E4D"/>
    <w:rsid w:val="003E3715"/>
    <w:rsid w:val="003E42C4"/>
    <w:rsid w:val="003E4518"/>
    <w:rsid w:val="003E508F"/>
    <w:rsid w:val="003E5570"/>
    <w:rsid w:val="003E64F0"/>
    <w:rsid w:val="003F0719"/>
    <w:rsid w:val="003F1014"/>
    <w:rsid w:val="003F1A81"/>
    <w:rsid w:val="003F26A2"/>
    <w:rsid w:val="003F34A3"/>
    <w:rsid w:val="003F57D3"/>
    <w:rsid w:val="003F5F99"/>
    <w:rsid w:val="003F7D06"/>
    <w:rsid w:val="00400125"/>
    <w:rsid w:val="00400977"/>
    <w:rsid w:val="004011F8"/>
    <w:rsid w:val="0040180F"/>
    <w:rsid w:val="0040252E"/>
    <w:rsid w:val="0040268F"/>
    <w:rsid w:val="00402C73"/>
    <w:rsid w:val="00403279"/>
    <w:rsid w:val="00405601"/>
    <w:rsid w:val="004056A4"/>
    <w:rsid w:val="00405F51"/>
    <w:rsid w:val="00406188"/>
    <w:rsid w:val="00406482"/>
    <w:rsid w:val="00406FD6"/>
    <w:rsid w:val="0040708C"/>
    <w:rsid w:val="004114F9"/>
    <w:rsid w:val="00411EAB"/>
    <w:rsid w:val="00412088"/>
    <w:rsid w:val="0041222C"/>
    <w:rsid w:val="0041365A"/>
    <w:rsid w:val="00413E85"/>
    <w:rsid w:val="00414539"/>
    <w:rsid w:val="00414643"/>
    <w:rsid w:val="004149FD"/>
    <w:rsid w:val="00414A7C"/>
    <w:rsid w:val="00414DB9"/>
    <w:rsid w:val="00415C8A"/>
    <w:rsid w:val="00415DF3"/>
    <w:rsid w:val="0041663F"/>
    <w:rsid w:val="00417A22"/>
    <w:rsid w:val="00420135"/>
    <w:rsid w:val="0042117B"/>
    <w:rsid w:val="00421D5A"/>
    <w:rsid w:val="0042297B"/>
    <w:rsid w:val="00422CDA"/>
    <w:rsid w:val="00422D76"/>
    <w:rsid w:val="00422FE9"/>
    <w:rsid w:val="00423B5E"/>
    <w:rsid w:val="00424492"/>
    <w:rsid w:val="00424F07"/>
    <w:rsid w:val="004253A5"/>
    <w:rsid w:val="00426046"/>
    <w:rsid w:val="00426D08"/>
    <w:rsid w:val="00427729"/>
    <w:rsid w:val="004314FF"/>
    <w:rsid w:val="004316D1"/>
    <w:rsid w:val="00431932"/>
    <w:rsid w:val="00431EFC"/>
    <w:rsid w:val="00433223"/>
    <w:rsid w:val="00434259"/>
    <w:rsid w:val="00437681"/>
    <w:rsid w:val="0044054C"/>
    <w:rsid w:val="00440DC7"/>
    <w:rsid w:val="0044198E"/>
    <w:rsid w:val="0044401B"/>
    <w:rsid w:val="0044421C"/>
    <w:rsid w:val="00444B3C"/>
    <w:rsid w:val="00447A45"/>
    <w:rsid w:val="00447B61"/>
    <w:rsid w:val="00450148"/>
    <w:rsid w:val="00450EBF"/>
    <w:rsid w:val="004512E8"/>
    <w:rsid w:val="004513D2"/>
    <w:rsid w:val="00452257"/>
    <w:rsid w:val="004539BF"/>
    <w:rsid w:val="00453ECB"/>
    <w:rsid w:val="00454CC2"/>
    <w:rsid w:val="004550E2"/>
    <w:rsid w:val="00455314"/>
    <w:rsid w:val="00460BD4"/>
    <w:rsid w:val="00460E52"/>
    <w:rsid w:val="0046200E"/>
    <w:rsid w:val="00462365"/>
    <w:rsid w:val="00462A1B"/>
    <w:rsid w:val="0046370A"/>
    <w:rsid w:val="0046428C"/>
    <w:rsid w:val="0046519C"/>
    <w:rsid w:val="00465500"/>
    <w:rsid w:val="00465C3D"/>
    <w:rsid w:val="00466864"/>
    <w:rsid w:val="00466BF3"/>
    <w:rsid w:val="0047004B"/>
    <w:rsid w:val="004700A1"/>
    <w:rsid w:val="00470FB3"/>
    <w:rsid w:val="0047103B"/>
    <w:rsid w:val="00471156"/>
    <w:rsid w:val="00471D58"/>
    <w:rsid w:val="004724FD"/>
    <w:rsid w:val="00472DB9"/>
    <w:rsid w:val="004732A8"/>
    <w:rsid w:val="00473441"/>
    <w:rsid w:val="00473893"/>
    <w:rsid w:val="00474D06"/>
    <w:rsid w:val="004760AA"/>
    <w:rsid w:val="00476CC8"/>
    <w:rsid w:val="004772F4"/>
    <w:rsid w:val="00481366"/>
    <w:rsid w:val="00481915"/>
    <w:rsid w:val="00481ADF"/>
    <w:rsid w:val="00482592"/>
    <w:rsid w:val="004827B6"/>
    <w:rsid w:val="00482D6B"/>
    <w:rsid w:val="004831C8"/>
    <w:rsid w:val="00483396"/>
    <w:rsid w:val="00483935"/>
    <w:rsid w:val="00483C67"/>
    <w:rsid w:val="00484C39"/>
    <w:rsid w:val="00484D92"/>
    <w:rsid w:val="00486C61"/>
    <w:rsid w:val="0048728D"/>
    <w:rsid w:val="0048739C"/>
    <w:rsid w:val="0049044D"/>
    <w:rsid w:val="00490454"/>
    <w:rsid w:val="00490BF0"/>
    <w:rsid w:val="00490DC7"/>
    <w:rsid w:val="00491988"/>
    <w:rsid w:val="00492553"/>
    <w:rsid w:val="00492C73"/>
    <w:rsid w:val="00492DEF"/>
    <w:rsid w:val="00493131"/>
    <w:rsid w:val="00494C0F"/>
    <w:rsid w:val="00495A67"/>
    <w:rsid w:val="0049610D"/>
    <w:rsid w:val="00496A97"/>
    <w:rsid w:val="00496AA3"/>
    <w:rsid w:val="00497C64"/>
    <w:rsid w:val="004A0D7C"/>
    <w:rsid w:val="004A0E56"/>
    <w:rsid w:val="004A1297"/>
    <w:rsid w:val="004A2D14"/>
    <w:rsid w:val="004A37AB"/>
    <w:rsid w:val="004A3859"/>
    <w:rsid w:val="004A4648"/>
    <w:rsid w:val="004A4BA1"/>
    <w:rsid w:val="004A59E4"/>
    <w:rsid w:val="004A5A79"/>
    <w:rsid w:val="004A6604"/>
    <w:rsid w:val="004A6C92"/>
    <w:rsid w:val="004A705B"/>
    <w:rsid w:val="004A7719"/>
    <w:rsid w:val="004B0813"/>
    <w:rsid w:val="004B12F4"/>
    <w:rsid w:val="004B1493"/>
    <w:rsid w:val="004B17A7"/>
    <w:rsid w:val="004B36B5"/>
    <w:rsid w:val="004B466E"/>
    <w:rsid w:val="004B710B"/>
    <w:rsid w:val="004B774D"/>
    <w:rsid w:val="004B780A"/>
    <w:rsid w:val="004C00FA"/>
    <w:rsid w:val="004C0407"/>
    <w:rsid w:val="004C1550"/>
    <w:rsid w:val="004C1D5A"/>
    <w:rsid w:val="004C1F2C"/>
    <w:rsid w:val="004C1FB0"/>
    <w:rsid w:val="004C30ED"/>
    <w:rsid w:val="004C3A90"/>
    <w:rsid w:val="004C48EA"/>
    <w:rsid w:val="004C4A31"/>
    <w:rsid w:val="004C4E27"/>
    <w:rsid w:val="004C537B"/>
    <w:rsid w:val="004C621A"/>
    <w:rsid w:val="004C6364"/>
    <w:rsid w:val="004C7CF6"/>
    <w:rsid w:val="004D0548"/>
    <w:rsid w:val="004D05ED"/>
    <w:rsid w:val="004D188B"/>
    <w:rsid w:val="004D2392"/>
    <w:rsid w:val="004D2C4B"/>
    <w:rsid w:val="004D3078"/>
    <w:rsid w:val="004D3CF8"/>
    <w:rsid w:val="004D423E"/>
    <w:rsid w:val="004D4CE4"/>
    <w:rsid w:val="004D5D99"/>
    <w:rsid w:val="004D6768"/>
    <w:rsid w:val="004D6880"/>
    <w:rsid w:val="004D69DA"/>
    <w:rsid w:val="004D79C4"/>
    <w:rsid w:val="004D7AB8"/>
    <w:rsid w:val="004D7B8F"/>
    <w:rsid w:val="004E1993"/>
    <w:rsid w:val="004E1D08"/>
    <w:rsid w:val="004E1E0D"/>
    <w:rsid w:val="004E2656"/>
    <w:rsid w:val="004E27E2"/>
    <w:rsid w:val="004E286B"/>
    <w:rsid w:val="004E32B8"/>
    <w:rsid w:val="004E36C7"/>
    <w:rsid w:val="004E3D73"/>
    <w:rsid w:val="004E4AF4"/>
    <w:rsid w:val="004E5DE4"/>
    <w:rsid w:val="004E5ECB"/>
    <w:rsid w:val="004E69F8"/>
    <w:rsid w:val="004E6AA4"/>
    <w:rsid w:val="004E73E6"/>
    <w:rsid w:val="004E7422"/>
    <w:rsid w:val="004F0082"/>
    <w:rsid w:val="004F01C8"/>
    <w:rsid w:val="004F14A0"/>
    <w:rsid w:val="004F1DBA"/>
    <w:rsid w:val="004F321A"/>
    <w:rsid w:val="004F3765"/>
    <w:rsid w:val="004F3BBB"/>
    <w:rsid w:val="004F461C"/>
    <w:rsid w:val="004F4CFD"/>
    <w:rsid w:val="004F5D9E"/>
    <w:rsid w:val="004F6ED6"/>
    <w:rsid w:val="004F70EC"/>
    <w:rsid w:val="00500430"/>
    <w:rsid w:val="00500625"/>
    <w:rsid w:val="00500869"/>
    <w:rsid w:val="005009A5"/>
    <w:rsid w:val="005014AF"/>
    <w:rsid w:val="00501C09"/>
    <w:rsid w:val="00501C6B"/>
    <w:rsid w:val="00502846"/>
    <w:rsid w:val="00502A33"/>
    <w:rsid w:val="00503BA6"/>
    <w:rsid w:val="00503CFE"/>
    <w:rsid w:val="00504263"/>
    <w:rsid w:val="00505025"/>
    <w:rsid w:val="005051E0"/>
    <w:rsid w:val="00505AA9"/>
    <w:rsid w:val="00506231"/>
    <w:rsid w:val="005065E3"/>
    <w:rsid w:val="00507191"/>
    <w:rsid w:val="005075AD"/>
    <w:rsid w:val="005077A2"/>
    <w:rsid w:val="00507E10"/>
    <w:rsid w:val="00510E76"/>
    <w:rsid w:val="00511307"/>
    <w:rsid w:val="0051149B"/>
    <w:rsid w:val="00511DEA"/>
    <w:rsid w:val="005127BF"/>
    <w:rsid w:val="00512E44"/>
    <w:rsid w:val="00512EFC"/>
    <w:rsid w:val="00513CED"/>
    <w:rsid w:val="00514950"/>
    <w:rsid w:val="00516E15"/>
    <w:rsid w:val="00516EF3"/>
    <w:rsid w:val="00520149"/>
    <w:rsid w:val="0052061F"/>
    <w:rsid w:val="00520A03"/>
    <w:rsid w:val="0052230B"/>
    <w:rsid w:val="005227BC"/>
    <w:rsid w:val="00522C67"/>
    <w:rsid w:val="00524A77"/>
    <w:rsid w:val="00524F0B"/>
    <w:rsid w:val="005253DA"/>
    <w:rsid w:val="00525B90"/>
    <w:rsid w:val="00525C35"/>
    <w:rsid w:val="0052631F"/>
    <w:rsid w:val="0052651E"/>
    <w:rsid w:val="00526AF1"/>
    <w:rsid w:val="00526EB1"/>
    <w:rsid w:val="005271B4"/>
    <w:rsid w:val="00527F18"/>
    <w:rsid w:val="0053010E"/>
    <w:rsid w:val="0053126F"/>
    <w:rsid w:val="00532851"/>
    <w:rsid w:val="00532E6A"/>
    <w:rsid w:val="00533B72"/>
    <w:rsid w:val="00534DC8"/>
    <w:rsid w:val="00535C53"/>
    <w:rsid w:val="00536836"/>
    <w:rsid w:val="00536BCA"/>
    <w:rsid w:val="00536C58"/>
    <w:rsid w:val="00536D5E"/>
    <w:rsid w:val="0054030D"/>
    <w:rsid w:val="005407BB"/>
    <w:rsid w:val="005411F7"/>
    <w:rsid w:val="0054268C"/>
    <w:rsid w:val="0054305C"/>
    <w:rsid w:val="005435D1"/>
    <w:rsid w:val="00544033"/>
    <w:rsid w:val="00544566"/>
    <w:rsid w:val="00544CB5"/>
    <w:rsid w:val="00545D09"/>
    <w:rsid w:val="00545DCD"/>
    <w:rsid w:val="005460AA"/>
    <w:rsid w:val="0054680E"/>
    <w:rsid w:val="00546F44"/>
    <w:rsid w:val="00547C2D"/>
    <w:rsid w:val="005501C6"/>
    <w:rsid w:val="005503E2"/>
    <w:rsid w:val="00551184"/>
    <w:rsid w:val="00552D4A"/>
    <w:rsid w:val="00552FD4"/>
    <w:rsid w:val="00553998"/>
    <w:rsid w:val="005539A8"/>
    <w:rsid w:val="00553EB3"/>
    <w:rsid w:val="00554658"/>
    <w:rsid w:val="00554676"/>
    <w:rsid w:val="00554855"/>
    <w:rsid w:val="00555846"/>
    <w:rsid w:val="00556532"/>
    <w:rsid w:val="00557744"/>
    <w:rsid w:val="0056087F"/>
    <w:rsid w:val="00560C65"/>
    <w:rsid w:val="0056334B"/>
    <w:rsid w:val="00563504"/>
    <w:rsid w:val="00563B34"/>
    <w:rsid w:val="005652E6"/>
    <w:rsid w:val="00565841"/>
    <w:rsid w:val="005665BD"/>
    <w:rsid w:val="005666BC"/>
    <w:rsid w:val="00566D07"/>
    <w:rsid w:val="00566EC9"/>
    <w:rsid w:val="00567233"/>
    <w:rsid w:val="005673D4"/>
    <w:rsid w:val="00570845"/>
    <w:rsid w:val="00570D17"/>
    <w:rsid w:val="005716C9"/>
    <w:rsid w:val="00572382"/>
    <w:rsid w:val="00572C31"/>
    <w:rsid w:val="005730A9"/>
    <w:rsid w:val="005738C8"/>
    <w:rsid w:val="005739BA"/>
    <w:rsid w:val="00573AB2"/>
    <w:rsid w:val="00573BB9"/>
    <w:rsid w:val="00573BBC"/>
    <w:rsid w:val="00573C6F"/>
    <w:rsid w:val="00573EC2"/>
    <w:rsid w:val="00574836"/>
    <w:rsid w:val="00576B7B"/>
    <w:rsid w:val="005778E7"/>
    <w:rsid w:val="00577A8C"/>
    <w:rsid w:val="0058080A"/>
    <w:rsid w:val="00581A5F"/>
    <w:rsid w:val="005828E5"/>
    <w:rsid w:val="00582A45"/>
    <w:rsid w:val="00582E54"/>
    <w:rsid w:val="00583915"/>
    <w:rsid w:val="005841A8"/>
    <w:rsid w:val="0058448B"/>
    <w:rsid w:val="0058529D"/>
    <w:rsid w:val="00585AB2"/>
    <w:rsid w:val="00585BA7"/>
    <w:rsid w:val="00585FB1"/>
    <w:rsid w:val="00587506"/>
    <w:rsid w:val="00587AF0"/>
    <w:rsid w:val="00587E62"/>
    <w:rsid w:val="00587F96"/>
    <w:rsid w:val="00590D35"/>
    <w:rsid w:val="00590EA2"/>
    <w:rsid w:val="00592568"/>
    <w:rsid w:val="00593110"/>
    <w:rsid w:val="0059337A"/>
    <w:rsid w:val="005934E0"/>
    <w:rsid w:val="005946D0"/>
    <w:rsid w:val="00595343"/>
    <w:rsid w:val="00596870"/>
    <w:rsid w:val="00597F21"/>
    <w:rsid w:val="005A0184"/>
    <w:rsid w:val="005A035D"/>
    <w:rsid w:val="005A06A6"/>
    <w:rsid w:val="005A0A04"/>
    <w:rsid w:val="005A0EAF"/>
    <w:rsid w:val="005A3E82"/>
    <w:rsid w:val="005A536D"/>
    <w:rsid w:val="005A5ACA"/>
    <w:rsid w:val="005A63EE"/>
    <w:rsid w:val="005A6CE3"/>
    <w:rsid w:val="005A7002"/>
    <w:rsid w:val="005A72AC"/>
    <w:rsid w:val="005A76A9"/>
    <w:rsid w:val="005A7997"/>
    <w:rsid w:val="005A7A63"/>
    <w:rsid w:val="005A7CCE"/>
    <w:rsid w:val="005A7D3F"/>
    <w:rsid w:val="005B0C9B"/>
    <w:rsid w:val="005B1CB5"/>
    <w:rsid w:val="005B1CD0"/>
    <w:rsid w:val="005B1CF0"/>
    <w:rsid w:val="005B1EE8"/>
    <w:rsid w:val="005B2C01"/>
    <w:rsid w:val="005B3885"/>
    <w:rsid w:val="005B4634"/>
    <w:rsid w:val="005B4833"/>
    <w:rsid w:val="005B4D16"/>
    <w:rsid w:val="005B5085"/>
    <w:rsid w:val="005B567F"/>
    <w:rsid w:val="005B6DDF"/>
    <w:rsid w:val="005B77D7"/>
    <w:rsid w:val="005B7CDB"/>
    <w:rsid w:val="005B7CDE"/>
    <w:rsid w:val="005C017D"/>
    <w:rsid w:val="005C1E53"/>
    <w:rsid w:val="005C20DD"/>
    <w:rsid w:val="005C3CA5"/>
    <w:rsid w:val="005C47FF"/>
    <w:rsid w:val="005C4AA2"/>
    <w:rsid w:val="005C4DA2"/>
    <w:rsid w:val="005C54C8"/>
    <w:rsid w:val="005C607B"/>
    <w:rsid w:val="005C79FC"/>
    <w:rsid w:val="005C7B21"/>
    <w:rsid w:val="005D09FB"/>
    <w:rsid w:val="005D1C6A"/>
    <w:rsid w:val="005D1D2A"/>
    <w:rsid w:val="005D1F37"/>
    <w:rsid w:val="005D237A"/>
    <w:rsid w:val="005D251A"/>
    <w:rsid w:val="005D367F"/>
    <w:rsid w:val="005D3E11"/>
    <w:rsid w:val="005D47D1"/>
    <w:rsid w:val="005D4987"/>
    <w:rsid w:val="005D4FE4"/>
    <w:rsid w:val="005D564E"/>
    <w:rsid w:val="005D6FB7"/>
    <w:rsid w:val="005D7793"/>
    <w:rsid w:val="005D7884"/>
    <w:rsid w:val="005D7F89"/>
    <w:rsid w:val="005E3F48"/>
    <w:rsid w:val="005E6386"/>
    <w:rsid w:val="005E6D4B"/>
    <w:rsid w:val="005E7CD3"/>
    <w:rsid w:val="005E7EFB"/>
    <w:rsid w:val="005F02BC"/>
    <w:rsid w:val="005F2229"/>
    <w:rsid w:val="005F2633"/>
    <w:rsid w:val="005F2E4E"/>
    <w:rsid w:val="005F376B"/>
    <w:rsid w:val="005F47AF"/>
    <w:rsid w:val="005F4CEB"/>
    <w:rsid w:val="005F5076"/>
    <w:rsid w:val="006000D1"/>
    <w:rsid w:val="00600E53"/>
    <w:rsid w:val="0060181A"/>
    <w:rsid w:val="00601A87"/>
    <w:rsid w:val="00602856"/>
    <w:rsid w:val="006028EB"/>
    <w:rsid w:val="00602CE6"/>
    <w:rsid w:val="00602E06"/>
    <w:rsid w:val="006048A2"/>
    <w:rsid w:val="006052B8"/>
    <w:rsid w:val="006056E1"/>
    <w:rsid w:val="00605D60"/>
    <w:rsid w:val="00606B20"/>
    <w:rsid w:val="0061156E"/>
    <w:rsid w:val="00611D57"/>
    <w:rsid w:val="00612221"/>
    <w:rsid w:val="006125B3"/>
    <w:rsid w:val="006131A1"/>
    <w:rsid w:val="00613CEC"/>
    <w:rsid w:val="006145CC"/>
    <w:rsid w:val="006167F7"/>
    <w:rsid w:val="00616B3C"/>
    <w:rsid w:val="006171C1"/>
    <w:rsid w:val="00617C57"/>
    <w:rsid w:val="00617FD2"/>
    <w:rsid w:val="006200C0"/>
    <w:rsid w:val="0062179A"/>
    <w:rsid w:val="006229F7"/>
    <w:rsid w:val="006230A9"/>
    <w:rsid w:val="00623401"/>
    <w:rsid w:val="006237D1"/>
    <w:rsid w:val="00624111"/>
    <w:rsid w:val="0062416A"/>
    <w:rsid w:val="0062489D"/>
    <w:rsid w:val="00624A66"/>
    <w:rsid w:val="00624C23"/>
    <w:rsid w:val="00625314"/>
    <w:rsid w:val="0062563C"/>
    <w:rsid w:val="006264DF"/>
    <w:rsid w:val="00627274"/>
    <w:rsid w:val="00627764"/>
    <w:rsid w:val="0063034D"/>
    <w:rsid w:val="006303B2"/>
    <w:rsid w:val="006313BC"/>
    <w:rsid w:val="006313D0"/>
    <w:rsid w:val="0063213A"/>
    <w:rsid w:val="00632A2F"/>
    <w:rsid w:val="00632A9C"/>
    <w:rsid w:val="0063356A"/>
    <w:rsid w:val="00633B1A"/>
    <w:rsid w:val="0063438B"/>
    <w:rsid w:val="006351EE"/>
    <w:rsid w:val="0063634A"/>
    <w:rsid w:val="00636B73"/>
    <w:rsid w:val="00636D71"/>
    <w:rsid w:val="0063701B"/>
    <w:rsid w:val="00637688"/>
    <w:rsid w:val="00640C85"/>
    <w:rsid w:val="006412A6"/>
    <w:rsid w:val="00641BE3"/>
    <w:rsid w:val="00642E22"/>
    <w:rsid w:val="006435DA"/>
    <w:rsid w:val="00643B2F"/>
    <w:rsid w:val="006448BA"/>
    <w:rsid w:val="00644EF2"/>
    <w:rsid w:val="00644EF7"/>
    <w:rsid w:val="00644FDB"/>
    <w:rsid w:val="00645F17"/>
    <w:rsid w:val="00645F8B"/>
    <w:rsid w:val="0064614D"/>
    <w:rsid w:val="00647D1B"/>
    <w:rsid w:val="00650CCC"/>
    <w:rsid w:val="00651567"/>
    <w:rsid w:val="00652588"/>
    <w:rsid w:val="00653397"/>
    <w:rsid w:val="0065391A"/>
    <w:rsid w:val="00653FF7"/>
    <w:rsid w:val="0065460F"/>
    <w:rsid w:val="00654616"/>
    <w:rsid w:val="006551B8"/>
    <w:rsid w:val="00655EA9"/>
    <w:rsid w:val="00656780"/>
    <w:rsid w:val="00656787"/>
    <w:rsid w:val="00656CB1"/>
    <w:rsid w:val="0065740B"/>
    <w:rsid w:val="006578C7"/>
    <w:rsid w:val="006600AE"/>
    <w:rsid w:val="00660204"/>
    <w:rsid w:val="006602B4"/>
    <w:rsid w:val="00660482"/>
    <w:rsid w:val="006605D8"/>
    <w:rsid w:val="006613F6"/>
    <w:rsid w:val="00661832"/>
    <w:rsid w:val="00661944"/>
    <w:rsid w:val="00663971"/>
    <w:rsid w:val="00663C39"/>
    <w:rsid w:val="00666F80"/>
    <w:rsid w:val="006672E6"/>
    <w:rsid w:val="00667B68"/>
    <w:rsid w:val="00667C76"/>
    <w:rsid w:val="00667EAD"/>
    <w:rsid w:val="006703AD"/>
    <w:rsid w:val="006705F1"/>
    <w:rsid w:val="00670855"/>
    <w:rsid w:val="006715FB"/>
    <w:rsid w:val="0067182C"/>
    <w:rsid w:val="00671B48"/>
    <w:rsid w:val="00672374"/>
    <w:rsid w:val="00672C3A"/>
    <w:rsid w:val="00672EC6"/>
    <w:rsid w:val="006765A5"/>
    <w:rsid w:val="006768CB"/>
    <w:rsid w:val="00676F01"/>
    <w:rsid w:val="00677558"/>
    <w:rsid w:val="0068126D"/>
    <w:rsid w:val="00681B22"/>
    <w:rsid w:val="0068242C"/>
    <w:rsid w:val="006831FF"/>
    <w:rsid w:val="00683757"/>
    <w:rsid w:val="00684A06"/>
    <w:rsid w:val="00685768"/>
    <w:rsid w:val="006858BF"/>
    <w:rsid w:val="00686400"/>
    <w:rsid w:val="00687365"/>
    <w:rsid w:val="006902B9"/>
    <w:rsid w:val="00690C52"/>
    <w:rsid w:val="00690D5B"/>
    <w:rsid w:val="0069160C"/>
    <w:rsid w:val="0069163B"/>
    <w:rsid w:val="00691921"/>
    <w:rsid w:val="006919E7"/>
    <w:rsid w:val="006946FF"/>
    <w:rsid w:val="0069588A"/>
    <w:rsid w:val="00696741"/>
    <w:rsid w:val="00696821"/>
    <w:rsid w:val="006969E8"/>
    <w:rsid w:val="006970B5"/>
    <w:rsid w:val="006972B3"/>
    <w:rsid w:val="006976D4"/>
    <w:rsid w:val="006977ED"/>
    <w:rsid w:val="00697DCF"/>
    <w:rsid w:val="006A06F2"/>
    <w:rsid w:val="006A08F8"/>
    <w:rsid w:val="006A0EF5"/>
    <w:rsid w:val="006A13B5"/>
    <w:rsid w:val="006A1E03"/>
    <w:rsid w:val="006A22FC"/>
    <w:rsid w:val="006A2B33"/>
    <w:rsid w:val="006A4A20"/>
    <w:rsid w:val="006A5E4A"/>
    <w:rsid w:val="006A6861"/>
    <w:rsid w:val="006A6B8A"/>
    <w:rsid w:val="006A6F43"/>
    <w:rsid w:val="006A7386"/>
    <w:rsid w:val="006A7406"/>
    <w:rsid w:val="006A774E"/>
    <w:rsid w:val="006A7A2E"/>
    <w:rsid w:val="006A7C8A"/>
    <w:rsid w:val="006B0D53"/>
    <w:rsid w:val="006B0EAE"/>
    <w:rsid w:val="006B146C"/>
    <w:rsid w:val="006B1489"/>
    <w:rsid w:val="006B1596"/>
    <w:rsid w:val="006B1647"/>
    <w:rsid w:val="006B1C20"/>
    <w:rsid w:val="006B1DD8"/>
    <w:rsid w:val="006B29AF"/>
    <w:rsid w:val="006B2FA1"/>
    <w:rsid w:val="006B37EE"/>
    <w:rsid w:val="006B389D"/>
    <w:rsid w:val="006B472F"/>
    <w:rsid w:val="006B686C"/>
    <w:rsid w:val="006B6F4C"/>
    <w:rsid w:val="006B7476"/>
    <w:rsid w:val="006C0027"/>
    <w:rsid w:val="006C074B"/>
    <w:rsid w:val="006C09C0"/>
    <w:rsid w:val="006C0BC3"/>
    <w:rsid w:val="006C1609"/>
    <w:rsid w:val="006C1ED8"/>
    <w:rsid w:val="006C3092"/>
    <w:rsid w:val="006C399D"/>
    <w:rsid w:val="006C3C8E"/>
    <w:rsid w:val="006C419F"/>
    <w:rsid w:val="006C470E"/>
    <w:rsid w:val="006C5F32"/>
    <w:rsid w:val="006C6505"/>
    <w:rsid w:val="006C6924"/>
    <w:rsid w:val="006C6B8F"/>
    <w:rsid w:val="006C710B"/>
    <w:rsid w:val="006C74DB"/>
    <w:rsid w:val="006C7691"/>
    <w:rsid w:val="006C7A00"/>
    <w:rsid w:val="006C7A8E"/>
    <w:rsid w:val="006C7C2E"/>
    <w:rsid w:val="006C7EF4"/>
    <w:rsid w:val="006C7FDB"/>
    <w:rsid w:val="006D070A"/>
    <w:rsid w:val="006D0976"/>
    <w:rsid w:val="006D09A5"/>
    <w:rsid w:val="006D0B7B"/>
    <w:rsid w:val="006D11DF"/>
    <w:rsid w:val="006D27A0"/>
    <w:rsid w:val="006D34FB"/>
    <w:rsid w:val="006D35D0"/>
    <w:rsid w:val="006D42A1"/>
    <w:rsid w:val="006D4357"/>
    <w:rsid w:val="006D514C"/>
    <w:rsid w:val="006D5B96"/>
    <w:rsid w:val="006D63BC"/>
    <w:rsid w:val="006D7ED0"/>
    <w:rsid w:val="006E021B"/>
    <w:rsid w:val="006E06BB"/>
    <w:rsid w:val="006E12A3"/>
    <w:rsid w:val="006E1DDD"/>
    <w:rsid w:val="006E252D"/>
    <w:rsid w:val="006E2CC5"/>
    <w:rsid w:val="006E371E"/>
    <w:rsid w:val="006E372B"/>
    <w:rsid w:val="006E3ACD"/>
    <w:rsid w:val="006E41F3"/>
    <w:rsid w:val="006E4262"/>
    <w:rsid w:val="006E5C9C"/>
    <w:rsid w:val="006E60A4"/>
    <w:rsid w:val="006E612F"/>
    <w:rsid w:val="006E66A5"/>
    <w:rsid w:val="006E686C"/>
    <w:rsid w:val="006E7364"/>
    <w:rsid w:val="006F338A"/>
    <w:rsid w:val="006F37B5"/>
    <w:rsid w:val="006F3A04"/>
    <w:rsid w:val="006F3B23"/>
    <w:rsid w:val="006F42C6"/>
    <w:rsid w:val="006F4578"/>
    <w:rsid w:val="006F5D72"/>
    <w:rsid w:val="006F65E8"/>
    <w:rsid w:val="006F77B2"/>
    <w:rsid w:val="006F7C7C"/>
    <w:rsid w:val="006F7E09"/>
    <w:rsid w:val="007029E5"/>
    <w:rsid w:val="00702C63"/>
    <w:rsid w:val="00703FAA"/>
    <w:rsid w:val="0070413E"/>
    <w:rsid w:val="00704717"/>
    <w:rsid w:val="007054C6"/>
    <w:rsid w:val="00705693"/>
    <w:rsid w:val="00706736"/>
    <w:rsid w:val="00706797"/>
    <w:rsid w:val="007067A6"/>
    <w:rsid w:val="0070728E"/>
    <w:rsid w:val="00707494"/>
    <w:rsid w:val="00707D28"/>
    <w:rsid w:val="00707D54"/>
    <w:rsid w:val="00710068"/>
    <w:rsid w:val="00710587"/>
    <w:rsid w:val="007106C9"/>
    <w:rsid w:val="00711F2A"/>
    <w:rsid w:val="007124D6"/>
    <w:rsid w:val="007146CC"/>
    <w:rsid w:val="00714BC4"/>
    <w:rsid w:val="00714C73"/>
    <w:rsid w:val="007150A1"/>
    <w:rsid w:val="007159A9"/>
    <w:rsid w:val="0071645F"/>
    <w:rsid w:val="00716702"/>
    <w:rsid w:val="00716A62"/>
    <w:rsid w:val="00716F7F"/>
    <w:rsid w:val="00716FDF"/>
    <w:rsid w:val="007171C6"/>
    <w:rsid w:val="007175B7"/>
    <w:rsid w:val="00717690"/>
    <w:rsid w:val="00717834"/>
    <w:rsid w:val="007204FE"/>
    <w:rsid w:val="00720E2B"/>
    <w:rsid w:val="0072147E"/>
    <w:rsid w:val="007217A3"/>
    <w:rsid w:val="007218DA"/>
    <w:rsid w:val="0072326E"/>
    <w:rsid w:val="00723277"/>
    <w:rsid w:val="00723427"/>
    <w:rsid w:val="00723515"/>
    <w:rsid w:val="007238B3"/>
    <w:rsid w:val="00723C90"/>
    <w:rsid w:val="007254A6"/>
    <w:rsid w:val="007257BA"/>
    <w:rsid w:val="00725984"/>
    <w:rsid w:val="00726805"/>
    <w:rsid w:val="00727938"/>
    <w:rsid w:val="00730034"/>
    <w:rsid w:val="007309AA"/>
    <w:rsid w:val="007309AC"/>
    <w:rsid w:val="007309FB"/>
    <w:rsid w:val="00730BE0"/>
    <w:rsid w:val="00731138"/>
    <w:rsid w:val="00731543"/>
    <w:rsid w:val="007330F3"/>
    <w:rsid w:val="0073379A"/>
    <w:rsid w:val="00733D92"/>
    <w:rsid w:val="00735ECD"/>
    <w:rsid w:val="0073692D"/>
    <w:rsid w:val="00736E03"/>
    <w:rsid w:val="00736EA7"/>
    <w:rsid w:val="007371F2"/>
    <w:rsid w:val="00737A8C"/>
    <w:rsid w:val="00737FD9"/>
    <w:rsid w:val="0074067A"/>
    <w:rsid w:val="00740E31"/>
    <w:rsid w:val="00743313"/>
    <w:rsid w:val="00743BF2"/>
    <w:rsid w:val="00744299"/>
    <w:rsid w:val="007442CA"/>
    <w:rsid w:val="0074432F"/>
    <w:rsid w:val="00744473"/>
    <w:rsid w:val="0074469B"/>
    <w:rsid w:val="00744AAC"/>
    <w:rsid w:val="00744DD2"/>
    <w:rsid w:val="00745736"/>
    <w:rsid w:val="00746067"/>
    <w:rsid w:val="007463D3"/>
    <w:rsid w:val="00746B8E"/>
    <w:rsid w:val="00746F7C"/>
    <w:rsid w:val="007478B2"/>
    <w:rsid w:val="00747D84"/>
    <w:rsid w:val="00750E74"/>
    <w:rsid w:val="0075137A"/>
    <w:rsid w:val="0075176C"/>
    <w:rsid w:val="00752170"/>
    <w:rsid w:val="00752279"/>
    <w:rsid w:val="00753195"/>
    <w:rsid w:val="00755AB3"/>
    <w:rsid w:val="00755B42"/>
    <w:rsid w:val="00757ACB"/>
    <w:rsid w:val="00757E89"/>
    <w:rsid w:val="0076113F"/>
    <w:rsid w:val="00761576"/>
    <w:rsid w:val="00761753"/>
    <w:rsid w:val="0076226C"/>
    <w:rsid w:val="00762840"/>
    <w:rsid w:val="00762E29"/>
    <w:rsid w:val="007634E3"/>
    <w:rsid w:val="00763F29"/>
    <w:rsid w:val="00766354"/>
    <w:rsid w:val="00767D01"/>
    <w:rsid w:val="00771B58"/>
    <w:rsid w:val="00771FFA"/>
    <w:rsid w:val="0077202C"/>
    <w:rsid w:val="00772AF3"/>
    <w:rsid w:val="00773341"/>
    <w:rsid w:val="00773B48"/>
    <w:rsid w:val="00773C17"/>
    <w:rsid w:val="007743DF"/>
    <w:rsid w:val="007753C1"/>
    <w:rsid w:val="007763DF"/>
    <w:rsid w:val="00776530"/>
    <w:rsid w:val="00776E6B"/>
    <w:rsid w:val="00777426"/>
    <w:rsid w:val="0078051E"/>
    <w:rsid w:val="0078073C"/>
    <w:rsid w:val="007807B9"/>
    <w:rsid w:val="0078088A"/>
    <w:rsid w:val="00781A5E"/>
    <w:rsid w:val="00783950"/>
    <w:rsid w:val="00783F88"/>
    <w:rsid w:val="00784360"/>
    <w:rsid w:val="00784669"/>
    <w:rsid w:val="00784865"/>
    <w:rsid w:val="007864F8"/>
    <w:rsid w:val="007876C7"/>
    <w:rsid w:val="00787929"/>
    <w:rsid w:val="007901F6"/>
    <w:rsid w:val="0079023F"/>
    <w:rsid w:val="007906D3"/>
    <w:rsid w:val="007909B2"/>
    <w:rsid w:val="00790A20"/>
    <w:rsid w:val="00791845"/>
    <w:rsid w:val="00791899"/>
    <w:rsid w:val="00792D46"/>
    <w:rsid w:val="00792EF1"/>
    <w:rsid w:val="007931FE"/>
    <w:rsid w:val="007946AA"/>
    <w:rsid w:val="00794C4E"/>
    <w:rsid w:val="00794C75"/>
    <w:rsid w:val="00796A9E"/>
    <w:rsid w:val="00796BAD"/>
    <w:rsid w:val="00797CC4"/>
    <w:rsid w:val="00797CEF"/>
    <w:rsid w:val="007A05DC"/>
    <w:rsid w:val="007A06C7"/>
    <w:rsid w:val="007A1289"/>
    <w:rsid w:val="007A1836"/>
    <w:rsid w:val="007A1B09"/>
    <w:rsid w:val="007A1F9E"/>
    <w:rsid w:val="007A2460"/>
    <w:rsid w:val="007A2D26"/>
    <w:rsid w:val="007A34CB"/>
    <w:rsid w:val="007A5786"/>
    <w:rsid w:val="007A5889"/>
    <w:rsid w:val="007A5EBE"/>
    <w:rsid w:val="007B0BF9"/>
    <w:rsid w:val="007B15F2"/>
    <w:rsid w:val="007B1E14"/>
    <w:rsid w:val="007B207B"/>
    <w:rsid w:val="007B223B"/>
    <w:rsid w:val="007B272E"/>
    <w:rsid w:val="007B3472"/>
    <w:rsid w:val="007B390A"/>
    <w:rsid w:val="007B3E01"/>
    <w:rsid w:val="007B565A"/>
    <w:rsid w:val="007B5936"/>
    <w:rsid w:val="007B5E8E"/>
    <w:rsid w:val="007B5EEB"/>
    <w:rsid w:val="007B5FA8"/>
    <w:rsid w:val="007B65FB"/>
    <w:rsid w:val="007B693A"/>
    <w:rsid w:val="007B6A7C"/>
    <w:rsid w:val="007B6E64"/>
    <w:rsid w:val="007B7A76"/>
    <w:rsid w:val="007C1CED"/>
    <w:rsid w:val="007C3E98"/>
    <w:rsid w:val="007C4EB1"/>
    <w:rsid w:val="007C5EA1"/>
    <w:rsid w:val="007C62AE"/>
    <w:rsid w:val="007C676F"/>
    <w:rsid w:val="007C739C"/>
    <w:rsid w:val="007C744E"/>
    <w:rsid w:val="007D0055"/>
    <w:rsid w:val="007D04B7"/>
    <w:rsid w:val="007D4152"/>
    <w:rsid w:val="007D6D0F"/>
    <w:rsid w:val="007D6F0E"/>
    <w:rsid w:val="007D7AF7"/>
    <w:rsid w:val="007D7C3A"/>
    <w:rsid w:val="007E0C5A"/>
    <w:rsid w:val="007E0C65"/>
    <w:rsid w:val="007E0DA2"/>
    <w:rsid w:val="007E12E4"/>
    <w:rsid w:val="007E2613"/>
    <w:rsid w:val="007E31E3"/>
    <w:rsid w:val="007E35CC"/>
    <w:rsid w:val="007E3CDA"/>
    <w:rsid w:val="007E4173"/>
    <w:rsid w:val="007E45C6"/>
    <w:rsid w:val="007E53C3"/>
    <w:rsid w:val="007E545F"/>
    <w:rsid w:val="007E5639"/>
    <w:rsid w:val="007E621B"/>
    <w:rsid w:val="007F1BD0"/>
    <w:rsid w:val="007F1E2B"/>
    <w:rsid w:val="007F2D03"/>
    <w:rsid w:val="007F4568"/>
    <w:rsid w:val="007F5AA1"/>
    <w:rsid w:val="007F5CA1"/>
    <w:rsid w:val="007F604D"/>
    <w:rsid w:val="007F64CE"/>
    <w:rsid w:val="007F660F"/>
    <w:rsid w:val="007F6B3C"/>
    <w:rsid w:val="007F6F1D"/>
    <w:rsid w:val="007F753F"/>
    <w:rsid w:val="007F75D4"/>
    <w:rsid w:val="007F7A8C"/>
    <w:rsid w:val="007F7B61"/>
    <w:rsid w:val="007F7D27"/>
    <w:rsid w:val="008001A9"/>
    <w:rsid w:val="008002C0"/>
    <w:rsid w:val="00800719"/>
    <w:rsid w:val="008011BF"/>
    <w:rsid w:val="008021B6"/>
    <w:rsid w:val="0080244A"/>
    <w:rsid w:val="0080269B"/>
    <w:rsid w:val="00802921"/>
    <w:rsid w:val="00803B29"/>
    <w:rsid w:val="00804936"/>
    <w:rsid w:val="008051F1"/>
    <w:rsid w:val="008052BE"/>
    <w:rsid w:val="00805802"/>
    <w:rsid w:val="0081076D"/>
    <w:rsid w:val="00812506"/>
    <w:rsid w:val="00812837"/>
    <w:rsid w:val="00812D5F"/>
    <w:rsid w:val="00812DC3"/>
    <w:rsid w:val="0081343E"/>
    <w:rsid w:val="00813B83"/>
    <w:rsid w:val="00813CCA"/>
    <w:rsid w:val="008141D6"/>
    <w:rsid w:val="008143D7"/>
    <w:rsid w:val="0081472C"/>
    <w:rsid w:val="0081649B"/>
    <w:rsid w:val="00816B0D"/>
    <w:rsid w:val="00817395"/>
    <w:rsid w:val="008174BE"/>
    <w:rsid w:val="00817F26"/>
    <w:rsid w:val="00820D1F"/>
    <w:rsid w:val="00820D7A"/>
    <w:rsid w:val="008231B9"/>
    <w:rsid w:val="00823E7D"/>
    <w:rsid w:val="00823EBD"/>
    <w:rsid w:val="008251B7"/>
    <w:rsid w:val="00825D40"/>
    <w:rsid w:val="00825FF7"/>
    <w:rsid w:val="00826645"/>
    <w:rsid w:val="00827730"/>
    <w:rsid w:val="0082791C"/>
    <w:rsid w:val="00827CAD"/>
    <w:rsid w:val="008305FB"/>
    <w:rsid w:val="00832035"/>
    <w:rsid w:val="00832039"/>
    <w:rsid w:val="008320FC"/>
    <w:rsid w:val="00832331"/>
    <w:rsid w:val="0083257A"/>
    <w:rsid w:val="00832E34"/>
    <w:rsid w:val="008331F2"/>
    <w:rsid w:val="0083351D"/>
    <w:rsid w:val="008335FA"/>
    <w:rsid w:val="008349FF"/>
    <w:rsid w:val="00834C24"/>
    <w:rsid w:val="0083579F"/>
    <w:rsid w:val="00835987"/>
    <w:rsid w:val="00835DA2"/>
    <w:rsid w:val="00835F9B"/>
    <w:rsid w:val="00836CFB"/>
    <w:rsid w:val="008376E6"/>
    <w:rsid w:val="00837C1E"/>
    <w:rsid w:val="0084134E"/>
    <w:rsid w:val="00841428"/>
    <w:rsid w:val="0084146D"/>
    <w:rsid w:val="00842ABC"/>
    <w:rsid w:val="00842B10"/>
    <w:rsid w:val="0084349B"/>
    <w:rsid w:val="008437A7"/>
    <w:rsid w:val="00844B31"/>
    <w:rsid w:val="00845831"/>
    <w:rsid w:val="00845D9D"/>
    <w:rsid w:val="008467BB"/>
    <w:rsid w:val="0084701F"/>
    <w:rsid w:val="00847633"/>
    <w:rsid w:val="0085025D"/>
    <w:rsid w:val="008530EF"/>
    <w:rsid w:val="008533F6"/>
    <w:rsid w:val="00854EF9"/>
    <w:rsid w:val="00854FCC"/>
    <w:rsid w:val="00855A99"/>
    <w:rsid w:val="00855F48"/>
    <w:rsid w:val="008560A6"/>
    <w:rsid w:val="008563F0"/>
    <w:rsid w:val="00856474"/>
    <w:rsid w:val="0085687F"/>
    <w:rsid w:val="008570E4"/>
    <w:rsid w:val="00857979"/>
    <w:rsid w:val="00857A3F"/>
    <w:rsid w:val="00860C1F"/>
    <w:rsid w:val="00860D6F"/>
    <w:rsid w:val="00860FF7"/>
    <w:rsid w:val="00865158"/>
    <w:rsid w:val="00865C2A"/>
    <w:rsid w:val="008669A9"/>
    <w:rsid w:val="00867472"/>
    <w:rsid w:val="00867A07"/>
    <w:rsid w:val="00867DF1"/>
    <w:rsid w:val="00871837"/>
    <w:rsid w:val="00871A8F"/>
    <w:rsid w:val="008723AE"/>
    <w:rsid w:val="00873DC3"/>
    <w:rsid w:val="008742F9"/>
    <w:rsid w:val="00874D08"/>
    <w:rsid w:val="00874F35"/>
    <w:rsid w:val="00875DF3"/>
    <w:rsid w:val="00876E8B"/>
    <w:rsid w:val="00881002"/>
    <w:rsid w:val="00881B02"/>
    <w:rsid w:val="008833A1"/>
    <w:rsid w:val="00884D91"/>
    <w:rsid w:val="0088528A"/>
    <w:rsid w:val="00886515"/>
    <w:rsid w:val="008866C5"/>
    <w:rsid w:val="00886C37"/>
    <w:rsid w:val="00890082"/>
    <w:rsid w:val="008902AF"/>
    <w:rsid w:val="00890CA6"/>
    <w:rsid w:val="00891680"/>
    <w:rsid w:val="0089181B"/>
    <w:rsid w:val="00892EF3"/>
    <w:rsid w:val="008930BB"/>
    <w:rsid w:val="00893AD7"/>
    <w:rsid w:val="00893FA6"/>
    <w:rsid w:val="008954EE"/>
    <w:rsid w:val="008961DF"/>
    <w:rsid w:val="00896851"/>
    <w:rsid w:val="008973E1"/>
    <w:rsid w:val="008A029C"/>
    <w:rsid w:val="008A08F1"/>
    <w:rsid w:val="008A0F9F"/>
    <w:rsid w:val="008A2D2B"/>
    <w:rsid w:val="008A3DB1"/>
    <w:rsid w:val="008A4070"/>
    <w:rsid w:val="008A48AC"/>
    <w:rsid w:val="008A536E"/>
    <w:rsid w:val="008A638F"/>
    <w:rsid w:val="008A6970"/>
    <w:rsid w:val="008A6DC8"/>
    <w:rsid w:val="008A73D4"/>
    <w:rsid w:val="008A740C"/>
    <w:rsid w:val="008B05F2"/>
    <w:rsid w:val="008B0D4A"/>
    <w:rsid w:val="008B2208"/>
    <w:rsid w:val="008B2429"/>
    <w:rsid w:val="008B29F0"/>
    <w:rsid w:val="008B371D"/>
    <w:rsid w:val="008B3804"/>
    <w:rsid w:val="008B3D62"/>
    <w:rsid w:val="008B43F5"/>
    <w:rsid w:val="008B4DB1"/>
    <w:rsid w:val="008B5B2C"/>
    <w:rsid w:val="008B75F0"/>
    <w:rsid w:val="008C0F8C"/>
    <w:rsid w:val="008C1322"/>
    <w:rsid w:val="008C1718"/>
    <w:rsid w:val="008C1B55"/>
    <w:rsid w:val="008C223B"/>
    <w:rsid w:val="008C3053"/>
    <w:rsid w:val="008C3112"/>
    <w:rsid w:val="008C3E67"/>
    <w:rsid w:val="008C587E"/>
    <w:rsid w:val="008C686E"/>
    <w:rsid w:val="008C7C25"/>
    <w:rsid w:val="008D0186"/>
    <w:rsid w:val="008D07B9"/>
    <w:rsid w:val="008D1305"/>
    <w:rsid w:val="008D17F3"/>
    <w:rsid w:val="008D3DCA"/>
    <w:rsid w:val="008D4B54"/>
    <w:rsid w:val="008D5668"/>
    <w:rsid w:val="008D5B8E"/>
    <w:rsid w:val="008D5FA5"/>
    <w:rsid w:val="008D5FB3"/>
    <w:rsid w:val="008D63FE"/>
    <w:rsid w:val="008D6808"/>
    <w:rsid w:val="008D687C"/>
    <w:rsid w:val="008E005D"/>
    <w:rsid w:val="008E052B"/>
    <w:rsid w:val="008E359E"/>
    <w:rsid w:val="008E3BF3"/>
    <w:rsid w:val="008E3EB1"/>
    <w:rsid w:val="008E44BE"/>
    <w:rsid w:val="008E4A76"/>
    <w:rsid w:val="008E5BF0"/>
    <w:rsid w:val="008E5D48"/>
    <w:rsid w:val="008E7007"/>
    <w:rsid w:val="008E7E8F"/>
    <w:rsid w:val="008F15FC"/>
    <w:rsid w:val="008F2039"/>
    <w:rsid w:val="008F2096"/>
    <w:rsid w:val="008F34FE"/>
    <w:rsid w:val="008F4711"/>
    <w:rsid w:val="008F4C02"/>
    <w:rsid w:val="008F5641"/>
    <w:rsid w:val="008F603C"/>
    <w:rsid w:val="008F621E"/>
    <w:rsid w:val="008F781E"/>
    <w:rsid w:val="008F7D44"/>
    <w:rsid w:val="009007FE"/>
    <w:rsid w:val="00900BAD"/>
    <w:rsid w:val="009010DE"/>
    <w:rsid w:val="009013F7"/>
    <w:rsid w:val="00901C0D"/>
    <w:rsid w:val="00902154"/>
    <w:rsid w:val="00903745"/>
    <w:rsid w:val="0090684B"/>
    <w:rsid w:val="00906CBD"/>
    <w:rsid w:val="00906E06"/>
    <w:rsid w:val="009078C7"/>
    <w:rsid w:val="00907CD4"/>
    <w:rsid w:val="009102E2"/>
    <w:rsid w:val="00910765"/>
    <w:rsid w:val="00910C3E"/>
    <w:rsid w:val="00912927"/>
    <w:rsid w:val="009129D4"/>
    <w:rsid w:val="00912BB0"/>
    <w:rsid w:val="00913579"/>
    <w:rsid w:val="009143C2"/>
    <w:rsid w:val="00914D5E"/>
    <w:rsid w:val="00915902"/>
    <w:rsid w:val="00915D0A"/>
    <w:rsid w:val="00916D1E"/>
    <w:rsid w:val="00917589"/>
    <w:rsid w:val="009178DC"/>
    <w:rsid w:val="00917C60"/>
    <w:rsid w:val="009202AF"/>
    <w:rsid w:val="0092044A"/>
    <w:rsid w:val="009204D5"/>
    <w:rsid w:val="00920928"/>
    <w:rsid w:val="00920E67"/>
    <w:rsid w:val="009216CA"/>
    <w:rsid w:val="00922A59"/>
    <w:rsid w:val="00922E1D"/>
    <w:rsid w:val="00924969"/>
    <w:rsid w:val="009269D0"/>
    <w:rsid w:val="00927E96"/>
    <w:rsid w:val="00927F7C"/>
    <w:rsid w:val="0093034D"/>
    <w:rsid w:val="00931047"/>
    <w:rsid w:val="00931B4B"/>
    <w:rsid w:val="00931C8D"/>
    <w:rsid w:val="009331E2"/>
    <w:rsid w:val="00934206"/>
    <w:rsid w:val="00935968"/>
    <w:rsid w:val="00936AB8"/>
    <w:rsid w:val="00940225"/>
    <w:rsid w:val="00940F8D"/>
    <w:rsid w:val="00941DF2"/>
    <w:rsid w:val="00941DFF"/>
    <w:rsid w:val="00941E3E"/>
    <w:rsid w:val="00942270"/>
    <w:rsid w:val="00942C9D"/>
    <w:rsid w:val="00943CB0"/>
    <w:rsid w:val="00944ACA"/>
    <w:rsid w:val="00944DC9"/>
    <w:rsid w:val="00946930"/>
    <w:rsid w:val="00946A0B"/>
    <w:rsid w:val="00946BDC"/>
    <w:rsid w:val="00947542"/>
    <w:rsid w:val="00947560"/>
    <w:rsid w:val="0094760E"/>
    <w:rsid w:val="009509FB"/>
    <w:rsid w:val="00951334"/>
    <w:rsid w:val="0095267C"/>
    <w:rsid w:val="00952839"/>
    <w:rsid w:val="0095310F"/>
    <w:rsid w:val="00953A4E"/>
    <w:rsid w:val="00954074"/>
    <w:rsid w:val="009549FF"/>
    <w:rsid w:val="00956765"/>
    <w:rsid w:val="0095730E"/>
    <w:rsid w:val="00957387"/>
    <w:rsid w:val="00960A24"/>
    <w:rsid w:val="00960A3A"/>
    <w:rsid w:val="00960D93"/>
    <w:rsid w:val="009610E8"/>
    <w:rsid w:val="00961625"/>
    <w:rsid w:val="0096243F"/>
    <w:rsid w:val="009634E3"/>
    <w:rsid w:val="009639BC"/>
    <w:rsid w:val="00963A6F"/>
    <w:rsid w:val="009651B1"/>
    <w:rsid w:val="009657B0"/>
    <w:rsid w:val="00965867"/>
    <w:rsid w:val="00965BA5"/>
    <w:rsid w:val="00965F54"/>
    <w:rsid w:val="009663DF"/>
    <w:rsid w:val="00966D16"/>
    <w:rsid w:val="009672AE"/>
    <w:rsid w:val="0096767D"/>
    <w:rsid w:val="00970249"/>
    <w:rsid w:val="0097068D"/>
    <w:rsid w:val="00970705"/>
    <w:rsid w:val="009726C7"/>
    <w:rsid w:val="00973C4F"/>
    <w:rsid w:val="00973D50"/>
    <w:rsid w:val="00973EA2"/>
    <w:rsid w:val="00973F0F"/>
    <w:rsid w:val="009741E4"/>
    <w:rsid w:val="00974866"/>
    <w:rsid w:val="00974BEC"/>
    <w:rsid w:val="00974E9B"/>
    <w:rsid w:val="009758DA"/>
    <w:rsid w:val="0097700A"/>
    <w:rsid w:val="00977A9B"/>
    <w:rsid w:val="00980405"/>
    <w:rsid w:val="009806C9"/>
    <w:rsid w:val="00980C32"/>
    <w:rsid w:val="00980C73"/>
    <w:rsid w:val="0098190F"/>
    <w:rsid w:val="00983A79"/>
    <w:rsid w:val="00986498"/>
    <w:rsid w:val="00986503"/>
    <w:rsid w:val="00987430"/>
    <w:rsid w:val="00987B12"/>
    <w:rsid w:val="0099045B"/>
    <w:rsid w:val="00990880"/>
    <w:rsid w:val="00991284"/>
    <w:rsid w:val="009923BE"/>
    <w:rsid w:val="00992AD4"/>
    <w:rsid w:val="009935B6"/>
    <w:rsid w:val="00994813"/>
    <w:rsid w:val="009948D0"/>
    <w:rsid w:val="0099567C"/>
    <w:rsid w:val="00996912"/>
    <w:rsid w:val="00997806"/>
    <w:rsid w:val="009A0ED4"/>
    <w:rsid w:val="009A3028"/>
    <w:rsid w:val="009A3784"/>
    <w:rsid w:val="009A44E0"/>
    <w:rsid w:val="009A4739"/>
    <w:rsid w:val="009A5D9B"/>
    <w:rsid w:val="009A6121"/>
    <w:rsid w:val="009A6D4D"/>
    <w:rsid w:val="009B1B44"/>
    <w:rsid w:val="009B1F09"/>
    <w:rsid w:val="009B2BC4"/>
    <w:rsid w:val="009B2F6B"/>
    <w:rsid w:val="009B3187"/>
    <w:rsid w:val="009B32E0"/>
    <w:rsid w:val="009B4848"/>
    <w:rsid w:val="009B486B"/>
    <w:rsid w:val="009B5005"/>
    <w:rsid w:val="009B61E8"/>
    <w:rsid w:val="009B6DD8"/>
    <w:rsid w:val="009B769E"/>
    <w:rsid w:val="009B7943"/>
    <w:rsid w:val="009B7A27"/>
    <w:rsid w:val="009C048B"/>
    <w:rsid w:val="009C0834"/>
    <w:rsid w:val="009C0E18"/>
    <w:rsid w:val="009C2F8F"/>
    <w:rsid w:val="009C314A"/>
    <w:rsid w:val="009C391F"/>
    <w:rsid w:val="009C47FE"/>
    <w:rsid w:val="009C4B73"/>
    <w:rsid w:val="009C50DF"/>
    <w:rsid w:val="009C742D"/>
    <w:rsid w:val="009C7526"/>
    <w:rsid w:val="009C7600"/>
    <w:rsid w:val="009D04F2"/>
    <w:rsid w:val="009D104A"/>
    <w:rsid w:val="009D1609"/>
    <w:rsid w:val="009D207E"/>
    <w:rsid w:val="009D3380"/>
    <w:rsid w:val="009D3F01"/>
    <w:rsid w:val="009D40B2"/>
    <w:rsid w:val="009D415C"/>
    <w:rsid w:val="009D5C51"/>
    <w:rsid w:val="009D68A5"/>
    <w:rsid w:val="009D7052"/>
    <w:rsid w:val="009D747C"/>
    <w:rsid w:val="009E003B"/>
    <w:rsid w:val="009E055C"/>
    <w:rsid w:val="009E0CCA"/>
    <w:rsid w:val="009E1896"/>
    <w:rsid w:val="009E5BDF"/>
    <w:rsid w:val="009E68AB"/>
    <w:rsid w:val="009E7057"/>
    <w:rsid w:val="009E745E"/>
    <w:rsid w:val="009F0079"/>
    <w:rsid w:val="009F0722"/>
    <w:rsid w:val="009F0958"/>
    <w:rsid w:val="009F0A5E"/>
    <w:rsid w:val="009F13A6"/>
    <w:rsid w:val="009F20B6"/>
    <w:rsid w:val="009F2B82"/>
    <w:rsid w:val="009F2F4C"/>
    <w:rsid w:val="009F2FB2"/>
    <w:rsid w:val="009F37B5"/>
    <w:rsid w:val="009F3F83"/>
    <w:rsid w:val="009F4AA0"/>
    <w:rsid w:val="009F524B"/>
    <w:rsid w:val="009F5BB7"/>
    <w:rsid w:val="009F6559"/>
    <w:rsid w:val="009F6DFA"/>
    <w:rsid w:val="009F6F2F"/>
    <w:rsid w:val="009F7CFF"/>
    <w:rsid w:val="00A00F2B"/>
    <w:rsid w:val="00A01BDD"/>
    <w:rsid w:val="00A02B9C"/>
    <w:rsid w:val="00A02D23"/>
    <w:rsid w:val="00A0339B"/>
    <w:rsid w:val="00A03AB0"/>
    <w:rsid w:val="00A04616"/>
    <w:rsid w:val="00A0471B"/>
    <w:rsid w:val="00A05FEA"/>
    <w:rsid w:val="00A07F28"/>
    <w:rsid w:val="00A07FC8"/>
    <w:rsid w:val="00A1034C"/>
    <w:rsid w:val="00A12395"/>
    <w:rsid w:val="00A1384F"/>
    <w:rsid w:val="00A138C1"/>
    <w:rsid w:val="00A13CE6"/>
    <w:rsid w:val="00A13FBF"/>
    <w:rsid w:val="00A14C1E"/>
    <w:rsid w:val="00A157BC"/>
    <w:rsid w:val="00A15ABD"/>
    <w:rsid w:val="00A15F31"/>
    <w:rsid w:val="00A15F67"/>
    <w:rsid w:val="00A16016"/>
    <w:rsid w:val="00A16943"/>
    <w:rsid w:val="00A2005B"/>
    <w:rsid w:val="00A20BA4"/>
    <w:rsid w:val="00A20C6E"/>
    <w:rsid w:val="00A20CAE"/>
    <w:rsid w:val="00A20CDF"/>
    <w:rsid w:val="00A20EB8"/>
    <w:rsid w:val="00A20F66"/>
    <w:rsid w:val="00A21692"/>
    <w:rsid w:val="00A216A0"/>
    <w:rsid w:val="00A21E0E"/>
    <w:rsid w:val="00A21E68"/>
    <w:rsid w:val="00A24FDD"/>
    <w:rsid w:val="00A255F2"/>
    <w:rsid w:val="00A2635F"/>
    <w:rsid w:val="00A26835"/>
    <w:rsid w:val="00A27156"/>
    <w:rsid w:val="00A27259"/>
    <w:rsid w:val="00A30202"/>
    <w:rsid w:val="00A30A1B"/>
    <w:rsid w:val="00A319A1"/>
    <w:rsid w:val="00A31D92"/>
    <w:rsid w:val="00A32A23"/>
    <w:rsid w:val="00A32AFE"/>
    <w:rsid w:val="00A32F41"/>
    <w:rsid w:val="00A33475"/>
    <w:rsid w:val="00A33F53"/>
    <w:rsid w:val="00A357B6"/>
    <w:rsid w:val="00A3674A"/>
    <w:rsid w:val="00A36A6D"/>
    <w:rsid w:val="00A37302"/>
    <w:rsid w:val="00A37678"/>
    <w:rsid w:val="00A378BD"/>
    <w:rsid w:val="00A4021C"/>
    <w:rsid w:val="00A41340"/>
    <w:rsid w:val="00A4185A"/>
    <w:rsid w:val="00A41AD5"/>
    <w:rsid w:val="00A426E2"/>
    <w:rsid w:val="00A4455B"/>
    <w:rsid w:val="00A4563D"/>
    <w:rsid w:val="00A45E10"/>
    <w:rsid w:val="00A4619D"/>
    <w:rsid w:val="00A46300"/>
    <w:rsid w:val="00A476C0"/>
    <w:rsid w:val="00A47767"/>
    <w:rsid w:val="00A4797D"/>
    <w:rsid w:val="00A47D45"/>
    <w:rsid w:val="00A47E33"/>
    <w:rsid w:val="00A5007A"/>
    <w:rsid w:val="00A507C1"/>
    <w:rsid w:val="00A50B12"/>
    <w:rsid w:val="00A51F84"/>
    <w:rsid w:val="00A51F87"/>
    <w:rsid w:val="00A52700"/>
    <w:rsid w:val="00A528EC"/>
    <w:rsid w:val="00A53BFA"/>
    <w:rsid w:val="00A53C71"/>
    <w:rsid w:val="00A53D83"/>
    <w:rsid w:val="00A54021"/>
    <w:rsid w:val="00A543C9"/>
    <w:rsid w:val="00A55B0A"/>
    <w:rsid w:val="00A55CB0"/>
    <w:rsid w:val="00A566C9"/>
    <w:rsid w:val="00A567D8"/>
    <w:rsid w:val="00A578A8"/>
    <w:rsid w:val="00A5791F"/>
    <w:rsid w:val="00A604CE"/>
    <w:rsid w:val="00A60500"/>
    <w:rsid w:val="00A60977"/>
    <w:rsid w:val="00A613DD"/>
    <w:rsid w:val="00A632DF"/>
    <w:rsid w:val="00A63C6F"/>
    <w:rsid w:val="00A64BA8"/>
    <w:rsid w:val="00A65C59"/>
    <w:rsid w:val="00A6611F"/>
    <w:rsid w:val="00A6634F"/>
    <w:rsid w:val="00A6716C"/>
    <w:rsid w:val="00A70348"/>
    <w:rsid w:val="00A70DB1"/>
    <w:rsid w:val="00A70F4A"/>
    <w:rsid w:val="00A72834"/>
    <w:rsid w:val="00A72D0F"/>
    <w:rsid w:val="00A72EE4"/>
    <w:rsid w:val="00A7319C"/>
    <w:rsid w:val="00A736CB"/>
    <w:rsid w:val="00A73D29"/>
    <w:rsid w:val="00A745D0"/>
    <w:rsid w:val="00A77178"/>
    <w:rsid w:val="00A773BF"/>
    <w:rsid w:val="00A80B57"/>
    <w:rsid w:val="00A81B90"/>
    <w:rsid w:val="00A82095"/>
    <w:rsid w:val="00A8209A"/>
    <w:rsid w:val="00A83409"/>
    <w:rsid w:val="00A842B6"/>
    <w:rsid w:val="00A846EE"/>
    <w:rsid w:val="00A84FAE"/>
    <w:rsid w:val="00A851FA"/>
    <w:rsid w:val="00A85794"/>
    <w:rsid w:val="00A85903"/>
    <w:rsid w:val="00A85A0A"/>
    <w:rsid w:val="00A85CDF"/>
    <w:rsid w:val="00A87822"/>
    <w:rsid w:val="00A87B14"/>
    <w:rsid w:val="00A90DCC"/>
    <w:rsid w:val="00A90E6F"/>
    <w:rsid w:val="00A919DA"/>
    <w:rsid w:val="00A91D72"/>
    <w:rsid w:val="00A91DAA"/>
    <w:rsid w:val="00A91F5A"/>
    <w:rsid w:val="00A92463"/>
    <w:rsid w:val="00A926E9"/>
    <w:rsid w:val="00A9295E"/>
    <w:rsid w:val="00A92C37"/>
    <w:rsid w:val="00A9353C"/>
    <w:rsid w:val="00A93DBC"/>
    <w:rsid w:val="00A951E2"/>
    <w:rsid w:val="00A952AC"/>
    <w:rsid w:val="00A953DB"/>
    <w:rsid w:val="00A95F68"/>
    <w:rsid w:val="00A96C27"/>
    <w:rsid w:val="00A97525"/>
    <w:rsid w:val="00AA1674"/>
    <w:rsid w:val="00AA204B"/>
    <w:rsid w:val="00AA25CF"/>
    <w:rsid w:val="00AA39FD"/>
    <w:rsid w:val="00AA43CA"/>
    <w:rsid w:val="00AA4FAF"/>
    <w:rsid w:val="00AA5E30"/>
    <w:rsid w:val="00AA68E8"/>
    <w:rsid w:val="00AA6971"/>
    <w:rsid w:val="00AA6A4D"/>
    <w:rsid w:val="00AA6F19"/>
    <w:rsid w:val="00AA7829"/>
    <w:rsid w:val="00AA795A"/>
    <w:rsid w:val="00AA7A7F"/>
    <w:rsid w:val="00AB00BE"/>
    <w:rsid w:val="00AB01D8"/>
    <w:rsid w:val="00AB16A9"/>
    <w:rsid w:val="00AB22BB"/>
    <w:rsid w:val="00AB2EE0"/>
    <w:rsid w:val="00AB42D7"/>
    <w:rsid w:val="00AB4630"/>
    <w:rsid w:val="00AC075B"/>
    <w:rsid w:val="00AC1498"/>
    <w:rsid w:val="00AC1624"/>
    <w:rsid w:val="00AC1745"/>
    <w:rsid w:val="00AC189B"/>
    <w:rsid w:val="00AC18EE"/>
    <w:rsid w:val="00AC210B"/>
    <w:rsid w:val="00AC256F"/>
    <w:rsid w:val="00AC2EC4"/>
    <w:rsid w:val="00AC3962"/>
    <w:rsid w:val="00AC541D"/>
    <w:rsid w:val="00AC554C"/>
    <w:rsid w:val="00AC5584"/>
    <w:rsid w:val="00AC595D"/>
    <w:rsid w:val="00AC6204"/>
    <w:rsid w:val="00AC6C8A"/>
    <w:rsid w:val="00AC7D7A"/>
    <w:rsid w:val="00AD013A"/>
    <w:rsid w:val="00AD1096"/>
    <w:rsid w:val="00AD1B63"/>
    <w:rsid w:val="00AD1F90"/>
    <w:rsid w:val="00AD20B0"/>
    <w:rsid w:val="00AD316C"/>
    <w:rsid w:val="00AD3892"/>
    <w:rsid w:val="00AD41E6"/>
    <w:rsid w:val="00AD5165"/>
    <w:rsid w:val="00AD5438"/>
    <w:rsid w:val="00AD5915"/>
    <w:rsid w:val="00AD73D5"/>
    <w:rsid w:val="00AD7CD7"/>
    <w:rsid w:val="00AD7E2E"/>
    <w:rsid w:val="00AE1609"/>
    <w:rsid w:val="00AE1BAB"/>
    <w:rsid w:val="00AE1C1D"/>
    <w:rsid w:val="00AE2FED"/>
    <w:rsid w:val="00AE3B34"/>
    <w:rsid w:val="00AE49B5"/>
    <w:rsid w:val="00AE5E9B"/>
    <w:rsid w:val="00AE6067"/>
    <w:rsid w:val="00AE60B1"/>
    <w:rsid w:val="00AE6442"/>
    <w:rsid w:val="00AE6F5B"/>
    <w:rsid w:val="00AE775F"/>
    <w:rsid w:val="00AF01D2"/>
    <w:rsid w:val="00AF01F4"/>
    <w:rsid w:val="00AF19B3"/>
    <w:rsid w:val="00AF39BD"/>
    <w:rsid w:val="00AF5049"/>
    <w:rsid w:val="00AF5704"/>
    <w:rsid w:val="00AF5724"/>
    <w:rsid w:val="00AF5CC0"/>
    <w:rsid w:val="00AF5E78"/>
    <w:rsid w:val="00AF728C"/>
    <w:rsid w:val="00AF7991"/>
    <w:rsid w:val="00AF7E4B"/>
    <w:rsid w:val="00B008C9"/>
    <w:rsid w:val="00B00B23"/>
    <w:rsid w:val="00B00C71"/>
    <w:rsid w:val="00B01B1B"/>
    <w:rsid w:val="00B01CD5"/>
    <w:rsid w:val="00B02428"/>
    <w:rsid w:val="00B03935"/>
    <w:rsid w:val="00B03BFA"/>
    <w:rsid w:val="00B04276"/>
    <w:rsid w:val="00B06009"/>
    <w:rsid w:val="00B0641B"/>
    <w:rsid w:val="00B06422"/>
    <w:rsid w:val="00B07027"/>
    <w:rsid w:val="00B072F6"/>
    <w:rsid w:val="00B075EC"/>
    <w:rsid w:val="00B07E70"/>
    <w:rsid w:val="00B10CD5"/>
    <w:rsid w:val="00B10E35"/>
    <w:rsid w:val="00B11D7A"/>
    <w:rsid w:val="00B122EA"/>
    <w:rsid w:val="00B123C9"/>
    <w:rsid w:val="00B13D77"/>
    <w:rsid w:val="00B164D5"/>
    <w:rsid w:val="00B16B78"/>
    <w:rsid w:val="00B16BDB"/>
    <w:rsid w:val="00B200AF"/>
    <w:rsid w:val="00B20BD4"/>
    <w:rsid w:val="00B20BED"/>
    <w:rsid w:val="00B21D2B"/>
    <w:rsid w:val="00B23AB8"/>
    <w:rsid w:val="00B248B4"/>
    <w:rsid w:val="00B25795"/>
    <w:rsid w:val="00B25FEE"/>
    <w:rsid w:val="00B26268"/>
    <w:rsid w:val="00B267F1"/>
    <w:rsid w:val="00B27CD9"/>
    <w:rsid w:val="00B27D51"/>
    <w:rsid w:val="00B30576"/>
    <w:rsid w:val="00B31628"/>
    <w:rsid w:val="00B33512"/>
    <w:rsid w:val="00B337CE"/>
    <w:rsid w:val="00B35061"/>
    <w:rsid w:val="00B35702"/>
    <w:rsid w:val="00B360CC"/>
    <w:rsid w:val="00B36143"/>
    <w:rsid w:val="00B36279"/>
    <w:rsid w:val="00B36EAE"/>
    <w:rsid w:val="00B37897"/>
    <w:rsid w:val="00B37B00"/>
    <w:rsid w:val="00B41781"/>
    <w:rsid w:val="00B41782"/>
    <w:rsid w:val="00B4231A"/>
    <w:rsid w:val="00B425A4"/>
    <w:rsid w:val="00B42668"/>
    <w:rsid w:val="00B4375C"/>
    <w:rsid w:val="00B43905"/>
    <w:rsid w:val="00B43B59"/>
    <w:rsid w:val="00B44674"/>
    <w:rsid w:val="00B45CCA"/>
    <w:rsid w:val="00B4664E"/>
    <w:rsid w:val="00B46987"/>
    <w:rsid w:val="00B4705B"/>
    <w:rsid w:val="00B47476"/>
    <w:rsid w:val="00B479EA"/>
    <w:rsid w:val="00B50D49"/>
    <w:rsid w:val="00B512DF"/>
    <w:rsid w:val="00B518AC"/>
    <w:rsid w:val="00B52C9B"/>
    <w:rsid w:val="00B52FE8"/>
    <w:rsid w:val="00B53496"/>
    <w:rsid w:val="00B53B43"/>
    <w:rsid w:val="00B5498B"/>
    <w:rsid w:val="00B54D2A"/>
    <w:rsid w:val="00B54ED9"/>
    <w:rsid w:val="00B5553B"/>
    <w:rsid w:val="00B570BC"/>
    <w:rsid w:val="00B57565"/>
    <w:rsid w:val="00B5781A"/>
    <w:rsid w:val="00B57DC5"/>
    <w:rsid w:val="00B61419"/>
    <w:rsid w:val="00B616CD"/>
    <w:rsid w:val="00B618B0"/>
    <w:rsid w:val="00B62039"/>
    <w:rsid w:val="00B62A90"/>
    <w:rsid w:val="00B62DFD"/>
    <w:rsid w:val="00B630C2"/>
    <w:rsid w:val="00B634B1"/>
    <w:rsid w:val="00B64492"/>
    <w:rsid w:val="00B65C74"/>
    <w:rsid w:val="00B6723E"/>
    <w:rsid w:val="00B675C2"/>
    <w:rsid w:val="00B67D3E"/>
    <w:rsid w:val="00B706E8"/>
    <w:rsid w:val="00B714A2"/>
    <w:rsid w:val="00B72238"/>
    <w:rsid w:val="00B7232F"/>
    <w:rsid w:val="00B729F8"/>
    <w:rsid w:val="00B72BB0"/>
    <w:rsid w:val="00B73446"/>
    <w:rsid w:val="00B73FA8"/>
    <w:rsid w:val="00B74321"/>
    <w:rsid w:val="00B74662"/>
    <w:rsid w:val="00B74665"/>
    <w:rsid w:val="00B748FF"/>
    <w:rsid w:val="00B75818"/>
    <w:rsid w:val="00B7589C"/>
    <w:rsid w:val="00B75BBC"/>
    <w:rsid w:val="00B76988"/>
    <w:rsid w:val="00B80398"/>
    <w:rsid w:val="00B808BF"/>
    <w:rsid w:val="00B81568"/>
    <w:rsid w:val="00B81CC5"/>
    <w:rsid w:val="00B81CFD"/>
    <w:rsid w:val="00B827C9"/>
    <w:rsid w:val="00B84225"/>
    <w:rsid w:val="00B84379"/>
    <w:rsid w:val="00B8513F"/>
    <w:rsid w:val="00B86CCC"/>
    <w:rsid w:val="00B87B76"/>
    <w:rsid w:val="00B87D41"/>
    <w:rsid w:val="00B91489"/>
    <w:rsid w:val="00B915BB"/>
    <w:rsid w:val="00B9204A"/>
    <w:rsid w:val="00B9219A"/>
    <w:rsid w:val="00B92382"/>
    <w:rsid w:val="00B9295B"/>
    <w:rsid w:val="00B92B00"/>
    <w:rsid w:val="00B92E6C"/>
    <w:rsid w:val="00B93575"/>
    <w:rsid w:val="00B9428A"/>
    <w:rsid w:val="00B95A67"/>
    <w:rsid w:val="00B963E5"/>
    <w:rsid w:val="00B96E38"/>
    <w:rsid w:val="00B9745E"/>
    <w:rsid w:val="00B97E6D"/>
    <w:rsid w:val="00BA0125"/>
    <w:rsid w:val="00BA067F"/>
    <w:rsid w:val="00BA1208"/>
    <w:rsid w:val="00BA17EA"/>
    <w:rsid w:val="00BA1A64"/>
    <w:rsid w:val="00BA216D"/>
    <w:rsid w:val="00BA21AE"/>
    <w:rsid w:val="00BA2942"/>
    <w:rsid w:val="00BA3468"/>
    <w:rsid w:val="00BA47DD"/>
    <w:rsid w:val="00BA5A3E"/>
    <w:rsid w:val="00BA695A"/>
    <w:rsid w:val="00BA7B26"/>
    <w:rsid w:val="00BB10CF"/>
    <w:rsid w:val="00BB266D"/>
    <w:rsid w:val="00BB4110"/>
    <w:rsid w:val="00BB4D4C"/>
    <w:rsid w:val="00BB4E2C"/>
    <w:rsid w:val="00BB50AD"/>
    <w:rsid w:val="00BB5A3D"/>
    <w:rsid w:val="00BB6821"/>
    <w:rsid w:val="00BB788B"/>
    <w:rsid w:val="00BB7AC2"/>
    <w:rsid w:val="00BB7C3D"/>
    <w:rsid w:val="00BC1A17"/>
    <w:rsid w:val="00BC1FE1"/>
    <w:rsid w:val="00BC28CF"/>
    <w:rsid w:val="00BC28F3"/>
    <w:rsid w:val="00BC438E"/>
    <w:rsid w:val="00BC441F"/>
    <w:rsid w:val="00BC4869"/>
    <w:rsid w:val="00BC53E3"/>
    <w:rsid w:val="00BC6197"/>
    <w:rsid w:val="00BC6728"/>
    <w:rsid w:val="00BC6AB4"/>
    <w:rsid w:val="00BC7941"/>
    <w:rsid w:val="00BD1322"/>
    <w:rsid w:val="00BD1737"/>
    <w:rsid w:val="00BD33E7"/>
    <w:rsid w:val="00BD3BAA"/>
    <w:rsid w:val="00BD41A0"/>
    <w:rsid w:val="00BD53E7"/>
    <w:rsid w:val="00BD5E05"/>
    <w:rsid w:val="00BD78F8"/>
    <w:rsid w:val="00BD7A41"/>
    <w:rsid w:val="00BD7B85"/>
    <w:rsid w:val="00BE04D8"/>
    <w:rsid w:val="00BE064A"/>
    <w:rsid w:val="00BE0A58"/>
    <w:rsid w:val="00BE1258"/>
    <w:rsid w:val="00BE1F84"/>
    <w:rsid w:val="00BE2026"/>
    <w:rsid w:val="00BE3B64"/>
    <w:rsid w:val="00BE492C"/>
    <w:rsid w:val="00BE4A58"/>
    <w:rsid w:val="00BE4CBD"/>
    <w:rsid w:val="00BE563B"/>
    <w:rsid w:val="00BE61B6"/>
    <w:rsid w:val="00BE6DC6"/>
    <w:rsid w:val="00BE7CF0"/>
    <w:rsid w:val="00BF0AC1"/>
    <w:rsid w:val="00BF0CDE"/>
    <w:rsid w:val="00BF152F"/>
    <w:rsid w:val="00BF1EF8"/>
    <w:rsid w:val="00BF27F3"/>
    <w:rsid w:val="00BF337A"/>
    <w:rsid w:val="00BF3984"/>
    <w:rsid w:val="00BF5DF7"/>
    <w:rsid w:val="00BF6FC5"/>
    <w:rsid w:val="00BF746C"/>
    <w:rsid w:val="00BF7524"/>
    <w:rsid w:val="00BF7659"/>
    <w:rsid w:val="00C00115"/>
    <w:rsid w:val="00C0109A"/>
    <w:rsid w:val="00C01C64"/>
    <w:rsid w:val="00C0200C"/>
    <w:rsid w:val="00C02328"/>
    <w:rsid w:val="00C0319B"/>
    <w:rsid w:val="00C046EC"/>
    <w:rsid w:val="00C04BC0"/>
    <w:rsid w:val="00C058B9"/>
    <w:rsid w:val="00C05D0E"/>
    <w:rsid w:val="00C076E7"/>
    <w:rsid w:val="00C07B36"/>
    <w:rsid w:val="00C10E5A"/>
    <w:rsid w:val="00C10FE2"/>
    <w:rsid w:val="00C11A2D"/>
    <w:rsid w:val="00C11BB0"/>
    <w:rsid w:val="00C11BF1"/>
    <w:rsid w:val="00C11D53"/>
    <w:rsid w:val="00C1271E"/>
    <w:rsid w:val="00C12FC7"/>
    <w:rsid w:val="00C13062"/>
    <w:rsid w:val="00C14165"/>
    <w:rsid w:val="00C14372"/>
    <w:rsid w:val="00C1533D"/>
    <w:rsid w:val="00C166B3"/>
    <w:rsid w:val="00C16B22"/>
    <w:rsid w:val="00C1705D"/>
    <w:rsid w:val="00C17865"/>
    <w:rsid w:val="00C17BE8"/>
    <w:rsid w:val="00C201A5"/>
    <w:rsid w:val="00C230BC"/>
    <w:rsid w:val="00C238BC"/>
    <w:rsid w:val="00C240FF"/>
    <w:rsid w:val="00C24E14"/>
    <w:rsid w:val="00C24EA3"/>
    <w:rsid w:val="00C250CD"/>
    <w:rsid w:val="00C26C76"/>
    <w:rsid w:val="00C26F00"/>
    <w:rsid w:val="00C27091"/>
    <w:rsid w:val="00C277E7"/>
    <w:rsid w:val="00C307BF"/>
    <w:rsid w:val="00C31340"/>
    <w:rsid w:val="00C31372"/>
    <w:rsid w:val="00C32132"/>
    <w:rsid w:val="00C32242"/>
    <w:rsid w:val="00C3271A"/>
    <w:rsid w:val="00C329D6"/>
    <w:rsid w:val="00C329F2"/>
    <w:rsid w:val="00C33102"/>
    <w:rsid w:val="00C33AB4"/>
    <w:rsid w:val="00C3513F"/>
    <w:rsid w:val="00C353AB"/>
    <w:rsid w:val="00C36552"/>
    <w:rsid w:val="00C36573"/>
    <w:rsid w:val="00C36FB4"/>
    <w:rsid w:val="00C37A39"/>
    <w:rsid w:val="00C401EE"/>
    <w:rsid w:val="00C40741"/>
    <w:rsid w:val="00C40E9F"/>
    <w:rsid w:val="00C414AF"/>
    <w:rsid w:val="00C43E54"/>
    <w:rsid w:val="00C452D1"/>
    <w:rsid w:val="00C45D86"/>
    <w:rsid w:val="00C46430"/>
    <w:rsid w:val="00C4769D"/>
    <w:rsid w:val="00C47BE6"/>
    <w:rsid w:val="00C502CF"/>
    <w:rsid w:val="00C50E0B"/>
    <w:rsid w:val="00C51965"/>
    <w:rsid w:val="00C519AB"/>
    <w:rsid w:val="00C51A77"/>
    <w:rsid w:val="00C52161"/>
    <w:rsid w:val="00C52468"/>
    <w:rsid w:val="00C524D4"/>
    <w:rsid w:val="00C52960"/>
    <w:rsid w:val="00C5337F"/>
    <w:rsid w:val="00C5356F"/>
    <w:rsid w:val="00C53ADE"/>
    <w:rsid w:val="00C54EEA"/>
    <w:rsid w:val="00C55DF3"/>
    <w:rsid w:val="00C56024"/>
    <w:rsid w:val="00C56314"/>
    <w:rsid w:val="00C56419"/>
    <w:rsid w:val="00C5717B"/>
    <w:rsid w:val="00C57A2A"/>
    <w:rsid w:val="00C60156"/>
    <w:rsid w:val="00C60D6D"/>
    <w:rsid w:val="00C60D71"/>
    <w:rsid w:val="00C617CA"/>
    <w:rsid w:val="00C62331"/>
    <w:rsid w:val="00C63AF9"/>
    <w:rsid w:val="00C641C6"/>
    <w:rsid w:val="00C6466F"/>
    <w:rsid w:val="00C64FC6"/>
    <w:rsid w:val="00C65491"/>
    <w:rsid w:val="00C658D8"/>
    <w:rsid w:val="00C6751D"/>
    <w:rsid w:val="00C6793D"/>
    <w:rsid w:val="00C679A3"/>
    <w:rsid w:val="00C67C0C"/>
    <w:rsid w:val="00C704B1"/>
    <w:rsid w:val="00C70FD1"/>
    <w:rsid w:val="00C70FED"/>
    <w:rsid w:val="00C71511"/>
    <w:rsid w:val="00C72221"/>
    <w:rsid w:val="00C725A6"/>
    <w:rsid w:val="00C727D3"/>
    <w:rsid w:val="00C73689"/>
    <w:rsid w:val="00C75541"/>
    <w:rsid w:val="00C75F4A"/>
    <w:rsid w:val="00C771CB"/>
    <w:rsid w:val="00C8025A"/>
    <w:rsid w:val="00C80A41"/>
    <w:rsid w:val="00C81770"/>
    <w:rsid w:val="00C81B75"/>
    <w:rsid w:val="00C81DD8"/>
    <w:rsid w:val="00C82050"/>
    <w:rsid w:val="00C82BF8"/>
    <w:rsid w:val="00C8321D"/>
    <w:rsid w:val="00C8341F"/>
    <w:rsid w:val="00C8372A"/>
    <w:rsid w:val="00C83C8F"/>
    <w:rsid w:val="00C84495"/>
    <w:rsid w:val="00C847A2"/>
    <w:rsid w:val="00C84E36"/>
    <w:rsid w:val="00C852CE"/>
    <w:rsid w:val="00C8544E"/>
    <w:rsid w:val="00C862B5"/>
    <w:rsid w:val="00C87104"/>
    <w:rsid w:val="00C8795B"/>
    <w:rsid w:val="00C87A15"/>
    <w:rsid w:val="00C903B9"/>
    <w:rsid w:val="00C90A63"/>
    <w:rsid w:val="00C9145B"/>
    <w:rsid w:val="00C93E63"/>
    <w:rsid w:val="00C944D5"/>
    <w:rsid w:val="00C946B4"/>
    <w:rsid w:val="00C95668"/>
    <w:rsid w:val="00C970DF"/>
    <w:rsid w:val="00C97173"/>
    <w:rsid w:val="00CA0286"/>
    <w:rsid w:val="00CA1316"/>
    <w:rsid w:val="00CA16CB"/>
    <w:rsid w:val="00CA1D18"/>
    <w:rsid w:val="00CA213E"/>
    <w:rsid w:val="00CA24DB"/>
    <w:rsid w:val="00CA35A1"/>
    <w:rsid w:val="00CA3734"/>
    <w:rsid w:val="00CA4104"/>
    <w:rsid w:val="00CA4452"/>
    <w:rsid w:val="00CA5AD1"/>
    <w:rsid w:val="00CA5CDD"/>
    <w:rsid w:val="00CA5E44"/>
    <w:rsid w:val="00CA60A0"/>
    <w:rsid w:val="00CA644C"/>
    <w:rsid w:val="00CA73EB"/>
    <w:rsid w:val="00CB0944"/>
    <w:rsid w:val="00CB4AFA"/>
    <w:rsid w:val="00CB5EC7"/>
    <w:rsid w:val="00CB5F26"/>
    <w:rsid w:val="00CB6582"/>
    <w:rsid w:val="00CC18DB"/>
    <w:rsid w:val="00CC194D"/>
    <w:rsid w:val="00CC23FF"/>
    <w:rsid w:val="00CC28FD"/>
    <w:rsid w:val="00CC3C11"/>
    <w:rsid w:val="00CC567A"/>
    <w:rsid w:val="00CC5EA9"/>
    <w:rsid w:val="00CC63A6"/>
    <w:rsid w:val="00CC6F5C"/>
    <w:rsid w:val="00CC754F"/>
    <w:rsid w:val="00CC7F1E"/>
    <w:rsid w:val="00CD1623"/>
    <w:rsid w:val="00CD213E"/>
    <w:rsid w:val="00CD25A7"/>
    <w:rsid w:val="00CD3E2B"/>
    <w:rsid w:val="00CD420E"/>
    <w:rsid w:val="00CD48AD"/>
    <w:rsid w:val="00CD609E"/>
    <w:rsid w:val="00CD6324"/>
    <w:rsid w:val="00CD6F72"/>
    <w:rsid w:val="00CD707D"/>
    <w:rsid w:val="00CE033D"/>
    <w:rsid w:val="00CE1499"/>
    <w:rsid w:val="00CE1D2B"/>
    <w:rsid w:val="00CE1DF4"/>
    <w:rsid w:val="00CE1E1D"/>
    <w:rsid w:val="00CE29E6"/>
    <w:rsid w:val="00CE2A9B"/>
    <w:rsid w:val="00CE32B1"/>
    <w:rsid w:val="00CE3ED4"/>
    <w:rsid w:val="00CE5597"/>
    <w:rsid w:val="00CE5ECD"/>
    <w:rsid w:val="00CE7342"/>
    <w:rsid w:val="00CE7E26"/>
    <w:rsid w:val="00CF0B64"/>
    <w:rsid w:val="00CF0DE6"/>
    <w:rsid w:val="00CF12DB"/>
    <w:rsid w:val="00CF1A09"/>
    <w:rsid w:val="00CF1E3C"/>
    <w:rsid w:val="00CF22DD"/>
    <w:rsid w:val="00CF3ECC"/>
    <w:rsid w:val="00CF3F73"/>
    <w:rsid w:val="00CF41B1"/>
    <w:rsid w:val="00CF4415"/>
    <w:rsid w:val="00CF4B11"/>
    <w:rsid w:val="00CF7EA3"/>
    <w:rsid w:val="00D009C6"/>
    <w:rsid w:val="00D00BD8"/>
    <w:rsid w:val="00D00FFA"/>
    <w:rsid w:val="00D01966"/>
    <w:rsid w:val="00D02918"/>
    <w:rsid w:val="00D02D13"/>
    <w:rsid w:val="00D03951"/>
    <w:rsid w:val="00D0412A"/>
    <w:rsid w:val="00D046AA"/>
    <w:rsid w:val="00D06187"/>
    <w:rsid w:val="00D06D4C"/>
    <w:rsid w:val="00D07C79"/>
    <w:rsid w:val="00D10467"/>
    <w:rsid w:val="00D108EC"/>
    <w:rsid w:val="00D1117B"/>
    <w:rsid w:val="00D116F6"/>
    <w:rsid w:val="00D15E40"/>
    <w:rsid w:val="00D1610F"/>
    <w:rsid w:val="00D20553"/>
    <w:rsid w:val="00D21DAB"/>
    <w:rsid w:val="00D22E12"/>
    <w:rsid w:val="00D22E61"/>
    <w:rsid w:val="00D23730"/>
    <w:rsid w:val="00D23CCA"/>
    <w:rsid w:val="00D2434C"/>
    <w:rsid w:val="00D24B01"/>
    <w:rsid w:val="00D254B4"/>
    <w:rsid w:val="00D25965"/>
    <w:rsid w:val="00D25EF1"/>
    <w:rsid w:val="00D263A8"/>
    <w:rsid w:val="00D26970"/>
    <w:rsid w:val="00D269CE"/>
    <w:rsid w:val="00D27235"/>
    <w:rsid w:val="00D30ED9"/>
    <w:rsid w:val="00D31265"/>
    <w:rsid w:val="00D31308"/>
    <w:rsid w:val="00D32277"/>
    <w:rsid w:val="00D32D12"/>
    <w:rsid w:val="00D33146"/>
    <w:rsid w:val="00D33159"/>
    <w:rsid w:val="00D33DB7"/>
    <w:rsid w:val="00D34774"/>
    <w:rsid w:val="00D347FC"/>
    <w:rsid w:val="00D34B43"/>
    <w:rsid w:val="00D34C94"/>
    <w:rsid w:val="00D34FF5"/>
    <w:rsid w:val="00D35277"/>
    <w:rsid w:val="00D358C3"/>
    <w:rsid w:val="00D362F0"/>
    <w:rsid w:val="00D362F3"/>
    <w:rsid w:val="00D3638B"/>
    <w:rsid w:val="00D36761"/>
    <w:rsid w:val="00D37664"/>
    <w:rsid w:val="00D379F6"/>
    <w:rsid w:val="00D41123"/>
    <w:rsid w:val="00D41662"/>
    <w:rsid w:val="00D41A8A"/>
    <w:rsid w:val="00D428A9"/>
    <w:rsid w:val="00D428C3"/>
    <w:rsid w:val="00D43251"/>
    <w:rsid w:val="00D4327D"/>
    <w:rsid w:val="00D43B9A"/>
    <w:rsid w:val="00D4581B"/>
    <w:rsid w:val="00D4645F"/>
    <w:rsid w:val="00D465EC"/>
    <w:rsid w:val="00D46C5C"/>
    <w:rsid w:val="00D47E1D"/>
    <w:rsid w:val="00D506F7"/>
    <w:rsid w:val="00D5161E"/>
    <w:rsid w:val="00D51B40"/>
    <w:rsid w:val="00D548DC"/>
    <w:rsid w:val="00D55ADD"/>
    <w:rsid w:val="00D55C0E"/>
    <w:rsid w:val="00D5618D"/>
    <w:rsid w:val="00D565BA"/>
    <w:rsid w:val="00D57939"/>
    <w:rsid w:val="00D60685"/>
    <w:rsid w:val="00D63FAF"/>
    <w:rsid w:val="00D646BB"/>
    <w:rsid w:val="00D6554B"/>
    <w:rsid w:val="00D655BD"/>
    <w:rsid w:val="00D6598B"/>
    <w:rsid w:val="00D65E65"/>
    <w:rsid w:val="00D66162"/>
    <w:rsid w:val="00D66192"/>
    <w:rsid w:val="00D66CF1"/>
    <w:rsid w:val="00D72F6D"/>
    <w:rsid w:val="00D7314A"/>
    <w:rsid w:val="00D7334C"/>
    <w:rsid w:val="00D734C1"/>
    <w:rsid w:val="00D751ED"/>
    <w:rsid w:val="00D752EC"/>
    <w:rsid w:val="00D7534F"/>
    <w:rsid w:val="00D7535D"/>
    <w:rsid w:val="00D75E17"/>
    <w:rsid w:val="00D75E42"/>
    <w:rsid w:val="00D7666F"/>
    <w:rsid w:val="00D7706E"/>
    <w:rsid w:val="00D77909"/>
    <w:rsid w:val="00D77D81"/>
    <w:rsid w:val="00D80251"/>
    <w:rsid w:val="00D8034E"/>
    <w:rsid w:val="00D80912"/>
    <w:rsid w:val="00D80FCC"/>
    <w:rsid w:val="00D816C7"/>
    <w:rsid w:val="00D81978"/>
    <w:rsid w:val="00D828CF"/>
    <w:rsid w:val="00D828DF"/>
    <w:rsid w:val="00D829CE"/>
    <w:rsid w:val="00D83218"/>
    <w:rsid w:val="00D84871"/>
    <w:rsid w:val="00D84C9D"/>
    <w:rsid w:val="00D8537B"/>
    <w:rsid w:val="00D85AAB"/>
    <w:rsid w:val="00D85AB5"/>
    <w:rsid w:val="00D860BE"/>
    <w:rsid w:val="00D86EC0"/>
    <w:rsid w:val="00D86FEC"/>
    <w:rsid w:val="00D871B9"/>
    <w:rsid w:val="00D872BD"/>
    <w:rsid w:val="00D90BD0"/>
    <w:rsid w:val="00D93061"/>
    <w:rsid w:val="00D93CCB"/>
    <w:rsid w:val="00D94A5A"/>
    <w:rsid w:val="00D94AF7"/>
    <w:rsid w:val="00D95656"/>
    <w:rsid w:val="00D95880"/>
    <w:rsid w:val="00D95A4C"/>
    <w:rsid w:val="00D965A3"/>
    <w:rsid w:val="00DA0EF8"/>
    <w:rsid w:val="00DA1071"/>
    <w:rsid w:val="00DA1AAD"/>
    <w:rsid w:val="00DA1BF0"/>
    <w:rsid w:val="00DA25A1"/>
    <w:rsid w:val="00DA38E6"/>
    <w:rsid w:val="00DA44BC"/>
    <w:rsid w:val="00DA4913"/>
    <w:rsid w:val="00DA50C1"/>
    <w:rsid w:val="00DA62AB"/>
    <w:rsid w:val="00DA6506"/>
    <w:rsid w:val="00DA6760"/>
    <w:rsid w:val="00DA6DF6"/>
    <w:rsid w:val="00DA784E"/>
    <w:rsid w:val="00DB0212"/>
    <w:rsid w:val="00DB036B"/>
    <w:rsid w:val="00DB08E9"/>
    <w:rsid w:val="00DB0CED"/>
    <w:rsid w:val="00DB11FF"/>
    <w:rsid w:val="00DB1F77"/>
    <w:rsid w:val="00DB2EF8"/>
    <w:rsid w:val="00DB3BF6"/>
    <w:rsid w:val="00DB3ED0"/>
    <w:rsid w:val="00DB576F"/>
    <w:rsid w:val="00DB5B03"/>
    <w:rsid w:val="00DB5BD8"/>
    <w:rsid w:val="00DB6037"/>
    <w:rsid w:val="00DB6BB0"/>
    <w:rsid w:val="00DC0836"/>
    <w:rsid w:val="00DC0D79"/>
    <w:rsid w:val="00DC245C"/>
    <w:rsid w:val="00DC2E7C"/>
    <w:rsid w:val="00DC3042"/>
    <w:rsid w:val="00DC3459"/>
    <w:rsid w:val="00DC3F9D"/>
    <w:rsid w:val="00DC4AB3"/>
    <w:rsid w:val="00DC58BA"/>
    <w:rsid w:val="00DC5CD7"/>
    <w:rsid w:val="00DC6C53"/>
    <w:rsid w:val="00DC7725"/>
    <w:rsid w:val="00DD076F"/>
    <w:rsid w:val="00DD088F"/>
    <w:rsid w:val="00DD1266"/>
    <w:rsid w:val="00DD1393"/>
    <w:rsid w:val="00DD1406"/>
    <w:rsid w:val="00DD1958"/>
    <w:rsid w:val="00DD1BA8"/>
    <w:rsid w:val="00DD1F36"/>
    <w:rsid w:val="00DD2DBB"/>
    <w:rsid w:val="00DD3593"/>
    <w:rsid w:val="00DD36DF"/>
    <w:rsid w:val="00DD3A56"/>
    <w:rsid w:val="00DD51BE"/>
    <w:rsid w:val="00DD5684"/>
    <w:rsid w:val="00DD5ECA"/>
    <w:rsid w:val="00DD612D"/>
    <w:rsid w:val="00DD6340"/>
    <w:rsid w:val="00DD6DF8"/>
    <w:rsid w:val="00DD7292"/>
    <w:rsid w:val="00DE14DB"/>
    <w:rsid w:val="00DE1DAE"/>
    <w:rsid w:val="00DE34BF"/>
    <w:rsid w:val="00DE37FE"/>
    <w:rsid w:val="00DE3B14"/>
    <w:rsid w:val="00DE3EE9"/>
    <w:rsid w:val="00DE4073"/>
    <w:rsid w:val="00DE437F"/>
    <w:rsid w:val="00DE4580"/>
    <w:rsid w:val="00DE4BD0"/>
    <w:rsid w:val="00DE4C3A"/>
    <w:rsid w:val="00DE51A7"/>
    <w:rsid w:val="00DE5A4C"/>
    <w:rsid w:val="00DE6479"/>
    <w:rsid w:val="00DE7023"/>
    <w:rsid w:val="00DE7180"/>
    <w:rsid w:val="00DE76B4"/>
    <w:rsid w:val="00DE7E3D"/>
    <w:rsid w:val="00DF1FCF"/>
    <w:rsid w:val="00DF28B1"/>
    <w:rsid w:val="00DF2CF8"/>
    <w:rsid w:val="00DF2D52"/>
    <w:rsid w:val="00DF3589"/>
    <w:rsid w:val="00DF361B"/>
    <w:rsid w:val="00DF420C"/>
    <w:rsid w:val="00DF4B08"/>
    <w:rsid w:val="00DF7255"/>
    <w:rsid w:val="00DF75DA"/>
    <w:rsid w:val="00E009C1"/>
    <w:rsid w:val="00E012C0"/>
    <w:rsid w:val="00E01833"/>
    <w:rsid w:val="00E0274C"/>
    <w:rsid w:val="00E02A57"/>
    <w:rsid w:val="00E02D08"/>
    <w:rsid w:val="00E03343"/>
    <w:rsid w:val="00E033D2"/>
    <w:rsid w:val="00E036DD"/>
    <w:rsid w:val="00E03CE5"/>
    <w:rsid w:val="00E03D7B"/>
    <w:rsid w:val="00E05502"/>
    <w:rsid w:val="00E055F9"/>
    <w:rsid w:val="00E0571A"/>
    <w:rsid w:val="00E079CE"/>
    <w:rsid w:val="00E07E28"/>
    <w:rsid w:val="00E07E84"/>
    <w:rsid w:val="00E10423"/>
    <w:rsid w:val="00E11C6B"/>
    <w:rsid w:val="00E130E5"/>
    <w:rsid w:val="00E131A9"/>
    <w:rsid w:val="00E132D9"/>
    <w:rsid w:val="00E13655"/>
    <w:rsid w:val="00E13692"/>
    <w:rsid w:val="00E13C83"/>
    <w:rsid w:val="00E14587"/>
    <w:rsid w:val="00E145CA"/>
    <w:rsid w:val="00E15004"/>
    <w:rsid w:val="00E1544A"/>
    <w:rsid w:val="00E16555"/>
    <w:rsid w:val="00E16A91"/>
    <w:rsid w:val="00E1778F"/>
    <w:rsid w:val="00E17E03"/>
    <w:rsid w:val="00E17EE9"/>
    <w:rsid w:val="00E17FC0"/>
    <w:rsid w:val="00E21206"/>
    <w:rsid w:val="00E21286"/>
    <w:rsid w:val="00E21818"/>
    <w:rsid w:val="00E22CF7"/>
    <w:rsid w:val="00E2318F"/>
    <w:rsid w:val="00E23734"/>
    <w:rsid w:val="00E23B29"/>
    <w:rsid w:val="00E245DA"/>
    <w:rsid w:val="00E25B39"/>
    <w:rsid w:val="00E25F44"/>
    <w:rsid w:val="00E262FC"/>
    <w:rsid w:val="00E27060"/>
    <w:rsid w:val="00E3020A"/>
    <w:rsid w:val="00E30D44"/>
    <w:rsid w:val="00E31F8C"/>
    <w:rsid w:val="00E32D38"/>
    <w:rsid w:val="00E32D66"/>
    <w:rsid w:val="00E33CD7"/>
    <w:rsid w:val="00E33E79"/>
    <w:rsid w:val="00E36DE5"/>
    <w:rsid w:val="00E37818"/>
    <w:rsid w:val="00E40574"/>
    <w:rsid w:val="00E40807"/>
    <w:rsid w:val="00E414AA"/>
    <w:rsid w:val="00E41CF9"/>
    <w:rsid w:val="00E42220"/>
    <w:rsid w:val="00E42A8E"/>
    <w:rsid w:val="00E42E65"/>
    <w:rsid w:val="00E437C6"/>
    <w:rsid w:val="00E44056"/>
    <w:rsid w:val="00E45239"/>
    <w:rsid w:val="00E45BC5"/>
    <w:rsid w:val="00E466A3"/>
    <w:rsid w:val="00E47EE0"/>
    <w:rsid w:val="00E500AF"/>
    <w:rsid w:val="00E503F4"/>
    <w:rsid w:val="00E50429"/>
    <w:rsid w:val="00E50B05"/>
    <w:rsid w:val="00E513D5"/>
    <w:rsid w:val="00E51444"/>
    <w:rsid w:val="00E514A7"/>
    <w:rsid w:val="00E5266B"/>
    <w:rsid w:val="00E530E8"/>
    <w:rsid w:val="00E535E5"/>
    <w:rsid w:val="00E53D85"/>
    <w:rsid w:val="00E547BC"/>
    <w:rsid w:val="00E5511D"/>
    <w:rsid w:val="00E55D49"/>
    <w:rsid w:val="00E5699B"/>
    <w:rsid w:val="00E63633"/>
    <w:rsid w:val="00E63D4D"/>
    <w:rsid w:val="00E648A5"/>
    <w:rsid w:val="00E65018"/>
    <w:rsid w:val="00E657FA"/>
    <w:rsid w:val="00E673EE"/>
    <w:rsid w:val="00E67C1D"/>
    <w:rsid w:val="00E70868"/>
    <w:rsid w:val="00E70C81"/>
    <w:rsid w:val="00E70FCD"/>
    <w:rsid w:val="00E721E5"/>
    <w:rsid w:val="00E724D0"/>
    <w:rsid w:val="00E73CD6"/>
    <w:rsid w:val="00E73D8F"/>
    <w:rsid w:val="00E73FA2"/>
    <w:rsid w:val="00E74E42"/>
    <w:rsid w:val="00E7637E"/>
    <w:rsid w:val="00E76EBA"/>
    <w:rsid w:val="00E76EDE"/>
    <w:rsid w:val="00E801BA"/>
    <w:rsid w:val="00E81126"/>
    <w:rsid w:val="00E814B8"/>
    <w:rsid w:val="00E81FB6"/>
    <w:rsid w:val="00E8314B"/>
    <w:rsid w:val="00E8419E"/>
    <w:rsid w:val="00E84896"/>
    <w:rsid w:val="00E853E0"/>
    <w:rsid w:val="00E85C68"/>
    <w:rsid w:val="00E86369"/>
    <w:rsid w:val="00E86606"/>
    <w:rsid w:val="00E869ED"/>
    <w:rsid w:val="00E86EAE"/>
    <w:rsid w:val="00E91002"/>
    <w:rsid w:val="00E92E16"/>
    <w:rsid w:val="00E93315"/>
    <w:rsid w:val="00E9452B"/>
    <w:rsid w:val="00E94586"/>
    <w:rsid w:val="00E94811"/>
    <w:rsid w:val="00E94F1C"/>
    <w:rsid w:val="00E955D7"/>
    <w:rsid w:val="00E956C4"/>
    <w:rsid w:val="00E960C1"/>
    <w:rsid w:val="00E97310"/>
    <w:rsid w:val="00E9758C"/>
    <w:rsid w:val="00E97748"/>
    <w:rsid w:val="00E97CFD"/>
    <w:rsid w:val="00EA0477"/>
    <w:rsid w:val="00EA14F5"/>
    <w:rsid w:val="00EA167F"/>
    <w:rsid w:val="00EA188F"/>
    <w:rsid w:val="00EA1A56"/>
    <w:rsid w:val="00EA291A"/>
    <w:rsid w:val="00EA34D8"/>
    <w:rsid w:val="00EA3B89"/>
    <w:rsid w:val="00EA4564"/>
    <w:rsid w:val="00EA56B7"/>
    <w:rsid w:val="00EA5F91"/>
    <w:rsid w:val="00EA711F"/>
    <w:rsid w:val="00EA76E8"/>
    <w:rsid w:val="00EA7D5F"/>
    <w:rsid w:val="00EA7EE2"/>
    <w:rsid w:val="00EB059F"/>
    <w:rsid w:val="00EB0FFB"/>
    <w:rsid w:val="00EB202E"/>
    <w:rsid w:val="00EB2741"/>
    <w:rsid w:val="00EB2828"/>
    <w:rsid w:val="00EB3A0C"/>
    <w:rsid w:val="00EB4366"/>
    <w:rsid w:val="00EB48A5"/>
    <w:rsid w:val="00EB57F4"/>
    <w:rsid w:val="00EB5A32"/>
    <w:rsid w:val="00EB5DCA"/>
    <w:rsid w:val="00EB647E"/>
    <w:rsid w:val="00EB7AD1"/>
    <w:rsid w:val="00EC0065"/>
    <w:rsid w:val="00EC0454"/>
    <w:rsid w:val="00EC0FDB"/>
    <w:rsid w:val="00EC15E1"/>
    <w:rsid w:val="00EC1BE7"/>
    <w:rsid w:val="00EC21D3"/>
    <w:rsid w:val="00EC2D06"/>
    <w:rsid w:val="00EC31EF"/>
    <w:rsid w:val="00EC43CC"/>
    <w:rsid w:val="00EC45B5"/>
    <w:rsid w:val="00EC4692"/>
    <w:rsid w:val="00EC640C"/>
    <w:rsid w:val="00EC74A8"/>
    <w:rsid w:val="00ED15EE"/>
    <w:rsid w:val="00ED2495"/>
    <w:rsid w:val="00ED26C8"/>
    <w:rsid w:val="00ED2A50"/>
    <w:rsid w:val="00ED2B6B"/>
    <w:rsid w:val="00ED3187"/>
    <w:rsid w:val="00ED4420"/>
    <w:rsid w:val="00ED56FE"/>
    <w:rsid w:val="00ED5C23"/>
    <w:rsid w:val="00ED5E47"/>
    <w:rsid w:val="00ED6C15"/>
    <w:rsid w:val="00ED7EE0"/>
    <w:rsid w:val="00EE1224"/>
    <w:rsid w:val="00EE135B"/>
    <w:rsid w:val="00EE16BE"/>
    <w:rsid w:val="00EE1C07"/>
    <w:rsid w:val="00EE2198"/>
    <w:rsid w:val="00EE2DD0"/>
    <w:rsid w:val="00EE30F0"/>
    <w:rsid w:val="00EE354A"/>
    <w:rsid w:val="00EE35CF"/>
    <w:rsid w:val="00EE4702"/>
    <w:rsid w:val="00EE4813"/>
    <w:rsid w:val="00EE5507"/>
    <w:rsid w:val="00EE5854"/>
    <w:rsid w:val="00EE59F3"/>
    <w:rsid w:val="00EE65CB"/>
    <w:rsid w:val="00EE7823"/>
    <w:rsid w:val="00EE7BFD"/>
    <w:rsid w:val="00EF0366"/>
    <w:rsid w:val="00EF03D1"/>
    <w:rsid w:val="00EF04AF"/>
    <w:rsid w:val="00EF0EF3"/>
    <w:rsid w:val="00EF1778"/>
    <w:rsid w:val="00EF1DCB"/>
    <w:rsid w:val="00EF29CF"/>
    <w:rsid w:val="00EF329C"/>
    <w:rsid w:val="00EF4B66"/>
    <w:rsid w:val="00EF4C79"/>
    <w:rsid w:val="00EF5B30"/>
    <w:rsid w:val="00EF664A"/>
    <w:rsid w:val="00EF7E21"/>
    <w:rsid w:val="00F0026C"/>
    <w:rsid w:val="00F002D5"/>
    <w:rsid w:val="00F01729"/>
    <w:rsid w:val="00F0229B"/>
    <w:rsid w:val="00F02CAE"/>
    <w:rsid w:val="00F033AD"/>
    <w:rsid w:val="00F037BC"/>
    <w:rsid w:val="00F03992"/>
    <w:rsid w:val="00F03B1E"/>
    <w:rsid w:val="00F04242"/>
    <w:rsid w:val="00F0675E"/>
    <w:rsid w:val="00F067F3"/>
    <w:rsid w:val="00F06896"/>
    <w:rsid w:val="00F07D95"/>
    <w:rsid w:val="00F1053C"/>
    <w:rsid w:val="00F11A5A"/>
    <w:rsid w:val="00F132FD"/>
    <w:rsid w:val="00F13577"/>
    <w:rsid w:val="00F14F2B"/>
    <w:rsid w:val="00F14FC9"/>
    <w:rsid w:val="00F153EF"/>
    <w:rsid w:val="00F155A8"/>
    <w:rsid w:val="00F15630"/>
    <w:rsid w:val="00F157CE"/>
    <w:rsid w:val="00F16762"/>
    <w:rsid w:val="00F16E40"/>
    <w:rsid w:val="00F16F00"/>
    <w:rsid w:val="00F20C86"/>
    <w:rsid w:val="00F21EB5"/>
    <w:rsid w:val="00F23168"/>
    <w:rsid w:val="00F233C7"/>
    <w:rsid w:val="00F23652"/>
    <w:rsid w:val="00F24CB2"/>
    <w:rsid w:val="00F24DC7"/>
    <w:rsid w:val="00F26BDC"/>
    <w:rsid w:val="00F274E5"/>
    <w:rsid w:val="00F27E34"/>
    <w:rsid w:val="00F301C1"/>
    <w:rsid w:val="00F3118E"/>
    <w:rsid w:val="00F323F1"/>
    <w:rsid w:val="00F32CC9"/>
    <w:rsid w:val="00F34183"/>
    <w:rsid w:val="00F346B3"/>
    <w:rsid w:val="00F3537E"/>
    <w:rsid w:val="00F36825"/>
    <w:rsid w:val="00F36BD3"/>
    <w:rsid w:val="00F36DA7"/>
    <w:rsid w:val="00F37062"/>
    <w:rsid w:val="00F379CB"/>
    <w:rsid w:val="00F37CF5"/>
    <w:rsid w:val="00F40322"/>
    <w:rsid w:val="00F4050A"/>
    <w:rsid w:val="00F4090C"/>
    <w:rsid w:val="00F41105"/>
    <w:rsid w:val="00F41FD3"/>
    <w:rsid w:val="00F4288D"/>
    <w:rsid w:val="00F432DF"/>
    <w:rsid w:val="00F43D52"/>
    <w:rsid w:val="00F43DCF"/>
    <w:rsid w:val="00F447CD"/>
    <w:rsid w:val="00F44B00"/>
    <w:rsid w:val="00F45891"/>
    <w:rsid w:val="00F46CDC"/>
    <w:rsid w:val="00F47721"/>
    <w:rsid w:val="00F50299"/>
    <w:rsid w:val="00F50370"/>
    <w:rsid w:val="00F5037D"/>
    <w:rsid w:val="00F50BB7"/>
    <w:rsid w:val="00F50C32"/>
    <w:rsid w:val="00F516EA"/>
    <w:rsid w:val="00F528E2"/>
    <w:rsid w:val="00F5309F"/>
    <w:rsid w:val="00F5373F"/>
    <w:rsid w:val="00F558C5"/>
    <w:rsid w:val="00F55995"/>
    <w:rsid w:val="00F55DDE"/>
    <w:rsid w:val="00F56055"/>
    <w:rsid w:val="00F5776C"/>
    <w:rsid w:val="00F57876"/>
    <w:rsid w:val="00F603F4"/>
    <w:rsid w:val="00F6080B"/>
    <w:rsid w:val="00F60DF8"/>
    <w:rsid w:val="00F60FF0"/>
    <w:rsid w:val="00F61082"/>
    <w:rsid w:val="00F615FD"/>
    <w:rsid w:val="00F617EC"/>
    <w:rsid w:val="00F62462"/>
    <w:rsid w:val="00F62880"/>
    <w:rsid w:val="00F63D87"/>
    <w:rsid w:val="00F641D1"/>
    <w:rsid w:val="00F646F7"/>
    <w:rsid w:val="00F6486B"/>
    <w:rsid w:val="00F65694"/>
    <w:rsid w:val="00F660AA"/>
    <w:rsid w:val="00F6613C"/>
    <w:rsid w:val="00F6667C"/>
    <w:rsid w:val="00F66AC3"/>
    <w:rsid w:val="00F67C6F"/>
    <w:rsid w:val="00F7077A"/>
    <w:rsid w:val="00F71344"/>
    <w:rsid w:val="00F71A93"/>
    <w:rsid w:val="00F73419"/>
    <w:rsid w:val="00F73E84"/>
    <w:rsid w:val="00F740A6"/>
    <w:rsid w:val="00F74EEF"/>
    <w:rsid w:val="00F76C86"/>
    <w:rsid w:val="00F8065A"/>
    <w:rsid w:val="00F812FA"/>
    <w:rsid w:val="00F814C4"/>
    <w:rsid w:val="00F81831"/>
    <w:rsid w:val="00F8184C"/>
    <w:rsid w:val="00F81A9D"/>
    <w:rsid w:val="00F81DCF"/>
    <w:rsid w:val="00F826C3"/>
    <w:rsid w:val="00F82E22"/>
    <w:rsid w:val="00F833F8"/>
    <w:rsid w:val="00F83566"/>
    <w:rsid w:val="00F83A7A"/>
    <w:rsid w:val="00F84331"/>
    <w:rsid w:val="00F84371"/>
    <w:rsid w:val="00F844ED"/>
    <w:rsid w:val="00F846F9"/>
    <w:rsid w:val="00F860CD"/>
    <w:rsid w:val="00F86DA0"/>
    <w:rsid w:val="00F871BE"/>
    <w:rsid w:val="00F8732E"/>
    <w:rsid w:val="00F91DA7"/>
    <w:rsid w:val="00F92395"/>
    <w:rsid w:val="00F928F5"/>
    <w:rsid w:val="00F93D4F"/>
    <w:rsid w:val="00F94BF2"/>
    <w:rsid w:val="00F951EB"/>
    <w:rsid w:val="00F9548C"/>
    <w:rsid w:val="00F96950"/>
    <w:rsid w:val="00F96CAB"/>
    <w:rsid w:val="00F97398"/>
    <w:rsid w:val="00F97A1D"/>
    <w:rsid w:val="00FA0775"/>
    <w:rsid w:val="00FA0A21"/>
    <w:rsid w:val="00FA0A7E"/>
    <w:rsid w:val="00FA1813"/>
    <w:rsid w:val="00FA190B"/>
    <w:rsid w:val="00FA50AD"/>
    <w:rsid w:val="00FA7029"/>
    <w:rsid w:val="00FA718C"/>
    <w:rsid w:val="00FA7642"/>
    <w:rsid w:val="00FA76F1"/>
    <w:rsid w:val="00FB0A85"/>
    <w:rsid w:val="00FB16BE"/>
    <w:rsid w:val="00FB1ABE"/>
    <w:rsid w:val="00FB29C1"/>
    <w:rsid w:val="00FB29E5"/>
    <w:rsid w:val="00FB34F9"/>
    <w:rsid w:val="00FB395A"/>
    <w:rsid w:val="00FB3E3D"/>
    <w:rsid w:val="00FB416A"/>
    <w:rsid w:val="00FB58D1"/>
    <w:rsid w:val="00FB62A1"/>
    <w:rsid w:val="00FB6F92"/>
    <w:rsid w:val="00FB7923"/>
    <w:rsid w:val="00FC007E"/>
    <w:rsid w:val="00FC046C"/>
    <w:rsid w:val="00FC08CA"/>
    <w:rsid w:val="00FC0AD2"/>
    <w:rsid w:val="00FC10B8"/>
    <w:rsid w:val="00FC1274"/>
    <w:rsid w:val="00FC1443"/>
    <w:rsid w:val="00FC2398"/>
    <w:rsid w:val="00FC23FD"/>
    <w:rsid w:val="00FC24F0"/>
    <w:rsid w:val="00FC26F4"/>
    <w:rsid w:val="00FC2AB2"/>
    <w:rsid w:val="00FC39F4"/>
    <w:rsid w:val="00FC41FA"/>
    <w:rsid w:val="00FC5D61"/>
    <w:rsid w:val="00FC6A43"/>
    <w:rsid w:val="00FC7DA8"/>
    <w:rsid w:val="00FD0B80"/>
    <w:rsid w:val="00FD0FF6"/>
    <w:rsid w:val="00FD1D02"/>
    <w:rsid w:val="00FD1F81"/>
    <w:rsid w:val="00FD3225"/>
    <w:rsid w:val="00FD407C"/>
    <w:rsid w:val="00FD41C9"/>
    <w:rsid w:val="00FD6B52"/>
    <w:rsid w:val="00FD78AB"/>
    <w:rsid w:val="00FD7C6B"/>
    <w:rsid w:val="00FE0057"/>
    <w:rsid w:val="00FE0A53"/>
    <w:rsid w:val="00FE0C47"/>
    <w:rsid w:val="00FE0ED6"/>
    <w:rsid w:val="00FE11F2"/>
    <w:rsid w:val="00FE31FD"/>
    <w:rsid w:val="00FE411B"/>
    <w:rsid w:val="00FE4342"/>
    <w:rsid w:val="00FE467C"/>
    <w:rsid w:val="00FE48DD"/>
    <w:rsid w:val="00FE5370"/>
    <w:rsid w:val="00FE5913"/>
    <w:rsid w:val="00FE59A8"/>
    <w:rsid w:val="00FE5A26"/>
    <w:rsid w:val="00FE5CAC"/>
    <w:rsid w:val="00FE6583"/>
    <w:rsid w:val="00FE71FC"/>
    <w:rsid w:val="00FE76AD"/>
    <w:rsid w:val="00FE773C"/>
    <w:rsid w:val="00FE7BEF"/>
    <w:rsid w:val="00FF02A8"/>
    <w:rsid w:val="00FF0BA7"/>
    <w:rsid w:val="00FF2263"/>
    <w:rsid w:val="00FF3428"/>
    <w:rsid w:val="00FF3E70"/>
    <w:rsid w:val="00FF3EC0"/>
    <w:rsid w:val="00FF47A7"/>
    <w:rsid w:val="00FF5D77"/>
    <w:rsid w:val="00FF6EA7"/>
    <w:rsid w:val="00FF76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79A"/>
    <w:rPr>
      <w:color w:val="000000"/>
      <w:kern w:val="28"/>
      <w:lang w:val="el-GR"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sotitle2">
    <w:name w:val="msotitle2"/>
    <w:rsid w:val="0073379A"/>
    <w:rPr>
      <w:rFonts w:ascii="Lucida Sans Typewriter" w:hAnsi="Lucida Sans Typewriter"/>
      <w:b/>
      <w:bCs/>
      <w:color w:val="000000"/>
      <w:kern w:val="28"/>
      <w:sz w:val="56"/>
      <w:szCs w:val="56"/>
      <w:lang w:val="el-GR" w:eastAsia="el-GR"/>
    </w:rPr>
  </w:style>
  <w:style w:type="paragraph" w:styleId="2">
    <w:name w:val="Body Text 2"/>
    <w:basedOn w:val="a"/>
    <w:rsid w:val="0073379A"/>
    <w:pPr>
      <w:spacing w:line="360" w:lineRule="auto"/>
    </w:pPr>
    <w:rPr>
      <w:rFonts w:ascii="Arial" w:hAnsi="Arial" w:cs="Arial"/>
      <w:b/>
      <w:sz w:val="22"/>
    </w:rPr>
  </w:style>
  <w:style w:type="paragraph" w:customStyle="1" w:styleId="msoaccenttext5">
    <w:name w:val="msoaccenttext5"/>
    <w:rsid w:val="0073379A"/>
    <w:rPr>
      <w:rFonts w:ascii="Tw Cen MT Condensed Extra Bold" w:hAnsi="Tw Cen MT Condensed Extra Bold"/>
      <w:color w:val="00517A"/>
      <w:spacing w:val="10"/>
      <w:kern w:val="28"/>
      <w:sz w:val="16"/>
      <w:szCs w:val="16"/>
      <w:lang w:val="el-GR" w:eastAsia="el-GR"/>
    </w:rPr>
  </w:style>
  <w:style w:type="paragraph" w:styleId="a3">
    <w:name w:val="header"/>
    <w:basedOn w:val="a"/>
    <w:link w:val="Char"/>
    <w:uiPriority w:val="99"/>
    <w:rsid w:val="0073379A"/>
    <w:pPr>
      <w:tabs>
        <w:tab w:val="center" w:pos="4153"/>
        <w:tab w:val="right" w:pos="8306"/>
      </w:tabs>
    </w:pPr>
    <w:rPr>
      <w:lang/>
    </w:rPr>
  </w:style>
  <w:style w:type="paragraph" w:styleId="a4">
    <w:name w:val="footer"/>
    <w:basedOn w:val="a"/>
    <w:link w:val="Char0"/>
    <w:uiPriority w:val="99"/>
    <w:rsid w:val="0073379A"/>
    <w:pPr>
      <w:tabs>
        <w:tab w:val="center" w:pos="4153"/>
        <w:tab w:val="right" w:pos="8306"/>
      </w:tabs>
    </w:pPr>
    <w:rPr>
      <w:lang/>
    </w:rPr>
  </w:style>
  <w:style w:type="character" w:styleId="a5">
    <w:name w:val="page number"/>
    <w:rsid w:val="0073379A"/>
    <w:rPr>
      <w:rFonts w:cs="Times New Roman"/>
    </w:rPr>
  </w:style>
  <w:style w:type="paragraph" w:customStyle="1" w:styleId="fk">
    <w:name w:val="fk"/>
    <w:basedOn w:val="a"/>
    <w:qFormat/>
    <w:rsid w:val="0073379A"/>
    <w:pPr>
      <w:spacing w:line="480" w:lineRule="auto"/>
    </w:pPr>
    <w:rPr>
      <w:rFonts w:ascii="Tahoma" w:hAnsi="Tahoma"/>
      <w:color w:val="auto"/>
      <w:kern w:val="0"/>
      <w:sz w:val="28"/>
      <w:szCs w:val="24"/>
    </w:rPr>
  </w:style>
  <w:style w:type="paragraph" w:styleId="a6">
    <w:name w:val="footnote text"/>
    <w:basedOn w:val="a"/>
    <w:link w:val="Char1"/>
    <w:semiHidden/>
    <w:rsid w:val="0073379A"/>
    <w:rPr>
      <w:lang/>
    </w:rPr>
  </w:style>
  <w:style w:type="character" w:styleId="a7">
    <w:name w:val="footnote reference"/>
    <w:semiHidden/>
    <w:rsid w:val="0073379A"/>
    <w:rPr>
      <w:vertAlign w:val="superscript"/>
    </w:rPr>
  </w:style>
  <w:style w:type="paragraph" w:styleId="a8">
    <w:name w:val="List Paragraph"/>
    <w:basedOn w:val="a"/>
    <w:uiPriority w:val="34"/>
    <w:qFormat/>
    <w:rsid w:val="006C710B"/>
    <w:pPr>
      <w:ind w:left="720"/>
    </w:pPr>
  </w:style>
  <w:style w:type="character" w:customStyle="1" w:styleId="Char1">
    <w:name w:val="Κείμενο υποσημείωσης Char"/>
    <w:link w:val="a6"/>
    <w:semiHidden/>
    <w:rsid w:val="006C710B"/>
    <w:rPr>
      <w:color w:val="000000"/>
      <w:kern w:val="28"/>
    </w:rPr>
  </w:style>
  <w:style w:type="paragraph" w:styleId="a9">
    <w:name w:val="Balloon Text"/>
    <w:basedOn w:val="a"/>
    <w:link w:val="Char2"/>
    <w:rsid w:val="004F321A"/>
    <w:rPr>
      <w:rFonts w:ascii="Tahoma" w:hAnsi="Tahoma"/>
      <w:sz w:val="16"/>
      <w:szCs w:val="16"/>
      <w:lang/>
    </w:rPr>
  </w:style>
  <w:style w:type="character" w:customStyle="1" w:styleId="Char2">
    <w:name w:val="Κείμενο πλαισίου Char"/>
    <w:link w:val="a9"/>
    <w:rsid w:val="004F321A"/>
    <w:rPr>
      <w:rFonts w:ascii="Tahoma" w:hAnsi="Tahoma" w:cs="Tahoma"/>
      <w:color w:val="000000"/>
      <w:kern w:val="28"/>
      <w:sz w:val="16"/>
      <w:szCs w:val="16"/>
    </w:rPr>
  </w:style>
  <w:style w:type="character" w:styleId="-">
    <w:name w:val="Hyperlink"/>
    <w:rsid w:val="00776E6B"/>
    <w:rPr>
      <w:color w:val="0000FF"/>
      <w:u w:val="single"/>
    </w:rPr>
  </w:style>
  <w:style w:type="character" w:customStyle="1" w:styleId="Char0">
    <w:name w:val="Υποσέλιδο Char"/>
    <w:link w:val="a4"/>
    <w:uiPriority w:val="99"/>
    <w:rsid w:val="00501C09"/>
    <w:rPr>
      <w:color w:val="000000"/>
      <w:kern w:val="28"/>
    </w:rPr>
  </w:style>
  <w:style w:type="character" w:customStyle="1" w:styleId="Char">
    <w:name w:val="Κεφαλίδα Char"/>
    <w:link w:val="a3"/>
    <w:uiPriority w:val="99"/>
    <w:rsid w:val="00B76988"/>
    <w:rPr>
      <w:color w:val="000000"/>
      <w:kern w:val="28"/>
    </w:rPr>
  </w:style>
  <w:style w:type="paragraph" w:styleId="aa">
    <w:name w:val="endnote text"/>
    <w:basedOn w:val="a"/>
    <w:link w:val="Char3"/>
    <w:rsid w:val="004513D2"/>
    <w:rPr>
      <w:lang/>
    </w:rPr>
  </w:style>
  <w:style w:type="character" w:customStyle="1" w:styleId="Char3">
    <w:name w:val="Κείμενο σημείωσης τέλους Char"/>
    <w:link w:val="aa"/>
    <w:rsid w:val="004513D2"/>
    <w:rPr>
      <w:color w:val="000000"/>
      <w:kern w:val="28"/>
    </w:rPr>
  </w:style>
  <w:style w:type="character" w:styleId="ab">
    <w:name w:val="endnote reference"/>
    <w:rsid w:val="004513D2"/>
    <w:rPr>
      <w:vertAlign w:val="superscript"/>
    </w:rPr>
  </w:style>
  <w:style w:type="paragraph" w:customStyle="1" w:styleId="Default">
    <w:name w:val="Default"/>
    <w:rsid w:val="00731543"/>
    <w:pPr>
      <w:autoSpaceDE w:val="0"/>
      <w:autoSpaceDN w:val="0"/>
      <w:adjustRightInd w:val="0"/>
    </w:pPr>
    <w:rPr>
      <w:rFonts w:ascii="Calibri" w:hAnsi="Calibri" w:cs="Calibri"/>
      <w:color w:val="000000"/>
      <w:sz w:val="24"/>
      <w:szCs w:val="24"/>
      <w:lang w:val="el-GR" w:eastAsia="el-GR"/>
    </w:rPr>
  </w:style>
  <w:style w:type="table" w:styleId="ac">
    <w:name w:val="Table Grid"/>
    <w:basedOn w:val="a1"/>
    <w:rsid w:val="00E3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C321B"/>
    <w:pPr>
      <w:spacing w:before="100" w:beforeAutospacing="1" w:after="100" w:afterAutospacing="1"/>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166751851">
      <w:bodyDiv w:val="1"/>
      <w:marLeft w:val="0"/>
      <w:marRight w:val="0"/>
      <w:marTop w:val="0"/>
      <w:marBottom w:val="0"/>
      <w:divBdr>
        <w:top w:val="none" w:sz="0" w:space="0" w:color="auto"/>
        <w:left w:val="none" w:sz="0" w:space="0" w:color="auto"/>
        <w:bottom w:val="none" w:sz="0" w:space="0" w:color="auto"/>
        <w:right w:val="none" w:sz="0" w:space="0" w:color="auto"/>
      </w:divBdr>
    </w:div>
    <w:div w:id="269822536">
      <w:bodyDiv w:val="1"/>
      <w:marLeft w:val="0"/>
      <w:marRight w:val="0"/>
      <w:marTop w:val="0"/>
      <w:marBottom w:val="0"/>
      <w:divBdr>
        <w:top w:val="none" w:sz="0" w:space="0" w:color="auto"/>
        <w:left w:val="none" w:sz="0" w:space="0" w:color="auto"/>
        <w:bottom w:val="none" w:sz="0" w:space="0" w:color="auto"/>
        <w:right w:val="none" w:sz="0" w:space="0" w:color="auto"/>
      </w:divBdr>
    </w:div>
    <w:div w:id="328216463">
      <w:bodyDiv w:val="1"/>
      <w:marLeft w:val="0"/>
      <w:marRight w:val="0"/>
      <w:marTop w:val="0"/>
      <w:marBottom w:val="0"/>
      <w:divBdr>
        <w:top w:val="none" w:sz="0" w:space="0" w:color="auto"/>
        <w:left w:val="none" w:sz="0" w:space="0" w:color="auto"/>
        <w:bottom w:val="none" w:sz="0" w:space="0" w:color="auto"/>
        <w:right w:val="none" w:sz="0" w:space="0" w:color="auto"/>
      </w:divBdr>
    </w:div>
    <w:div w:id="975068123">
      <w:bodyDiv w:val="1"/>
      <w:marLeft w:val="0"/>
      <w:marRight w:val="0"/>
      <w:marTop w:val="0"/>
      <w:marBottom w:val="0"/>
      <w:divBdr>
        <w:top w:val="none" w:sz="0" w:space="0" w:color="auto"/>
        <w:left w:val="none" w:sz="0" w:space="0" w:color="auto"/>
        <w:bottom w:val="none" w:sz="0" w:space="0" w:color="auto"/>
        <w:right w:val="none" w:sz="0" w:space="0" w:color="auto"/>
      </w:divBdr>
    </w:div>
    <w:div w:id="1014765738">
      <w:bodyDiv w:val="1"/>
      <w:marLeft w:val="0"/>
      <w:marRight w:val="0"/>
      <w:marTop w:val="0"/>
      <w:marBottom w:val="0"/>
      <w:divBdr>
        <w:top w:val="none" w:sz="0" w:space="0" w:color="auto"/>
        <w:left w:val="none" w:sz="0" w:space="0" w:color="auto"/>
        <w:bottom w:val="none" w:sz="0" w:space="0" w:color="auto"/>
        <w:right w:val="none" w:sz="0" w:space="0" w:color="auto"/>
      </w:divBdr>
    </w:div>
    <w:div w:id="1218859537">
      <w:bodyDiv w:val="1"/>
      <w:marLeft w:val="0"/>
      <w:marRight w:val="0"/>
      <w:marTop w:val="0"/>
      <w:marBottom w:val="0"/>
      <w:divBdr>
        <w:top w:val="none" w:sz="0" w:space="0" w:color="auto"/>
        <w:left w:val="none" w:sz="0" w:space="0" w:color="auto"/>
        <w:bottom w:val="none" w:sz="0" w:space="0" w:color="auto"/>
        <w:right w:val="none" w:sz="0" w:space="0" w:color="auto"/>
      </w:divBdr>
    </w:div>
    <w:div w:id="1437362845">
      <w:bodyDiv w:val="1"/>
      <w:marLeft w:val="0"/>
      <w:marRight w:val="0"/>
      <w:marTop w:val="0"/>
      <w:marBottom w:val="0"/>
      <w:divBdr>
        <w:top w:val="none" w:sz="0" w:space="0" w:color="auto"/>
        <w:left w:val="none" w:sz="0" w:space="0" w:color="auto"/>
        <w:bottom w:val="none" w:sz="0" w:space="0" w:color="auto"/>
        <w:right w:val="none" w:sz="0" w:space="0" w:color="auto"/>
      </w:divBdr>
    </w:div>
    <w:div w:id="1551382735">
      <w:bodyDiv w:val="1"/>
      <w:marLeft w:val="0"/>
      <w:marRight w:val="0"/>
      <w:marTop w:val="0"/>
      <w:marBottom w:val="0"/>
      <w:divBdr>
        <w:top w:val="none" w:sz="0" w:space="0" w:color="auto"/>
        <w:left w:val="none" w:sz="0" w:space="0" w:color="auto"/>
        <w:bottom w:val="none" w:sz="0" w:space="0" w:color="auto"/>
        <w:right w:val="none" w:sz="0" w:space="0" w:color="auto"/>
      </w:divBdr>
    </w:div>
    <w:div w:id="1742947902">
      <w:bodyDiv w:val="1"/>
      <w:marLeft w:val="0"/>
      <w:marRight w:val="0"/>
      <w:marTop w:val="0"/>
      <w:marBottom w:val="0"/>
      <w:divBdr>
        <w:top w:val="none" w:sz="0" w:space="0" w:color="auto"/>
        <w:left w:val="none" w:sz="0" w:space="0" w:color="auto"/>
        <w:bottom w:val="none" w:sz="0" w:space="0" w:color="auto"/>
        <w:right w:val="none" w:sz="0" w:space="0" w:color="auto"/>
      </w:divBdr>
    </w:div>
    <w:div w:id="2064088457">
      <w:bodyDiv w:val="1"/>
      <w:marLeft w:val="0"/>
      <w:marRight w:val="0"/>
      <w:marTop w:val="0"/>
      <w:marBottom w:val="0"/>
      <w:divBdr>
        <w:top w:val="none" w:sz="0" w:space="0" w:color="auto"/>
        <w:left w:val="none" w:sz="0" w:space="0" w:color="auto"/>
        <w:bottom w:val="none" w:sz="0" w:space="0" w:color="auto"/>
        <w:right w:val="none" w:sz="0" w:space="0" w:color="auto"/>
      </w:divBdr>
    </w:div>
    <w:div w:id="2087602432">
      <w:bodyDiv w:val="1"/>
      <w:marLeft w:val="0"/>
      <w:marRight w:val="0"/>
      <w:marTop w:val="0"/>
      <w:marBottom w:val="0"/>
      <w:divBdr>
        <w:top w:val="none" w:sz="0" w:space="0" w:color="auto"/>
        <w:left w:val="none" w:sz="0" w:space="0" w:color="auto"/>
        <w:bottom w:val="none" w:sz="0" w:space="0" w:color="auto"/>
        <w:right w:val="none" w:sz="0" w:space="0" w:color="auto"/>
      </w:divBdr>
    </w:div>
    <w:div w:id="20987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Φεβρουαρίου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E3B92-4FD0-4301-BF46-905B56EE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2209</Words>
  <Characters>12595</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EFG EUROBANK S.A.</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JHALARIS</dc:creator>
  <cp:lastModifiedBy>User</cp:lastModifiedBy>
  <cp:revision>2</cp:revision>
  <cp:lastPrinted>2020-05-21T09:38:00Z</cp:lastPrinted>
  <dcterms:created xsi:type="dcterms:W3CDTF">2020-09-01T14:48:00Z</dcterms:created>
  <dcterms:modified xsi:type="dcterms:W3CDTF">2020-09-01T14:48:00Z</dcterms:modified>
</cp:coreProperties>
</file>