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ED" w:rsidRPr="006B70B9" w:rsidRDefault="006B70B9" w:rsidP="006B70B9">
      <w:pPr>
        <w:pStyle w:val="af"/>
        <w:jc w:val="right"/>
        <w:rPr>
          <w:lang w:val="en-US"/>
        </w:rPr>
      </w:pPr>
      <w:r>
        <w:t>Αθήνα</w:t>
      </w:r>
      <w:r w:rsidRPr="006B70B9">
        <w:rPr>
          <w:lang w:val="en-US"/>
        </w:rPr>
        <w:t xml:space="preserve">, </w:t>
      </w:r>
      <w:r>
        <w:t>Οκτώβριος</w:t>
      </w:r>
      <w:r w:rsidRPr="006B70B9">
        <w:rPr>
          <w:lang w:val="en-US"/>
        </w:rPr>
        <w:t xml:space="preserve"> 2014</w:t>
      </w:r>
    </w:p>
    <w:p w:rsidR="00B345ED" w:rsidRDefault="00B345ED" w:rsidP="00B345ED">
      <w:pPr>
        <w:pStyle w:val="af"/>
        <w:jc w:val="center"/>
        <w:rPr>
          <w:lang w:val="en-US"/>
        </w:rPr>
      </w:pPr>
    </w:p>
    <w:p w:rsidR="0096399A" w:rsidRDefault="0096399A" w:rsidP="00B345ED">
      <w:pPr>
        <w:pStyle w:val="af"/>
        <w:jc w:val="center"/>
        <w:rPr>
          <w:lang w:val="en-US"/>
        </w:rPr>
      </w:pPr>
      <w:bookmarkStart w:id="0" w:name="_GoBack"/>
      <w:bookmarkEnd w:id="0"/>
      <w:r w:rsidRPr="00CB476D">
        <w:rPr>
          <w:lang w:val="en-US"/>
        </w:rPr>
        <w:t>BUSINESS LEADERS IN GREECE</w:t>
      </w:r>
      <w:r w:rsidR="001B0228" w:rsidRPr="00CB476D">
        <w:rPr>
          <w:lang w:val="en-US"/>
        </w:rPr>
        <w:t xml:space="preserve"> 2013</w:t>
      </w:r>
    </w:p>
    <w:p w:rsidR="00B345ED" w:rsidRPr="00B345ED" w:rsidRDefault="00B345ED" w:rsidP="00B345ED">
      <w:pPr>
        <w:rPr>
          <w:lang w:val="en-US"/>
        </w:rPr>
      </w:pPr>
    </w:p>
    <w:p w:rsidR="0096399A" w:rsidRPr="006670A9" w:rsidRDefault="0096399A" w:rsidP="0096399A">
      <w:pPr>
        <w:pStyle w:val="a8"/>
        <w:numPr>
          <w:ilvl w:val="0"/>
          <w:numId w:val="2"/>
        </w:numPr>
        <w:ind w:left="400" w:hanging="400"/>
        <w:rPr>
          <w:rFonts w:ascii="Times New Roman" w:hAnsi="Times New Roman"/>
        </w:rPr>
      </w:pPr>
      <w:bookmarkStart w:id="1" w:name="_Toc207785910"/>
      <w:r w:rsidRPr="006670A9">
        <w:rPr>
          <w:rFonts w:ascii="Times New Roman" w:hAnsi="Times New Roman"/>
        </w:rPr>
        <w:t>Εισαγωγή</w:t>
      </w:r>
      <w:bookmarkEnd w:id="1"/>
    </w:p>
    <w:p w:rsidR="0096399A" w:rsidRPr="006670A9" w:rsidRDefault="0096399A" w:rsidP="0096399A">
      <w:pPr>
        <w:rPr>
          <w:b/>
          <w:sz w:val="20"/>
          <w:szCs w:val="20"/>
          <w:highlight w:val="yellow"/>
          <w:lang w:val="el-GR"/>
        </w:rPr>
      </w:pPr>
    </w:p>
    <w:p w:rsidR="00D932F6" w:rsidRPr="001B0228" w:rsidRDefault="0096399A" w:rsidP="00E62F0D">
      <w:pPr>
        <w:shd w:val="clear" w:color="auto" w:fill="FFFFFF" w:themeFill="background1"/>
        <w:spacing w:line="360" w:lineRule="auto"/>
        <w:jc w:val="both"/>
        <w:rPr>
          <w:sz w:val="22"/>
          <w:szCs w:val="22"/>
          <w:lang w:val="el-GR"/>
        </w:rPr>
      </w:pPr>
      <w:r w:rsidRPr="00047BB2">
        <w:rPr>
          <w:sz w:val="22"/>
          <w:szCs w:val="22"/>
          <w:lang w:val="el-GR"/>
        </w:rPr>
        <w:t xml:space="preserve">Μετά από έξι χρόνια βαθειάς ύφεσης, η ελληνική οικονομία βρίσκεται σήμερα σε μια σημαντική καμπή με τις υφεσιακές πιέσεις να εμφανίζουν τάσεις αποκλιμάκωσης. </w:t>
      </w:r>
      <w:r w:rsidR="00D932F6" w:rsidRPr="004B6DDA">
        <w:rPr>
          <w:sz w:val="22"/>
          <w:szCs w:val="22"/>
          <w:lang w:val="el-GR"/>
        </w:rPr>
        <w:t xml:space="preserve">Η βαθειά και παρατεταμένη οικονομική κρίση </w:t>
      </w:r>
      <w:r w:rsidR="00D932F6">
        <w:rPr>
          <w:sz w:val="22"/>
          <w:szCs w:val="22"/>
          <w:lang w:val="el-GR"/>
        </w:rPr>
        <w:t>των τελευταίων ετών</w:t>
      </w:r>
      <w:r w:rsidR="00D932F6" w:rsidRPr="004B6DDA">
        <w:rPr>
          <w:sz w:val="22"/>
          <w:szCs w:val="22"/>
          <w:lang w:val="el-GR"/>
        </w:rPr>
        <w:t xml:space="preserve"> έπληξ</w:t>
      </w:r>
      <w:r w:rsidR="00D932F6">
        <w:rPr>
          <w:sz w:val="22"/>
          <w:szCs w:val="22"/>
          <w:lang w:val="el-GR"/>
        </w:rPr>
        <w:t>ε</w:t>
      </w:r>
      <w:r w:rsidR="00D932F6" w:rsidRPr="004B6DDA">
        <w:rPr>
          <w:sz w:val="22"/>
          <w:szCs w:val="22"/>
          <w:lang w:val="el-GR"/>
        </w:rPr>
        <w:t xml:space="preserve"> το σύνολο της οικονομικής δραστηριότητας στην Ελλάδα, η δε κερδοφορία του ιδιωτικού τομέα έχει δεχθεί βαριά πλήγματα, σε όλους τους επιμέρους επιχειρηματικούς κλάδους. Το τρέχον έτος </w:t>
      </w:r>
      <w:r w:rsidR="004D1775">
        <w:rPr>
          <w:sz w:val="22"/>
          <w:szCs w:val="22"/>
          <w:lang w:val="el-GR"/>
        </w:rPr>
        <w:t>υπήρξαν σημαντικές βελτιώσεις σ</w:t>
      </w:r>
      <w:r w:rsidR="00D932F6" w:rsidRPr="004B6DDA">
        <w:rPr>
          <w:sz w:val="22"/>
          <w:szCs w:val="22"/>
          <w:lang w:val="el-GR"/>
        </w:rPr>
        <w:t>τα δημοσιονομικά μεγέθη, όμως στο μέτωπο της πραγματικής οικονομίας</w:t>
      </w:r>
      <w:r w:rsidR="004D1775">
        <w:rPr>
          <w:sz w:val="22"/>
          <w:szCs w:val="22"/>
          <w:lang w:val="el-GR"/>
        </w:rPr>
        <w:t>, αν και υπάρχουν κάποιες θετικές εξελίξεις, ωστόσο</w:t>
      </w:r>
      <w:r w:rsidR="00D932F6" w:rsidRPr="004B6DDA">
        <w:rPr>
          <w:sz w:val="22"/>
          <w:szCs w:val="22"/>
          <w:lang w:val="el-GR"/>
        </w:rPr>
        <w:t xml:space="preserve"> οι δυσ</w:t>
      </w:r>
      <w:r w:rsidR="004D1775">
        <w:rPr>
          <w:sz w:val="22"/>
          <w:szCs w:val="22"/>
          <w:lang w:val="el-GR"/>
        </w:rPr>
        <w:t>κολίες</w:t>
      </w:r>
      <w:r w:rsidR="00D932F6" w:rsidRPr="004B6DDA">
        <w:rPr>
          <w:sz w:val="22"/>
          <w:szCs w:val="22"/>
          <w:lang w:val="el-GR"/>
        </w:rPr>
        <w:t xml:space="preserve"> είναι </w:t>
      </w:r>
      <w:r w:rsidR="004D1775">
        <w:rPr>
          <w:sz w:val="22"/>
          <w:szCs w:val="22"/>
          <w:lang w:val="el-GR"/>
        </w:rPr>
        <w:t xml:space="preserve">ακόμη </w:t>
      </w:r>
      <w:r w:rsidR="00D932F6" w:rsidRPr="004B6DDA">
        <w:rPr>
          <w:sz w:val="22"/>
          <w:szCs w:val="22"/>
          <w:lang w:val="el-GR"/>
        </w:rPr>
        <w:t>υπαρκτές και έντονες.</w:t>
      </w:r>
    </w:p>
    <w:p w:rsidR="0096399A" w:rsidRPr="008D1B4B" w:rsidRDefault="0096399A" w:rsidP="00E62F0D">
      <w:pPr>
        <w:shd w:val="clear" w:color="auto" w:fill="FFFFFF" w:themeFill="background1"/>
        <w:spacing w:line="360" w:lineRule="auto"/>
        <w:jc w:val="both"/>
        <w:rPr>
          <w:sz w:val="22"/>
          <w:szCs w:val="22"/>
          <w:lang w:val="el-GR"/>
        </w:rPr>
      </w:pPr>
      <w:r w:rsidRPr="004B6DDA">
        <w:rPr>
          <w:sz w:val="22"/>
          <w:szCs w:val="22"/>
          <w:lang w:val="el-GR"/>
        </w:rPr>
        <w:t>Σε ένα τ</w:t>
      </w:r>
      <w:r>
        <w:rPr>
          <w:sz w:val="22"/>
          <w:szCs w:val="22"/>
          <w:lang w:val="el-GR"/>
        </w:rPr>
        <w:t>έτοιο περιβάλλον</w:t>
      </w:r>
      <w:r w:rsidRPr="004B6DDA">
        <w:rPr>
          <w:sz w:val="22"/>
          <w:szCs w:val="22"/>
          <w:lang w:val="el-GR"/>
        </w:rPr>
        <w:t xml:space="preserve">, το ενδιαφέρον προσελκύουν οι επιδόσεις των κορυφαίων ελληνικών επιχειρήσεων. </w:t>
      </w:r>
      <w:r w:rsidRPr="008D1B4B">
        <w:rPr>
          <w:sz w:val="22"/>
          <w:szCs w:val="22"/>
          <w:lang w:val="el-GR"/>
        </w:rPr>
        <w:t xml:space="preserve">Η ICAP Group, αξιοποιώντας τα στοιχεία της ICAP Databank, αναδεικνύει στα πλαίσια της έκδοσης </w:t>
      </w:r>
      <w:hyperlink r:id="rId7" w:history="1">
        <w:r w:rsidR="00A90F4D" w:rsidRPr="00CB476D">
          <w:rPr>
            <w:rStyle w:val="-1"/>
            <w:b/>
            <w:sz w:val="22"/>
            <w:szCs w:val="22"/>
            <w:lang w:val="en-US"/>
          </w:rPr>
          <w:t>BusinessLeadersinGreece</w:t>
        </w:r>
      </w:hyperlink>
      <w:r w:rsidR="00A90F4D" w:rsidRPr="00A90F4D">
        <w:rPr>
          <w:b/>
          <w:sz w:val="22"/>
          <w:szCs w:val="22"/>
          <w:lang w:val="el-GR"/>
        </w:rPr>
        <w:t xml:space="preserve">, </w:t>
      </w:r>
      <w:r w:rsidRPr="008D1B4B">
        <w:rPr>
          <w:sz w:val="22"/>
          <w:szCs w:val="22"/>
          <w:lang w:val="el-GR"/>
        </w:rPr>
        <w:t xml:space="preserve">τις </w:t>
      </w:r>
      <w:r w:rsidRPr="008D1B4B">
        <w:rPr>
          <w:b/>
          <w:sz w:val="22"/>
          <w:szCs w:val="22"/>
          <w:lang w:val="el-GR"/>
        </w:rPr>
        <w:t>500</w:t>
      </w:r>
      <w:r w:rsidRPr="008D1B4B">
        <w:rPr>
          <w:sz w:val="22"/>
          <w:szCs w:val="22"/>
          <w:lang w:val="el-GR"/>
        </w:rPr>
        <w:t xml:space="preserve"> πιο κερδοφόρες επιχειρήσεις στην Ελλάδα, καθώς και τους </w:t>
      </w:r>
      <w:r w:rsidRPr="008D1B4B">
        <w:rPr>
          <w:b/>
          <w:sz w:val="22"/>
          <w:szCs w:val="22"/>
          <w:lang w:val="el-GR"/>
        </w:rPr>
        <w:t>200</w:t>
      </w:r>
      <w:r w:rsidRPr="008D1B4B">
        <w:rPr>
          <w:sz w:val="22"/>
          <w:szCs w:val="22"/>
          <w:lang w:val="el-GR"/>
        </w:rPr>
        <w:t xml:space="preserve"> πιο κερδοφόρους ομίλους εταιρειών, βάσει </w:t>
      </w:r>
      <w:r w:rsidRPr="00977203">
        <w:rPr>
          <w:sz w:val="22"/>
          <w:szCs w:val="22"/>
          <w:u w:val="single"/>
          <w:lang w:val="el-GR"/>
        </w:rPr>
        <w:t xml:space="preserve">δημοσιευμένων ισολογισμών για τη χρήση του </w:t>
      </w:r>
      <w:r w:rsidRPr="001B310F">
        <w:rPr>
          <w:b/>
          <w:sz w:val="22"/>
          <w:szCs w:val="22"/>
          <w:u w:val="single"/>
          <w:lang w:val="el-GR"/>
        </w:rPr>
        <w:t>201</w:t>
      </w:r>
      <w:r w:rsidR="00406462">
        <w:rPr>
          <w:b/>
          <w:sz w:val="22"/>
          <w:szCs w:val="22"/>
          <w:u w:val="single"/>
          <w:lang w:val="el-GR"/>
        </w:rPr>
        <w:t>3</w:t>
      </w:r>
      <w:r w:rsidRPr="001B310F">
        <w:rPr>
          <w:b/>
          <w:sz w:val="22"/>
          <w:szCs w:val="22"/>
          <w:lang w:val="el-GR"/>
        </w:rPr>
        <w:t>.</w:t>
      </w:r>
      <w:r w:rsidRPr="008D1B4B">
        <w:rPr>
          <w:sz w:val="22"/>
          <w:szCs w:val="22"/>
          <w:lang w:val="el-GR"/>
        </w:rPr>
        <w:t xml:space="preserve"> Το κριτήριο με βάση το οποίο γίνεται η κατάταξη των επιχειρήσεων (και ομίλων αντίστοιχα) είναι τα </w:t>
      </w:r>
      <w:r w:rsidRPr="006C1881">
        <w:rPr>
          <w:b/>
          <w:sz w:val="22"/>
          <w:szCs w:val="22"/>
          <w:lang w:val="el-GR"/>
        </w:rPr>
        <w:t>κέρδη EBITDA</w:t>
      </w:r>
      <w:r w:rsidRPr="008D1B4B">
        <w:rPr>
          <w:sz w:val="22"/>
          <w:szCs w:val="22"/>
          <w:lang w:val="el-GR"/>
        </w:rPr>
        <w:t xml:space="preserve"> (EarningsBeforeInterest, Tax, DepreciationandAmortization), δηλαδή τα κέρδη της επιχείρησης από λειτουργικές δραστηριότητες πριν την επίδραση των χρηματοοικονομικών και έκτακτων εσόδων-εξόδων, καθώς και των αποσβέσεων επί των παγίων στοιχείων. </w:t>
      </w:r>
    </w:p>
    <w:p w:rsidR="0096399A" w:rsidRPr="00114271" w:rsidRDefault="0096399A" w:rsidP="0096399A">
      <w:pPr>
        <w:spacing w:line="360" w:lineRule="auto"/>
        <w:jc w:val="both"/>
        <w:rPr>
          <w:sz w:val="22"/>
          <w:szCs w:val="22"/>
          <w:lang w:val="el-GR"/>
        </w:rPr>
      </w:pPr>
      <w:r w:rsidRPr="00114271">
        <w:rPr>
          <w:sz w:val="22"/>
          <w:szCs w:val="22"/>
          <w:lang w:val="el-GR"/>
        </w:rPr>
        <w:t>Σ</w:t>
      </w:r>
      <w:r>
        <w:rPr>
          <w:sz w:val="22"/>
          <w:szCs w:val="22"/>
          <w:lang w:val="el-GR"/>
        </w:rPr>
        <w:t>ε ένα επιχειρηματικό περιβάλλον</w:t>
      </w:r>
      <w:r w:rsidRPr="00114271">
        <w:rPr>
          <w:sz w:val="22"/>
          <w:szCs w:val="22"/>
          <w:lang w:val="el-GR"/>
        </w:rPr>
        <w:t xml:space="preserve"> που </w:t>
      </w:r>
      <w:r>
        <w:rPr>
          <w:sz w:val="22"/>
          <w:szCs w:val="22"/>
          <w:lang w:val="el-GR"/>
        </w:rPr>
        <w:t>καθορίζεται από τις προαναφερθείσες συνθήκες,</w:t>
      </w:r>
      <w:r w:rsidRPr="00114271">
        <w:rPr>
          <w:sz w:val="22"/>
          <w:szCs w:val="22"/>
          <w:lang w:val="el-GR"/>
        </w:rPr>
        <w:t xml:space="preserve"> η συμμετοχή των 500 επιχειρήσεων της παρούσας κατάταξης στα συνολικά μεγέθη των ελληνικών επιχειρήσεων</w:t>
      </w:r>
      <w:r>
        <w:rPr>
          <w:sz w:val="22"/>
          <w:szCs w:val="22"/>
          <w:lang w:val="el-GR"/>
        </w:rPr>
        <w:t xml:space="preserve"> το 2013</w:t>
      </w:r>
      <w:r w:rsidRPr="00114271">
        <w:rPr>
          <w:sz w:val="22"/>
          <w:szCs w:val="22"/>
          <w:lang w:val="el-GR"/>
        </w:rPr>
        <w:t xml:space="preserve"> ήταν εντυπωσιακή. Οι επιχειρήσεις αυτές</w:t>
      </w:r>
      <w:r w:rsidR="00406462">
        <w:rPr>
          <w:sz w:val="22"/>
          <w:szCs w:val="22"/>
          <w:lang w:val="el-GR"/>
        </w:rPr>
        <w:t>,</w:t>
      </w:r>
      <w:r>
        <w:rPr>
          <w:sz w:val="22"/>
          <w:szCs w:val="22"/>
          <w:lang w:val="el-GR"/>
        </w:rPr>
        <w:t xml:space="preserve">αν και μείωσαντον κύκλο εργασιών </w:t>
      </w:r>
      <w:r w:rsidR="008B3023">
        <w:rPr>
          <w:sz w:val="22"/>
          <w:szCs w:val="22"/>
          <w:lang w:val="el-GR"/>
        </w:rPr>
        <w:t>τους, ωστόσο</w:t>
      </w:r>
      <w:r>
        <w:rPr>
          <w:sz w:val="22"/>
          <w:szCs w:val="22"/>
          <w:lang w:val="el-GR"/>
        </w:rPr>
        <w:t xml:space="preserve">βελτίωσαν εντυπωσιακά </w:t>
      </w:r>
      <w:r w:rsidRPr="00114271">
        <w:rPr>
          <w:sz w:val="22"/>
          <w:szCs w:val="22"/>
          <w:lang w:val="el-GR"/>
        </w:rPr>
        <w:t>την κερδοφορία τους.  Πράγματι, οι 500 πιο κερδοφόρες εταιρείες:</w:t>
      </w:r>
    </w:p>
    <w:p w:rsidR="0096399A" w:rsidRPr="006C1881" w:rsidRDefault="0096399A" w:rsidP="0096399A">
      <w:pPr>
        <w:numPr>
          <w:ilvl w:val="0"/>
          <w:numId w:val="5"/>
        </w:numPr>
        <w:spacing w:line="360" w:lineRule="auto"/>
        <w:ind w:left="284" w:hanging="284"/>
        <w:jc w:val="both"/>
        <w:rPr>
          <w:sz w:val="22"/>
          <w:szCs w:val="22"/>
          <w:lang w:val="el-GR"/>
        </w:rPr>
      </w:pPr>
      <w:r w:rsidRPr="006C1881">
        <w:rPr>
          <w:sz w:val="22"/>
          <w:szCs w:val="22"/>
          <w:lang w:val="el-GR"/>
        </w:rPr>
        <w:t xml:space="preserve">κάλυψαν με τον κύκλο εργασιών τους ποσοστό </w:t>
      </w:r>
      <w:r w:rsidRPr="006C1881">
        <w:rPr>
          <w:b/>
          <w:sz w:val="22"/>
          <w:szCs w:val="22"/>
          <w:lang w:val="el-GR"/>
        </w:rPr>
        <w:t>5</w:t>
      </w:r>
      <w:r>
        <w:rPr>
          <w:b/>
          <w:sz w:val="22"/>
          <w:szCs w:val="22"/>
          <w:lang w:val="el-GR"/>
        </w:rPr>
        <w:t>0</w:t>
      </w:r>
      <w:r w:rsidRPr="006C1881">
        <w:rPr>
          <w:b/>
          <w:sz w:val="22"/>
          <w:szCs w:val="22"/>
          <w:lang w:val="el-GR"/>
        </w:rPr>
        <w:t>%</w:t>
      </w:r>
      <w:r w:rsidRPr="006C1881">
        <w:rPr>
          <w:sz w:val="22"/>
          <w:szCs w:val="22"/>
          <w:lang w:val="el-GR"/>
        </w:rPr>
        <w:t xml:space="preserve"> του συνολικού κύκλου εργασιών όλων των εταιρειών με διαθέσιμους ισολογισμούς</w:t>
      </w:r>
      <w:r w:rsidRPr="006C1881">
        <w:rPr>
          <w:rStyle w:val="af3"/>
          <w:b/>
          <w:sz w:val="22"/>
          <w:szCs w:val="22"/>
        </w:rPr>
        <w:footnoteReference w:id="2"/>
      </w:r>
      <w:r w:rsidRPr="006C1881">
        <w:rPr>
          <w:sz w:val="22"/>
          <w:szCs w:val="22"/>
          <w:lang w:val="el-GR"/>
        </w:rPr>
        <w:t>,</w:t>
      </w:r>
    </w:p>
    <w:p w:rsidR="0096399A" w:rsidRPr="006C1881" w:rsidRDefault="0096399A" w:rsidP="0096399A">
      <w:pPr>
        <w:numPr>
          <w:ilvl w:val="0"/>
          <w:numId w:val="5"/>
        </w:numPr>
        <w:spacing w:line="360" w:lineRule="auto"/>
        <w:ind w:left="284" w:hanging="284"/>
        <w:jc w:val="both"/>
        <w:rPr>
          <w:sz w:val="22"/>
          <w:szCs w:val="22"/>
          <w:lang w:val="el-GR"/>
        </w:rPr>
      </w:pPr>
      <w:r w:rsidRPr="006C1881">
        <w:rPr>
          <w:sz w:val="22"/>
          <w:szCs w:val="22"/>
          <w:lang w:val="el-GR"/>
        </w:rPr>
        <w:t xml:space="preserve">εμφάνισαν κέρδη EBITDA της τάξης των </w:t>
      </w:r>
      <w:r>
        <w:rPr>
          <w:b/>
          <w:sz w:val="22"/>
          <w:szCs w:val="22"/>
          <w:lang w:val="el-GR"/>
        </w:rPr>
        <w:t>€13,</w:t>
      </w:r>
      <w:r w:rsidR="00E175EB" w:rsidRPr="00E175EB">
        <w:rPr>
          <w:b/>
          <w:sz w:val="22"/>
          <w:szCs w:val="22"/>
          <w:lang w:val="el-GR"/>
        </w:rPr>
        <w:t>2</w:t>
      </w:r>
      <w:r w:rsidRPr="006C1881">
        <w:rPr>
          <w:b/>
          <w:sz w:val="22"/>
          <w:szCs w:val="22"/>
          <w:lang w:val="el-GR"/>
        </w:rPr>
        <w:t xml:space="preserve"> δισ.,</w:t>
      </w:r>
      <w:r w:rsidRPr="006C1881">
        <w:rPr>
          <w:sz w:val="22"/>
          <w:szCs w:val="22"/>
          <w:lang w:val="el-GR"/>
        </w:rPr>
        <w:t xml:space="preserve"> πολλαπλάσια των αντίστοιχων κερδών EBITDA του συνόλου των επιχειρήσεων, τα οποία διαμορφώθηκαν τελικά σε </w:t>
      </w:r>
      <w:r w:rsidRPr="006C1881">
        <w:rPr>
          <w:b/>
          <w:sz w:val="22"/>
          <w:szCs w:val="22"/>
          <w:lang w:val="el-GR"/>
        </w:rPr>
        <w:t>€</w:t>
      </w:r>
      <w:r>
        <w:rPr>
          <w:b/>
          <w:sz w:val="22"/>
          <w:szCs w:val="22"/>
          <w:lang w:val="el-GR"/>
        </w:rPr>
        <w:t>10,2</w:t>
      </w:r>
      <w:r w:rsidRPr="006C1881">
        <w:rPr>
          <w:b/>
          <w:sz w:val="22"/>
          <w:szCs w:val="22"/>
          <w:lang w:val="el-GR"/>
        </w:rPr>
        <w:t xml:space="preserve"> δισ.,</w:t>
      </w:r>
    </w:p>
    <w:p w:rsidR="0096399A" w:rsidRPr="006C1881" w:rsidRDefault="0096399A" w:rsidP="0096399A">
      <w:pPr>
        <w:numPr>
          <w:ilvl w:val="0"/>
          <w:numId w:val="5"/>
        </w:numPr>
        <w:spacing w:line="360" w:lineRule="auto"/>
        <w:ind w:left="284" w:hanging="284"/>
        <w:jc w:val="both"/>
        <w:rPr>
          <w:sz w:val="22"/>
          <w:szCs w:val="22"/>
          <w:lang w:val="el-GR"/>
        </w:rPr>
      </w:pPr>
      <w:r w:rsidRPr="006C1881">
        <w:rPr>
          <w:sz w:val="22"/>
          <w:szCs w:val="22"/>
          <w:lang w:val="el-GR"/>
        </w:rPr>
        <w:t xml:space="preserve">εμφάνισαν συνολικά κέρδη προ φόρου της τάξης των </w:t>
      </w:r>
      <w:r w:rsidRPr="006C1881">
        <w:rPr>
          <w:b/>
          <w:sz w:val="22"/>
          <w:szCs w:val="22"/>
          <w:lang w:val="el-GR"/>
        </w:rPr>
        <w:t>€</w:t>
      </w:r>
      <w:r>
        <w:rPr>
          <w:b/>
          <w:sz w:val="22"/>
          <w:szCs w:val="22"/>
          <w:lang w:val="el-GR"/>
        </w:rPr>
        <w:t>7,6</w:t>
      </w:r>
      <w:r w:rsidRPr="006C1881">
        <w:rPr>
          <w:b/>
          <w:sz w:val="22"/>
          <w:szCs w:val="22"/>
          <w:lang w:val="el-GR"/>
        </w:rPr>
        <w:t xml:space="preserve"> δισ</w:t>
      </w:r>
      <w:r w:rsidRPr="006C1881">
        <w:rPr>
          <w:sz w:val="22"/>
          <w:szCs w:val="22"/>
          <w:lang w:val="el-GR"/>
        </w:rPr>
        <w:t>. το 201</w:t>
      </w:r>
      <w:r>
        <w:rPr>
          <w:sz w:val="22"/>
          <w:szCs w:val="22"/>
          <w:lang w:val="el-GR"/>
        </w:rPr>
        <w:t>3</w:t>
      </w:r>
      <w:r w:rsidRPr="006C1881">
        <w:rPr>
          <w:sz w:val="22"/>
          <w:szCs w:val="22"/>
          <w:lang w:val="el-GR"/>
        </w:rPr>
        <w:t xml:space="preserve">, ενώ το τελικό καθαρό αποτέλεσμα του συνόλου των εταιρειών ήταν (για </w:t>
      </w:r>
      <w:r>
        <w:rPr>
          <w:sz w:val="22"/>
          <w:szCs w:val="22"/>
          <w:lang w:val="el-GR"/>
        </w:rPr>
        <w:t>τέταρτη</w:t>
      </w:r>
      <w:r w:rsidRPr="006C1881">
        <w:rPr>
          <w:sz w:val="22"/>
          <w:szCs w:val="22"/>
          <w:lang w:val="el-GR"/>
        </w:rPr>
        <w:t xml:space="preserve"> χρονιά) </w:t>
      </w:r>
      <w:r w:rsidRPr="006C1881">
        <w:rPr>
          <w:b/>
          <w:sz w:val="22"/>
          <w:szCs w:val="22"/>
          <w:lang w:val="el-GR"/>
        </w:rPr>
        <w:t xml:space="preserve">ζημιογόνο, </w:t>
      </w:r>
      <w:r w:rsidRPr="006C1881">
        <w:rPr>
          <w:sz w:val="22"/>
          <w:szCs w:val="22"/>
          <w:lang w:val="el-GR"/>
        </w:rPr>
        <w:t xml:space="preserve">με ζημίες της τάξης των </w:t>
      </w:r>
      <w:r w:rsidRPr="006C1881">
        <w:rPr>
          <w:b/>
          <w:sz w:val="22"/>
          <w:szCs w:val="22"/>
          <w:lang w:val="el-GR"/>
        </w:rPr>
        <w:t>€1</w:t>
      </w:r>
      <w:r>
        <w:rPr>
          <w:b/>
          <w:sz w:val="22"/>
          <w:szCs w:val="22"/>
          <w:lang w:val="el-GR"/>
        </w:rPr>
        <w:t>,</w:t>
      </w:r>
      <w:r w:rsidRPr="006C1881">
        <w:rPr>
          <w:b/>
          <w:sz w:val="22"/>
          <w:szCs w:val="22"/>
          <w:lang w:val="el-GR"/>
        </w:rPr>
        <w:t xml:space="preserve">3 δισ. </w:t>
      </w:r>
    </w:p>
    <w:p w:rsidR="00B345ED" w:rsidRPr="00A90F4D" w:rsidRDefault="0096399A" w:rsidP="0096399A">
      <w:pPr>
        <w:spacing w:line="360" w:lineRule="auto"/>
        <w:jc w:val="both"/>
        <w:rPr>
          <w:sz w:val="22"/>
          <w:szCs w:val="22"/>
          <w:lang w:val="el-GR"/>
        </w:rPr>
      </w:pPr>
      <w:r w:rsidRPr="002C202B">
        <w:rPr>
          <w:sz w:val="22"/>
          <w:szCs w:val="22"/>
          <w:lang w:val="el-GR"/>
        </w:rPr>
        <w:t xml:space="preserve">Οι συνθήκες κρίσης που εξακολουθούν να επικρατούν είναι φυσικό να επηρεάζουν και τις κερδοφόρες εταιρείες και ομίλους. Επισημαίνεται ότι, το κατώτατο όριο κερδών </w:t>
      </w:r>
      <w:r w:rsidRPr="002C202B">
        <w:rPr>
          <w:sz w:val="22"/>
          <w:szCs w:val="22"/>
          <w:lang w:val="en-US"/>
        </w:rPr>
        <w:t>EBITDA</w:t>
      </w:r>
      <w:r w:rsidRPr="002C202B">
        <w:rPr>
          <w:sz w:val="22"/>
          <w:szCs w:val="22"/>
          <w:lang w:val="el-GR"/>
        </w:rPr>
        <w:t xml:space="preserve"> προκειμένου να </w:t>
      </w:r>
    </w:p>
    <w:p w:rsidR="00B345ED" w:rsidRPr="00A90F4D" w:rsidRDefault="00B345ED" w:rsidP="0096399A">
      <w:pPr>
        <w:spacing w:line="360" w:lineRule="auto"/>
        <w:jc w:val="both"/>
        <w:rPr>
          <w:sz w:val="22"/>
          <w:szCs w:val="22"/>
          <w:lang w:val="el-GR"/>
        </w:rPr>
      </w:pPr>
    </w:p>
    <w:p w:rsidR="0096399A" w:rsidRPr="002C202B" w:rsidRDefault="0096399A" w:rsidP="0096399A">
      <w:pPr>
        <w:spacing w:line="360" w:lineRule="auto"/>
        <w:jc w:val="both"/>
        <w:rPr>
          <w:sz w:val="22"/>
          <w:szCs w:val="22"/>
          <w:lang w:val="el-GR"/>
        </w:rPr>
      </w:pPr>
      <w:r w:rsidRPr="002C202B">
        <w:rPr>
          <w:sz w:val="22"/>
          <w:szCs w:val="22"/>
          <w:lang w:val="el-GR"/>
        </w:rPr>
        <w:lastRenderedPageBreak/>
        <w:t>συμπεριληφθεί μία επιχείρηση στις 500 πιο κερδοφόρες εταιρείες το 201</w:t>
      </w:r>
      <w:r>
        <w:rPr>
          <w:sz w:val="22"/>
          <w:szCs w:val="22"/>
          <w:lang w:val="el-GR"/>
        </w:rPr>
        <w:t>3</w:t>
      </w:r>
      <w:r w:rsidRPr="002C202B">
        <w:rPr>
          <w:sz w:val="22"/>
          <w:szCs w:val="22"/>
          <w:lang w:val="el-GR"/>
        </w:rPr>
        <w:t xml:space="preserve"> διαμορφώθηκε σε </w:t>
      </w:r>
      <w:r w:rsidRPr="002C202B">
        <w:rPr>
          <w:b/>
          <w:sz w:val="22"/>
          <w:szCs w:val="22"/>
          <w:lang w:val="el-GR"/>
        </w:rPr>
        <w:t>€3,</w:t>
      </w:r>
      <w:r>
        <w:rPr>
          <w:b/>
          <w:sz w:val="22"/>
          <w:szCs w:val="22"/>
          <w:lang w:val="el-GR"/>
        </w:rPr>
        <w:t>25</w:t>
      </w:r>
      <w:r w:rsidRPr="002C202B">
        <w:rPr>
          <w:b/>
          <w:sz w:val="22"/>
          <w:szCs w:val="22"/>
          <w:lang w:val="el-GR"/>
        </w:rPr>
        <w:t xml:space="preserve"> εκατ</w:t>
      </w:r>
      <w:r w:rsidRPr="002C202B">
        <w:rPr>
          <w:sz w:val="22"/>
          <w:szCs w:val="22"/>
          <w:lang w:val="el-GR"/>
        </w:rPr>
        <w:t xml:space="preserve">., </w:t>
      </w:r>
      <w:r>
        <w:rPr>
          <w:sz w:val="22"/>
          <w:szCs w:val="22"/>
          <w:lang w:val="el-GR"/>
        </w:rPr>
        <w:t xml:space="preserve">(έναντι €3,41 εκατ. </w:t>
      </w:r>
      <w:r w:rsidRPr="002C202B">
        <w:rPr>
          <w:sz w:val="22"/>
          <w:szCs w:val="22"/>
          <w:lang w:val="el-GR"/>
        </w:rPr>
        <w:t>της περσινής έκδοσης</w:t>
      </w:r>
      <w:r>
        <w:rPr>
          <w:sz w:val="22"/>
          <w:szCs w:val="22"/>
          <w:lang w:val="el-GR"/>
        </w:rPr>
        <w:t>)</w:t>
      </w:r>
      <w:r w:rsidRPr="002C202B">
        <w:rPr>
          <w:sz w:val="22"/>
          <w:szCs w:val="22"/>
          <w:lang w:val="el-GR"/>
        </w:rPr>
        <w:t xml:space="preserve">, </w:t>
      </w:r>
      <w:r>
        <w:rPr>
          <w:sz w:val="22"/>
          <w:szCs w:val="22"/>
          <w:lang w:val="el-GR"/>
        </w:rPr>
        <w:t>μέγεθος</w:t>
      </w:r>
      <w:r w:rsidRPr="002C202B">
        <w:rPr>
          <w:sz w:val="22"/>
          <w:szCs w:val="22"/>
          <w:lang w:val="el-GR"/>
        </w:rPr>
        <w:t xml:space="preserve"> σαφώς κατώτερο σε σχέση με παλαιότερα έτη. Είναι ενδεικτικό ότι το όριο αυτό ήταν €5,9 εκατ. το 2007.</w:t>
      </w:r>
    </w:p>
    <w:p w:rsidR="0096399A" w:rsidRPr="004C15D4" w:rsidRDefault="0096399A" w:rsidP="0096399A">
      <w:pPr>
        <w:spacing w:line="360" w:lineRule="auto"/>
        <w:jc w:val="both"/>
        <w:rPr>
          <w:sz w:val="22"/>
          <w:szCs w:val="22"/>
          <w:lang w:val="el-GR"/>
        </w:rPr>
      </w:pPr>
      <w:r w:rsidRPr="004C15D4">
        <w:rPr>
          <w:sz w:val="22"/>
          <w:szCs w:val="22"/>
          <w:lang w:val="el-GR"/>
        </w:rPr>
        <w:t>Σε επίπεδο επιχειρηματικών ομίλων, το κατώτατο όριο κερδών EBITDA προκειμένου να συμπεριληφθεί ένας όμιλος εταιρειών στην κατάταξη των 200 πιο κερδοφόρων ομίλων το 201</w:t>
      </w:r>
      <w:r w:rsidRPr="000F2A51">
        <w:rPr>
          <w:sz w:val="22"/>
          <w:szCs w:val="22"/>
          <w:lang w:val="el-GR"/>
        </w:rPr>
        <w:t>3</w:t>
      </w:r>
      <w:r w:rsidRPr="004C15D4">
        <w:rPr>
          <w:sz w:val="22"/>
          <w:szCs w:val="22"/>
          <w:lang w:val="el-GR"/>
        </w:rPr>
        <w:t xml:space="preserve"> διαμορφώθηκε σε </w:t>
      </w:r>
      <w:r w:rsidRPr="004C15D4">
        <w:rPr>
          <w:b/>
          <w:sz w:val="22"/>
          <w:szCs w:val="22"/>
          <w:lang w:val="el-GR"/>
        </w:rPr>
        <w:t>€2,</w:t>
      </w:r>
      <w:r>
        <w:rPr>
          <w:b/>
          <w:sz w:val="22"/>
          <w:szCs w:val="22"/>
          <w:lang w:val="el-GR"/>
        </w:rPr>
        <w:t>71</w:t>
      </w:r>
      <w:r w:rsidRPr="004C15D4">
        <w:rPr>
          <w:b/>
          <w:sz w:val="22"/>
          <w:szCs w:val="22"/>
          <w:lang w:val="el-GR"/>
        </w:rPr>
        <w:t xml:space="preserve"> εκατ.,</w:t>
      </w:r>
      <w:r w:rsidRPr="004C15D4">
        <w:rPr>
          <w:sz w:val="22"/>
          <w:szCs w:val="22"/>
          <w:lang w:val="el-GR"/>
        </w:rPr>
        <w:t xml:space="preserve"> ελάχιστα αυξημένο σε σχέση με το όριο των </w:t>
      </w:r>
      <w:r w:rsidRPr="004C15D4">
        <w:rPr>
          <w:b/>
          <w:sz w:val="22"/>
          <w:szCs w:val="22"/>
          <w:lang w:val="el-GR"/>
        </w:rPr>
        <w:t>€</w:t>
      </w:r>
      <w:r>
        <w:rPr>
          <w:b/>
          <w:sz w:val="22"/>
          <w:szCs w:val="22"/>
          <w:lang w:val="el-GR"/>
        </w:rPr>
        <w:t>2,64</w:t>
      </w:r>
      <w:r w:rsidRPr="004C15D4">
        <w:rPr>
          <w:b/>
          <w:sz w:val="22"/>
          <w:szCs w:val="22"/>
          <w:lang w:val="el-GR"/>
        </w:rPr>
        <w:t xml:space="preserve"> εκατ.</w:t>
      </w:r>
      <w:r w:rsidRPr="004C15D4">
        <w:rPr>
          <w:sz w:val="22"/>
          <w:szCs w:val="22"/>
          <w:lang w:val="el-GR"/>
        </w:rPr>
        <w:t xml:space="preserve">  της περυσινής έκδοσης.</w:t>
      </w:r>
    </w:p>
    <w:p w:rsidR="0096399A" w:rsidRPr="00EF4CD5" w:rsidRDefault="0096399A" w:rsidP="0096399A">
      <w:pPr>
        <w:pStyle w:val="a8"/>
        <w:ind w:leftChars="1" w:left="399" w:hangingChars="152" w:hanging="397"/>
        <w:rPr>
          <w:rFonts w:ascii="Times New Roman" w:hAnsi="Times New Roman"/>
        </w:rPr>
      </w:pPr>
      <w:bookmarkStart w:id="2" w:name="_Toc207785911"/>
      <w:r w:rsidRPr="00EF4CD5">
        <w:rPr>
          <w:rFonts w:ascii="Times New Roman" w:hAnsi="Times New Roman"/>
        </w:rPr>
        <w:t>1.</w:t>
      </w:r>
      <w:r w:rsidRPr="00EF4CD5">
        <w:rPr>
          <w:rFonts w:ascii="Times New Roman" w:hAnsi="Times New Roman"/>
        </w:rPr>
        <w:tab/>
        <w:t>Συνολικές Εξελίξεις – Μεταβολές Βασικών Μεγεθών των 500 Πλέον Κερδοφόρων Εταιρειών</w:t>
      </w:r>
      <w:bookmarkEnd w:id="2"/>
    </w:p>
    <w:p w:rsidR="0096399A" w:rsidRPr="00EF4CD5" w:rsidRDefault="0096399A" w:rsidP="0096399A">
      <w:pPr>
        <w:spacing w:line="360" w:lineRule="auto"/>
        <w:jc w:val="both"/>
        <w:rPr>
          <w:sz w:val="22"/>
          <w:szCs w:val="22"/>
          <w:lang w:val="el-GR"/>
        </w:rPr>
      </w:pPr>
    </w:p>
    <w:p w:rsidR="008367C5" w:rsidRPr="008367C5" w:rsidRDefault="008367C5" w:rsidP="008367C5">
      <w:pPr>
        <w:spacing w:line="360" w:lineRule="auto"/>
        <w:jc w:val="both"/>
        <w:rPr>
          <w:sz w:val="22"/>
          <w:szCs w:val="22"/>
          <w:highlight w:val="yellow"/>
          <w:lang w:val="el-GR"/>
        </w:rPr>
      </w:pPr>
      <w:bookmarkStart w:id="3" w:name="_Toc207785916"/>
      <w:bookmarkStart w:id="4" w:name="_Hlk207768947"/>
      <w:r w:rsidRPr="008367C5">
        <w:rPr>
          <w:sz w:val="22"/>
          <w:szCs w:val="22"/>
          <w:lang w:val="el-GR"/>
        </w:rPr>
        <w:t>Τα εφαρμοζόμενα προγράμματα δημοσιονομικής εξυγίανσης (</w:t>
      </w:r>
      <w:r>
        <w:rPr>
          <w:sz w:val="22"/>
          <w:szCs w:val="22"/>
          <w:lang w:val="el-GR"/>
        </w:rPr>
        <w:t>εξάλειψη ελλειμμάτων</w:t>
      </w:r>
      <w:r w:rsidRPr="008367C5">
        <w:rPr>
          <w:sz w:val="22"/>
          <w:szCs w:val="22"/>
          <w:lang w:val="el-GR"/>
        </w:rPr>
        <w:t xml:space="preserve"> κλπ.) είχαν σαν συνέπεια να συνεχισθεί για </w:t>
      </w:r>
      <w:r>
        <w:rPr>
          <w:sz w:val="22"/>
          <w:szCs w:val="22"/>
          <w:lang w:val="el-GR"/>
        </w:rPr>
        <w:t>έκτο</w:t>
      </w:r>
      <w:r w:rsidRPr="008367C5">
        <w:rPr>
          <w:sz w:val="22"/>
          <w:szCs w:val="22"/>
          <w:lang w:val="el-GR"/>
        </w:rPr>
        <w:t xml:space="preserve"> έτος η ύφεση. Η σωρευτική μείωση του ΑΕΠ στη διάρκεια της </w:t>
      </w:r>
      <w:r>
        <w:rPr>
          <w:sz w:val="22"/>
          <w:szCs w:val="22"/>
          <w:lang w:val="el-GR"/>
        </w:rPr>
        <w:t xml:space="preserve">εξαετίας </w:t>
      </w:r>
      <w:r w:rsidRPr="008367C5">
        <w:rPr>
          <w:sz w:val="22"/>
          <w:szCs w:val="22"/>
          <w:lang w:val="el-GR"/>
        </w:rPr>
        <w:t xml:space="preserve"> υπερέβη το 20%, ενώ το 201</w:t>
      </w:r>
      <w:r>
        <w:rPr>
          <w:sz w:val="22"/>
          <w:szCs w:val="22"/>
          <w:lang w:val="el-GR"/>
        </w:rPr>
        <w:t>3</w:t>
      </w:r>
      <w:r w:rsidRPr="008367C5">
        <w:rPr>
          <w:sz w:val="22"/>
          <w:szCs w:val="22"/>
          <w:lang w:val="el-GR"/>
        </w:rPr>
        <w:t xml:space="preserve"> το  ΑΕΠ κατέγραψε πτώση με ετήσιο ρυθμό </w:t>
      </w:r>
      <w:r>
        <w:rPr>
          <w:sz w:val="22"/>
          <w:szCs w:val="22"/>
          <w:lang w:val="el-GR"/>
        </w:rPr>
        <w:t>5,8</w:t>
      </w:r>
      <w:r w:rsidR="00BD50B4">
        <w:rPr>
          <w:sz w:val="22"/>
          <w:szCs w:val="22"/>
          <w:lang w:val="el-GR"/>
        </w:rPr>
        <w:t>%</w:t>
      </w:r>
      <w:r w:rsidRPr="008367C5">
        <w:rPr>
          <w:sz w:val="22"/>
          <w:szCs w:val="22"/>
          <w:lang w:val="el-GR"/>
        </w:rPr>
        <w:t>. Η μεγάλη σε διάρκεια ύφεση είχε οδυνηρά αποτελέσματα τόσο στο μέτωπο της απασχόλησης</w:t>
      </w:r>
      <w:r w:rsidR="00BD50B4">
        <w:rPr>
          <w:sz w:val="22"/>
          <w:szCs w:val="22"/>
          <w:lang w:val="el-GR"/>
        </w:rPr>
        <w:t xml:space="preserve">, </w:t>
      </w:r>
      <w:r w:rsidRPr="008367C5">
        <w:rPr>
          <w:sz w:val="22"/>
          <w:szCs w:val="22"/>
          <w:lang w:val="el-GR"/>
        </w:rPr>
        <w:t xml:space="preserve">με </w:t>
      </w:r>
      <w:r w:rsidR="00BD50B4">
        <w:rPr>
          <w:sz w:val="22"/>
          <w:szCs w:val="22"/>
          <w:lang w:val="el-GR"/>
        </w:rPr>
        <w:t>το επίπεδο της ανεργίας – ιδιαίτερα της μακροχρόνιας και της ανεργίας των νέων – να παραμένει ιδιαίτερα υψηλό (26,6% το 2</w:t>
      </w:r>
      <w:r w:rsidR="00BD50B4" w:rsidRPr="00BD50B4">
        <w:rPr>
          <w:sz w:val="22"/>
          <w:szCs w:val="22"/>
          <w:vertAlign w:val="superscript"/>
          <w:lang w:val="el-GR"/>
        </w:rPr>
        <w:t>ο</w:t>
      </w:r>
      <w:r w:rsidR="00BD50B4">
        <w:rPr>
          <w:sz w:val="22"/>
          <w:szCs w:val="22"/>
          <w:lang w:val="el-GR"/>
        </w:rPr>
        <w:t xml:space="preserve"> τρίμηνο του 2014)</w:t>
      </w:r>
      <w:r w:rsidRPr="008367C5">
        <w:rPr>
          <w:sz w:val="22"/>
          <w:szCs w:val="22"/>
          <w:lang w:val="el-GR"/>
        </w:rPr>
        <w:t xml:space="preserve">, όσο και σε εκείνο της «πραγματικής» οικονομίας, όπου η έλλειψη ρευστότητας συνεχίσθηκε, η βιομηχανική παραγωγή ήταν σταθερά φθίνουσα, ενώ και στους λοιπούς τομείς υπήρξαν μάλλον πτωχές επιδόσεις. Ωστόσο, </w:t>
      </w:r>
      <w:r w:rsidR="001660BE">
        <w:rPr>
          <w:sz w:val="22"/>
          <w:szCs w:val="22"/>
          <w:lang w:val="el-GR"/>
        </w:rPr>
        <w:t>μετά την έναρξη του προγράμματος Οικονομικής Προσαρμογής και παρά</w:t>
      </w:r>
      <w:r w:rsidRPr="008367C5">
        <w:rPr>
          <w:sz w:val="22"/>
          <w:szCs w:val="22"/>
          <w:lang w:val="el-GR"/>
        </w:rPr>
        <w:t xml:space="preserve">λληλα με τις </w:t>
      </w:r>
      <w:r w:rsidR="001660BE">
        <w:rPr>
          <w:sz w:val="22"/>
          <w:szCs w:val="22"/>
          <w:lang w:val="el-GR"/>
        </w:rPr>
        <w:t>αναφερόμενες εξελίξεις</w:t>
      </w:r>
      <w:r w:rsidRPr="008367C5">
        <w:rPr>
          <w:sz w:val="22"/>
          <w:szCs w:val="22"/>
          <w:lang w:val="el-GR"/>
        </w:rPr>
        <w:t xml:space="preserve">, το δημοσιονομικό έλλειμμα </w:t>
      </w:r>
      <w:r w:rsidR="001660BE">
        <w:rPr>
          <w:sz w:val="22"/>
          <w:szCs w:val="22"/>
          <w:lang w:val="el-GR"/>
        </w:rPr>
        <w:t>εξαλείφθηκε</w:t>
      </w:r>
      <w:r w:rsidRPr="008367C5">
        <w:rPr>
          <w:sz w:val="22"/>
          <w:szCs w:val="22"/>
          <w:lang w:val="el-GR"/>
        </w:rPr>
        <w:t xml:space="preserve">, </w:t>
      </w:r>
      <w:r w:rsidR="001660BE">
        <w:rPr>
          <w:sz w:val="22"/>
          <w:szCs w:val="22"/>
          <w:lang w:val="el-GR"/>
        </w:rPr>
        <w:t>η</w:t>
      </w:r>
      <w:r w:rsidR="001660BE" w:rsidRPr="00047BB2">
        <w:rPr>
          <w:sz w:val="22"/>
          <w:szCs w:val="22"/>
          <w:lang w:val="el-GR"/>
        </w:rPr>
        <w:t xml:space="preserve"> εμπιστοσύνη στην ελληνική οικονομία</w:t>
      </w:r>
      <w:r w:rsidR="00097E31">
        <w:rPr>
          <w:sz w:val="22"/>
          <w:szCs w:val="22"/>
          <w:lang w:val="el-GR"/>
        </w:rPr>
        <w:t>άρχισε να αποκαθίσ</w:t>
      </w:r>
      <w:r w:rsidR="001660BE" w:rsidRPr="00047BB2">
        <w:rPr>
          <w:sz w:val="22"/>
          <w:szCs w:val="22"/>
          <w:lang w:val="el-GR"/>
        </w:rPr>
        <w:t>ταται</w:t>
      </w:r>
      <w:r w:rsidRPr="008367C5">
        <w:rPr>
          <w:sz w:val="22"/>
          <w:szCs w:val="22"/>
          <w:lang w:val="el-GR"/>
        </w:rPr>
        <w:t xml:space="preserve"> και </w:t>
      </w:r>
      <w:r w:rsidR="001660BE">
        <w:rPr>
          <w:sz w:val="22"/>
          <w:szCs w:val="22"/>
          <w:lang w:val="el-GR"/>
        </w:rPr>
        <w:t>το Κράτος απέκτησε και πάλι πρόσβαση στις διεθνείς αγορές κεφαλαίου</w:t>
      </w:r>
      <w:r w:rsidR="00271CB1" w:rsidRPr="00271CB1">
        <w:rPr>
          <w:sz w:val="22"/>
          <w:szCs w:val="22"/>
          <w:lang w:val="el-GR"/>
        </w:rPr>
        <w:t>.</w:t>
      </w:r>
      <w:r w:rsidRPr="008367C5">
        <w:rPr>
          <w:sz w:val="22"/>
          <w:szCs w:val="22"/>
          <w:lang w:val="el-GR"/>
        </w:rPr>
        <w:t xml:space="preserve">Σε κάθε </w:t>
      </w:r>
      <w:r w:rsidR="001660BE">
        <w:rPr>
          <w:sz w:val="22"/>
          <w:szCs w:val="22"/>
          <w:lang w:val="el-GR"/>
        </w:rPr>
        <w:t xml:space="preserve">όμως </w:t>
      </w:r>
      <w:r w:rsidRPr="008367C5">
        <w:rPr>
          <w:sz w:val="22"/>
          <w:szCs w:val="22"/>
          <w:lang w:val="el-GR"/>
        </w:rPr>
        <w:t xml:space="preserve">περίπτωση, η βαθειά ύφεση που είχε ως συνέπεια τη μείωση των εισοδημάτων και τη συνεχή πτώση της ζήτησης, έπληξαν την επιχειρηματική δραστηριότητα. </w:t>
      </w:r>
    </w:p>
    <w:p w:rsidR="0096399A" w:rsidRDefault="0096399A" w:rsidP="0096399A">
      <w:pPr>
        <w:spacing w:line="360" w:lineRule="auto"/>
        <w:jc w:val="both"/>
        <w:rPr>
          <w:sz w:val="22"/>
          <w:szCs w:val="22"/>
          <w:lang w:val="el-GR"/>
        </w:rPr>
      </w:pPr>
    </w:p>
    <w:p w:rsidR="0096399A" w:rsidRPr="002374D8" w:rsidRDefault="0096399A" w:rsidP="0096399A">
      <w:pPr>
        <w:spacing w:line="360" w:lineRule="auto"/>
        <w:jc w:val="both"/>
        <w:rPr>
          <w:sz w:val="22"/>
          <w:szCs w:val="22"/>
          <w:lang w:val="el-GR"/>
        </w:rPr>
      </w:pPr>
      <w:r>
        <w:rPr>
          <w:sz w:val="22"/>
          <w:szCs w:val="22"/>
          <w:lang w:val="el-GR"/>
        </w:rPr>
        <w:t>Μέσα σε αυτό το οικονομικό περιβάλλον, υπήρξαν</w:t>
      </w:r>
      <w:r w:rsidRPr="00EF4CD5">
        <w:rPr>
          <w:sz w:val="22"/>
          <w:szCs w:val="22"/>
          <w:lang w:val="el-GR"/>
        </w:rPr>
        <w:t xml:space="preserve"> ελληνικές επιχειρήσεις</w:t>
      </w:r>
      <w:r>
        <w:rPr>
          <w:sz w:val="22"/>
          <w:szCs w:val="22"/>
          <w:lang w:val="el-GR"/>
        </w:rPr>
        <w:t xml:space="preserve"> οι οποίες</w:t>
      </w:r>
      <w:r w:rsidRPr="00EF4CD5">
        <w:rPr>
          <w:sz w:val="22"/>
          <w:szCs w:val="22"/>
          <w:lang w:val="el-GR"/>
        </w:rPr>
        <w:t xml:space="preserve"> προσαρμοζόμενες στις υπάρχουσες συνθήκες, εμφάνισαν θετικές επιδόσεις στα οικονομικά τους αποτελέσματα.</w:t>
      </w:r>
      <w:r w:rsidRPr="002374D8">
        <w:rPr>
          <w:sz w:val="22"/>
          <w:szCs w:val="22"/>
          <w:lang w:val="el-GR"/>
        </w:rPr>
        <w:t xml:space="preserve">Αναφορικά με τη σύνθεση  της ομάδας των </w:t>
      </w:r>
      <w:r w:rsidRPr="002374D8">
        <w:rPr>
          <w:b/>
          <w:sz w:val="22"/>
          <w:szCs w:val="22"/>
          <w:lang w:val="el-GR"/>
        </w:rPr>
        <w:t>500</w:t>
      </w:r>
      <w:r w:rsidRPr="002374D8">
        <w:rPr>
          <w:sz w:val="22"/>
          <w:szCs w:val="22"/>
          <w:lang w:val="el-GR"/>
        </w:rPr>
        <w:t xml:space="preserve"> πλέον κερδοφόρων ελληνικών εταιρειών (βάσει </w:t>
      </w:r>
      <w:r w:rsidRPr="002374D8">
        <w:rPr>
          <w:lang w:val="el-GR"/>
        </w:rPr>
        <w:t xml:space="preserve">κερδών </w:t>
      </w:r>
      <w:r w:rsidRPr="002374D8">
        <w:rPr>
          <w:sz w:val="22"/>
          <w:szCs w:val="22"/>
        </w:rPr>
        <w:t>EBITDA</w:t>
      </w:r>
      <w:r w:rsidRPr="002374D8">
        <w:rPr>
          <w:sz w:val="22"/>
          <w:szCs w:val="22"/>
          <w:lang w:val="el-GR"/>
        </w:rPr>
        <w:t xml:space="preserve"> του έτους 201</w:t>
      </w:r>
      <w:r>
        <w:rPr>
          <w:sz w:val="22"/>
          <w:szCs w:val="22"/>
          <w:lang w:val="el-GR"/>
        </w:rPr>
        <w:t>3</w:t>
      </w:r>
      <w:r w:rsidRPr="002374D8">
        <w:rPr>
          <w:sz w:val="22"/>
          <w:szCs w:val="22"/>
          <w:lang w:val="el-GR"/>
        </w:rPr>
        <w:t xml:space="preserve">), σημειώνεται </w:t>
      </w:r>
      <w:r w:rsidRPr="00B963D4">
        <w:rPr>
          <w:sz w:val="22"/>
          <w:szCs w:val="22"/>
          <w:lang w:val="el-GR"/>
        </w:rPr>
        <w:t xml:space="preserve">ότι </w:t>
      </w:r>
      <w:r w:rsidRPr="00B963D4">
        <w:rPr>
          <w:b/>
          <w:sz w:val="22"/>
          <w:szCs w:val="22"/>
          <w:lang w:val="el-GR"/>
        </w:rPr>
        <w:t>1</w:t>
      </w:r>
      <w:r w:rsidR="00B963D4">
        <w:rPr>
          <w:b/>
          <w:sz w:val="22"/>
          <w:szCs w:val="22"/>
          <w:lang w:val="el-GR"/>
        </w:rPr>
        <w:t>29</w:t>
      </w:r>
      <w:r w:rsidRPr="00B963D4">
        <w:rPr>
          <w:sz w:val="22"/>
          <w:szCs w:val="22"/>
          <w:lang w:val="el-GR"/>
        </w:rPr>
        <w:t xml:space="preserve"> εταιρείες</w:t>
      </w:r>
      <w:r w:rsidRPr="00533832">
        <w:rPr>
          <w:sz w:val="22"/>
          <w:szCs w:val="22"/>
          <w:lang w:val="el-GR"/>
        </w:rPr>
        <w:t xml:space="preserve"> της περσινής κατάταξης </w:t>
      </w:r>
      <w:r w:rsidRPr="00533832">
        <w:rPr>
          <w:b/>
          <w:sz w:val="22"/>
          <w:szCs w:val="22"/>
          <w:lang w:val="el-GR"/>
        </w:rPr>
        <w:t>δενπεριλαμβάνονται</w:t>
      </w:r>
      <w:r w:rsidRPr="00533832">
        <w:rPr>
          <w:sz w:val="22"/>
          <w:szCs w:val="22"/>
          <w:lang w:val="el-GR"/>
        </w:rPr>
        <w:t xml:space="preserve"> στη νέα κατάταξη και αντικαθιστώνται από άλλες επιχειρήσεις. Από τις επιχειρήσεις που «βγήκαν εκτός»  κατάταξης το τελευταίο έτος, 23 εταιρείες εμφάνισαν ζημιογόνα αποτελέσματα (αρνητικά κέρδη </w:t>
      </w:r>
      <w:r w:rsidRPr="00533832">
        <w:rPr>
          <w:sz w:val="22"/>
          <w:szCs w:val="22"/>
        </w:rPr>
        <w:t>EBITDA</w:t>
      </w:r>
      <w:r w:rsidRPr="00533832">
        <w:rPr>
          <w:sz w:val="22"/>
          <w:szCs w:val="22"/>
          <w:lang w:val="el-GR"/>
        </w:rPr>
        <w:t>) το 201</w:t>
      </w:r>
      <w:r>
        <w:rPr>
          <w:sz w:val="22"/>
          <w:szCs w:val="22"/>
          <w:lang w:val="el-GR"/>
        </w:rPr>
        <w:t>3</w:t>
      </w:r>
      <w:r w:rsidRPr="00533832">
        <w:rPr>
          <w:sz w:val="22"/>
          <w:szCs w:val="22"/>
          <w:lang w:val="el-GR"/>
        </w:rPr>
        <w:t>, ενώ οι λοιπές είτε είχαν αντίστοιχα κέρδη μικρότερα του κατ</w:t>
      </w:r>
      <w:r w:rsidR="00B963D4">
        <w:rPr>
          <w:sz w:val="22"/>
          <w:szCs w:val="22"/>
          <w:lang w:val="el-GR"/>
        </w:rPr>
        <w:t>ώτα</w:t>
      </w:r>
      <w:r w:rsidRPr="00533832">
        <w:rPr>
          <w:sz w:val="22"/>
          <w:szCs w:val="22"/>
          <w:lang w:val="el-GR"/>
        </w:rPr>
        <w:t>του ορίου, είτε δεν δημοσίευσ</w:t>
      </w:r>
      <w:r>
        <w:rPr>
          <w:sz w:val="22"/>
          <w:szCs w:val="22"/>
          <w:lang w:val="el-GR"/>
        </w:rPr>
        <w:t xml:space="preserve">αν ισολογισμό ή τέλος κάποιες </w:t>
      </w:r>
      <w:r w:rsidR="00B963D4">
        <w:rPr>
          <w:sz w:val="22"/>
          <w:szCs w:val="22"/>
          <w:lang w:val="el-GR"/>
        </w:rPr>
        <w:t>συγχωνεύθηκαν (11) ή διέκοψαν τη λειτουργία τους (4)</w:t>
      </w:r>
      <w:r w:rsidRPr="00533832">
        <w:rPr>
          <w:sz w:val="22"/>
          <w:szCs w:val="22"/>
          <w:lang w:val="el-GR"/>
        </w:rPr>
        <w:t xml:space="preserve"> το τελευταίο έτος.  Τέλος, επισημαίνεται ότι από τις 500 πιο κερδοφόρες εταιρείες του 201</w:t>
      </w:r>
      <w:r>
        <w:rPr>
          <w:sz w:val="22"/>
          <w:szCs w:val="22"/>
          <w:lang w:val="el-GR"/>
        </w:rPr>
        <w:t>3</w:t>
      </w:r>
      <w:r w:rsidRPr="00533832">
        <w:rPr>
          <w:sz w:val="22"/>
          <w:szCs w:val="22"/>
          <w:lang w:val="el-GR"/>
        </w:rPr>
        <w:t xml:space="preserve">, </w:t>
      </w:r>
      <w:r w:rsidRPr="00533832">
        <w:rPr>
          <w:b/>
          <w:sz w:val="22"/>
          <w:szCs w:val="22"/>
          <w:lang w:val="el-GR"/>
        </w:rPr>
        <w:t>μόνο 6</w:t>
      </w:r>
      <w:r>
        <w:rPr>
          <w:b/>
          <w:sz w:val="22"/>
          <w:szCs w:val="22"/>
          <w:lang w:val="el-GR"/>
        </w:rPr>
        <w:t>2</w:t>
      </w:r>
      <w:r w:rsidRPr="00533832">
        <w:rPr>
          <w:sz w:val="22"/>
          <w:szCs w:val="22"/>
          <w:lang w:val="el-GR"/>
        </w:rPr>
        <w:t xml:space="preserve"> εταιρείες είναι εισηγμένες στο Χ.Α.</w:t>
      </w:r>
    </w:p>
    <w:p w:rsidR="0096399A" w:rsidRDefault="0096399A" w:rsidP="0096399A">
      <w:pPr>
        <w:spacing w:line="360" w:lineRule="auto"/>
        <w:jc w:val="both"/>
        <w:rPr>
          <w:sz w:val="22"/>
          <w:szCs w:val="22"/>
          <w:lang w:val="el-GR"/>
        </w:rPr>
      </w:pPr>
    </w:p>
    <w:p w:rsidR="00B345ED" w:rsidRPr="00A90F4D" w:rsidRDefault="0096399A" w:rsidP="0096399A">
      <w:pPr>
        <w:spacing w:line="360" w:lineRule="auto"/>
        <w:jc w:val="both"/>
        <w:rPr>
          <w:sz w:val="22"/>
          <w:szCs w:val="22"/>
          <w:lang w:val="el-GR"/>
        </w:rPr>
      </w:pPr>
      <w:r w:rsidRPr="0056629F">
        <w:rPr>
          <w:sz w:val="22"/>
          <w:szCs w:val="22"/>
          <w:lang w:val="el-GR"/>
        </w:rPr>
        <w:t>Συγκρίνοντας τα βασικά οικονομικά μεγέθη των 500 εταιρειών της κατάταξης του 201</w:t>
      </w:r>
      <w:r>
        <w:rPr>
          <w:sz w:val="22"/>
          <w:szCs w:val="22"/>
          <w:lang w:val="el-GR"/>
        </w:rPr>
        <w:t>3</w:t>
      </w:r>
      <w:r w:rsidRPr="0056629F">
        <w:rPr>
          <w:sz w:val="22"/>
          <w:szCs w:val="22"/>
          <w:lang w:val="el-GR"/>
        </w:rPr>
        <w:t xml:space="preserve"> σε σχέση με τα αντίστοιχα μεγέθη των ίδιων εταιρειών το 201</w:t>
      </w:r>
      <w:r>
        <w:rPr>
          <w:sz w:val="22"/>
          <w:szCs w:val="22"/>
          <w:lang w:val="el-GR"/>
        </w:rPr>
        <w:t>2</w:t>
      </w:r>
      <w:r w:rsidRPr="0056629F">
        <w:rPr>
          <w:sz w:val="22"/>
          <w:szCs w:val="22"/>
          <w:lang w:val="el-GR"/>
        </w:rPr>
        <w:t xml:space="preserve">, προκύπτει σαφώς εικόνα βελτίωσης. Κατ΄ αρχήν, παρά τις </w:t>
      </w:r>
    </w:p>
    <w:p w:rsidR="00B345ED" w:rsidRPr="00A90F4D" w:rsidRDefault="00B345ED" w:rsidP="0096399A">
      <w:pPr>
        <w:spacing w:line="360" w:lineRule="auto"/>
        <w:jc w:val="both"/>
        <w:rPr>
          <w:sz w:val="22"/>
          <w:szCs w:val="22"/>
          <w:lang w:val="el-GR"/>
        </w:rPr>
      </w:pPr>
    </w:p>
    <w:p w:rsidR="00097E31" w:rsidRPr="008E2E49" w:rsidRDefault="0096399A" w:rsidP="0096399A">
      <w:pPr>
        <w:spacing w:line="360" w:lineRule="auto"/>
        <w:jc w:val="both"/>
        <w:rPr>
          <w:sz w:val="22"/>
          <w:szCs w:val="22"/>
          <w:lang w:val="el-GR"/>
        </w:rPr>
      </w:pPr>
      <w:r w:rsidRPr="0056629F">
        <w:rPr>
          <w:sz w:val="22"/>
          <w:szCs w:val="22"/>
          <w:lang w:val="el-GR"/>
        </w:rPr>
        <w:lastRenderedPageBreak/>
        <w:t xml:space="preserve">δυσχέρειες και το ασταθές περιβάλλον του προηγουμένου έτους,τα συνολικά </w:t>
      </w:r>
      <w:r w:rsidRPr="0056629F">
        <w:rPr>
          <w:b/>
          <w:sz w:val="22"/>
          <w:szCs w:val="22"/>
          <w:lang w:val="el-GR"/>
        </w:rPr>
        <w:t xml:space="preserve">κέρδη </w:t>
      </w:r>
      <w:r w:rsidRPr="0056629F">
        <w:rPr>
          <w:b/>
          <w:sz w:val="22"/>
          <w:szCs w:val="22"/>
        </w:rPr>
        <w:t>EBITDA</w:t>
      </w:r>
      <w:r>
        <w:rPr>
          <w:b/>
          <w:sz w:val="22"/>
          <w:szCs w:val="22"/>
          <w:lang w:val="el-GR"/>
        </w:rPr>
        <w:t xml:space="preserve"> των 500 επιχειρήσεων υπερδιπλασιάστηκαν </w:t>
      </w:r>
      <w:r>
        <w:rPr>
          <w:sz w:val="22"/>
          <w:szCs w:val="22"/>
          <w:lang w:val="el-GR"/>
        </w:rPr>
        <w:t>το 2013 (αύξηση</w:t>
      </w:r>
      <w:r w:rsidRPr="0056629F">
        <w:rPr>
          <w:sz w:val="22"/>
          <w:szCs w:val="22"/>
          <w:lang w:val="el-GR"/>
        </w:rPr>
        <w:t xml:space="preserve"> κατά </w:t>
      </w:r>
      <w:r>
        <w:rPr>
          <w:b/>
          <w:sz w:val="22"/>
          <w:szCs w:val="22"/>
          <w:lang w:val="el-GR"/>
        </w:rPr>
        <w:t>120,8</w:t>
      </w:r>
      <w:r w:rsidRPr="0056629F">
        <w:rPr>
          <w:b/>
          <w:sz w:val="22"/>
          <w:szCs w:val="22"/>
          <w:lang w:val="el-GR"/>
        </w:rPr>
        <w:t>%</w:t>
      </w:r>
      <w:r w:rsidRPr="00A5407D">
        <w:rPr>
          <w:sz w:val="22"/>
          <w:szCs w:val="22"/>
          <w:lang w:val="el-GR"/>
        </w:rPr>
        <w:t>)</w:t>
      </w:r>
      <w:r w:rsidRPr="0056629F">
        <w:rPr>
          <w:b/>
          <w:sz w:val="22"/>
          <w:szCs w:val="22"/>
          <w:lang w:val="el-GR"/>
        </w:rPr>
        <w:t>.</w:t>
      </w:r>
      <w:r w:rsidRPr="0056629F">
        <w:rPr>
          <w:sz w:val="22"/>
          <w:szCs w:val="22"/>
          <w:lang w:val="el-GR"/>
        </w:rPr>
        <w:t xml:space="preserve"> Περαιτέρω, </w:t>
      </w:r>
      <w:r>
        <w:rPr>
          <w:sz w:val="22"/>
          <w:szCs w:val="22"/>
          <w:lang w:val="el-GR"/>
        </w:rPr>
        <w:t>οι συγκεκριμένες</w:t>
      </w:r>
      <w:r w:rsidRPr="0056629F">
        <w:rPr>
          <w:sz w:val="22"/>
          <w:szCs w:val="22"/>
          <w:lang w:val="el-GR"/>
        </w:rPr>
        <w:t xml:space="preserve"> εταιρείες εμφάνισαν </w:t>
      </w:r>
      <w:r w:rsidRPr="0056629F">
        <w:rPr>
          <w:b/>
          <w:sz w:val="22"/>
          <w:szCs w:val="22"/>
          <w:lang w:val="el-GR"/>
        </w:rPr>
        <w:t xml:space="preserve">προ φόρουκέρδη </w:t>
      </w:r>
      <w:r>
        <w:rPr>
          <w:b/>
          <w:sz w:val="22"/>
          <w:szCs w:val="22"/>
          <w:lang w:val="el-GR"/>
        </w:rPr>
        <w:t>ύψους €7,62</w:t>
      </w:r>
      <w:r w:rsidRPr="0056629F">
        <w:rPr>
          <w:b/>
          <w:sz w:val="22"/>
          <w:szCs w:val="22"/>
          <w:lang w:val="el-GR"/>
        </w:rPr>
        <w:t xml:space="preserve"> δισ.</w:t>
      </w:r>
      <w:r>
        <w:rPr>
          <w:sz w:val="22"/>
          <w:szCs w:val="22"/>
          <w:lang w:val="el-GR"/>
        </w:rPr>
        <w:t xml:space="preserve"> το 2013, έναντι</w:t>
      </w:r>
      <w:r w:rsidRPr="0056629F">
        <w:rPr>
          <w:sz w:val="22"/>
          <w:szCs w:val="22"/>
          <w:lang w:val="el-GR"/>
        </w:rPr>
        <w:t xml:space="preserve"> ζημιών που είχαν καταγράψει το  προηγούμενο έτος.</w:t>
      </w:r>
      <w:r>
        <w:rPr>
          <w:sz w:val="22"/>
          <w:szCs w:val="22"/>
          <w:lang w:val="el-GR"/>
        </w:rPr>
        <w:t xml:space="preserve"> Στο σημείο αυτό θα πρέπει να επισημανθεί </w:t>
      </w:r>
      <w:r w:rsidR="004034ED">
        <w:rPr>
          <w:sz w:val="22"/>
          <w:szCs w:val="22"/>
          <w:lang w:val="el-GR"/>
        </w:rPr>
        <w:t xml:space="preserve">η </w:t>
      </w:r>
      <w:r w:rsidR="005F7344" w:rsidRPr="00CF1BE2">
        <w:rPr>
          <w:b/>
          <w:sz w:val="22"/>
          <w:szCs w:val="22"/>
          <w:u w:val="single"/>
          <w:lang w:val="el-GR"/>
        </w:rPr>
        <w:t xml:space="preserve">πολύ υψηλή </w:t>
      </w:r>
      <w:r w:rsidR="004034ED" w:rsidRPr="00CF1BE2">
        <w:rPr>
          <w:b/>
          <w:sz w:val="22"/>
          <w:szCs w:val="22"/>
          <w:u w:val="single"/>
          <w:lang w:val="el-GR"/>
        </w:rPr>
        <w:t>συμμετοχή του τραπεζικού τομέα</w:t>
      </w:r>
      <w:r w:rsidR="00071CF6" w:rsidRPr="00CF1BE2">
        <w:rPr>
          <w:b/>
          <w:sz w:val="22"/>
          <w:szCs w:val="22"/>
          <w:u w:val="single"/>
          <w:lang w:val="el-GR"/>
        </w:rPr>
        <w:t xml:space="preserve"> στα συνολικά κέρδη</w:t>
      </w:r>
      <w:r w:rsidR="00F30E74" w:rsidRPr="00CF1BE2">
        <w:rPr>
          <w:b/>
          <w:sz w:val="22"/>
          <w:szCs w:val="22"/>
          <w:u w:val="single"/>
          <w:lang w:val="el-GR"/>
        </w:rPr>
        <w:t>.</w:t>
      </w:r>
      <w:r w:rsidR="004034ED">
        <w:rPr>
          <w:sz w:val="22"/>
          <w:szCs w:val="22"/>
          <w:lang w:val="el-GR"/>
        </w:rPr>
        <w:t xml:space="preserve"> Ειδικότερα, </w:t>
      </w:r>
      <w:r w:rsidRPr="004034ED">
        <w:rPr>
          <w:sz w:val="22"/>
          <w:szCs w:val="22"/>
          <w:lang w:val="el-GR"/>
        </w:rPr>
        <w:t xml:space="preserve">το 52% των συνολικών κερδών προ φόρου και το 31% των συνολικών κερδών </w:t>
      </w:r>
      <w:r w:rsidRPr="004034ED">
        <w:rPr>
          <w:sz w:val="22"/>
          <w:szCs w:val="22"/>
          <w:lang w:val="en-US"/>
        </w:rPr>
        <w:t>EBITDA</w:t>
      </w:r>
      <w:r w:rsidR="004034ED">
        <w:rPr>
          <w:sz w:val="22"/>
          <w:szCs w:val="22"/>
          <w:lang w:val="el-GR"/>
        </w:rPr>
        <w:t xml:space="preserve"> των </w:t>
      </w:r>
      <w:r w:rsidR="004034ED" w:rsidRPr="004034ED">
        <w:rPr>
          <w:sz w:val="22"/>
          <w:szCs w:val="22"/>
          <w:lang w:val="el-GR"/>
        </w:rPr>
        <w:t>500 πιο κερδοφ</w:t>
      </w:r>
      <w:r w:rsidR="004034ED">
        <w:rPr>
          <w:sz w:val="22"/>
          <w:szCs w:val="22"/>
          <w:lang w:val="el-GR"/>
        </w:rPr>
        <w:t>όρων επιχειρήσεων</w:t>
      </w:r>
      <w:r w:rsidRPr="004034ED">
        <w:rPr>
          <w:sz w:val="22"/>
          <w:szCs w:val="22"/>
          <w:lang w:val="el-GR"/>
        </w:rPr>
        <w:t xml:space="preserve"> προέρχεται από δύο </w:t>
      </w:r>
      <w:r w:rsidR="00097E31" w:rsidRPr="004034ED">
        <w:rPr>
          <w:sz w:val="22"/>
          <w:szCs w:val="22"/>
          <w:lang w:val="el-GR"/>
        </w:rPr>
        <w:t xml:space="preserve">μόνον </w:t>
      </w:r>
      <w:r w:rsidRPr="004034ED">
        <w:rPr>
          <w:sz w:val="22"/>
          <w:szCs w:val="22"/>
          <w:lang w:val="el-GR"/>
        </w:rPr>
        <w:t>τράπεζες</w:t>
      </w:r>
      <w:r w:rsidR="00097E31" w:rsidRPr="004034ED">
        <w:rPr>
          <w:sz w:val="22"/>
          <w:szCs w:val="22"/>
          <w:lang w:val="el-GR"/>
        </w:rPr>
        <w:t>,</w:t>
      </w:r>
      <w:r w:rsidRPr="004034ED">
        <w:rPr>
          <w:sz w:val="22"/>
          <w:szCs w:val="22"/>
          <w:lang w:val="el-GR"/>
        </w:rPr>
        <w:t xml:space="preserve"> την </w:t>
      </w:r>
      <w:r w:rsidRPr="004034ED">
        <w:rPr>
          <w:sz w:val="22"/>
          <w:szCs w:val="22"/>
          <w:lang w:val="en-US"/>
        </w:rPr>
        <w:t>AlphaBankAE</w:t>
      </w:r>
      <w:r w:rsidRPr="004034ED">
        <w:rPr>
          <w:sz w:val="22"/>
          <w:szCs w:val="22"/>
          <w:lang w:val="el-GR"/>
        </w:rPr>
        <w:t xml:space="preserve"> και την Πειρ</w:t>
      </w:r>
      <w:r w:rsidR="00097E31" w:rsidRPr="004034ED">
        <w:rPr>
          <w:sz w:val="22"/>
          <w:szCs w:val="22"/>
          <w:lang w:val="el-GR"/>
        </w:rPr>
        <w:t xml:space="preserve">αιώς Τράπεζα ΑΕ, οι οποίες από κοινού εμφάνισαν </w:t>
      </w:r>
      <w:r w:rsidR="00A775EA" w:rsidRPr="004034ED">
        <w:rPr>
          <w:sz w:val="22"/>
          <w:szCs w:val="22"/>
          <w:lang w:val="el-GR"/>
        </w:rPr>
        <w:t xml:space="preserve">κέρδη </w:t>
      </w:r>
      <w:r w:rsidR="00A775EA" w:rsidRPr="004034ED">
        <w:rPr>
          <w:sz w:val="22"/>
          <w:szCs w:val="22"/>
          <w:lang w:val="en-US"/>
        </w:rPr>
        <w:t>EBITDA</w:t>
      </w:r>
      <w:r w:rsidR="00A775EA" w:rsidRPr="004034ED">
        <w:rPr>
          <w:sz w:val="22"/>
          <w:szCs w:val="22"/>
          <w:lang w:val="el-GR"/>
        </w:rPr>
        <w:t xml:space="preserve"> ύψους  €</w:t>
      </w:r>
      <w:r w:rsidR="004034ED" w:rsidRPr="004034ED">
        <w:rPr>
          <w:sz w:val="22"/>
          <w:szCs w:val="22"/>
          <w:lang w:val="el-GR"/>
        </w:rPr>
        <w:t xml:space="preserve"> 4,1 δισ. και κέρδη προ φόρου € 3,9 δισ.</w:t>
      </w:r>
      <w:r w:rsidR="004034ED">
        <w:rPr>
          <w:sz w:val="22"/>
          <w:szCs w:val="22"/>
          <w:lang w:val="el-GR"/>
        </w:rPr>
        <w:t xml:space="preserve">, </w:t>
      </w:r>
      <w:r w:rsidR="004034ED" w:rsidRPr="00CF1BE2">
        <w:rPr>
          <w:b/>
          <w:sz w:val="22"/>
          <w:szCs w:val="22"/>
          <w:lang w:val="el-GR"/>
        </w:rPr>
        <w:t xml:space="preserve">τα οποία διαμορφώθηκαν σε μεγάλο βαθμό από την </w:t>
      </w:r>
      <w:r w:rsidR="00C717C1" w:rsidRPr="00CF1BE2">
        <w:rPr>
          <w:b/>
          <w:sz w:val="22"/>
          <w:szCs w:val="22"/>
          <w:lang w:val="el-GR"/>
        </w:rPr>
        <w:t xml:space="preserve">ενσωμάτωση του οφέλους που προέκυψε από την </w:t>
      </w:r>
      <w:r w:rsidR="004034ED" w:rsidRPr="00CF1BE2">
        <w:rPr>
          <w:b/>
          <w:sz w:val="22"/>
          <w:szCs w:val="22"/>
          <w:lang w:val="el-GR"/>
        </w:rPr>
        <w:t>αρνητική υπεραξία των εξαγορών</w:t>
      </w:r>
      <w:r w:rsidR="00D025C5">
        <w:rPr>
          <w:b/>
          <w:sz w:val="22"/>
          <w:szCs w:val="22"/>
          <w:lang w:val="el-GR"/>
        </w:rPr>
        <w:t xml:space="preserve"> τους</w:t>
      </w:r>
      <w:r w:rsidR="004034ED" w:rsidRPr="00CF1BE2">
        <w:rPr>
          <w:b/>
          <w:sz w:val="22"/>
          <w:szCs w:val="22"/>
          <w:lang w:val="el-GR"/>
        </w:rPr>
        <w:t>.</w:t>
      </w:r>
      <w:r w:rsidR="00CF1BE2" w:rsidRPr="008E2E49">
        <w:rPr>
          <w:sz w:val="22"/>
          <w:szCs w:val="22"/>
          <w:lang w:val="el-GR"/>
        </w:rPr>
        <w:t xml:space="preserve">Εξαιρουμένων των δύο τραπεζών τα συνολικά κέρδη </w:t>
      </w:r>
      <w:r w:rsidR="00CF1BE2" w:rsidRPr="008E2E49">
        <w:rPr>
          <w:sz w:val="22"/>
          <w:szCs w:val="22"/>
        </w:rPr>
        <w:t>EBITDA</w:t>
      </w:r>
      <w:r w:rsidR="00CF1BE2" w:rsidRPr="008E2E49">
        <w:rPr>
          <w:sz w:val="22"/>
          <w:szCs w:val="22"/>
          <w:lang w:val="el-GR"/>
        </w:rPr>
        <w:t xml:space="preserve"> των </w:t>
      </w:r>
      <w:r w:rsidR="00D74485" w:rsidRPr="008E2E49">
        <w:rPr>
          <w:sz w:val="22"/>
          <w:szCs w:val="22"/>
          <w:lang w:val="el-GR"/>
        </w:rPr>
        <w:t xml:space="preserve">υπολοίπων </w:t>
      </w:r>
      <w:r w:rsidR="00CF1BE2" w:rsidRPr="008E2E49">
        <w:rPr>
          <w:sz w:val="22"/>
          <w:szCs w:val="22"/>
          <w:lang w:val="el-GR"/>
        </w:rPr>
        <w:t>επιχειρήσεων διαμορφώνονται σε € 9,2 δισ. το 2013</w:t>
      </w:r>
      <w:r w:rsidR="00D74485" w:rsidRPr="008E2E49">
        <w:rPr>
          <w:sz w:val="22"/>
          <w:szCs w:val="22"/>
          <w:lang w:val="el-GR"/>
        </w:rPr>
        <w:t xml:space="preserve">, εμφανίζοντας αύξηση κατά 5,0% σε σχέση με το 2012, ενώ </w:t>
      </w:r>
      <w:r w:rsidR="000B6A1A">
        <w:rPr>
          <w:sz w:val="22"/>
          <w:szCs w:val="22"/>
          <w:lang w:val="el-GR"/>
        </w:rPr>
        <w:t xml:space="preserve">πολύ σημαντική </w:t>
      </w:r>
      <w:r w:rsidR="008E2E49" w:rsidRPr="008E2E49">
        <w:rPr>
          <w:sz w:val="22"/>
          <w:szCs w:val="22"/>
          <w:lang w:val="el-GR"/>
        </w:rPr>
        <w:t>είναι η α</w:t>
      </w:r>
      <w:r w:rsidR="00D74485" w:rsidRPr="008E2E49">
        <w:rPr>
          <w:sz w:val="22"/>
          <w:szCs w:val="22"/>
          <w:lang w:val="el-GR"/>
        </w:rPr>
        <w:t>ύξηση</w:t>
      </w:r>
      <w:r w:rsidR="008E2E49" w:rsidRPr="008E2E49">
        <w:rPr>
          <w:sz w:val="22"/>
          <w:szCs w:val="22"/>
          <w:lang w:val="el-GR"/>
        </w:rPr>
        <w:t xml:space="preserve"> που παρουσιάζεται </w:t>
      </w:r>
      <w:r w:rsidR="00D74485" w:rsidRPr="008E2E49">
        <w:rPr>
          <w:sz w:val="22"/>
          <w:szCs w:val="22"/>
          <w:lang w:val="el-GR"/>
        </w:rPr>
        <w:t xml:space="preserve">στα προ φόρου κέρδη </w:t>
      </w:r>
      <w:r w:rsidR="008E2E49" w:rsidRPr="008E2E49">
        <w:rPr>
          <w:sz w:val="22"/>
          <w:szCs w:val="22"/>
          <w:lang w:val="el-GR"/>
        </w:rPr>
        <w:t>(</w:t>
      </w:r>
      <w:r w:rsidR="00D74485" w:rsidRPr="008E2E49">
        <w:rPr>
          <w:sz w:val="22"/>
          <w:szCs w:val="22"/>
          <w:lang w:val="el-GR"/>
        </w:rPr>
        <w:t>κατά 75,3%</w:t>
      </w:r>
      <w:r w:rsidR="008E2E49" w:rsidRPr="008E2E49">
        <w:rPr>
          <w:sz w:val="22"/>
          <w:szCs w:val="22"/>
          <w:lang w:val="el-GR"/>
        </w:rPr>
        <w:t>)</w:t>
      </w:r>
      <w:r w:rsidR="00D74485" w:rsidRPr="008E2E49">
        <w:rPr>
          <w:sz w:val="22"/>
          <w:szCs w:val="22"/>
          <w:lang w:val="el-GR"/>
        </w:rPr>
        <w:t>.</w:t>
      </w:r>
    </w:p>
    <w:p w:rsidR="0096399A" w:rsidRDefault="0096399A" w:rsidP="0096399A">
      <w:pPr>
        <w:spacing w:line="360" w:lineRule="auto"/>
        <w:jc w:val="both"/>
        <w:rPr>
          <w:sz w:val="22"/>
          <w:szCs w:val="22"/>
          <w:lang w:val="el-GR"/>
        </w:rPr>
      </w:pPr>
      <w:r w:rsidRPr="0056629F">
        <w:rPr>
          <w:sz w:val="22"/>
          <w:szCs w:val="22"/>
          <w:lang w:val="el-GR"/>
        </w:rPr>
        <w:t xml:space="preserve">Με βάση το </w:t>
      </w:r>
      <w:r w:rsidRPr="0056629F">
        <w:rPr>
          <w:i/>
          <w:sz w:val="22"/>
          <w:szCs w:val="22"/>
          <w:lang w:val="el-GR"/>
        </w:rPr>
        <w:t>τελικό αποτέλεσμα</w:t>
      </w:r>
      <w:r w:rsidRPr="0056629F">
        <w:rPr>
          <w:sz w:val="22"/>
          <w:szCs w:val="22"/>
          <w:lang w:val="el-GR"/>
        </w:rPr>
        <w:t xml:space="preserve"> του 201</w:t>
      </w:r>
      <w:r>
        <w:rPr>
          <w:sz w:val="22"/>
          <w:szCs w:val="22"/>
          <w:lang w:val="el-GR"/>
        </w:rPr>
        <w:t>3</w:t>
      </w:r>
      <w:r w:rsidRPr="0056629F">
        <w:rPr>
          <w:sz w:val="22"/>
          <w:szCs w:val="22"/>
          <w:lang w:val="el-GR"/>
        </w:rPr>
        <w:t xml:space="preserve">, από τις 500 εταιρείες το </w:t>
      </w:r>
      <w:r>
        <w:rPr>
          <w:b/>
          <w:sz w:val="22"/>
          <w:szCs w:val="22"/>
          <w:lang w:val="el-GR"/>
        </w:rPr>
        <w:t>83</w:t>
      </w:r>
      <w:r w:rsidRPr="0056629F">
        <w:rPr>
          <w:b/>
          <w:sz w:val="22"/>
          <w:szCs w:val="22"/>
          <w:lang w:val="el-GR"/>
        </w:rPr>
        <w:t>%ήταν κερδοφόρες</w:t>
      </w:r>
      <w:r w:rsidR="00071CF6">
        <w:rPr>
          <w:b/>
          <w:sz w:val="22"/>
          <w:szCs w:val="22"/>
          <w:lang w:val="el-GR"/>
        </w:rPr>
        <w:t xml:space="preserve"> (415)</w:t>
      </w:r>
      <w:r w:rsidRPr="0056629F">
        <w:rPr>
          <w:b/>
          <w:sz w:val="22"/>
          <w:szCs w:val="22"/>
          <w:lang w:val="el-GR"/>
        </w:rPr>
        <w:t>,</w:t>
      </w:r>
      <w:r w:rsidRPr="0056629F">
        <w:rPr>
          <w:sz w:val="22"/>
          <w:szCs w:val="22"/>
          <w:lang w:val="el-GR"/>
        </w:rPr>
        <w:t xml:space="preserve"> ενώ οι λοιπές ήταν ζημιογόνες. </w:t>
      </w:r>
      <w:r w:rsidR="00F30E74">
        <w:rPr>
          <w:sz w:val="22"/>
          <w:szCs w:val="22"/>
          <w:lang w:val="el-GR"/>
        </w:rPr>
        <w:t>Ο</w:t>
      </w:r>
      <w:r w:rsidRPr="0056629F">
        <w:rPr>
          <w:sz w:val="22"/>
          <w:szCs w:val="22"/>
          <w:lang w:val="el-GR"/>
        </w:rPr>
        <w:t xml:space="preserve">ι 500 εταιρείες της κατάταξης συνολικά  εμφάνισαν </w:t>
      </w:r>
      <w:r>
        <w:rPr>
          <w:sz w:val="22"/>
          <w:szCs w:val="22"/>
          <w:lang w:val="el-GR"/>
        </w:rPr>
        <w:t>σημαντική</w:t>
      </w:r>
      <w:r w:rsidRPr="0056629F">
        <w:rPr>
          <w:sz w:val="22"/>
          <w:szCs w:val="22"/>
          <w:lang w:val="el-GR"/>
        </w:rPr>
        <w:t xml:space="preserve"> αύξηση των </w:t>
      </w:r>
      <w:r w:rsidRPr="00CF0115">
        <w:rPr>
          <w:b/>
          <w:sz w:val="22"/>
          <w:szCs w:val="22"/>
          <w:lang w:val="el-GR"/>
        </w:rPr>
        <w:t>ιδίων κεφαλαίων</w:t>
      </w:r>
      <w:r w:rsidRPr="0056629F">
        <w:rPr>
          <w:sz w:val="22"/>
          <w:szCs w:val="22"/>
          <w:lang w:val="el-GR"/>
        </w:rPr>
        <w:t xml:space="preserve"> τους </w:t>
      </w:r>
      <w:r w:rsidR="00F30E74">
        <w:rPr>
          <w:sz w:val="22"/>
          <w:szCs w:val="22"/>
          <w:lang w:val="el-GR"/>
        </w:rPr>
        <w:t xml:space="preserve">κατά € 20,5 δισ. το 2013/12, εκ των οποίων τα € 15,4 δισ. </w:t>
      </w:r>
      <w:r w:rsidRPr="0056629F">
        <w:rPr>
          <w:sz w:val="22"/>
          <w:szCs w:val="22"/>
          <w:lang w:val="el-GR"/>
        </w:rPr>
        <w:t>(</w:t>
      </w:r>
      <w:r w:rsidR="00F30E74">
        <w:rPr>
          <w:sz w:val="22"/>
          <w:szCs w:val="22"/>
          <w:lang w:val="el-GR"/>
        </w:rPr>
        <w:t>75,1%</w:t>
      </w:r>
      <w:r w:rsidRPr="0056629F">
        <w:rPr>
          <w:sz w:val="22"/>
          <w:szCs w:val="22"/>
          <w:lang w:val="el-GR"/>
        </w:rPr>
        <w:t xml:space="preserve">) </w:t>
      </w:r>
      <w:r w:rsidR="00F30E74">
        <w:rPr>
          <w:sz w:val="22"/>
          <w:szCs w:val="22"/>
          <w:lang w:val="el-GR"/>
        </w:rPr>
        <w:t>προήλθαν από την αύξηση των ιδίων κεφαλαίων των δύο τραπεζών(</w:t>
      </w:r>
      <w:r w:rsidR="00F30E74" w:rsidRPr="004034ED">
        <w:rPr>
          <w:sz w:val="22"/>
          <w:szCs w:val="22"/>
          <w:lang w:val="en-US"/>
        </w:rPr>
        <w:t>AlphaBankAE</w:t>
      </w:r>
      <w:r w:rsidR="00F30E74" w:rsidRPr="004034ED">
        <w:rPr>
          <w:sz w:val="22"/>
          <w:szCs w:val="22"/>
          <w:lang w:val="el-GR"/>
        </w:rPr>
        <w:t xml:space="preserve"> και Πειραιώς Τράπεζα ΑΕ</w:t>
      </w:r>
      <w:r w:rsidR="00F30E74">
        <w:rPr>
          <w:sz w:val="22"/>
          <w:szCs w:val="22"/>
          <w:lang w:val="el-GR"/>
        </w:rPr>
        <w:t xml:space="preserve">). Τέλος, </w:t>
      </w:r>
      <w:r>
        <w:rPr>
          <w:sz w:val="22"/>
          <w:szCs w:val="22"/>
          <w:lang w:val="el-GR"/>
        </w:rPr>
        <w:t xml:space="preserve">μείωση κατά 4,5% καταγράφει ο </w:t>
      </w:r>
      <w:r w:rsidRPr="002916B3">
        <w:rPr>
          <w:b/>
          <w:sz w:val="22"/>
          <w:szCs w:val="22"/>
          <w:lang w:val="el-GR"/>
        </w:rPr>
        <w:t>κύκλος εργασιών</w:t>
      </w:r>
      <w:r>
        <w:rPr>
          <w:sz w:val="22"/>
          <w:szCs w:val="22"/>
          <w:lang w:val="el-GR"/>
        </w:rPr>
        <w:t xml:space="preserve"> τους.</w:t>
      </w:r>
    </w:p>
    <w:p w:rsidR="002F133D" w:rsidRDefault="002F133D" w:rsidP="0096399A">
      <w:pPr>
        <w:spacing w:line="360" w:lineRule="auto"/>
        <w:jc w:val="both"/>
        <w:rPr>
          <w:sz w:val="22"/>
          <w:szCs w:val="22"/>
          <w:lang w:val="el-GR"/>
        </w:rPr>
      </w:pPr>
    </w:p>
    <w:tbl>
      <w:tblPr>
        <w:tblW w:w="9652" w:type="dxa"/>
        <w:jc w:val="center"/>
        <w:tblBorders>
          <w:insideH w:val="single" w:sz="18" w:space="0" w:color="FFFFFF"/>
          <w:insideV w:val="single" w:sz="18" w:space="0" w:color="FFFFFF"/>
        </w:tblBorders>
        <w:tblLayout w:type="fixed"/>
        <w:tblLook w:val="00A0"/>
      </w:tblPr>
      <w:tblGrid>
        <w:gridCol w:w="2413"/>
        <w:gridCol w:w="2413"/>
        <w:gridCol w:w="2413"/>
        <w:gridCol w:w="2413"/>
      </w:tblGrid>
      <w:tr w:rsidR="0096399A" w:rsidRPr="00424307" w:rsidTr="00BD50B4">
        <w:trPr>
          <w:trHeight w:val="57"/>
          <w:jc w:val="center"/>
        </w:trPr>
        <w:tc>
          <w:tcPr>
            <w:tcW w:w="9652" w:type="dxa"/>
            <w:gridSpan w:val="4"/>
            <w:shd w:val="pct20" w:color="000000" w:fill="FFFFFF"/>
          </w:tcPr>
          <w:p w:rsidR="0096399A" w:rsidRPr="00424307" w:rsidRDefault="0096399A" w:rsidP="00BD50B4">
            <w:pPr>
              <w:pStyle w:val="a7"/>
              <w:rPr>
                <w:bCs/>
                <w:sz w:val="20"/>
                <w:szCs w:val="20"/>
                <w:lang w:val="el-GR"/>
              </w:rPr>
            </w:pPr>
            <w:r w:rsidRPr="00424307">
              <w:rPr>
                <w:bCs/>
                <w:sz w:val="20"/>
                <w:szCs w:val="20"/>
                <w:lang w:val="el-GR"/>
              </w:rPr>
              <w:t xml:space="preserve">Πίνακας 1. </w:t>
            </w:r>
          </w:p>
          <w:p w:rsidR="0096399A" w:rsidRPr="00424307" w:rsidRDefault="0096399A" w:rsidP="00BD50B4">
            <w:pPr>
              <w:pStyle w:val="a7"/>
              <w:rPr>
                <w:bCs/>
                <w:sz w:val="20"/>
                <w:szCs w:val="20"/>
                <w:lang w:val="el-GR"/>
              </w:rPr>
            </w:pPr>
            <w:r w:rsidRPr="00424307">
              <w:rPr>
                <w:bCs/>
                <w:sz w:val="20"/>
                <w:szCs w:val="20"/>
                <w:lang w:val="el-GR"/>
              </w:rPr>
              <w:t xml:space="preserve">Μεταβολές Βασικών Μεγεθών των 500 Πλέον Κερδοφόρων Εταιρειών </w:t>
            </w:r>
          </w:p>
          <w:p w:rsidR="0096399A" w:rsidRPr="00424307" w:rsidRDefault="0096399A" w:rsidP="00BD50B4">
            <w:pPr>
              <w:pStyle w:val="a7"/>
              <w:rPr>
                <w:bCs/>
                <w:sz w:val="20"/>
                <w:szCs w:val="20"/>
                <w:lang w:val="el-GR"/>
              </w:rPr>
            </w:pPr>
            <w:r w:rsidRPr="00424307">
              <w:rPr>
                <w:bCs/>
                <w:sz w:val="20"/>
                <w:szCs w:val="20"/>
                <w:lang w:val="el-GR"/>
              </w:rPr>
              <w:t>(ποσά σε χιλ. €)</w:t>
            </w:r>
            <w:bookmarkEnd w:id="3"/>
          </w:p>
        </w:tc>
      </w:tr>
      <w:tr w:rsidR="0096399A" w:rsidRPr="00424307" w:rsidTr="00BD50B4">
        <w:trPr>
          <w:trHeight w:val="57"/>
          <w:jc w:val="center"/>
        </w:trPr>
        <w:tc>
          <w:tcPr>
            <w:tcW w:w="2413" w:type="dxa"/>
            <w:shd w:val="pct5" w:color="000000" w:fill="FFFFFF"/>
          </w:tcPr>
          <w:p w:rsidR="0096399A" w:rsidRPr="00424307" w:rsidRDefault="0096399A" w:rsidP="00BD50B4">
            <w:pPr>
              <w:rPr>
                <w:b/>
                <w:sz w:val="20"/>
                <w:szCs w:val="20"/>
                <w:lang w:val="el-GR"/>
              </w:rPr>
            </w:pPr>
            <w:r w:rsidRPr="00424307">
              <w:rPr>
                <w:b/>
                <w:sz w:val="20"/>
                <w:szCs w:val="20"/>
                <w:lang w:val="el-GR"/>
              </w:rPr>
              <w:t>Μεγέθη Εταιρειών</w:t>
            </w:r>
          </w:p>
        </w:tc>
        <w:tc>
          <w:tcPr>
            <w:tcW w:w="2413" w:type="dxa"/>
            <w:shd w:val="pct5" w:color="000000" w:fill="FFFFFF"/>
          </w:tcPr>
          <w:p w:rsidR="0096399A" w:rsidRPr="0032361E" w:rsidRDefault="0096399A" w:rsidP="00BD50B4">
            <w:pPr>
              <w:jc w:val="center"/>
              <w:rPr>
                <w:b/>
                <w:sz w:val="20"/>
                <w:szCs w:val="20"/>
                <w:lang w:val="el-GR"/>
              </w:rPr>
            </w:pPr>
            <w:r w:rsidRPr="00424307">
              <w:rPr>
                <w:b/>
                <w:sz w:val="20"/>
                <w:szCs w:val="20"/>
                <w:lang w:val="el-GR"/>
              </w:rPr>
              <w:t>201</w:t>
            </w:r>
            <w:r>
              <w:rPr>
                <w:b/>
                <w:sz w:val="20"/>
                <w:szCs w:val="20"/>
                <w:lang w:val="el-GR"/>
              </w:rPr>
              <w:t>3</w:t>
            </w:r>
          </w:p>
        </w:tc>
        <w:tc>
          <w:tcPr>
            <w:tcW w:w="2413" w:type="dxa"/>
            <w:shd w:val="pct5" w:color="000000" w:fill="FFFFFF"/>
          </w:tcPr>
          <w:p w:rsidR="0096399A" w:rsidRPr="0032361E" w:rsidRDefault="0096399A" w:rsidP="00BD50B4">
            <w:pPr>
              <w:jc w:val="center"/>
              <w:rPr>
                <w:b/>
                <w:sz w:val="20"/>
                <w:szCs w:val="20"/>
                <w:lang w:val="el-GR"/>
              </w:rPr>
            </w:pPr>
            <w:r w:rsidRPr="00424307">
              <w:rPr>
                <w:b/>
                <w:sz w:val="20"/>
                <w:szCs w:val="20"/>
                <w:lang w:val="el-GR"/>
              </w:rPr>
              <w:t>20</w:t>
            </w:r>
            <w:r w:rsidRPr="00424307">
              <w:rPr>
                <w:b/>
                <w:sz w:val="20"/>
                <w:szCs w:val="20"/>
                <w:lang w:val="en-US"/>
              </w:rPr>
              <w:t>1</w:t>
            </w:r>
            <w:r>
              <w:rPr>
                <w:b/>
                <w:sz w:val="20"/>
                <w:szCs w:val="20"/>
                <w:lang w:val="el-GR"/>
              </w:rPr>
              <w:t>2</w:t>
            </w:r>
          </w:p>
        </w:tc>
        <w:tc>
          <w:tcPr>
            <w:tcW w:w="2413" w:type="dxa"/>
            <w:shd w:val="pct5" w:color="000000" w:fill="FFFFFF"/>
          </w:tcPr>
          <w:p w:rsidR="0096399A" w:rsidRPr="00424307" w:rsidRDefault="0096399A" w:rsidP="00BD50B4">
            <w:pPr>
              <w:jc w:val="center"/>
              <w:rPr>
                <w:b/>
                <w:sz w:val="20"/>
                <w:szCs w:val="20"/>
                <w:lang w:val="el-GR"/>
              </w:rPr>
            </w:pPr>
            <w:r w:rsidRPr="00424307">
              <w:rPr>
                <w:b/>
                <w:sz w:val="20"/>
                <w:szCs w:val="20"/>
                <w:lang w:val="el-GR"/>
              </w:rPr>
              <w:t>Μεταβολή %</w:t>
            </w:r>
          </w:p>
        </w:tc>
      </w:tr>
      <w:tr w:rsidR="0096399A" w:rsidRPr="00D13A51" w:rsidTr="00BD50B4">
        <w:trPr>
          <w:trHeight w:val="57"/>
          <w:jc w:val="center"/>
        </w:trPr>
        <w:tc>
          <w:tcPr>
            <w:tcW w:w="2413" w:type="dxa"/>
            <w:shd w:val="pct20" w:color="000000" w:fill="FFFFFF"/>
          </w:tcPr>
          <w:p w:rsidR="0096399A" w:rsidRPr="00424307" w:rsidRDefault="0096399A" w:rsidP="00BD50B4">
            <w:pPr>
              <w:rPr>
                <w:sz w:val="20"/>
                <w:szCs w:val="20"/>
                <w:lang w:val="el-GR"/>
              </w:rPr>
            </w:pPr>
            <w:r w:rsidRPr="00424307">
              <w:rPr>
                <w:sz w:val="20"/>
                <w:szCs w:val="20"/>
                <w:lang w:val="el-GR"/>
              </w:rPr>
              <w:t>Σύνολο κύκλου εργασιών</w:t>
            </w:r>
          </w:p>
        </w:tc>
        <w:tc>
          <w:tcPr>
            <w:tcW w:w="2413" w:type="dxa"/>
            <w:shd w:val="pct20"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82.358.860</w:t>
            </w:r>
          </w:p>
        </w:tc>
        <w:tc>
          <w:tcPr>
            <w:tcW w:w="2413" w:type="dxa"/>
            <w:shd w:val="pct20"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86.216.384</w:t>
            </w:r>
          </w:p>
        </w:tc>
        <w:tc>
          <w:tcPr>
            <w:tcW w:w="2413" w:type="dxa"/>
            <w:shd w:val="pct20" w:color="000000" w:fill="FFFFFF"/>
          </w:tcPr>
          <w:p w:rsidR="0096399A" w:rsidRPr="00E529A8" w:rsidRDefault="0096399A" w:rsidP="00BD50B4">
            <w:pPr>
              <w:ind w:right="836"/>
              <w:jc w:val="right"/>
              <w:rPr>
                <w:sz w:val="20"/>
                <w:szCs w:val="20"/>
                <w:lang w:val="el-GR"/>
              </w:rPr>
            </w:pPr>
            <w:r>
              <w:rPr>
                <w:sz w:val="20"/>
                <w:szCs w:val="20"/>
                <w:lang w:val="el-GR"/>
              </w:rPr>
              <w:t>-4,5</w:t>
            </w:r>
          </w:p>
        </w:tc>
      </w:tr>
      <w:tr w:rsidR="0096399A" w:rsidRPr="00D13A51" w:rsidTr="00BD50B4">
        <w:trPr>
          <w:trHeight w:val="57"/>
          <w:jc w:val="center"/>
        </w:trPr>
        <w:tc>
          <w:tcPr>
            <w:tcW w:w="2413" w:type="dxa"/>
            <w:shd w:val="pct5" w:color="000000" w:fill="FFFFFF"/>
          </w:tcPr>
          <w:p w:rsidR="0096399A" w:rsidRPr="00424307" w:rsidRDefault="0096399A" w:rsidP="00BD50B4">
            <w:pPr>
              <w:rPr>
                <w:sz w:val="20"/>
                <w:szCs w:val="20"/>
                <w:lang w:val="el-GR"/>
              </w:rPr>
            </w:pPr>
            <w:r w:rsidRPr="00424307">
              <w:rPr>
                <w:sz w:val="20"/>
                <w:szCs w:val="20"/>
                <w:lang w:val="el-GR"/>
              </w:rPr>
              <w:t xml:space="preserve">Σύνολο κερδών </w:t>
            </w:r>
            <w:r w:rsidRPr="00424307">
              <w:rPr>
                <w:sz w:val="20"/>
                <w:szCs w:val="20"/>
              </w:rPr>
              <w:t>EBITDA</w:t>
            </w:r>
          </w:p>
        </w:tc>
        <w:tc>
          <w:tcPr>
            <w:tcW w:w="2413" w:type="dxa"/>
            <w:shd w:val="pct5"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13.253.495*</w:t>
            </w:r>
          </w:p>
        </w:tc>
        <w:tc>
          <w:tcPr>
            <w:tcW w:w="2413" w:type="dxa"/>
            <w:shd w:val="pct5"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6.002.089</w:t>
            </w:r>
          </w:p>
        </w:tc>
        <w:tc>
          <w:tcPr>
            <w:tcW w:w="2413" w:type="dxa"/>
            <w:shd w:val="pct5" w:color="000000" w:fill="FFFFFF"/>
          </w:tcPr>
          <w:p w:rsidR="0096399A" w:rsidRPr="00E529A8" w:rsidRDefault="0096399A" w:rsidP="00BD50B4">
            <w:pPr>
              <w:ind w:right="836"/>
              <w:jc w:val="right"/>
              <w:rPr>
                <w:sz w:val="20"/>
                <w:szCs w:val="20"/>
                <w:lang w:val="el-GR"/>
              </w:rPr>
            </w:pPr>
            <w:r>
              <w:rPr>
                <w:sz w:val="20"/>
                <w:szCs w:val="20"/>
                <w:lang w:val="el-GR"/>
              </w:rPr>
              <w:t>120,8</w:t>
            </w:r>
          </w:p>
        </w:tc>
      </w:tr>
      <w:tr w:rsidR="0096399A" w:rsidRPr="00D13A51" w:rsidTr="00BD50B4">
        <w:trPr>
          <w:trHeight w:val="57"/>
          <w:jc w:val="center"/>
        </w:trPr>
        <w:tc>
          <w:tcPr>
            <w:tcW w:w="2413" w:type="dxa"/>
            <w:shd w:val="pct20" w:color="000000" w:fill="FFFFFF"/>
          </w:tcPr>
          <w:p w:rsidR="0096399A" w:rsidRPr="00424307" w:rsidRDefault="0096399A" w:rsidP="00BD50B4">
            <w:pPr>
              <w:rPr>
                <w:sz w:val="20"/>
                <w:szCs w:val="20"/>
                <w:lang w:val="el-GR"/>
              </w:rPr>
            </w:pPr>
            <w:r w:rsidRPr="00424307">
              <w:rPr>
                <w:sz w:val="20"/>
                <w:szCs w:val="20"/>
                <w:lang w:val="el-GR"/>
              </w:rPr>
              <w:t>Σύνολο κερδών προ φόρων</w:t>
            </w:r>
          </w:p>
        </w:tc>
        <w:tc>
          <w:tcPr>
            <w:tcW w:w="2413" w:type="dxa"/>
            <w:shd w:val="pct20"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7.615.639**</w:t>
            </w:r>
          </w:p>
        </w:tc>
        <w:tc>
          <w:tcPr>
            <w:tcW w:w="2413" w:type="dxa"/>
            <w:shd w:val="pct20"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-772.146</w:t>
            </w:r>
          </w:p>
        </w:tc>
        <w:tc>
          <w:tcPr>
            <w:tcW w:w="2413" w:type="dxa"/>
            <w:shd w:val="pct20" w:color="000000" w:fill="FFFFFF"/>
          </w:tcPr>
          <w:p w:rsidR="0096399A" w:rsidRPr="00E529A8" w:rsidRDefault="0096399A" w:rsidP="00BD50B4">
            <w:pPr>
              <w:ind w:right="836"/>
              <w:jc w:val="right"/>
              <w:rPr>
                <w:sz w:val="20"/>
                <w:szCs w:val="20"/>
                <w:lang w:val="el-GR"/>
              </w:rPr>
            </w:pPr>
            <w:r>
              <w:rPr>
                <w:sz w:val="20"/>
                <w:szCs w:val="20"/>
                <w:lang w:val="el-GR"/>
              </w:rPr>
              <w:t>-</w:t>
            </w:r>
          </w:p>
        </w:tc>
      </w:tr>
      <w:tr w:rsidR="0096399A" w:rsidRPr="00D13A51" w:rsidTr="00BD50B4">
        <w:trPr>
          <w:trHeight w:val="57"/>
          <w:jc w:val="center"/>
        </w:trPr>
        <w:tc>
          <w:tcPr>
            <w:tcW w:w="2413" w:type="dxa"/>
            <w:shd w:val="pct5" w:color="000000" w:fill="FFFFFF"/>
          </w:tcPr>
          <w:p w:rsidR="0096399A" w:rsidRPr="00424307" w:rsidRDefault="0096399A" w:rsidP="00BD50B4">
            <w:pPr>
              <w:rPr>
                <w:sz w:val="20"/>
                <w:szCs w:val="20"/>
                <w:lang w:val="el-GR"/>
              </w:rPr>
            </w:pPr>
            <w:r w:rsidRPr="00424307">
              <w:rPr>
                <w:sz w:val="20"/>
                <w:szCs w:val="20"/>
                <w:lang w:val="el-GR"/>
              </w:rPr>
              <w:t>Σύνολο ιδίων κεφαλαίων</w:t>
            </w:r>
          </w:p>
        </w:tc>
        <w:tc>
          <w:tcPr>
            <w:tcW w:w="2413" w:type="dxa"/>
            <w:shd w:val="pct5"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63.333.567</w:t>
            </w:r>
          </w:p>
        </w:tc>
        <w:tc>
          <w:tcPr>
            <w:tcW w:w="2413" w:type="dxa"/>
            <w:shd w:val="pct5" w:color="000000" w:fill="FFFFFF"/>
          </w:tcPr>
          <w:p w:rsidR="0096399A" w:rsidRPr="00E529A8" w:rsidRDefault="0096399A" w:rsidP="0096399A">
            <w:pPr>
              <w:tabs>
                <w:tab w:val="left" w:pos="1587"/>
              </w:tabs>
              <w:ind w:rightChars="212" w:right="509"/>
              <w:jc w:val="right"/>
              <w:rPr>
                <w:sz w:val="20"/>
                <w:szCs w:val="20"/>
                <w:lang w:val="el-GR"/>
              </w:rPr>
            </w:pPr>
            <w:r>
              <w:rPr>
                <w:sz w:val="20"/>
                <w:szCs w:val="20"/>
                <w:lang w:val="el-GR"/>
              </w:rPr>
              <w:t>42.858.689</w:t>
            </w:r>
          </w:p>
        </w:tc>
        <w:tc>
          <w:tcPr>
            <w:tcW w:w="2413" w:type="dxa"/>
            <w:shd w:val="pct5" w:color="000000" w:fill="FFFFFF"/>
          </w:tcPr>
          <w:p w:rsidR="0096399A" w:rsidRPr="00E529A8" w:rsidRDefault="0096399A" w:rsidP="00BD50B4">
            <w:pPr>
              <w:ind w:right="836"/>
              <w:jc w:val="right"/>
              <w:rPr>
                <w:sz w:val="20"/>
                <w:szCs w:val="20"/>
                <w:lang w:val="el-GR"/>
              </w:rPr>
            </w:pPr>
            <w:r>
              <w:rPr>
                <w:sz w:val="20"/>
                <w:szCs w:val="20"/>
                <w:lang w:val="el-GR"/>
              </w:rPr>
              <w:t>47,8</w:t>
            </w:r>
          </w:p>
        </w:tc>
      </w:tr>
    </w:tbl>
    <w:bookmarkEnd w:id="4"/>
    <w:p w:rsidR="0096399A" w:rsidRPr="00533832" w:rsidRDefault="0096399A" w:rsidP="0096399A">
      <w:pPr>
        <w:spacing w:line="360" w:lineRule="auto"/>
        <w:jc w:val="both"/>
        <w:rPr>
          <w:sz w:val="18"/>
          <w:szCs w:val="18"/>
          <w:lang w:val="el-GR"/>
        </w:rPr>
      </w:pPr>
      <w:r w:rsidRPr="00533832">
        <w:rPr>
          <w:sz w:val="18"/>
          <w:szCs w:val="18"/>
          <w:lang w:val="el-GR"/>
        </w:rPr>
        <w:t xml:space="preserve">* </w:t>
      </w:r>
      <w:r w:rsidR="00C6391C">
        <w:rPr>
          <w:sz w:val="18"/>
          <w:szCs w:val="18"/>
          <w:lang w:val="el-GR"/>
        </w:rPr>
        <w:t xml:space="preserve">Το αντίστοιχο μέγεθος διαμορφώνεται σε </w:t>
      </w:r>
      <w:r w:rsidRPr="00533832">
        <w:rPr>
          <w:sz w:val="18"/>
          <w:szCs w:val="18"/>
          <w:lang w:val="el-GR"/>
        </w:rPr>
        <w:t xml:space="preserve">€9.193.368 χιλ. εξαιρουμένων των </w:t>
      </w:r>
      <w:r w:rsidRPr="00533832">
        <w:rPr>
          <w:sz w:val="18"/>
          <w:szCs w:val="18"/>
          <w:lang w:val="en-US"/>
        </w:rPr>
        <w:t>AlphaBankAE</w:t>
      </w:r>
      <w:r w:rsidRPr="00533832">
        <w:rPr>
          <w:sz w:val="18"/>
          <w:szCs w:val="18"/>
          <w:lang w:val="el-GR"/>
        </w:rPr>
        <w:t xml:space="preserve"> και Πειραιώς Τράπεζα ΑΕ</w:t>
      </w:r>
    </w:p>
    <w:p w:rsidR="0096399A" w:rsidRPr="00533832" w:rsidRDefault="0096399A" w:rsidP="0096399A">
      <w:pPr>
        <w:spacing w:line="360" w:lineRule="auto"/>
        <w:jc w:val="both"/>
        <w:rPr>
          <w:sz w:val="18"/>
          <w:szCs w:val="18"/>
          <w:lang w:val="el-GR"/>
        </w:rPr>
      </w:pPr>
      <w:r w:rsidRPr="00533832">
        <w:rPr>
          <w:sz w:val="18"/>
          <w:szCs w:val="18"/>
          <w:lang w:val="el-GR"/>
        </w:rPr>
        <w:t>**</w:t>
      </w:r>
      <w:r w:rsidR="00C6391C">
        <w:rPr>
          <w:sz w:val="18"/>
          <w:szCs w:val="18"/>
          <w:lang w:val="el-GR"/>
        </w:rPr>
        <w:t xml:space="preserve"> Το αντίστοιχο μέγεθος διαμορφώνεται σε </w:t>
      </w:r>
      <w:r w:rsidRPr="00533832">
        <w:rPr>
          <w:sz w:val="18"/>
          <w:szCs w:val="18"/>
          <w:lang w:val="el-GR"/>
        </w:rPr>
        <w:t xml:space="preserve">€3.677.195 χιλ. εξαιρουμένων των </w:t>
      </w:r>
      <w:r w:rsidRPr="00533832">
        <w:rPr>
          <w:sz w:val="18"/>
          <w:szCs w:val="18"/>
          <w:lang w:val="en-US"/>
        </w:rPr>
        <w:t>AlphaBankAE</w:t>
      </w:r>
      <w:r w:rsidRPr="00533832">
        <w:rPr>
          <w:sz w:val="18"/>
          <w:szCs w:val="18"/>
          <w:lang w:val="el-GR"/>
        </w:rPr>
        <w:t xml:space="preserve"> και Πειραιώς Τράπεζα ΑΕ</w:t>
      </w:r>
    </w:p>
    <w:p w:rsidR="0096399A" w:rsidRDefault="0096399A" w:rsidP="0096399A">
      <w:pPr>
        <w:spacing w:line="360" w:lineRule="auto"/>
        <w:jc w:val="both"/>
        <w:rPr>
          <w:sz w:val="22"/>
          <w:szCs w:val="22"/>
          <w:lang w:val="el-GR"/>
        </w:rPr>
      </w:pPr>
    </w:p>
    <w:p w:rsidR="0096399A" w:rsidRPr="00324BB5" w:rsidRDefault="0096399A" w:rsidP="0096399A">
      <w:pPr>
        <w:spacing w:line="360" w:lineRule="auto"/>
        <w:jc w:val="both"/>
        <w:rPr>
          <w:sz w:val="22"/>
          <w:szCs w:val="22"/>
          <w:lang w:val="el-GR"/>
        </w:rPr>
      </w:pPr>
      <w:r>
        <w:rPr>
          <w:sz w:val="22"/>
          <w:szCs w:val="22"/>
          <w:lang w:val="el-GR"/>
        </w:rPr>
        <w:t>Σχετικά με την</w:t>
      </w:r>
      <w:r w:rsidRPr="00324BB5">
        <w:rPr>
          <w:sz w:val="22"/>
          <w:szCs w:val="22"/>
          <w:lang w:val="el-GR"/>
        </w:rPr>
        <w:t xml:space="preserve"> εξέλιξη της κερδοφορία</w:t>
      </w:r>
      <w:r>
        <w:rPr>
          <w:sz w:val="22"/>
          <w:szCs w:val="22"/>
          <w:lang w:val="el-GR"/>
        </w:rPr>
        <w:t>ς για</w:t>
      </w:r>
      <w:r w:rsidRPr="00324BB5">
        <w:rPr>
          <w:sz w:val="22"/>
          <w:szCs w:val="22"/>
          <w:lang w:val="el-GR"/>
        </w:rPr>
        <w:t xml:space="preserve"> το σύνολο των </w:t>
      </w:r>
      <w:r>
        <w:rPr>
          <w:sz w:val="22"/>
          <w:szCs w:val="22"/>
          <w:lang w:val="el-GR"/>
        </w:rPr>
        <w:t>ελληνικών εταιρειών,</w:t>
      </w:r>
      <w:r w:rsidRPr="00324BB5">
        <w:rPr>
          <w:sz w:val="22"/>
          <w:szCs w:val="22"/>
          <w:lang w:val="el-GR"/>
        </w:rPr>
        <w:t xml:space="preserve"> διαπιστώνεται μεν ότι τα συνολικά κέρδη  </w:t>
      </w:r>
      <w:r w:rsidRPr="00324BB5">
        <w:rPr>
          <w:sz w:val="22"/>
          <w:szCs w:val="22"/>
        </w:rPr>
        <w:t>EBITDA</w:t>
      </w:r>
      <w:r>
        <w:rPr>
          <w:sz w:val="22"/>
          <w:szCs w:val="22"/>
          <w:lang w:val="el-GR"/>
        </w:rPr>
        <w:t xml:space="preserve"> αυξήθηκαν κατά περίπου €9,8 δισ.</w:t>
      </w:r>
      <w:r w:rsidRPr="00324BB5">
        <w:rPr>
          <w:sz w:val="22"/>
          <w:szCs w:val="22"/>
          <w:lang w:val="el-GR"/>
        </w:rPr>
        <w:t>, ωστόσο το τελικό τους καθαρό</w:t>
      </w:r>
      <w:r>
        <w:rPr>
          <w:sz w:val="22"/>
          <w:szCs w:val="22"/>
          <w:lang w:val="el-GR"/>
        </w:rPr>
        <w:t xml:space="preserve"> αποτέλεσμα παρέμεινε ζημιογόνο και </w:t>
      </w:r>
      <w:r w:rsidRPr="00324BB5">
        <w:rPr>
          <w:sz w:val="22"/>
          <w:szCs w:val="22"/>
          <w:lang w:val="el-GR"/>
        </w:rPr>
        <w:t>το 201</w:t>
      </w:r>
      <w:r>
        <w:rPr>
          <w:sz w:val="22"/>
          <w:szCs w:val="22"/>
          <w:lang w:val="el-GR"/>
        </w:rPr>
        <w:t>3</w:t>
      </w:r>
      <w:r w:rsidRPr="00324BB5">
        <w:rPr>
          <w:rStyle w:val="af3"/>
          <w:b/>
          <w:sz w:val="22"/>
          <w:szCs w:val="22"/>
          <w:lang w:val="el-GR"/>
        </w:rPr>
        <w:footnoteReference w:id="3"/>
      </w:r>
      <w:r w:rsidR="00C6391C">
        <w:rPr>
          <w:sz w:val="22"/>
          <w:szCs w:val="22"/>
          <w:lang w:val="el-GR"/>
        </w:rPr>
        <w:t>, με εμφανή όμως μείωση των ζημιών σε σχέση με το προηγούμενο έτος</w:t>
      </w:r>
      <w:r w:rsidRPr="00324BB5">
        <w:rPr>
          <w:sz w:val="22"/>
          <w:szCs w:val="22"/>
          <w:lang w:val="el-GR"/>
        </w:rPr>
        <w:t>.</w:t>
      </w:r>
    </w:p>
    <w:p w:rsidR="00B345ED" w:rsidRDefault="00B345ED">
      <w:pPr>
        <w:spacing w:after="200" w:line="276" w:lineRule="auto"/>
        <w:rPr>
          <w:sz w:val="22"/>
          <w:szCs w:val="22"/>
          <w:lang w:val="el-GR"/>
        </w:rPr>
      </w:pPr>
      <w:r>
        <w:rPr>
          <w:sz w:val="22"/>
          <w:szCs w:val="22"/>
          <w:lang w:val="el-GR"/>
        </w:rPr>
        <w:br w:type="page"/>
      </w:r>
    </w:p>
    <w:p w:rsidR="0096399A" w:rsidRPr="00324BB5" w:rsidRDefault="0096399A" w:rsidP="0096399A">
      <w:pPr>
        <w:spacing w:line="360" w:lineRule="auto"/>
        <w:jc w:val="both"/>
        <w:rPr>
          <w:sz w:val="22"/>
          <w:szCs w:val="22"/>
          <w:lang w:val="el-GR"/>
        </w:rPr>
      </w:pPr>
    </w:p>
    <w:p w:rsidR="0096399A" w:rsidRPr="00324BB5" w:rsidRDefault="0096399A" w:rsidP="0096399A">
      <w:pPr>
        <w:pStyle w:val="a8"/>
        <w:rPr>
          <w:rFonts w:ascii="Times New Roman" w:hAnsi="Times New Roman"/>
        </w:rPr>
      </w:pPr>
      <w:bookmarkStart w:id="5" w:name="_Toc207785912"/>
      <w:r w:rsidRPr="00324BB5">
        <w:rPr>
          <w:rFonts w:ascii="Times New Roman" w:hAnsi="Times New Roman"/>
        </w:rPr>
        <w:t>2.</w:t>
      </w:r>
      <w:r w:rsidRPr="00324BB5">
        <w:rPr>
          <w:rFonts w:ascii="Times New Roman" w:hAnsi="Times New Roman"/>
        </w:rPr>
        <w:tab/>
        <w:t>Τομεακή Κατανομή Εταιρειών και Κερδών το 201</w:t>
      </w:r>
      <w:r>
        <w:rPr>
          <w:rFonts w:ascii="Times New Roman" w:hAnsi="Times New Roman"/>
        </w:rPr>
        <w:t>3</w:t>
      </w:r>
      <w:r w:rsidRPr="00324BB5">
        <w:rPr>
          <w:rFonts w:ascii="Times New Roman" w:hAnsi="Times New Roman"/>
        </w:rPr>
        <w:t xml:space="preserve"> - Μερίδια </w:t>
      </w:r>
    </w:p>
    <w:p w:rsidR="0096399A" w:rsidRPr="00D13A51" w:rsidRDefault="0096399A" w:rsidP="0096399A">
      <w:pPr>
        <w:pStyle w:val="ae"/>
        <w:rPr>
          <w:sz w:val="20"/>
          <w:highlight w:val="yellow"/>
        </w:rPr>
      </w:pPr>
    </w:p>
    <w:p w:rsidR="0096399A" w:rsidRPr="00D13A51" w:rsidRDefault="0096399A" w:rsidP="0096399A">
      <w:pPr>
        <w:spacing w:line="360" w:lineRule="auto"/>
        <w:jc w:val="both"/>
        <w:rPr>
          <w:sz w:val="22"/>
          <w:szCs w:val="22"/>
          <w:highlight w:val="yellow"/>
          <w:lang w:val="el-GR"/>
        </w:rPr>
      </w:pPr>
      <w:r w:rsidRPr="00DF71EA">
        <w:rPr>
          <w:sz w:val="22"/>
          <w:szCs w:val="22"/>
          <w:lang w:val="el-GR"/>
        </w:rPr>
        <w:t>Πέραν των μεταβολών που χαρακτηρίζουν τα βασικά οικονομικά μεγέθη των εταιρειών της κατάταξης, στη συνέχεια αξιολογείται η συμμετοχή των επί μέρους τομέων οικονομικής δραστηριότητας, στα  αποτελέσματα των 500 πλέον κερδοφόρων επιχειρήσεων το 201</w:t>
      </w:r>
      <w:r>
        <w:rPr>
          <w:sz w:val="22"/>
          <w:szCs w:val="22"/>
          <w:lang w:val="el-GR"/>
        </w:rPr>
        <w:t>3</w:t>
      </w:r>
      <w:r w:rsidRPr="00DF71EA">
        <w:rPr>
          <w:sz w:val="22"/>
          <w:szCs w:val="22"/>
          <w:lang w:val="el-GR"/>
        </w:rPr>
        <w:t xml:space="preserve">. </w:t>
      </w:r>
      <w:r>
        <w:rPr>
          <w:sz w:val="22"/>
          <w:szCs w:val="22"/>
          <w:lang w:val="el-GR"/>
        </w:rPr>
        <w:t>Σχετικά με</w:t>
      </w:r>
      <w:r w:rsidRPr="00DF71EA">
        <w:rPr>
          <w:sz w:val="22"/>
          <w:szCs w:val="22"/>
          <w:lang w:val="el-GR"/>
        </w:rPr>
        <w:t xml:space="preserve"> τις εταιρείες που συγκροτούν τον κατάλογο των </w:t>
      </w:r>
      <w:r w:rsidRPr="00DF71EA">
        <w:rPr>
          <w:b/>
          <w:sz w:val="22"/>
          <w:szCs w:val="22"/>
          <w:lang w:val="el-GR"/>
        </w:rPr>
        <w:t>top 500</w:t>
      </w:r>
      <w:r w:rsidRPr="00DF71EA">
        <w:rPr>
          <w:sz w:val="22"/>
          <w:szCs w:val="22"/>
          <w:lang w:val="el-GR"/>
        </w:rPr>
        <w:t xml:space="preserve"> εταιρειών βάσει EBITDA, </w:t>
      </w:r>
      <w:r>
        <w:rPr>
          <w:sz w:val="22"/>
          <w:szCs w:val="22"/>
          <w:lang w:val="el-GR"/>
        </w:rPr>
        <w:t>επεκράτησε ο τομέας της</w:t>
      </w:r>
      <w:r>
        <w:rPr>
          <w:b/>
          <w:sz w:val="22"/>
          <w:szCs w:val="22"/>
          <w:lang w:val="el-GR"/>
        </w:rPr>
        <w:t>Βιομηχανίας</w:t>
      </w:r>
      <w:r w:rsidRPr="00DF71EA">
        <w:rPr>
          <w:sz w:val="22"/>
          <w:szCs w:val="22"/>
          <w:lang w:val="el-GR"/>
        </w:rPr>
        <w:t xml:space="preserve"> με συμμετοχή </w:t>
      </w:r>
      <w:r w:rsidRPr="00DF71EA">
        <w:rPr>
          <w:b/>
          <w:sz w:val="22"/>
          <w:szCs w:val="22"/>
          <w:lang w:val="el-GR"/>
        </w:rPr>
        <w:t>1</w:t>
      </w:r>
      <w:r>
        <w:rPr>
          <w:b/>
          <w:sz w:val="22"/>
          <w:szCs w:val="22"/>
          <w:lang w:val="el-GR"/>
        </w:rPr>
        <w:t>64</w:t>
      </w:r>
      <w:r w:rsidRPr="00DF71EA">
        <w:rPr>
          <w:sz w:val="22"/>
          <w:szCs w:val="22"/>
          <w:lang w:val="el-GR"/>
        </w:rPr>
        <w:t xml:space="preserve"> εταιρειών (ποσοστό 3</w:t>
      </w:r>
      <w:r>
        <w:rPr>
          <w:sz w:val="22"/>
          <w:szCs w:val="22"/>
          <w:lang w:val="el-GR"/>
        </w:rPr>
        <w:t>2,8</w:t>
      </w:r>
      <w:r w:rsidRPr="00DF71EA">
        <w:rPr>
          <w:sz w:val="22"/>
          <w:szCs w:val="22"/>
          <w:lang w:val="el-GR"/>
        </w:rPr>
        <w:t xml:space="preserve">%). Ακολουθεί  </w:t>
      </w:r>
      <w:r>
        <w:rPr>
          <w:sz w:val="22"/>
          <w:szCs w:val="22"/>
          <w:lang w:val="el-GR"/>
        </w:rPr>
        <w:t xml:space="preserve">ο τομέας των </w:t>
      </w:r>
      <w:r w:rsidRPr="00D50E75">
        <w:rPr>
          <w:b/>
          <w:sz w:val="22"/>
          <w:szCs w:val="22"/>
          <w:lang w:val="el-GR"/>
        </w:rPr>
        <w:t>«Λοιπών Υπηρεσιών»</w:t>
      </w:r>
      <w:r w:rsidRPr="00DF71EA">
        <w:rPr>
          <w:sz w:val="22"/>
          <w:szCs w:val="22"/>
          <w:lang w:val="el-GR"/>
        </w:rPr>
        <w:t>(πλην Τουρισμού, Ασφαλειών και Τραπεζών-</w:t>
      </w:r>
      <w:r w:rsidRPr="00DF71EA">
        <w:rPr>
          <w:sz w:val="22"/>
          <w:szCs w:val="22"/>
          <w:lang w:val="en-US"/>
        </w:rPr>
        <w:t>Factoring</w:t>
      </w:r>
      <w:r w:rsidRPr="00DF71EA">
        <w:rPr>
          <w:sz w:val="22"/>
          <w:szCs w:val="22"/>
          <w:lang w:val="el-GR"/>
        </w:rPr>
        <w:t xml:space="preserve">) με </w:t>
      </w:r>
      <w:r>
        <w:rPr>
          <w:b/>
          <w:sz w:val="22"/>
          <w:szCs w:val="22"/>
          <w:lang w:val="el-GR"/>
        </w:rPr>
        <w:t>142</w:t>
      </w:r>
      <w:r w:rsidRPr="00DF71EA">
        <w:rPr>
          <w:sz w:val="22"/>
          <w:szCs w:val="22"/>
          <w:lang w:val="el-GR"/>
        </w:rPr>
        <w:t xml:space="preserve"> επιχειρήσεις (ποσοστό </w:t>
      </w:r>
      <w:r>
        <w:rPr>
          <w:sz w:val="22"/>
          <w:szCs w:val="22"/>
          <w:lang w:val="el-GR"/>
        </w:rPr>
        <w:t>28,4</w:t>
      </w:r>
      <w:r w:rsidRPr="00DF71EA">
        <w:rPr>
          <w:sz w:val="22"/>
          <w:szCs w:val="22"/>
          <w:lang w:val="el-GR"/>
        </w:rPr>
        <w:t xml:space="preserve">%), στη συνέχεια δε το </w:t>
      </w:r>
      <w:r w:rsidRPr="00DF71EA">
        <w:rPr>
          <w:b/>
          <w:sz w:val="22"/>
          <w:szCs w:val="22"/>
          <w:lang w:val="el-GR"/>
        </w:rPr>
        <w:t xml:space="preserve">Εμπόριο, </w:t>
      </w:r>
      <w:r w:rsidRPr="00DF71EA">
        <w:rPr>
          <w:sz w:val="22"/>
          <w:szCs w:val="22"/>
          <w:lang w:val="el-GR"/>
        </w:rPr>
        <w:t xml:space="preserve">η συμμετοχή του </w:t>
      </w:r>
      <w:r>
        <w:rPr>
          <w:sz w:val="22"/>
          <w:szCs w:val="22"/>
          <w:lang w:val="el-GR"/>
        </w:rPr>
        <w:t>οποίου όμως ανήλθε το 2013</w:t>
      </w:r>
      <w:r w:rsidRPr="00DF71EA">
        <w:rPr>
          <w:sz w:val="22"/>
          <w:szCs w:val="22"/>
          <w:lang w:val="el-GR"/>
        </w:rPr>
        <w:t xml:space="preserve"> σε</w:t>
      </w:r>
      <w:r>
        <w:rPr>
          <w:b/>
          <w:sz w:val="22"/>
          <w:szCs w:val="22"/>
          <w:lang w:val="el-GR"/>
        </w:rPr>
        <w:t>108</w:t>
      </w:r>
      <w:r w:rsidRPr="00DF71EA">
        <w:rPr>
          <w:sz w:val="22"/>
          <w:szCs w:val="22"/>
          <w:lang w:val="el-GR"/>
        </w:rPr>
        <w:t xml:space="preserve"> εταιρείες</w:t>
      </w:r>
      <w:r w:rsidRPr="00DF71EA">
        <w:rPr>
          <w:rStyle w:val="af3"/>
          <w:sz w:val="22"/>
          <w:szCs w:val="22"/>
          <w:lang w:val="el-GR"/>
        </w:rPr>
        <w:footnoteReference w:id="4"/>
      </w:r>
      <w:r w:rsidRPr="00DF71EA">
        <w:rPr>
          <w:sz w:val="22"/>
          <w:szCs w:val="22"/>
          <w:lang w:val="el-GR"/>
        </w:rPr>
        <w:t xml:space="preserve"> (</w:t>
      </w:r>
      <w:r>
        <w:rPr>
          <w:sz w:val="22"/>
          <w:szCs w:val="22"/>
          <w:lang w:val="el-GR"/>
        </w:rPr>
        <w:t>21,6</w:t>
      </w:r>
      <w:r w:rsidRPr="00DF71EA">
        <w:rPr>
          <w:sz w:val="22"/>
          <w:szCs w:val="22"/>
          <w:lang w:val="el-GR"/>
        </w:rPr>
        <w:t xml:space="preserve">%). </w:t>
      </w:r>
    </w:p>
    <w:p w:rsidR="0096399A" w:rsidRPr="00DF71EA" w:rsidRDefault="0096399A" w:rsidP="0096399A">
      <w:pPr>
        <w:spacing w:line="360" w:lineRule="auto"/>
        <w:jc w:val="both"/>
        <w:rPr>
          <w:sz w:val="22"/>
          <w:szCs w:val="22"/>
          <w:lang w:val="el-GR"/>
        </w:rPr>
      </w:pPr>
      <w:r w:rsidRPr="00DF71EA">
        <w:rPr>
          <w:sz w:val="22"/>
          <w:szCs w:val="22"/>
          <w:lang w:val="el-GR"/>
        </w:rPr>
        <w:t xml:space="preserve">Στις επόμενες θέσεις βρίσκονται κατά σειρά οι τομείς του Τουρισμού, των Ασφαλειών και των Τραπεζών-Εταιρειών Factoring. Όπως και στις προηγούμενες εκδόσεις (για λόγους συγκρισιμότητας), έγινε διαχωρισμός των επιχειρήσεων που έχουν τις δραστηριότητες αυτές, από τις λοιπές εταιρείες παροχής υπηρεσιών. </w:t>
      </w:r>
    </w:p>
    <w:p w:rsidR="0096399A" w:rsidRPr="009E60E3" w:rsidRDefault="0096399A" w:rsidP="0096399A">
      <w:pPr>
        <w:spacing w:line="360" w:lineRule="auto"/>
        <w:jc w:val="both"/>
        <w:rPr>
          <w:b/>
          <w:sz w:val="22"/>
          <w:szCs w:val="22"/>
          <w:lang w:val="el-GR"/>
        </w:rPr>
      </w:pPr>
      <w:r w:rsidRPr="00497864">
        <w:rPr>
          <w:sz w:val="22"/>
          <w:szCs w:val="22"/>
          <w:lang w:val="el-GR"/>
        </w:rPr>
        <w:t xml:space="preserve">Όσον αφορά το κύριο κριτήριο της κατάταξης </w:t>
      </w:r>
      <w:r w:rsidRPr="00497864">
        <w:rPr>
          <w:b/>
          <w:sz w:val="22"/>
          <w:szCs w:val="22"/>
          <w:lang w:val="el-GR"/>
        </w:rPr>
        <w:t>την κερδοφορία</w:t>
      </w:r>
      <w:r w:rsidRPr="00497864">
        <w:rPr>
          <w:sz w:val="22"/>
          <w:szCs w:val="22"/>
          <w:lang w:val="el-GR"/>
        </w:rPr>
        <w:t>, ο τομέας των</w:t>
      </w:r>
      <w:r w:rsidRPr="00D50E75">
        <w:rPr>
          <w:b/>
          <w:sz w:val="22"/>
          <w:szCs w:val="22"/>
          <w:lang w:val="el-GR"/>
        </w:rPr>
        <w:t>Τραπεζών-Εταιρειών Factoring</w:t>
      </w:r>
      <w:r>
        <w:rPr>
          <w:sz w:val="22"/>
          <w:szCs w:val="22"/>
          <w:lang w:val="el-GR"/>
        </w:rPr>
        <w:t>με τρεις Τράπεζες και τρε</w:t>
      </w:r>
      <w:r w:rsidR="00956360">
        <w:rPr>
          <w:sz w:val="22"/>
          <w:szCs w:val="22"/>
          <w:lang w:val="el-GR"/>
        </w:rPr>
        <w:t>ι</w:t>
      </w:r>
      <w:r>
        <w:rPr>
          <w:sz w:val="22"/>
          <w:szCs w:val="22"/>
          <w:lang w:val="el-GR"/>
        </w:rPr>
        <w:t xml:space="preserve">ς εταιρείες </w:t>
      </w:r>
      <w:r>
        <w:rPr>
          <w:sz w:val="22"/>
          <w:szCs w:val="22"/>
          <w:lang w:val="en-US"/>
        </w:rPr>
        <w:t>Factoring</w:t>
      </w:r>
      <w:r>
        <w:rPr>
          <w:sz w:val="22"/>
          <w:szCs w:val="22"/>
          <w:lang w:val="el-GR"/>
        </w:rPr>
        <w:t xml:space="preserve"> πέρασε</w:t>
      </w:r>
      <w:r w:rsidRPr="00497864">
        <w:rPr>
          <w:sz w:val="22"/>
          <w:szCs w:val="22"/>
          <w:lang w:val="el-GR"/>
        </w:rPr>
        <w:t xml:space="preserve"> στην κορυφή, το δε μερίδιό του </w:t>
      </w:r>
      <w:r w:rsidRPr="00497864">
        <w:rPr>
          <w:sz w:val="22"/>
          <w:szCs w:val="22"/>
          <w:u w:val="single"/>
          <w:lang w:val="el-GR"/>
        </w:rPr>
        <w:t xml:space="preserve">στα κέρδη EBITDA </w:t>
      </w:r>
      <w:r w:rsidRPr="00497864">
        <w:rPr>
          <w:sz w:val="22"/>
          <w:szCs w:val="22"/>
          <w:lang w:val="el-GR"/>
        </w:rPr>
        <w:t xml:space="preserve">ανήλθε σε </w:t>
      </w:r>
      <w:r>
        <w:rPr>
          <w:b/>
          <w:sz w:val="22"/>
          <w:szCs w:val="22"/>
          <w:lang w:val="el-GR"/>
        </w:rPr>
        <w:t>37,3</w:t>
      </w:r>
      <w:r w:rsidRPr="00497864">
        <w:rPr>
          <w:b/>
          <w:sz w:val="22"/>
          <w:szCs w:val="22"/>
          <w:lang w:val="el-GR"/>
        </w:rPr>
        <w:t>%</w:t>
      </w:r>
      <w:r>
        <w:rPr>
          <w:sz w:val="22"/>
          <w:szCs w:val="22"/>
          <w:lang w:val="el-GR"/>
        </w:rPr>
        <w:t>το 2013</w:t>
      </w:r>
      <w:r w:rsidRPr="00497864">
        <w:rPr>
          <w:b/>
          <w:sz w:val="22"/>
          <w:szCs w:val="22"/>
          <w:lang w:val="el-GR"/>
        </w:rPr>
        <w:t>.</w:t>
      </w:r>
      <w:r>
        <w:rPr>
          <w:sz w:val="22"/>
          <w:szCs w:val="22"/>
          <w:lang w:val="el-GR"/>
        </w:rPr>
        <w:t xml:space="preserve">Ο ίδιος μάλιστα τομέας αναδείχθηκε </w:t>
      </w:r>
      <w:r w:rsidRPr="00AC7515">
        <w:rPr>
          <w:sz w:val="22"/>
          <w:szCs w:val="22"/>
          <w:lang w:val="el-GR"/>
        </w:rPr>
        <w:t>κορυφαίος όσον αφορά</w:t>
      </w:r>
      <w:r>
        <w:rPr>
          <w:sz w:val="22"/>
          <w:szCs w:val="22"/>
          <w:lang w:val="el-GR"/>
        </w:rPr>
        <w:t xml:space="preserve"> και</w:t>
      </w:r>
      <w:r w:rsidRPr="00AC7515">
        <w:rPr>
          <w:sz w:val="22"/>
          <w:szCs w:val="22"/>
          <w:lang w:val="el-GR"/>
        </w:rPr>
        <w:t xml:space="preserve"> τη συμμετοχή του </w:t>
      </w:r>
      <w:r w:rsidRPr="00AC7515">
        <w:rPr>
          <w:sz w:val="22"/>
          <w:szCs w:val="22"/>
          <w:u w:val="single"/>
          <w:lang w:val="el-GR"/>
        </w:rPr>
        <w:t>στα συνολικά κέρδη προ φόρου</w:t>
      </w:r>
      <w:r w:rsidRPr="00AC7515">
        <w:rPr>
          <w:sz w:val="22"/>
          <w:szCs w:val="22"/>
          <w:lang w:val="el-GR"/>
        </w:rPr>
        <w:t xml:space="preserve">, με μερίδιο </w:t>
      </w:r>
      <w:r w:rsidRPr="0017770E">
        <w:rPr>
          <w:b/>
          <w:sz w:val="22"/>
          <w:szCs w:val="22"/>
          <w:lang w:val="el-GR"/>
        </w:rPr>
        <w:t>63,2</w:t>
      </w:r>
      <w:r w:rsidRPr="00AC7515">
        <w:rPr>
          <w:b/>
          <w:sz w:val="22"/>
          <w:szCs w:val="22"/>
          <w:lang w:val="el-GR"/>
        </w:rPr>
        <w:t>%</w:t>
      </w:r>
      <w:r w:rsidRPr="00AC7515">
        <w:rPr>
          <w:sz w:val="22"/>
          <w:szCs w:val="22"/>
          <w:lang w:val="el-GR"/>
        </w:rPr>
        <w:t>.</w:t>
      </w:r>
      <w:r w:rsidR="00827A4F">
        <w:rPr>
          <w:sz w:val="22"/>
          <w:szCs w:val="22"/>
          <w:lang w:val="el-GR"/>
        </w:rPr>
        <w:t xml:space="preserve">Επισημαίνεται </w:t>
      </w:r>
      <w:r w:rsidR="00720A6A">
        <w:rPr>
          <w:sz w:val="22"/>
          <w:szCs w:val="22"/>
          <w:lang w:val="el-GR"/>
        </w:rPr>
        <w:t xml:space="preserve">ότι από κοινού οι </w:t>
      </w:r>
      <w:r w:rsidR="00827A4F">
        <w:rPr>
          <w:sz w:val="22"/>
          <w:szCs w:val="22"/>
          <w:lang w:val="el-GR"/>
        </w:rPr>
        <w:t>δύο τρ</w:t>
      </w:r>
      <w:r w:rsidR="00720A6A">
        <w:rPr>
          <w:sz w:val="22"/>
          <w:szCs w:val="22"/>
          <w:lang w:val="el-GR"/>
        </w:rPr>
        <w:t xml:space="preserve">άπεζες </w:t>
      </w:r>
      <w:r w:rsidR="00827A4F" w:rsidRPr="004034ED">
        <w:rPr>
          <w:sz w:val="22"/>
          <w:szCs w:val="22"/>
          <w:lang w:val="en-US"/>
        </w:rPr>
        <w:t>AlphaBankAE</w:t>
      </w:r>
      <w:r w:rsidR="00827A4F" w:rsidRPr="004034ED">
        <w:rPr>
          <w:sz w:val="22"/>
          <w:szCs w:val="22"/>
          <w:lang w:val="el-GR"/>
        </w:rPr>
        <w:t xml:space="preserve"> και Πειραιώς Τράπεζα ΑΕ</w:t>
      </w:r>
      <w:r w:rsidR="004B05AB">
        <w:rPr>
          <w:sz w:val="22"/>
          <w:szCs w:val="22"/>
          <w:lang w:val="el-GR"/>
        </w:rPr>
        <w:t xml:space="preserve"> κατέλαβαν το</w:t>
      </w:r>
      <w:r w:rsidR="00827A4F">
        <w:rPr>
          <w:sz w:val="22"/>
          <w:szCs w:val="22"/>
          <w:lang w:val="el-GR"/>
        </w:rPr>
        <w:t xml:space="preserve"> 82% τόσο στα κέρδη </w:t>
      </w:r>
      <w:r w:rsidR="00827A4F">
        <w:rPr>
          <w:sz w:val="22"/>
          <w:szCs w:val="22"/>
          <w:lang w:val="en-US"/>
        </w:rPr>
        <w:t>EBITDA</w:t>
      </w:r>
      <w:r w:rsidR="00827A4F">
        <w:rPr>
          <w:sz w:val="22"/>
          <w:szCs w:val="22"/>
          <w:lang w:val="el-GR"/>
        </w:rPr>
        <w:t>όσο και στα κέρδη προ φόρου</w:t>
      </w:r>
      <w:r w:rsidR="004B05AB">
        <w:rPr>
          <w:sz w:val="22"/>
          <w:szCs w:val="22"/>
          <w:lang w:val="el-GR"/>
        </w:rPr>
        <w:t xml:space="preserve"> του εν λόγω τομέα</w:t>
      </w:r>
      <w:r w:rsidR="00827A4F">
        <w:rPr>
          <w:sz w:val="22"/>
          <w:szCs w:val="22"/>
          <w:lang w:val="el-GR"/>
        </w:rPr>
        <w:t>.</w:t>
      </w:r>
      <w:r w:rsidR="004B05AB">
        <w:rPr>
          <w:sz w:val="22"/>
          <w:szCs w:val="22"/>
          <w:lang w:val="el-GR"/>
        </w:rPr>
        <w:t xml:space="preserve"> Όπως έχει ήδη αναφερθεί, η </w:t>
      </w:r>
      <w:r w:rsidR="004146EA">
        <w:rPr>
          <w:sz w:val="22"/>
          <w:szCs w:val="22"/>
          <w:lang w:val="el-GR"/>
        </w:rPr>
        <w:t xml:space="preserve">εμφάνιση των υψηλών κερδών τους οφείλεται κυρίως στην ενσωμάτωση του οφέλους που προέκυψε από την αρνητική υπεραξία των εξαγορών τους. Οι </w:t>
      </w:r>
      <w:r w:rsidR="004B05AB">
        <w:rPr>
          <w:sz w:val="22"/>
          <w:szCs w:val="22"/>
          <w:lang w:val="el-GR"/>
        </w:rPr>
        <w:t xml:space="preserve">αναφερόμενες </w:t>
      </w:r>
      <w:r w:rsidR="004146EA">
        <w:rPr>
          <w:sz w:val="22"/>
          <w:szCs w:val="22"/>
          <w:lang w:val="el-GR"/>
        </w:rPr>
        <w:t>τράπεζες είχαν καταγράψει ζημίες την προηγούμενη χρήση</w:t>
      </w:r>
      <w:r w:rsidR="004B05AB">
        <w:rPr>
          <w:sz w:val="22"/>
          <w:szCs w:val="22"/>
          <w:lang w:val="el-GR"/>
        </w:rPr>
        <w:t>,</w:t>
      </w:r>
      <w:r w:rsidR="004146EA">
        <w:rPr>
          <w:sz w:val="22"/>
          <w:szCs w:val="22"/>
          <w:lang w:val="el-GR"/>
        </w:rPr>
        <w:t xml:space="preserve"> λόγω των απωλειών που υπέστησαν</w:t>
      </w:r>
      <w:r w:rsidR="004146EA" w:rsidRPr="00D71164">
        <w:rPr>
          <w:sz w:val="22"/>
          <w:szCs w:val="22"/>
          <w:lang w:val="el-GR"/>
        </w:rPr>
        <w:t xml:space="preserve"> από το πρόγραμμα ανταλλαγής ομολόγων (PSI)</w:t>
      </w:r>
      <w:r w:rsidR="004146EA">
        <w:rPr>
          <w:sz w:val="22"/>
          <w:szCs w:val="22"/>
          <w:lang w:val="el-GR"/>
        </w:rPr>
        <w:t xml:space="preserve">. </w:t>
      </w:r>
      <w:r w:rsidRPr="00AC7515">
        <w:rPr>
          <w:sz w:val="22"/>
          <w:szCs w:val="22"/>
          <w:lang w:val="el-GR"/>
        </w:rPr>
        <w:t>Περαιτέρω</w:t>
      </w:r>
      <w:r>
        <w:rPr>
          <w:sz w:val="22"/>
          <w:szCs w:val="22"/>
          <w:lang w:val="el-GR"/>
        </w:rPr>
        <w:t>,</w:t>
      </w:r>
      <w:r w:rsidRPr="00AC7515">
        <w:rPr>
          <w:sz w:val="22"/>
          <w:szCs w:val="22"/>
          <w:lang w:val="el-GR"/>
        </w:rPr>
        <w:t xml:space="preserve"> ο</w:t>
      </w:r>
      <w:r>
        <w:rPr>
          <w:sz w:val="22"/>
          <w:szCs w:val="22"/>
          <w:lang w:val="el-GR"/>
        </w:rPr>
        <w:t xml:space="preserve"> εν λόγω</w:t>
      </w:r>
      <w:r w:rsidRPr="00AC7515">
        <w:rPr>
          <w:sz w:val="22"/>
          <w:szCs w:val="22"/>
          <w:lang w:val="el-GR"/>
        </w:rPr>
        <w:t xml:space="preserve"> τομέας ανεδείχθη </w:t>
      </w:r>
      <w:r>
        <w:rPr>
          <w:sz w:val="22"/>
          <w:szCs w:val="22"/>
          <w:lang w:val="el-GR"/>
        </w:rPr>
        <w:t>τέταρτος</w:t>
      </w:r>
      <w:r w:rsidRPr="00AC7515">
        <w:rPr>
          <w:sz w:val="22"/>
          <w:szCs w:val="22"/>
          <w:lang w:val="el-GR"/>
        </w:rPr>
        <w:t xml:space="preserve"> ως προς τη συμμετοχή </w:t>
      </w:r>
      <w:r w:rsidR="004B05AB">
        <w:rPr>
          <w:sz w:val="22"/>
          <w:szCs w:val="22"/>
          <w:lang w:val="el-GR"/>
        </w:rPr>
        <w:t xml:space="preserve">του </w:t>
      </w:r>
      <w:r w:rsidRPr="0017770E">
        <w:rPr>
          <w:sz w:val="22"/>
          <w:szCs w:val="22"/>
          <w:u w:val="single"/>
          <w:lang w:val="el-GR"/>
        </w:rPr>
        <w:t>στο συνολικό κύκλο εργασιών</w:t>
      </w:r>
      <w:r w:rsidRPr="00AC7515">
        <w:rPr>
          <w:sz w:val="22"/>
          <w:szCs w:val="22"/>
          <w:lang w:val="el-GR"/>
        </w:rPr>
        <w:t xml:space="preserve"> του 201</w:t>
      </w:r>
      <w:r>
        <w:rPr>
          <w:sz w:val="22"/>
          <w:szCs w:val="22"/>
          <w:lang w:val="el-GR"/>
        </w:rPr>
        <w:t>3</w:t>
      </w:r>
      <w:r w:rsidRPr="00AC7515">
        <w:rPr>
          <w:sz w:val="22"/>
          <w:szCs w:val="22"/>
          <w:lang w:val="el-GR"/>
        </w:rPr>
        <w:t xml:space="preserve">, με μερίδιο </w:t>
      </w:r>
      <w:r>
        <w:rPr>
          <w:b/>
          <w:sz w:val="22"/>
          <w:szCs w:val="22"/>
          <w:lang w:val="el-GR"/>
        </w:rPr>
        <w:t>9,2</w:t>
      </w:r>
      <w:r w:rsidRPr="00AC7515">
        <w:rPr>
          <w:b/>
          <w:sz w:val="22"/>
          <w:szCs w:val="22"/>
          <w:lang w:val="el-GR"/>
        </w:rPr>
        <w:t>%.</w:t>
      </w:r>
    </w:p>
    <w:p w:rsidR="00FC6F86" w:rsidRPr="00FC6F86" w:rsidRDefault="00FC6F86" w:rsidP="0096399A">
      <w:pPr>
        <w:spacing w:line="360" w:lineRule="auto"/>
        <w:jc w:val="both"/>
        <w:rPr>
          <w:sz w:val="22"/>
          <w:szCs w:val="22"/>
          <w:lang w:val="el-GR"/>
        </w:rPr>
      </w:pPr>
      <w:r w:rsidRPr="00FC6F86">
        <w:rPr>
          <w:sz w:val="22"/>
          <w:szCs w:val="22"/>
          <w:lang w:val="el-GR"/>
        </w:rPr>
        <w:t xml:space="preserve">Στη δεύτερη </w:t>
      </w:r>
      <w:r>
        <w:rPr>
          <w:sz w:val="22"/>
          <w:szCs w:val="22"/>
          <w:lang w:val="el-GR"/>
        </w:rPr>
        <w:t xml:space="preserve">θέση βάσει κερδών </w:t>
      </w:r>
      <w:r>
        <w:rPr>
          <w:sz w:val="22"/>
          <w:szCs w:val="22"/>
          <w:lang w:val="en-US"/>
        </w:rPr>
        <w:t>EBITDA</w:t>
      </w:r>
      <w:r>
        <w:rPr>
          <w:sz w:val="22"/>
          <w:szCs w:val="22"/>
          <w:lang w:val="el-GR"/>
        </w:rPr>
        <w:t xml:space="preserve">βρίσκεται ο τομέας των </w:t>
      </w:r>
      <w:r w:rsidRPr="00FC6F86">
        <w:rPr>
          <w:b/>
          <w:sz w:val="22"/>
          <w:szCs w:val="22"/>
          <w:lang w:val="el-GR"/>
        </w:rPr>
        <w:t>Λοιπών Υπηρεσιών</w:t>
      </w:r>
      <w:r>
        <w:rPr>
          <w:sz w:val="22"/>
          <w:szCs w:val="22"/>
          <w:lang w:val="el-GR"/>
        </w:rPr>
        <w:t>, καταλαμβάνοντας το 34,1%  του συνόλου, ενώ με βάση τον κύκλο εργασιών κατέλαβε την πρώτη θέση με μερίδιο 32,3%.</w:t>
      </w:r>
    </w:p>
    <w:p w:rsidR="0096399A" w:rsidRPr="00D71164" w:rsidRDefault="0096399A" w:rsidP="0096399A">
      <w:pPr>
        <w:spacing w:line="360" w:lineRule="auto"/>
        <w:jc w:val="both"/>
        <w:rPr>
          <w:sz w:val="22"/>
          <w:szCs w:val="22"/>
          <w:lang w:val="el-GR"/>
        </w:rPr>
      </w:pPr>
      <w:r w:rsidRPr="00D71164">
        <w:rPr>
          <w:sz w:val="22"/>
          <w:szCs w:val="22"/>
          <w:lang w:val="el-GR"/>
        </w:rPr>
        <w:t xml:space="preserve">Ο </w:t>
      </w:r>
      <w:r w:rsidRPr="00D71164">
        <w:rPr>
          <w:b/>
          <w:sz w:val="22"/>
          <w:szCs w:val="22"/>
          <w:lang w:val="el-GR"/>
        </w:rPr>
        <w:t>Εμπορικός τομέας</w:t>
      </w:r>
      <w:r w:rsidRPr="00D71164">
        <w:rPr>
          <w:sz w:val="22"/>
          <w:szCs w:val="22"/>
          <w:lang w:val="el-GR"/>
        </w:rPr>
        <w:t xml:space="preserve"> βρίσκεται στη δεύτερη θέση όσον αφορά τη συμμετοχή του στα κέρδη προ φόρου (μερίδιο </w:t>
      </w:r>
      <w:r>
        <w:rPr>
          <w:sz w:val="22"/>
          <w:szCs w:val="22"/>
          <w:lang w:val="el-GR"/>
        </w:rPr>
        <w:t>15,1</w:t>
      </w:r>
      <w:r w:rsidRPr="00D71164">
        <w:rPr>
          <w:sz w:val="22"/>
          <w:szCs w:val="22"/>
          <w:lang w:val="el-GR"/>
        </w:rPr>
        <w:t>%)</w:t>
      </w:r>
      <w:r w:rsidR="004146EA">
        <w:rPr>
          <w:sz w:val="22"/>
          <w:szCs w:val="22"/>
          <w:lang w:val="el-GR"/>
        </w:rPr>
        <w:t>,</w:t>
      </w:r>
      <w:r>
        <w:rPr>
          <w:sz w:val="22"/>
          <w:szCs w:val="22"/>
          <w:lang w:val="el-GR"/>
        </w:rPr>
        <w:t xml:space="preserve"> καθώς και στο σύνολο του κύκλου εργασιών (26,2%)</w:t>
      </w:r>
      <w:r w:rsidRPr="00D71164">
        <w:rPr>
          <w:sz w:val="22"/>
          <w:szCs w:val="22"/>
          <w:lang w:val="el-GR"/>
        </w:rPr>
        <w:t xml:space="preserve">, ενώ το μερίδιό του στα κέρδη EBITDA διαμορφώθηκε σε </w:t>
      </w:r>
      <w:r>
        <w:rPr>
          <w:sz w:val="22"/>
          <w:szCs w:val="22"/>
          <w:lang w:val="el-GR"/>
        </w:rPr>
        <w:t>8,6</w:t>
      </w:r>
      <w:r w:rsidRPr="00D71164">
        <w:rPr>
          <w:sz w:val="22"/>
          <w:szCs w:val="22"/>
          <w:lang w:val="el-GR"/>
        </w:rPr>
        <w:t>% το 201</w:t>
      </w:r>
      <w:r>
        <w:rPr>
          <w:sz w:val="22"/>
          <w:szCs w:val="22"/>
          <w:lang w:val="el-GR"/>
        </w:rPr>
        <w:t>3</w:t>
      </w:r>
      <w:r w:rsidR="004146EA">
        <w:rPr>
          <w:sz w:val="22"/>
          <w:szCs w:val="22"/>
          <w:lang w:val="el-GR"/>
        </w:rPr>
        <w:t>,</w:t>
      </w:r>
      <w:r>
        <w:rPr>
          <w:sz w:val="22"/>
          <w:szCs w:val="22"/>
          <w:lang w:val="el-GR"/>
        </w:rPr>
        <w:t xml:space="preserve"> καταλαμβάνοντας την τέταρτη θέση</w:t>
      </w:r>
      <w:r w:rsidRPr="00D71164">
        <w:rPr>
          <w:sz w:val="22"/>
          <w:szCs w:val="22"/>
          <w:lang w:val="el-GR"/>
        </w:rPr>
        <w:t>.</w:t>
      </w:r>
    </w:p>
    <w:p w:rsidR="0096399A" w:rsidRDefault="0096399A" w:rsidP="0096399A">
      <w:pPr>
        <w:spacing w:line="360" w:lineRule="auto"/>
        <w:jc w:val="both"/>
        <w:rPr>
          <w:b/>
          <w:sz w:val="22"/>
          <w:szCs w:val="22"/>
          <w:lang w:val="el-GR"/>
        </w:rPr>
      </w:pPr>
      <w:r w:rsidRPr="00D71164">
        <w:rPr>
          <w:sz w:val="22"/>
          <w:szCs w:val="22"/>
          <w:lang w:val="el-GR"/>
        </w:rPr>
        <w:t>Ο τομέας</w:t>
      </w:r>
      <w:r>
        <w:rPr>
          <w:sz w:val="22"/>
          <w:szCs w:val="22"/>
          <w:lang w:val="el-GR"/>
        </w:rPr>
        <w:t xml:space="preserve"> της </w:t>
      </w:r>
      <w:r w:rsidRPr="00826BAF">
        <w:rPr>
          <w:b/>
          <w:sz w:val="22"/>
          <w:szCs w:val="22"/>
          <w:lang w:val="el-GR"/>
        </w:rPr>
        <w:t>Βιομηχανίας</w:t>
      </w:r>
      <w:r>
        <w:rPr>
          <w:sz w:val="22"/>
          <w:szCs w:val="22"/>
          <w:lang w:val="el-GR"/>
        </w:rPr>
        <w:t xml:space="preserve">κατέλαβε την τρίτη θέση και ως προς τα τρία μεγέθη το 2013, </w:t>
      </w:r>
      <w:r w:rsidRPr="00497864">
        <w:rPr>
          <w:sz w:val="22"/>
          <w:szCs w:val="22"/>
          <w:lang w:val="el-GR"/>
        </w:rPr>
        <w:t xml:space="preserve">το δε μερίδιό του </w:t>
      </w:r>
      <w:r w:rsidRPr="00A11A9C">
        <w:rPr>
          <w:sz w:val="22"/>
          <w:szCs w:val="22"/>
          <w:lang w:val="el-GR"/>
        </w:rPr>
        <w:t>στα κέρδη EBITDA</w:t>
      </w:r>
      <w:r w:rsidRPr="00497864">
        <w:rPr>
          <w:sz w:val="22"/>
          <w:szCs w:val="22"/>
          <w:lang w:val="el-GR"/>
        </w:rPr>
        <w:t xml:space="preserve">ανήλθε σε </w:t>
      </w:r>
      <w:r>
        <w:rPr>
          <w:sz w:val="22"/>
          <w:szCs w:val="22"/>
          <w:lang w:val="el-GR"/>
        </w:rPr>
        <w:t>13</w:t>
      </w:r>
      <w:r w:rsidRPr="00A11A9C">
        <w:rPr>
          <w:sz w:val="22"/>
          <w:szCs w:val="22"/>
          <w:lang w:val="el-GR"/>
        </w:rPr>
        <w:t>%</w:t>
      </w:r>
      <w:r>
        <w:rPr>
          <w:sz w:val="22"/>
          <w:szCs w:val="22"/>
          <w:lang w:val="el-GR"/>
        </w:rPr>
        <w:t>,</w:t>
      </w:r>
      <w:r w:rsidRPr="00A11A9C">
        <w:rPr>
          <w:sz w:val="22"/>
          <w:szCs w:val="22"/>
          <w:lang w:val="el-GR"/>
        </w:rPr>
        <w:t>στα συνολικά κέρδη προ φόρου</w:t>
      </w:r>
      <w:r>
        <w:rPr>
          <w:sz w:val="22"/>
          <w:szCs w:val="22"/>
          <w:lang w:val="el-GR"/>
        </w:rPr>
        <w:t>σε10,3</w:t>
      </w:r>
      <w:r w:rsidRPr="00AC7515">
        <w:rPr>
          <w:b/>
          <w:sz w:val="22"/>
          <w:szCs w:val="22"/>
          <w:lang w:val="el-GR"/>
        </w:rPr>
        <w:t>%</w:t>
      </w:r>
      <w:r>
        <w:rPr>
          <w:sz w:val="22"/>
          <w:szCs w:val="22"/>
          <w:lang w:val="el-GR"/>
        </w:rPr>
        <w:t xml:space="preserve"> και</w:t>
      </w:r>
      <w:r w:rsidRPr="00AC7515">
        <w:rPr>
          <w:sz w:val="22"/>
          <w:szCs w:val="22"/>
          <w:lang w:val="el-GR"/>
        </w:rPr>
        <w:t xml:space="preserve"> ως προς τη συμμετοχή </w:t>
      </w:r>
      <w:r w:rsidRPr="00A11A9C">
        <w:rPr>
          <w:sz w:val="22"/>
          <w:szCs w:val="22"/>
          <w:lang w:val="el-GR"/>
        </w:rPr>
        <w:t>στο συνολικό κύκλο εργασιών</w:t>
      </w:r>
      <w:r>
        <w:rPr>
          <w:sz w:val="22"/>
          <w:szCs w:val="22"/>
          <w:lang w:val="el-GR"/>
        </w:rPr>
        <w:t xml:space="preserve"> σε25,3</w:t>
      </w:r>
      <w:r w:rsidRPr="00A11A9C">
        <w:rPr>
          <w:sz w:val="22"/>
          <w:szCs w:val="22"/>
          <w:lang w:val="el-GR"/>
        </w:rPr>
        <w:t>%.</w:t>
      </w:r>
    </w:p>
    <w:p w:rsidR="0096399A" w:rsidRPr="00D13A51" w:rsidRDefault="0096399A" w:rsidP="0096399A">
      <w:pPr>
        <w:spacing w:line="360" w:lineRule="auto"/>
        <w:jc w:val="both"/>
        <w:rPr>
          <w:sz w:val="22"/>
          <w:szCs w:val="22"/>
          <w:highlight w:val="yellow"/>
          <w:lang w:val="el-GR"/>
        </w:rPr>
      </w:pPr>
      <w:r>
        <w:rPr>
          <w:sz w:val="22"/>
          <w:szCs w:val="22"/>
          <w:lang w:val="el-GR"/>
        </w:rPr>
        <w:t xml:space="preserve">Σε χαμηλότερες θέσεις ακολουθούν </w:t>
      </w:r>
      <w:r w:rsidRPr="00D71164">
        <w:rPr>
          <w:sz w:val="22"/>
          <w:szCs w:val="22"/>
          <w:lang w:val="el-GR"/>
        </w:rPr>
        <w:t>ο</w:t>
      </w:r>
      <w:r>
        <w:rPr>
          <w:sz w:val="22"/>
          <w:szCs w:val="22"/>
          <w:lang w:val="el-GR"/>
        </w:rPr>
        <w:t>ι τομείς</w:t>
      </w:r>
      <w:r w:rsidRPr="00D71164">
        <w:rPr>
          <w:sz w:val="22"/>
          <w:szCs w:val="22"/>
          <w:lang w:val="el-GR"/>
        </w:rPr>
        <w:t xml:space="preserve"> των </w:t>
      </w:r>
      <w:r w:rsidRPr="00D71164">
        <w:rPr>
          <w:b/>
          <w:sz w:val="22"/>
          <w:szCs w:val="22"/>
          <w:lang w:val="el-GR"/>
        </w:rPr>
        <w:t>Ασφαλειών</w:t>
      </w:r>
      <w:r>
        <w:rPr>
          <w:sz w:val="22"/>
          <w:szCs w:val="22"/>
          <w:lang w:val="el-GR"/>
        </w:rPr>
        <w:t xml:space="preserve"> και του </w:t>
      </w:r>
      <w:r w:rsidRPr="00A11A9C">
        <w:rPr>
          <w:b/>
          <w:sz w:val="22"/>
          <w:szCs w:val="22"/>
          <w:lang w:val="el-GR"/>
        </w:rPr>
        <w:t>Τουρισμού</w:t>
      </w:r>
      <w:r w:rsidRPr="00D71164">
        <w:rPr>
          <w:sz w:val="22"/>
          <w:szCs w:val="22"/>
          <w:lang w:val="el-GR"/>
        </w:rPr>
        <w:t>.</w:t>
      </w:r>
    </w:p>
    <w:p w:rsidR="0096399A" w:rsidRPr="00A90F4D" w:rsidRDefault="0096399A" w:rsidP="0096399A">
      <w:pPr>
        <w:spacing w:line="360" w:lineRule="auto"/>
        <w:jc w:val="both"/>
        <w:rPr>
          <w:sz w:val="22"/>
          <w:szCs w:val="22"/>
          <w:highlight w:val="yellow"/>
          <w:lang w:val="el-GR"/>
        </w:rPr>
      </w:pPr>
    </w:p>
    <w:p w:rsidR="00B345ED" w:rsidRPr="00A90F4D" w:rsidRDefault="00B345ED" w:rsidP="0096399A">
      <w:pPr>
        <w:spacing w:line="360" w:lineRule="auto"/>
        <w:jc w:val="both"/>
        <w:rPr>
          <w:sz w:val="22"/>
          <w:szCs w:val="22"/>
          <w:highlight w:val="yellow"/>
          <w:lang w:val="el-GR"/>
        </w:rPr>
      </w:pPr>
    </w:p>
    <w:tbl>
      <w:tblPr>
        <w:tblW w:w="9968" w:type="dxa"/>
        <w:jc w:val="center"/>
        <w:tblBorders>
          <w:insideH w:val="single" w:sz="18" w:space="0" w:color="FFFFFF"/>
          <w:insideV w:val="single" w:sz="18" w:space="0" w:color="FFFFFF"/>
        </w:tblBorders>
        <w:tblLayout w:type="fixed"/>
        <w:tblLook w:val="00A0"/>
      </w:tblPr>
      <w:tblGrid>
        <w:gridCol w:w="1965"/>
        <w:gridCol w:w="2000"/>
        <w:gridCol w:w="2001"/>
        <w:gridCol w:w="2001"/>
        <w:gridCol w:w="2001"/>
      </w:tblGrid>
      <w:tr w:rsidR="0096399A" w:rsidRPr="00CB476D" w:rsidTr="00BD50B4">
        <w:trPr>
          <w:trHeight w:val="57"/>
          <w:jc w:val="center"/>
        </w:trPr>
        <w:tc>
          <w:tcPr>
            <w:tcW w:w="9968" w:type="dxa"/>
            <w:gridSpan w:val="5"/>
            <w:shd w:val="pct20" w:color="000000" w:fill="FFFFFF"/>
          </w:tcPr>
          <w:p w:rsidR="0096399A" w:rsidRPr="009A2D98" w:rsidRDefault="0096399A" w:rsidP="00BD50B4">
            <w:pPr>
              <w:pStyle w:val="a7"/>
              <w:rPr>
                <w:bCs/>
                <w:sz w:val="20"/>
                <w:szCs w:val="20"/>
                <w:lang w:val="el-GR"/>
              </w:rPr>
            </w:pPr>
            <w:r w:rsidRPr="009A2D98">
              <w:rPr>
                <w:bCs/>
                <w:sz w:val="20"/>
                <w:szCs w:val="20"/>
                <w:lang w:val="el-GR"/>
              </w:rPr>
              <w:t xml:space="preserve">Πίνακας 2. </w:t>
            </w:r>
          </w:p>
          <w:p w:rsidR="0096399A" w:rsidRPr="009A2D98" w:rsidRDefault="0096399A" w:rsidP="00BD50B4">
            <w:pPr>
              <w:pStyle w:val="a7"/>
              <w:rPr>
                <w:bCs/>
                <w:sz w:val="20"/>
                <w:szCs w:val="20"/>
                <w:lang w:val="el-GR"/>
              </w:rPr>
            </w:pPr>
            <w:r w:rsidRPr="009A2D98">
              <w:rPr>
                <w:bCs/>
                <w:sz w:val="20"/>
                <w:szCs w:val="20"/>
                <w:lang w:val="el-GR"/>
              </w:rPr>
              <w:t>Τομεακή Κατανομή Εταιρειών - Βασικών Μεγεθών των 500 Πλέον Κερδοφόρων Εταιρειών  (201</w:t>
            </w:r>
            <w:r>
              <w:rPr>
                <w:bCs/>
                <w:sz w:val="20"/>
                <w:szCs w:val="20"/>
                <w:lang w:val="el-GR"/>
              </w:rPr>
              <w:t>3</w:t>
            </w:r>
            <w:r w:rsidRPr="009A2D98">
              <w:rPr>
                <w:bCs/>
                <w:sz w:val="20"/>
                <w:szCs w:val="20"/>
                <w:lang w:val="el-GR"/>
              </w:rPr>
              <w:t>)</w:t>
            </w:r>
          </w:p>
        </w:tc>
      </w:tr>
      <w:tr w:rsidR="0096399A" w:rsidRPr="009A2D98" w:rsidTr="00BD50B4">
        <w:trPr>
          <w:trHeight w:val="57"/>
          <w:jc w:val="center"/>
        </w:trPr>
        <w:tc>
          <w:tcPr>
            <w:tcW w:w="1965" w:type="dxa"/>
            <w:shd w:val="pct5" w:color="000000" w:fill="FFFFFF"/>
            <w:vAlign w:val="center"/>
          </w:tcPr>
          <w:p w:rsidR="0096399A" w:rsidRPr="009A2D98" w:rsidRDefault="0096399A" w:rsidP="00BD50B4">
            <w:pPr>
              <w:jc w:val="center"/>
              <w:rPr>
                <w:b/>
                <w:sz w:val="20"/>
                <w:szCs w:val="20"/>
                <w:lang w:val="el-GR"/>
              </w:rPr>
            </w:pPr>
            <w:r w:rsidRPr="009A2D98">
              <w:rPr>
                <w:b/>
                <w:sz w:val="20"/>
                <w:szCs w:val="20"/>
                <w:lang w:val="el-GR"/>
              </w:rPr>
              <w:t>Τομέας</w:t>
            </w:r>
          </w:p>
        </w:tc>
        <w:tc>
          <w:tcPr>
            <w:tcW w:w="2000" w:type="dxa"/>
            <w:shd w:val="pct5" w:color="000000" w:fill="FFFFFF"/>
            <w:vAlign w:val="center"/>
          </w:tcPr>
          <w:p w:rsidR="0096399A" w:rsidRPr="009A2D98" w:rsidRDefault="0096399A" w:rsidP="00BD50B4">
            <w:pPr>
              <w:jc w:val="center"/>
              <w:rPr>
                <w:b/>
                <w:sz w:val="20"/>
                <w:szCs w:val="20"/>
                <w:lang w:val="el-GR"/>
              </w:rPr>
            </w:pPr>
            <w:r w:rsidRPr="009A2D98">
              <w:rPr>
                <w:b/>
                <w:sz w:val="20"/>
                <w:szCs w:val="20"/>
                <w:lang w:val="el-GR"/>
              </w:rPr>
              <w:t>Πλήθος Εταιρειών</w:t>
            </w:r>
          </w:p>
        </w:tc>
        <w:tc>
          <w:tcPr>
            <w:tcW w:w="2001" w:type="dxa"/>
            <w:shd w:val="pct5" w:color="000000" w:fill="FFFFFF"/>
            <w:vAlign w:val="center"/>
          </w:tcPr>
          <w:p w:rsidR="0096399A" w:rsidRPr="009A2D98" w:rsidRDefault="0096399A" w:rsidP="00BD50B4">
            <w:pPr>
              <w:jc w:val="center"/>
              <w:rPr>
                <w:b/>
                <w:sz w:val="20"/>
                <w:szCs w:val="20"/>
                <w:lang w:val="el-GR"/>
              </w:rPr>
            </w:pPr>
            <w:r w:rsidRPr="009A2D98">
              <w:rPr>
                <w:b/>
                <w:sz w:val="20"/>
                <w:szCs w:val="20"/>
                <w:lang w:val="el-GR"/>
              </w:rPr>
              <w:t xml:space="preserve">Κέρδη </w:t>
            </w:r>
            <w:r w:rsidRPr="009A2D98">
              <w:rPr>
                <w:b/>
                <w:sz w:val="20"/>
                <w:szCs w:val="20"/>
                <w:lang w:val="en-US"/>
              </w:rPr>
              <w:t>EBITDA</w:t>
            </w:r>
          </w:p>
          <w:p w:rsidR="0096399A" w:rsidRPr="009A2D98" w:rsidRDefault="0096399A" w:rsidP="00BD50B4">
            <w:pPr>
              <w:jc w:val="center"/>
              <w:rPr>
                <w:b/>
                <w:sz w:val="20"/>
                <w:szCs w:val="20"/>
                <w:lang w:val="el-GR"/>
              </w:rPr>
            </w:pPr>
            <w:r w:rsidRPr="009A2D98">
              <w:rPr>
                <w:b/>
                <w:sz w:val="20"/>
                <w:szCs w:val="20"/>
                <w:lang w:val="el-GR"/>
              </w:rPr>
              <w:t>(σε χιλ. €)</w:t>
            </w:r>
          </w:p>
        </w:tc>
        <w:tc>
          <w:tcPr>
            <w:tcW w:w="2001" w:type="dxa"/>
            <w:shd w:val="pct5" w:color="000000" w:fill="FFFFFF"/>
            <w:vAlign w:val="center"/>
          </w:tcPr>
          <w:p w:rsidR="0096399A" w:rsidRPr="009A2D98" w:rsidRDefault="0096399A" w:rsidP="00BD50B4">
            <w:pPr>
              <w:jc w:val="center"/>
              <w:rPr>
                <w:b/>
                <w:sz w:val="20"/>
                <w:szCs w:val="20"/>
                <w:lang w:val="el-GR"/>
              </w:rPr>
            </w:pPr>
            <w:r w:rsidRPr="009A2D98">
              <w:rPr>
                <w:b/>
                <w:sz w:val="20"/>
                <w:szCs w:val="20"/>
                <w:lang w:val="el-GR"/>
              </w:rPr>
              <w:t>Κέρδη προ φόρου</w:t>
            </w:r>
          </w:p>
          <w:p w:rsidR="0096399A" w:rsidRPr="009A2D98" w:rsidRDefault="0096399A" w:rsidP="00BD50B4">
            <w:pPr>
              <w:jc w:val="center"/>
              <w:rPr>
                <w:b/>
                <w:sz w:val="20"/>
                <w:szCs w:val="20"/>
                <w:lang w:val="el-GR"/>
              </w:rPr>
            </w:pPr>
            <w:r w:rsidRPr="009A2D98">
              <w:rPr>
                <w:b/>
                <w:sz w:val="20"/>
                <w:szCs w:val="20"/>
                <w:lang w:val="el-GR"/>
              </w:rPr>
              <w:t>(σε χιλ. €)</w:t>
            </w:r>
          </w:p>
        </w:tc>
        <w:tc>
          <w:tcPr>
            <w:tcW w:w="2001" w:type="dxa"/>
            <w:shd w:val="pct5" w:color="000000" w:fill="FFFFFF"/>
            <w:vAlign w:val="center"/>
          </w:tcPr>
          <w:p w:rsidR="0096399A" w:rsidRPr="009A2D98" w:rsidRDefault="0096399A" w:rsidP="00BD50B4">
            <w:pPr>
              <w:jc w:val="center"/>
              <w:rPr>
                <w:b/>
                <w:sz w:val="20"/>
                <w:szCs w:val="20"/>
                <w:lang w:val="el-GR"/>
              </w:rPr>
            </w:pPr>
            <w:r w:rsidRPr="009A2D98">
              <w:rPr>
                <w:b/>
                <w:sz w:val="20"/>
                <w:szCs w:val="20"/>
                <w:lang w:val="el-GR"/>
              </w:rPr>
              <w:t>Κύκλος Εργασιών</w:t>
            </w:r>
          </w:p>
          <w:p w:rsidR="0096399A" w:rsidRPr="009A2D98" w:rsidRDefault="0096399A" w:rsidP="00BD50B4">
            <w:pPr>
              <w:jc w:val="center"/>
              <w:rPr>
                <w:b/>
                <w:sz w:val="20"/>
                <w:szCs w:val="20"/>
                <w:lang w:val="el-GR"/>
              </w:rPr>
            </w:pPr>
            <w:r w:rsidRPr="009A2D98">
              <w:rPr>
                <w:b/>
                <w:sz w:val="20"/>
                <w:szCs w:val="20"/>
                <w:lang w:val="el-GR"/>
              </w:rPr>
              <w:t xml:space="preserve"> (σε χιλ. €)</w:t>
            </w:r>
          </w:p>
        </w:tc>
      </w:tr>
      <w:tr w:rsidR="0096399A" w:rsidRPr="00D13A51" w:rsidTr="00BD50B4">
        <w:trPr>
          <w:trHeight w:val="57"/>
          <w:jc w:val="center"/>
        </w:trPr>
        <w:tc>
          <w:tcPr>
            <w:tcW w:w="1965" w:type="dxa"/>
            <w:shd w:val="pct5" w:color="000000" w:fill="FFFFFF"/>
          </w:tcPr>
          <w:p w:rsidR="0096399A" w:rsidRPr="009A2D98" w:rsidRDefault="0096399A" w:rsidP="00BD50B4">
            <w:pPr>
              <w:rPr>
                <w:sz w:val="20"/>
                <w:szCs w:val="20"/>
                <w:lang w:val="el-GR"/>
              </w:rPr>
            </w:pPr>
            <w:r w:rsidRPr="009A2D98">
              <w:rPr>
                <w:sz w:val="20"/>
                <w:szCs w:val="20"/>
                <w:lang w:val="el-GR"/>
              </w:rPr>
              <w:t>Βιομηχανία</w:t>
            </w:r>
          </w:p>
        </w:tc>
        <w:tc>
          <w:tcPr>
            <w:tcW w:w="2000" w:type="dxa"/>
            <w:shd w:val="pct5" w:color="000000" w:fill="FFFFFF"/>
            <w:vAlign w:val="bottom"/>
          </w:tcPr>
          <w:p w:rsidR="0096399A" w:rsidRPr="0032361E" w:rsidRDefault="0096399A" w:rsidP="00BD50B4">
            <w:pPr>
              <w:ind w:right="715"/>
              <w:jc w:val="right"/>
              <w:rPr>
                <w:sz w:val="20"/>
                <w:szCs w:val="20"/>
                <w:lang w:val="el-GR"/>
              </w:rPr>
            </w:pPr>
            <w:r>
              <w:rPr>
                <w:sz w:val="20"/>
                <w:szCs w:val="20"/>
                <w:lang w:val="el-GR"/>
              </w:rPr>
              <w:t>164</w:t>
            </w:r>
          </w:p>
        </w:tc>
        <w:tc>
          <w:tcPr>
            <w:tcW w:w="2001" w:type="dxa"/>
            <w:shd w:val="pct5" w:color="000000" w:fill="FFFFFF"/>
            <w:vAlign w:val="bottom"/>
          </w:tcPr>
          <w:p w:rsidR="0096399A" w:rsidRPr="0032361E" w:rsidRDefault="0096399A" w:rsidP="00BD50B4">
            <w:pPr>
              <w:ind w:right="306"/>
              <w:jc w:val="right"/>
              <w:rPr>
                <w:sz w:val="20"/>
                <w:szCs w:val="20"/>
                <w:lang w:val="el-GR"/>
              </w:rPr>
            </w:pPr>
            <w:r>
              <w:rPr>
                <w:sz w:val="20"/>
                <w:szCs w:val="20"/>
                <w:lang w:val="el-GR"/>
              </w:rPr>
              <w:t>1.729.417</w:t>
            </w:r>
          </w:p>
        </w:tc>
        <w:tc>
          <w:tcPr>
            <w:tcW w:w="2001" w:type="dxa"/>
            <w:shd w:val="pct5" w:color="000000" w:fill="FFFFFF"/>
            <w:vAlign w:val="bottom"/>
          </w:tcPr>
          <w:p w:rsidR="0096399A" w:rsidRPr="0032361E" w:rsidRDefault="0096399A" w:rsidP="00BD50B4">
            <w:pPr>
              <w:ind w:right="323"/>
              <w:jc w:val="right"/>
              <w:rPr>
                <w:sz w:val="20"/>
                <w:szCs w:val="20"/>
                <w:lang w:val="el-GR"/>
              </w:rPr>
            </w:pPr>
            <w:r>
              <w:rPr>
                <w:sz w:val="20"/>
                <w:szCs w:val="20"/>
                <w:lang w:val="el-GR"/>
              </w:rPr>
              <w:t>787.604</w:t>
            </w:r>
          </w:p>
        </w:tc>
        <w:tc>
          <w:tcPr>
            <w:tcW w:w="2001" w:type="dxa"/>
            <w:shd w:val="pct5" w:color="000000" w:fill="FFFFFF"/>
            <w:vAlign w:val="bottom"/>
          </w:tcPr>
          <w:p w:rsidR="0096399A" w:rsidRPr="0032361E" w:rsidRDefault="0096399A" w:rsidP="00BD50B4">
            <w:pPr>
              <w:ind w:right="339"/>
              <w:jc w:val="right"/>
              <w:rPr>
                <w:sz w:val="20"/>
                <w:szCs w:val="20"/>
                <w:lang w:val="el-GR"/>
              </w:rPr>
            </w:pPr>
            <w:r>
              <w:rPr>
                <w:sz w:val="20"/>
                <w:szCs w:val="20"/>
                <w:lang w:val="el-GR"/>
              </w:rPr>
              <w:t>20.875.667</w:t>
            </w:r>
          </w:p>
        </w:tc>
      </w:tr>
      <w:tr w:rsidR="0096399A" w:rsidRPr="00D13A51" w:rsidTr="00BD50B4">
        <w:trPr>
          <w:trHeight w:val="57"/>
          <w:jc w:val="center"/>
        </w:trPr>
        <w:tc>
          <w:tcPr>
            <w:tcW w:w="1965" w:type="dxa"/>
            <w:shd w:val="pct20" w:color="000000" w:fill="FFFFFF"/>
          </w:tcPr>
          <w:p w:rsidR="0096399A" w:rsidRPr="009A2D98" w:rsidRDefault="0096399A" w:rsidP="00BD50B4">
            <w:pPr>
              <w:rPr>
                <w:sz w:val="20"/>
                <w:szCs w:val="20"/>
                <w:lang w:val="el-GR"/>
              </w:rPr>
            </w:pPr>
            <w:r w:rsidRPr="009A2D98">
              <w:rPr>
                <w:sz w:val="20"/>
                <w:szCs w:val="20"/>
                <w:lang w:val="el-GR"/>
              </w:rPr>
              <w:t>Εμπόριο</w:t>
            </w:r>
          </w:p>
        </w:tc>
        <w:tc>
          <w:tcPr>
            <w:tcW w:w="2000" w:type="dxa"/>
            <w:shd w:val="pct20" w:color="000000" w:fill="FFFFFF"/>
            <w:vAlign w:val="bottom"/>
          </w:tcPr>
          <w:p w:rsidR="0096399A" w:rsidRPr="0032361E" w:rsidRDefault="0096399A" w:rsidP="00BD50B4">
            <w:pPr>
              <w:ind w:right="715"/>
              <w:jc w:val="right"/>
              <w:rPr>
                <w:sz w:val="20"/>
                <w:szCs w:val="20"/>
                <w:lang w:val="el-GR"/>
              </w:rPr>
            </w:pPr>
            <w:r>
              <w:rPr>
                <w:sz w:val="20"/>
                <w:szCs w:val="20"/>
                <w:lang w:val="el-GR"/>
              </w:rPr>
              <w:t>108</w:t>
            </w:r>
          </w:p>
        </w:tc>
        <w:tc>
          <w:tcPr>
            <w:tcW w:w="2001" w:type="dxa"/>
            <w:shd w:val="pct20" w:color="000000" w:fill="FFFFFF"/>
            <w:vAlign w:val="bottom"/>
          </w:tcPr>
          <w:p w:rsidR="0096399A" w:rsidRPr="0032361E" w:rsidRDefault="0096399A" w:rsidP="00BD50B4">
            <w:pPr>
              <w:ind w:right="306"/>
              <w:jc w:val="right"/>
              <w:rPr>
                <w:sz w:val="20"/>
                <w:szCs w:val="20"/>
                <w:lang w:val="el-GR"/>
              </w:rPr>
            </w:pPr>
            <w:r>
              <w:rPr>
                <w:sz w:val="20"/>
                <w:szCs w:val="20"/>
                <w:lang w:val="el-GR"/>
              </w:rPr>
              <w:t>1.142.242</w:t>
            </w:r>
          </w:p>
        </w:tc>
        <w:tc>
          <w:tcPr>
            <w:tcW w:w="2001" w:type="dxa"/>
            <w:shd w:val="pct20" w:color="000000" w:fill="FFFFFF"/>
            <w:vAlign w:val="bottom"/>
          </w:tcPr>
          <w:p w:rsidR="0096399A" w:rsidRPr="0032361E" w:rsidRDefault="0096399A" w:rsidP="00BD50B4">
            <w:pPr>
              <w:ind w:right="323"/>
              <w:jc w:val="right"/>
              <w:rPr>
                <w:sz w:val="20"/>
                <w:szCs w:val="20"/>
                <w:lang w:val="el-GR"/>
              </w:rPr>
            </w:pPr>
            <w:r>
              <w:rPr>
                <w:sz w:val="20"/>
                <w:szCs w:val="20"/>
                <w:lang w:val="el-GR"/>
              </w:rPr>
              <w:t>1.147.677</w:t>
            </w:r>
          </w:p>
        </w:tc>
        <w:tc>
          <w:tcPr>
            <w:tcW w:w="2001" w:type="dxa"/>
            <w:shd w:val="pct20" w:color="000000" w:fill="FFFFFF"/>
            <w:vAlign w:val="bottom"/>
          </w:tcPr>
          <w:p w:rsidR="0096399A" w:rsidRPr="0032361E" w:rsidRDefault="0096399A" w:rsidP="00BD50B4">
            <w:pPr>
              <w:ind w:right="339"/>
              <w:jc w:val="right"/>
              <w:rPr>
                <w:sz w:val="20"/>
                <w:szCs w:val="20"/>
                <w:lang w:val="el-GR"/>
              </w:rPr>
            </w:pPr>
            <w:r>
              <w:rPr>
                <w:sz w:val="20"/>
                <w:szCs w:val="20"/>
                <w:lang w:val="el-GR"/>
              </w:rPr>
              <w:t>21.537.798</w:t>
            </w:r>
          </w:p>
        </w:tc>
      </w:tr>
      <w:tr w:rsidR="0096399A" w:rsidRPr="00D13A51" w:rsidTr="00BD50B4">
        <w:trPr>
          <w:trHeight w:val="57"/>
          <w:jc w:val="center"/>
        </w:trPr>
        <w:tc>
          <w:tcPr>
            <w:tcW w:w="1965" w:type="dxa"/>
            <w:shd w:val="pct5" w:color="000000" w:fill="FFFFFF"/>
          </w:tcPr>
          <w:p w:rsidR="0096399A" w:rsidRPr="009A2D98" w:rsidRDefault="0096399A" w:rsidP="00BD50B4">
            <w:pPr>
              <w:rPr>
                <w:sz w:val="20"/>
                <w:szCs w:val="20"/>
                <w:lang w:val="el-GR"/>
              </w:rPr>
            </w:pPr>
            <w:r w:rsidRPr="009A2D98">
              <w:rPr>
                <w:sz w:val="20"/>
                <w:szCs w:val="20"/>
                <w:lang w:val="el-GR"/>
              </w:rPr>
              <w:t>Τουρισμός</w:t>
            </w:r>
          </w:p>
        </w:tc>
        <w:tc>
          <w:tcPr>
            <w:tcW w:w="2000" w:type="dxa"/>
            <w:shd w:val="pct5" w:color="000000" w:fill="FFFFFF"/>
            <w:vAlign w:val="bottom"/>
          </w:tcPr>
          <w:p w:rsidR="0096399A" w:rsidRPr="0032361E" w:rsidRDefault="0096399A" w:rsidP="00BD50B4">
            <w:pPr>
              <w:ind w:right="715"/>
              <w:jc w:val="right"/>
              <w:rPr>
                <w:sz w:val="20"/>
                <w:szCs w:val="20"/>
                <w:lang w:val="el-GR"/>
              </w:rPr>
            </w:pPr>
            <w:r>
              <w:rPr>
                <w:sz w:val="20"/>
                <w:szCs w:val="20"/>
                <w:lang w:val="el-GR"/>
              </w:rPr>
              <w:t>52</w:t>
            </w:r>
          </w:p>
        </w:tc>
        <w:tc>
          <w:tcPr>
            <w:tcW w:w="2001" w:type="dxa"/>
            <w:shd w:val="pct5" w:color="000000" w:fill="FFFFFF"/>
            <w:vAlign w:val="bottom"/>
          </w:tcPr>
          <w:p w:rsidR="0096399A" w:rsidRPr="0032361E" w:rsidRDefault="0096399A" w:rsidP="00BD50B4">
            <w:pPr>
              <w:ind w:right="306"/>
              <w:jc w:val="right"/>
              <w:rPr>
                <w:sz w:val="20"/>
                <w:szCs w:val="20"/>
                <w:lang w:val="el-GR"/>
              </w:rPr>
            </w:pPr>
            <w:r>
              <w:rPr>
                <w:sz w:val="20"/>
                <w:szCs w:val="20"/>
                <w:lang w:val="el-GR"/>
              </w:rPr>
              <w:t>421.726</w:t>
            </w:r>
          </w:p>
        </w:tc>
        <w:tc>
          <w:tcPr>
            <w:tcW w:w="2001" w:type="dxa"/>
            <w:shd w:val="pct5" w:color="000000" w:fill="FFFFFF"/>
            <w:vAlign w:val="bottom"/>
          </w:tcPr>
          <w:p w:rsidR="0096399A" w:rsidRPr="0032361E" w:rsidRDefault="0096399A" w:rsidP="00BD50B4">
            <w:pPr>
              <w:ind w:right="323"/>
              <w:jc w:val="right"/>
              <w:rPr>
                <w:sz w:val="20"/>
                <w:szCs w:val="20"/>
                <w:lang w:val="el-GR"/>
              </w:rPr>
            </w:pPr>
            <w:r>
              <w:rPr>
                <w:sz w:val="20"/>
                <w:szCs w:val="20"/>
                <w:lang w:val="el-GR"/>
              </w:rPr>
              <w:t>24.151</w:t>
            </w:r>
          </w:p>
        </w:tc>
        <w:tc>
          <w:tcPr>
            <w:tcW w:w="2001" w:type="dxa"/>
            <w:shd w:val="pct5" w:color="000000" w:fill="FFFFFF"/>
            <w:vAlign w:val="bottom"/>
          </w:tcPr>
          <w:p w:rsidR="0096399A" w:rsidRPr="0032361E" w:rsidRDefault="0096399A" w:rsidP="00BD50B4">
            <w:pPr>
              <w:ind w:right="339"/>
              <w:jc w:val="right"/>
              <w:rPr>
                <w:sz w:val="20"/>
                <w:szCs w:val="20"/>
                <w:lang w:val="el-GR"/>
              </w:rPr>
            </w:pPr>
            <w:r>
              <w:rPr>
                <w:sz w:val="20"/>
                <w:szCs w:val="20"/>
                <w:lang w:val="el-GR"/>
              </w:rPr>
              <w:t>1.488.903</w:t>
            </w:r>
          </w:p>
        </w:tc>
      </w:tr>
      <w:tr w:rsidR="0096399A" w:rsidRPr="00D13A51" w:rsidTr="00BD50B4">
        <w:trPr>
          <w:trHeight w:val="57"/>
          <w:jc w:val="center"/>
        </w:trPr>
        <w:tc>
          <w:tcPr>
            <w:tcW w:w="1965" w:type="dxa"/>
            <w:shd w:val="pct20" w:color="000000" w:fill="FFFFFF"/>
          </w:tcPr>
          <w:p w:rsidR="0096399A" w:rsidRPr="009A2D98" w:rsidRDefault="0096399A" w:rsidP="00BD50B4">
            <w:pPr>
              <w:rPr>
                <w:sz w:val="20"/>
                <w:szCs w:val="20"/>
                <w:lang w:val="el-GR"/>
              </w:rPr>
            </w:pPr>
            <w:r w:rsidRPr="009A2D98">
              <w:rPr>
                <w:sz w:val="20"/>
                <w:szCs w:val="20"/>
                <w:lang w:val="el-GR"/>
              </w:rPr>
              <w:t xml:space="preserve">Τράπεζες- </w:t>
            </w:r>
            <w:r w:rsidRPr="009A2D98">
              <w:rPr>
                <w:sz w:val="20"/>
                <w:szCs w:val="20"/>
                <w:lang w:val="en-US"/>
              </w:rPr>
              <w:t>Factoring</w:t>
            </w:r>
          </w:p>
        </w:tc>
        <w:tc>
          <w:tcPr>
            <w:tcW w:w="2000" w:type="dxa"/>
            <w:shd w:val="pct20" w:color="000000" w:fill="FFFFFF"/>
            <w:vAlign w:val="bottom"/>
          </w:tcPr>
          <w:p w:rsidR="0096399A" w:rsidRPr="0032361E" w:rsidRDefault="0096399A" w:rsidP="00BD50B4">
            <w:pPr>
              <w:ind w:right="715"/>
              <w:jc w:val="right"/>
              <w:rPr>
                <w:sz w:val="20"/>
                <w:szCs w:val="20"/>
                <w:lang w:val="el-GR"/>
              </w:rPr>
            </w:pPr>
            <w:r>
              <w:rPr>
                <w:sz w:val="20"/>
                <w:szCs w:val="20"/>
                <w:lang w:val="el-GR"/>
              </w:rPr>
              <w:t>6</w:t>
            </w:r>
          </w:p>
        </w:tc>
        <w:tc>
          <w:tcPr>
            <w:tcW w:w="2001" w:type="dxa"/>
            <w:shd w:val="pct20" w:color="000000" w:fill="FFFFFF"/>
            <w:vAlign w:val="bottom"/>
          </w:tcPr>
          <w:p w:rsidR="0096399A" w:rsidRPr="0032361E" w:rsidRDefault="0096399A" w:rsidP="00BD50B4">
            <w:pPr>
              <w:ind w:right="306"/>
              <w:jc w:val="right"/>
              <w:rPr>
                <w:sz w:val="20"/>
                <w:szCs w:val="20"/>
                <w:lang w:val="el-GR"/>
              </w:rPr>
            </w:pPr>
            <w:r>
              <w:rPr>
                <w:sz w:val="20"/>
                <w:szCs w:val="20"/>
                <w:lang w:val="el-GR"/>
              </w:rPr>
              <w:t>4.948.583</w:t>
            </w:r>
            <w:r w:rsidR="00733C5D">
              <w:rPr>
                <w:sz w:val="20"/>
                <w:szCs w:val="20"/>
                <w:lang w:val="el-GR"/>
              </w:rPr>
              <w:t>*</w:t>
            </w:r>
          </w:p>
        </w:tc>
        <w:tc>
          <w:tcPr>
            <w:tcW w:w="2001" w:type="dxa"/>
            <w:shd w:val="pct20" w:color="000000" w:fill="FFFFFF"/>
            <w:vAlign w:val="bottom"/>
          </w:tcPr>
          <w:p w:rsidR="0096399A" w:rsidRPr="0032361E" w:rsidRDefault="0096399A" w:rsidP="00BD50B4">
            <w:pPr>
              <w:ind w:right="323"/>
              <w:jc w:val="right"/>
              <w:rPr>
                <w:sz w:val="20"/>
                <w:szCs w:val="20"/>
                <w:lang w:val="el-GR"/>
              </w:rPr>
            </w:pPr>
            <w:r>
              <w:rPr>
                <w:sz w:val="20"/>
                <w:szCs w:val="20"/>
                <w:lang w:val="el-GR"/>
              </w:rPr>
              <w:t>4.812.749</w:t>
            </w:r>
          </w:p>
        </w:tc>
        <w:tc>
          <w:tcPr>
            <w:tcW w:w="2001" w:type="dxa"/>
            <w:shd w:val="pct20" w:color="000000" w:fill="FFFFFF"/>
            <w:vAlign w:val="bottom"/>
          </w:tcPr>
          <w:p w:rsidR="0096399A" w:rsidRPr="0032361E" w:rsidRDefault="0096399A" w:rsidP="00BD50B4">
            <w:pPr>
              <w:ind w:right="339"/>
              <w:jc w:val="right"/>
              <w:rPr>
                <w:sz w:val="20"/>
                <w:szCs w:val="20"/>
                <w:lang w:val="el-GR"/>
              </w:rPr>
            </w:pPr>
            <w:r>
              <w:rPr>
                <w:sz w:val="20"/>
                <w:szCs w:val="20"/>
                <w:lang w:val="el-GR"/>
              </w:rPr>
              <w:t>7.575.618</w:t>
            </w:r>
          </w:p>
        </w:tc>
      </w:tr>
      <w:tr w:rsidR="0096399A" w:rsidRPr="00D13A51" w:rsidTr="00BD50B4">
        <w:trPr>
          <w:trHeight w:val="57"/>
          <w:jc w:val="center"/>
        </w:trPr>
        <w:tc>
          <w:tcPr>
            <w:tcW w:w="1965" w:type="dxa"/>
            <w:shd w:val="pct5" w:color="000000" w:fill="FFFFFF"/>
          </w:tcPr>
          <w:p w:rsidR="0096399A" w:rsidRPr="009A2D98" w:rsidRDefault="0096399A" w:rsidP="00BD50B4">
            <w:pPr>
              <w:rPr>
                <w:sz w:val="20"/>
                <w:szCs w:val="20"/>
                <w:lang w:val="el-GR"/>
              </w:rPr>
            </w:pPr>
            <w:r w:rsidRPr="009A2D98">
              <w:rPr>
                <w:sz w:val="20"/>
                <w:szCs w:val="20"/>
                <w:lang w:val="el-GR"/>
              </w:rPr>
              <w:t>Ασφάλειες</w:t>
            </w:r>
          </w:p>
        </w:tc>
        <w:tc>
          <w:tcPr>
            <w:tcW w:w="2000" w:type="dxa"/>
            <w:shd w:val="pct5" w:color="000000" w:fill="FFFFFF"/>
            <w:vAlign w:val="bottom"/>
          </w:tcPr>
          <w:p w:rsidR="0096399A" w:rsidRPr="0032361E" w:rsidRDefault="0096399A" w:rsidP="00BD50B4">
            <w:pPr>
              <w:ind w:right="715"/>
              <w:jc w:val="right"/>
              <w:rPr>
                <w:sz w:val="20"/>
                <w:szCs w:val="20"/>
                <w:lang w:val="el-GR"/>
              </w:rPr>
            </w:pPr>
            <w:r>
              <w:rPr>
                <w:sz w:val="20"/>
                <w:szCs w:val="20"/>
                <w:lang w:val="el-GR"/>
              </w:rPr>
              <w:t>28</w:t>
            </w:r>
          </w:p>
        </w:tc>
        <w:tc>
          <w:tcPr>
            <w:tcW w:w="2001" w:type="dxa"/>
            <w:shd w:val="pct5" w:color="000000" w:fill="FFFFFF"/>
            <w:vAlign w:val="bottom"/>
          </w:tcPr>
          <w:p w:rsidR="0096399A" w:rsidRPr="0032361E" w:rsidRDefault="0096399A" w:rsidP="00BD50B4">
            <w:pPr>
              <w:ind w:right="306"/>
              <w:jc w:val="right"/>
              <w:rPr>
                <w:sz w:val="20"/>
                <w:szCs w:val="20"/>
                <w:lang w:val="el-GR"/>
              </w:rPr>
            </w:pPr>
            <w:r>
              <w:rPr>
                <w:sz w:val="20"/>
                <w:szCs w:val="20"/>
                <w:lang w:val="el-GR"/>
              </w:rPr>
              <w:t>499.291</w:t>
            </w:r>
            <w:r w:rsidR="00733C5D">
              <w:rPr>
                <w:sz w:val="20"/>
                <w:szCs w:val="20"/>
                <w:lang w:val="el-GR"/>
              </w:rPr>
              <w:t>*</w:t>
            </w:r>
          </w:p>
        </w:tc>
        <w:tc>
          <w:tcPr>
            <w:tcW w:w="2001" w:type="dxa"/>
            <w:shd w:val="pct5" w:color="000000" w:fill="FFFFFF"/>
            <w:vAlign w:val="bottom"/>
          </w:tcPr>
          <w:p w:rsidR="0096399A" w:rsidRPr="0032361E" w:rsidRDefault="0096399A" w:rsidP="00BD50B4">
            <w:pPr>
              <w:ind w:right="323"/>
              <w:jc w:val="right"/>
              <w:rPr>
                <w:sz w:val="20"/>
                <w:szCs w:val="20"/>
                <w:lang w:val="el-GR"/>
              </w:rPr>
            </w:pPr>
            <w:r>
              <w:rPr>
                <w:sz w:val="20"/>
                <w:szCs w:val="20"/>
                <w:lang w:val="el-GR"/>
              </w:rPr>
              <w:t>467.632</w:t>
            </w:r>
          </w:p>
        </w:tc>
        <w:tc>
          <w:tcPr>
            <w:tcW w:w="2001" w:type="dxa"/>
            <w:shd w:val="pct5" w:color="000000" w:fill="FFFFFF"/>
            <w:vAlign w:val="bottom"/>
          </w:tcPr>
          <w:p w:rsidR="0096399A" w:rsidRPr="0032361E" w:rsidRDefault="0096399A" w:rsidP="00BD50B4">
            <w:pPr>
              <w:ind w:right="339"/>
              <w:jc w:val="right"/>
              <w:rPr>
                <w:sz w:val="20"/>
                <w:szCs w:val="20"/>
                <w:lang w:val="el-GR"/>
              </w:rPr>
            </w:pPr>
            <w:r>
              <w:rPr>
                <w:sz w:val="20"/>
                <w:szCs w:val="20"/>
                <w:lang w:val="el-GR"/>
              </w:rPr>
              <w:t>4.278.237</w:t>
            </w:r>
          </w:p>
        </w:tc>
      </w:tr>
      <w:tr w:rsidR="0096399A" w:rsidRPr="00D13A51" w:rsidTr="00BD50B4">
        <w:trPr>
          <w:trHeight w:val="57"/>
          <w:jc w:val="center"/>
        </w:trPr>
        <w:tc>
          <w:tcPr>
            <w:tcW w:w="1965" w:type="dxa"/>
            <w:shd w:val="pct20" w:color="000000" w:fill="FFFFFF"/>
          </w:tcPr>
          <w:p w:rsidR="0096399A" w:rsidRPr="009A2D98" w:rsidRDefault="0096399A" w:rsidP="00BD50B4">
            <w:pPr>
              <w:rPr>
                <w:sz w:val="20"/>
                <w:szCs w:val="20"/>
                <w:lang w:val="el-GR"/>
              </w:rPr>
            </w:pPr>
            <w:r w:rsidRPr="009A2D98">
              <w:rPr>
                <w:sz w:val="20"/>
                <w:szCs w:val="20"/>
                <w:lang w:val="el-GR"/>
              </w:rPr>
              <w:t>ΛοιπέςΥπηρεσίες</w:t>
            </w:r>
          </w:p>
        </w:tc>
        <w:tc>
          <w:tcPr>
            <w:tcW w:w="2000" w:type="dxa"/>
            <w:shd w:val="pct20" w:color="000000" w:fill="FFFFFF"/>
            <w:vAlign w:val="bottom"/>
          </w:tcPr>
          <w:p w:rsidR="0096399A" w:rsidRPr="0032361E" w:rsidRDefault="0096399A" w:rsidP="00BD50B4">
            <w:pPr>
              <w:ind w:right="715"/>
              <w:jc w:val="right"/>
              <w:rPr>
                <w:sz w:val="20"/>
                <w:szCs w:val="20"/>
                <w:lang w:val="el-GR"/>
              </w:rPr>
            </w:pPr>
            <w:r>
              <w:rPr>
                <w:sz w:val="20"/>
                <w:szCs w:val="20"/>
                <w:lang w:val="el-GR"/>
              </w:rPr>
              <w:t>142</w:t>
            </w:r>
          </w:p>
        </w:tc>
        <w:tc>
          <w:tcPr>
            <w:tcW w:w="2001" w:type="dxa"/>
            <w:shd w:val="pct20" w:color="000000" w:fill="FFFFFF"/>
            <w:vAlign w:val="bottom"/>
          </w:tcPr>
          <w:p w:rsidR="0096399A" w:rsidRPr="0032361E" w:rsidRDefault="0096399A" w:rsidP="00BD50B4">
            <w:pPr>
              <w:ind w:right="306"/>
              <w:jc w:val="right"/>
              <w:rPr>
                <w:sz w:val="20"/>
                <w:szCs w:val="20"/>
                <w:lang w:val="el-GR"/>
              </w:rPr>
            </w:pPr>
            <w:r>
              <w:rPr>
                <w:sz w:val="20"/>
                <w:szCs w:val="20"/>
                <w:lang w:val="el-GR"/>
              </w:rPr>
              <w:t>4.512.236</w:t>
            </w:r>
          </w:p>
        </w:tc>
        <w:tc>
          <w:tcPr>
            <w:tcW w:w="2001" w:type="dxa"/>
            <w:shd w:val="pct20" w:color="000000" w:fill="FFFFFF"/>
            <w:vAlign w:val="bottom"/>
          </w:tcPr>
          <w:p w:rsidR="0096399A" w:rsidRPr="0032361E" w:rsidRDefault="0096399A" w:rsidP="00BD50B4">
            <w:pPr>
              <w:ind w:right="323"/>
              <w:jc w:val="right"/>
              <w:rPr>
                <w:sz w:val="20"/>
                <w:szCs w:val="20"/>
                <w:lang w:val="el-GR"/>
              </w:rPr>
            </w:pPr>
            <w:r>
              <w:rPr>
                <w:sz w:val="20"/>
                <w:szCs w:val="20"/>
                <w:lang w:val="el-GR"/>
              </w:rPr>
              <w:t>375.826</w:t>
            </w:r>
          </w:p>
        </w:tc>
        <w:tc>
          <w:tcPr>
            <w:tcW w:w="2001" w:type="dxa"/>
            <w:shd w:val="pct20" w:color="000000" w:fill="FFFFFF"/>
            <w:vAlign w:val="bottom"/>
          </w:tcPr>
          <w:p w:rsidR="0096399A" w:rsidRPr="0032361E" w:rsidRDefault="0096399A" w:rsidP="00BD50B4">
            <w:pPr>
              <w:ind w:right="339"/>
              <w:jc w:val="right"/>
              <w:rPr>
                <w:sz w:val="20"/>
                <w:szCs w:val="20"/>
                <w:lang w:val="el-GR"/>
              </w:rPr>
            </w:pPr>
            <w:r>
              <w:rPr>
                <w:sz w:val="20"/>
                <w:szCs w:val="20"/>
                <w:lang w:val="el-GR"/>
              </w:rPr>
              <w:t>26.602.637</w:t>
            </w:r>
          </w:p>
        </w:tc>
      </w:tr>
      <w:tr w:rsidR="0096399A" w:rsidRPr="00D13A51" w:rsidTr="00BD50B4">
        <w:trPr>
          <w:trHeight w:val="57"/>
          <w:jc w:val="center"/>
        </w:trPr>
        <w:tc>
          <w:tcPr>
            <w:tcW w:w="1965" w:type="dxa"/>
            <w:shd w:val="pct5" w:color="000000" w:fill="FFFFFF"/>
          </w:tcPr>
          <w:p w:rsidR="0096399A" w:rsidRPr="00D13A51" w:rsidRDefault="0096399A" w:rsidP="00BD50B4">
            <w:pPr>
              <w:rPr>
                <w:b/>
                <w:sz w:val="20"/>
                <w:szCs w:val="20"/>
                <w:highlight w:val="yellow"/>
                <w:lang w:val="el-GR"/>
              </w:rPr>
            </w:pPr>
            <w:r w:rsidRPr="009A2D98">
              <w:rPr>
                <w:b/>
                <w:sz w:val="20"/>
                <w:szCs w:val="20"/>
                <w:lang w:val="el-GR"/>
              </w:rPr>
              <w:t>ΣΥΝΟΛΟ</w:t>
            </w:r>
          </w:p>
        </w:tc>
        <w:tc>
          <w:tcPr>
            <w:tcW w:w="2000" w:type="dxa"/>
            <w:shd w:val="pct5" w:color="000000" w:fill="FFFFFF"/>
            <w:vAlign w:val="bottom"/>
          </w:tcPr>
          <w:p w:rsidR="0096399A" w:rsidRPr="0032361E" w:rsidRDefault="0096399A" w:rsidP="00BD50B4">
            <w:pPr>
              <w:ind w:right="715"/>
              <w:jc w:val="right"/>
              <w:rPr>
                <w:b/>
                <w:bCs/>
                <w:sz w:val="20"/>
                <w:szCs w:val="20"/>
                <w:lang w:val="el-GR"/>
              </w:rPr>
            </w:pPr>
            <w:r>
              <w:rPr>
                <w:b/>
                <w:bCs/>
                <w:sz w:val="20"/>
                <w:szCs w:val="20"/>
                <w:lang w:val="el-GR"/>
              </w:rPr>
              <w:t>500</w:t>
            </w:r>
          </w:p>
        </w:tc>
        <w:tc>
          <w:tcPr>
            <w:tcW w:w="2001" w:type="dxa"/>
            <w:shd w:val="pct5" w:color="000000" w:fill="FFFFFF"/>
            <w:vAlign w:val="bottom"/>
          </w:tcPr>
          <w:p w:rsidR="0096399A" w:rsidRPr="0032361E" w:rsidRDefault="0096399A" w:rsidP="00BD50B4">
            <w:pPr>
              <w:ind w:right="306"/>
              <w:jc w:val="right"/>
              <w:rPr>
                <w:b/>
                <w:bCs/>
                <w:sz w:val="20"/>
                <w:szCs w:val="20"/>
                <w:lang w:val="el-GR"/>
              </w:rPr>
            </w:pPr>
            <w:r>
              <w:rPr>
                <w:b/>
                <w:bCs/>
                <w:sz w:val="20"/>
                <w:szCs w:val="20"/>
                <w:lang w:val="el-GR"/>
              </w:rPr>
              <w:t>13.253.495</w:t>
            </w:r>
          </w:p>
        </w:tc>
        <w:tc>
          <w:tcPr>
            <w:tcW w:w="2001" w:type="dxa"/>
            <w:shd w:val="pct5" w:color="000000" w:fill="FFFFFF"/>
            <w:vAlign w:val="bottom"/>
          </w:tcPr>
          <w:p w:rsidR="0096399A" w:rsidRPr="0032361E" w:rsidRDefault="0096399A" w:rsidP="00BD50B4">
            <w:pPr>
              <w:ind w:right="323"/>
              <w:jc w:val="right"/>
              <w:rPr>
                <w:b/>
                <w:bCs/>
                <w:sz w:val="20"/>
                <w:szCs w:val="20"/>
                <w:lang w:val="el-GR"/>
              </w:rPr>
            </w:pPr>
            <w:r>
              <w:rPr>
                <w:b/>
                <w:bCs/>
                <w:sz w:val="20"/>
                <w:szCs w:val="20"/>
                <w:lang w:val="el-GR"/>
              </w:rPr>
              <w:t>7.615.639</w:t>
            </w:r>
          </w:p>
        </w:tc>
        <w:tc>
          <w:tcPr>
            <w:tcW w:w="2001" w:type="dxa"/>
            <w:shd w:val="pct5" w:color="000000" w:fill="FFFFFF"/>
            <w:vAlign w:val="bottom"/>
          </w:tcPr>
          <w:p w:rsidR="0096399A" w:rsidRPr="0032361E" w:rsidRDefault="0096399A" w:rsidP="00BD50B4">
            <w:pPr>
              <w:ind w:right="339"/>
              <w:jc w:val="right"/>
              <w:rPr>
                <w:b/>
                <w:bCs/>
                <w:sz w:val="20"/>
                <w:szCs w:val="20"/>
                <w:lang w:val="el-GR"/>
              </w:rPr>
            </w:pPr>
            <w:r>
              <w:rPr>
                <w:b/>
                <w:bCs/>
                <w:sz w:val="20"/>
                <w:szCs w:val="20"/>
                <w:lang w:val="el-GR"/>
              </w:rPr>
              <w:t>82.358.860</w:t>
            </w:r>
          </w:p>
        </w:tc>
      </w:tr>
    </w:tbl>
    <w:p w:rsidR="0096399A" w:rsidRPr="009A2D98" w:rsidRDefault="0096399A" w:rsidP="0096399A">
      <w:pPr>
        <w:pStyle w:val="ae"/>
        <w:ind w:firstLine="0"/>
        <w:jc w:val="both"/>
        <w:rPr>
          <w:i/>
          <w:sz w:val="18"/>
          <w:szCs w:val="18"/>
          <w:lang w:val="en-US"/>
        </w:rPr>
      </w:pPr>
      <w:r w:rsidRPr="009A2D98">
        <w:rPr>
          <w:i/>
          <w:sz w:val="18"/>
          <w:szCs w:val="18"/>
        </w:rPr>
        <w:t xml:space="preserve">* κέρδη </w:t>
      </w:r>
      <w:r w:rsidRPr="009A2D98">
        <w:rPr>
          <w:i/>
          <w:sz w:val="18"/>
          <w:szCs w:val="18"/>
          <w:lang w:val="en-US"/>
        </w:rPr>
        <w:t>EBTD</w:t>
      </w:r>
    </w:p>
    <w:p w:rsidR="0096399A" w:rsidRPr="00D13A51" w:rsidRDefault="0096399A" w:rsidP="0096399A">
      <w:pPr>
        <w:pStyle w:val="ae"/>
        <w:ind w:firstLine="0"/>
        <w:jc w:val="both"/>
        <w:rPr>
          <w:sz w:val="18"/>
          <w:szCs w:val="18"/>
          <w:highlight w:val="yellow"/>
          <w:lang w:val="en-US"/>
        </w:rPr>
      </w:pPr>
    </w:p>
    <w:p w:rsidR="0096399A" w:rsidRPr="00E27101" w:rsidRDefault="0096399A" w:rsidP="0096399A">
      <w:pPr>
        <w:spacing w:line="360" w:lineRule="auto"/>
        <w:jc w:val="both"/>
        <w:rPr>
          <w:sz w:val="22"/>
          <w:szCs w:val="22"/>
          <w:lang w:val="el-GR"/>
        </w:rPr>
      </w:pPr>
    </w:p>
    <w:tbl>
      <w:tblPr>
        <w:tblW w:w="0" w:type="auto"/>
        <w:jc w:val="center"/>
        <w:tblBorders>
          <w:top w:val="single" w:sz="4" w:space="0" w:color="999999"/>
          <w:left w:val="single" w:sz="4" w:space="0" w:color="999999"/>
          <w:bottom w:val="single" w:sz="4" w:space="0" w:color="999999"/>
          <w:right w:val="single" w:sz="4" w:space="0" w:color="999999"/>
        </w:tblBorders>
        <w:tblLook w:val="00A0"/>
      </w:tblPr>
      <w:tblGrid>
        <w:gridCol w:w="9854"/>
      </w:tblGrid>
      <w:tr w:rsidR="0096399A" w:rsidRPr="00CB476D" w:rsidTr="00BD50B4">
        <w:trPr>
          <w:jc w:val="center"/>
        </w:trPr>
        <w:tc>
          <w:tcPr>
            <w:tcW w:w="9854" w:type="dxa"/>
          </w:tcPr>
          <w:p w:rsidR="0096399A" w:rsidRPr="00E27101" w:rsidRDefault="0096399A" w:rsidP="00BD50B4">
            <w:pPr>
              <w:pStyle w:val="a3"/>
              <w:rPr>
                <w:lang w:val="el-GR"/>
              </w:rPr>
            </w:pPr>
            <w:r w:rsidRPr="00E27101">
              <w:rPr>
                <w:lang w:val="el-GR"/>
              </w:rPr>
              <w:t xml:space="preserve">Διάγραμμα 1. Τομεακή Κατανομή Βάσει Κερδών </w:t>
            </w:r>
            <w:r w:rsidRPr="00E27101">
              <w:rPr>
                <w:lang w:val="en-US"/>
              </w:rPr>
              <w:t>EBITDA</w:t>
            </w:r>
            <w:r w:rsidRPr="00E27101">
              <w:rPr>
                <w:lang w:val="el-GR"/>
              </w:rPr>
              <w:t xml:space="preserve"> - 201</w:t>
            </w:r>
            <w:r>
              <w:rPr>
                <w:lang w:val="el-GR"/>
              </w:rPr>
              <w:t>3</w:t>
            </w:r>
          </w:p>
        </w:tc>
      </w:tr>
      <w:tr w:rsidR="0096399A" w:rsidRPr="00E27101" w:rsidTr="00BD50B4">
        <w:trPr>
          <w:jc w:val="center"/>
        </w:trPr>
        <w:tc>
          <w:tcPr>
            <w:tcW w:w="9854" w:type="dxa"/>
          </w:tcPr>
          <w:p w:rsidR="0096399A" w:rsidRPr="00E27101" w:rsidRDefault="009E60E3" w:rsidP="00BD50B4">
            <w:pPr>
              <w:pStyle w:val="ae"/>
              <w:spacing w:line="360" w:lineRule="auto"/>
              <w:ind w:firstLine="0"/>
              <w:jc w:val="center"/>
            </w:pPr>
            <w:r>
              <w:rPr>
                <w:noProof/>
                <w:lang w:val="en-US"/>
              </w:rPr>
              <w:drawing>
                <wp:inline distT="0" distB="0" distL="0" distR="0">
                  <wp:extent cx="4489450" cy="254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9450" cy="2546350"/>
                          </a:xfrm>
                          <a:prstGeom prst="rect">
                            <a:avLst/>
                          </a:prstGeom>
                          <a:noFill/>
                          <a:ln>
                            <a:noFill/>
                          </a:ln>
                        </pic:spPr>
                      </pic:pic>
                    </a:graphicData>
                  </a:graphic>
                </wp:inline>
              </w:drawing>
            </w:r>
          </w:p>
        </w:tc>
      </w:tr>
    </w:tbl>
    <w:p w:rsidR="00B345ED" w:rsidRDefault="0096399A" w:rsidP="0096399A">
      <w:pPr>
        <w:pStyle w:val="ae"/>
        <w:ind w:firstLine="0"/>
        <w:jc w:val="both"/>
        <w:rPr>
          <w:i/>
          <w:sz w:val="18"/>
          <w:szCs w:val="18"/>
          <w:lang w:val="en-US"/>
        </w:rPr>
      </w:pPr>
      <w:r w:rsidRPr="00E27101">
        <w:rPr>
          <w:i/>
          <w:sz w:val="18"/>
          <w:szCs w:val="18"/>
        </w:rPr>
        <w:t xml:space="preserve">* κέρδη </w:t>
      </w:r>
      <w:r w:rsidRPr="00E27101">
        <w:rPr>
          <w:i/>
          <w:sz w:val="18"/>
          <w:szCs w:val="18"/>
          <w:lang w:val="en-US"/>
        </w:rPr>
        <w:t>EBTD</w:t>
      </w:r>
    </w:p>
    <w:p w:rsidR="00B345ED" w:rsidRDefault="00B345ED" w:rsidP="00B345ED">
      <w:pPr>
        <w:rPr>
          <w:lang w:val="en-US"/>
        </w:rPr>
      </w:pPr>
      <w:r>
        <w:rPr>
          <w:lang w:val="en-US"/>
        </w:rPr>
        <w:br w:type="page"/>
      </w:r>
    </w:p>
    <w:p w:rsidR="0096399A" w:rsidRPr="00E27101" w:rsidRDefault="0096399A" w:rsidP="0096399A">
      <w:pPr>
        <w:pStyle w:val="ae"/>
        <w:ind w:firstLine="0"/>
        <w:jc w:val="both"/>
        <w:rPr>
          <w:i/>
          <w:sz w:val="18"/>
          <w:szCs w:val="18"/>
          <w:lang w:val="en-US"/>
        </w:rPr>
      </w:pPr>
    </w:p>
    <w:p w:rsidR="0096399A" w:rsidRPr="00E27101" w:rsidRDefault="0096399A" w:rsidP="0096399A">
      <w:pPr>
        <w:ind w:left="720"/>
        <w:rPr>
          <w:lang w:val="el-GR"/>
        </w:rPr>
      </w:pPr>
    </w:p>
    <w:tbl>
      <w:tblPr>
        <w:tblW w:w="0" w:type="auto"/>
        <w:jc w:val="center"/>
        <w:tblBorders>
          <w:top w:val="single" w:sz="4" w:space="0" w:color="999999"/>
          <w:left w:val="single" w:sz="4" w:space="0" w:color="999999"/>
          <w:bottom w:val="single" w:sz="4" w:space="0" w:color="999999"/>
          <w:right w:val="single" w:sz="4" w:space="0" w:color="999999"/>
        </w:tblBorders>
        <w:tblLook w:val="00A0"/>
      </w:tblPr>
      <w:tblGrid>
        <w:gridCol w:w="9854"/>
      </w:tblGrid>
      <w:tr w:rsidR="0096399A" w:rsidRPr="00CB476D" w:rsidTr="00BD50B4">
        <w:trPr>
          <w:jc w:val="center"/>
        </w:trPr>
        <w:tc>
          <w:tcPr>
            <w:tcW w:w="9854" w:type="dxa"/>
          </w:tcPr>
          <w:p w:rsidR="0096399A" w:rsidRPr="00E27101" w:rsidRDefault="0096399A" w:rsidP="00BD50B4">
            <w:pPr>
              <w:pStyle w:val="a3"/>
              <w:rPr>
                <w:lang w:val="el-GR"/>
              </w:rPr>
            </w:pPr>
            <w:r w:rsidRPr="00E27101">
              <w:rPr>
                <w:lang w:val="el-GR"/>
              </w:rPr>
              <w:t>Διάγραμμα 2. Τομεακή Κατανομή Βάσει Κερδών προ Φόρου - 201</w:t>
            </w:r>
            <w:r>
              <w:rPr>
                <w:lang w:val="el-GR"/>
              </w:rPr>
              <w:t>3</w:t>
            </w:r>
          </w:p>
        </w:tc>
      </w:tr>
      <w:tr w:rsidR="0096399A" w:rsidRPr="00E27101" w:rsidTr="00025773">
        <w:trPr>
          <w:jc w:val="center"/>
        </w:trPr>
        <w:tc>
          <w:tcPr>
            <w:tcW w:w="9854" w:type="dxa"/>
          </w:tcPr>
          <w:p w:rsidR="0096399A" w:rsidRPr="00E27101" w:rsidRDefault="009E60E3" w:rsidP="00BD50B4">
            <w:pPr>
              <w:pStyle w:val="ae"/>
              <w:spacing w:line="360" w:lineRule="auto"/>
              <w:ind w:firstLine="0"/>
              <w:jc w:val="center"/>
            </w:pPr>
            <w:r>
              <w:rPr>
                <w:noProof/>
                <w:lang w:val="en-US"/>
              </w:rPr>
              <w:drawing>
                <wp:inline distT="0" distB="0" distL="0" distR="0">
                  <wp:extent cx="4184650" cy="2736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4650" cy="2736850"/>
                          </a:xfrm>
                          <a:prstGeom prst="rect">
                            <a:avLst/>
                          </a:prstGeom>
                          <a:noFill/>
                          <a:ln>
                            <a:noFill/>
                          </a:ln>
                        </pic:spPr>
                      </pic:pic>
                    </a:graphicData>
                  </a:graphic>
                </wp:inline>
              </w:drawing>
            </w:r>
          </w:p>
        </w:tc>
      </w:tr>
    </w:tbl>
    <w:p w:rsidR="0096399A" w:rsidRPr="00E27101" w:rsidRDefault="0096399A" w:rsidP="0096399A">
      <w:pPr>
        <w:ind w:left="720"/>
        <w:rPr>
          <w:lang w:val="el-GR"/>
        </w:rPr>
      </w:pPr>
    </w:p>
    <w:p w:rsidR="0096399A" w:rsidRPr="00E27101" w:rsidRDefault="0096399A" w:rsidP="0096399A">
      <w:pPr>
        <w:ind w:left="720"/>
        <w:rPr>
          <w:lang w:val="el-GR"/>
        </w:rPr>
      </w:pPr>
    </w:p>
    <w:tbl>
      <w:tblPr>
        <w:tblW w:w="0" w:type="auto"/>
        <w:jc w:val="center"/>
        <w:tblBorders>
          <w:top w:val="single" w:sz="4" w:space="0" w:color="999999"/>
          <w:left w:val="single" w:sz="4" w:space="0" w:color="999999"/>
          <w:bottom w:val="single" w:sz="4" w:space="0" w:color="999999"/>
          <w:right w:val="single" w:sz="4" w:space="0" w:color="999999"/>
        </w:tblBorders>
        <w:tblLook w:val="00A0"/>
      </w:tblPr>
      <w:tblGrid>
        <w:gridCol w:w="9854"/>
      </w:tblGrid>
      <w:tr w:rsidR="0096399A" w:rsidRPr="00CB476D" w:rsidTr="00BD50B4">
        <w:trPr>
          <w:jc w:val="center"/>
        </w:trPr>
        <w:tc>
          <w:tcPr>
            <w:tcW w:w="9854" w:type="dxa"/>
          </w:tcPr>
          <w:p w:rsidR="0096399A" w:rsidRPr="00E27101" w:rsidRDefault="0096399A" w:rsidP="00BD50B4">
            <w:pPr>
              <w:pStyle w:val="a3"/>
              <w:rPr>
                <w:lang w:val="el-GR"/>
              </w:rPr>
            </w:pPr>
            <w:r w:rsidRPr="00E27101">
              <w:rPr>
                <w:lang w:val="el-GR"/>
              </w:rPr>
              <w:t>Διάγραμμα 3. Τομεακή Κατανομή Βάσει Κύκλου Εργασιών - 201</w:t>
            </w:r>
            <w:r>
              <w:rPr>
                <w:lang w:val="el-GR"/>
              </w:rPr>
              <w:t>3</w:t>
            </w:r>
          </w:p>
        </w:tc>
      </w:tr>
      <w:tr w:rsidR="0096399A" w:rsidRPr="00E27101" w:rsidTr="00BD50B4">
        <w:trPr>
          <w:jc w:val="center"/>
        </w:trPr>
        <w:tc>
          <w:tcPr>
            <w:tcW w:w="9854" w:type="dxa"/>
          </w:tcPr>
          <w:p w:rsidR="0096399A" w:rsidRPr="00E27101" w:rsidRDefault="002C0B37" w:rsidP="00BD50B4">
            <w:pPr>
              <w:pStyle w:val="ae"/>
              <w:spacing w:line="360" w:lineRule="auto"/>
              <w:ind w:firstLine="0"/>
              <w:jc w:val="center"/>
            </w:pPr>
            <w:r>
              <w:rPr>
                <w:noProof/>
                <w:lang w:val="en-US"/>
              </w:rPr>
              <w:drawing>
                <wp:inline distT="0" distB="0" distL="0" distR="0">
                  <wp:extent cx="4495800" cy="254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0" cy="2546350"/>
                          </a:xfrm>
                          <a:prstGeom prst="rect">
                            <a:avLst/>
                          </a:prstGeom>
                          <a:noFill/>
                          <a:ln>
                            <a:noFill/>
                          </a:ln>
                        </pic:spPr>
                      </pic:pic>
                    </a:graphicData>
                  </a:graphic>
                </wp:inline>
              </w:drawing>
            </w:r>
          </w:p>
        </w:tc>
      </w:tr>
      <w:bookmarkEnd w:id="5"/>
    </w:tbl>
    <w:p w:rsidR="0096399A" w:rsidRPr="00E27101" w:rsidRDefault="0096399A" w:rsidP="0096399A">
      <w:pPr>
        <w:ind w:left="720"/>
        <w:rPr>
          <w:lang w:val="el-GR"/>
        </w:rPr>
      </w:pPr>
    </w:p>
    <w:p w:rsidR="0096399A" w:rsidRPr="00E27101" w:rsidRDefault="0096399A" w:rsidP="0096399A">
      <w:pPr>
        <w:pStyle w:val="a8"/>
        <w:rPr>
          <w:rFonts w:ascii="Times New Roman" w:hAnsi="Times New Roman"/>
        </w:rPr>
      </w:pPr>
      <w:bookmarkStart w:id="6" w:name="_Toc207785913"/>
      <w:r w:rsidRPr="00E27101">
        <w:rPr>
          <w:rFonts w:ascii="Times New Roman" w:hAnsi="Times New Roman"/>
        </w:rPr>
        <w:t>3.</w:t>
      </w:r>
      <w:r w:rsidRPr="00E27101">
        <w:rPr>
          <w:rFonts w:ascii="Times New Roman" w:hAnsi="Times New Roman"/>
        </w:rPr>
        <w:tab/>
        <w:t>“</w:t>
      </w:r>
      <w:r w:rsidRPr="00E27101">
        <w:rPr>
          <w:rFonts w:ascii="Times New Roman" w:hAnsi="Times New Roman"/>
          <w:lang w:val="en-US"/>
        </w:rPr>
        <w:t>Top</w:t>
      </w:r>
      <w:r w:rsidRPr="00E27101">
        <w:rPr>
          <w:rFonts w:ascii="Times New Roman" w:hAnsi="Times New Roman"/>
        </w:rPr>
        <w:t xml:space="preserve"> 20”  Κερδοφόρων Εταιρειών</w:t>
      </w:r>
      <w:bookmarkEnd w:id="6"/>
    </w:p>
    <w:p w:rsidR="0096399A" w:rsidRPr="00E27101" w:rsidRDefault="0096399A" w:rsidP="0096399A">
      <w:pPr>
        <w:ind w:left="720"/>
        <w:rPr>
          <w:lang w:val="el-GR"/>
        </w:rPr>
      </w:pPr>
    </w:p>
    <w:p w:rsidR="00B345ED" w:rsidRPr="00A90F4D" w:rsidRDefault="0096399A" w:rsidP="0096399A">
      <w:pPr>
        <w:pStyle w:val="ae"/>
        <w:spacing w:line="360" w:lineRule="auto"/>
        <w:ind w:firstLine="0"/>
        <w:jc w:val="both"/>
      </w:pPr>
      <w:r w:rsidRPr="00507CDF">
        <w:rPr>
          <w:szCs w:val="22"/>
        </w:rPr>
        <w:t>Ενδιαφέρον παρουσιάζει η κορυφή της κατάταξης κατά το 201</w:t>
      </w:r>
      <w:r w:rsidRPr="00807D0E">
        <w:rPr>
          <w:szCs w:val="22"/>
        </w:rPr>
        <w:t>3</w:t>
      </w:r>
      <w:r w:rsidRPr="00507CDF">
        <w:rPr>
          <w:szCs w:val="22"/>
        </w:rPr>
        <w:t xml:space="preserve">. Παρατηρείται ότι στην πρώτη εικοσάδα (TOP 20) των πλέον κερδοφόρων εταιρειών (βάσει EBITDA) η πλειοψηφία </w:t>
      </w:r>
      <w:r w:rsidRPr="00507CDF">
        <w:t>παρέμεινε σταθερή, με τις 16 από τις 20 εταιρείες να εμφανίζονται στην κορυφή τόσο το 201</w:t>
      </w:r>
      <w:r w:rsidRPr="00807D0E">
        <w:t>3</w:t>
      </w:r>
      <w:r w:rsidRPr="00507CDF">
        <w:t xml:space="preserve"> όσο και το 201</w:t>
      </w:r>
      <w:r w:rsidRPr="00807D0E">
        <w:t>2</w:t>
      </w:r>
      <w:r w:rsidRPr="00507CDF">
        <w:t>, σημειώνοντας απλά κάποια εναλλαγή στις θέσεις της κατάταξης. Αναφορικά με τη συμμετοχή των επί μέρους τομέων στη  «σύνθεση» της πρώτης εικοσάδας εταιρειών, το 201</w:t>
      </w:r>
      <w:r w:rsidRPr="00807D0E">
        <w:t>3</w:t>
      </w:r>
      <w:r w:rsidRPr="00507CDF">
        <w:t xml:space="preserve"> συμμετείχαν </w:t>
      </w:r>
      <w:r w:rsidRPr="00507CDF">
        <w:rPr>
          <w:b/>
        </w:rPr>
        <w:t>12</w:t>
      </w:r>
      <w:r w:rsidRPr="00507CDF">
        <w:t xml:space="preserve"> εταιρείες του τομέα «Λοιπών Υπηρεσιών», </w:t>
      </w:r>
      <w:r>
        <w:t>μια της</w:t>
      </w:r>
      <w:r w:rsidRPr="00507CDF">
        <w:t xml:space="preserve"> Β</w:t>
      </w:r>
      <w:r>
        <w:t>ιομηχανία</w:t>
      </w:r>
      <w:r w:rsidRPr="00507CDF">
        <w:t>ς, τρεις Εμπορικές εταιρείες</w:t>
      </w:r>
      <w:r>
        <w:t xml:space="preserve">, τρεις Τράπεζες και μία εταιρεία του κλάδου </w:t>
      </w:r>
    </w:p>
    <w:p w:rsidR="00B345ED" w:rsidRPr="00A90F4D" w:rsidRDefault="00B345ED" w:rsidP="0096399A">
      <w:pPr>
        <w:pStyle w:val="ae"/>
        <w:spacing w:line="360" w:lineRule="auto"/>
        <w:ind w:firstLine="0"/>
        <w:jc w:val="both"/>
      </w:pPr>
    </w:p>
    <w:p w:rsidR="0096399A" w:rsidRPr="00A54F62" w:rsidRDefault="0096399A" w:rsidP="0096399A">
      <w:pPr>
        <w:pStyle w:val="ae"/>
        <w:spacing w:line="360" w:lineRule="auto"/>
        <w:ind w:firstLine="0"/>
        <w:jc w:val="both"/>
      </w:pPr>
      <w:r>
        <w:t>των Ασφαλειών</w:t>
      </w:r>
      <w:r w:rsidRPr="00507CDF">
        <w:t xml:space="preserve">. </w:t>
      </w:r>
      <w:r w:rsidRPr="00956360">
        <w:t xml:space="preserve">Κορυφαία κερδοφόρα εταιρεία για το 2013 ανεδείχθη </w:t>
      </w:r>
      <w:r w:rsidRPr="0041399B">
        <w:t xml:space="preserve">η </w:t>
      </w:r>
      <w:r w:rsidRPr="0041399B">
        <w:rPr>
          <w:lang w:val="en-US"/>
        </w:rPr>
        <w:t>ALPHABANK</w:t>
      </w:r>
      <w:r w:rsidRPr="0041399B">
        <w:t xml:space="preserve"> ΑΕ</w:t>
      </w:r>
      <w:r w:rsidR="006704F5" w:rsidRPr="0041399B">
        <w:t>,</w:t>
      </w:r>
      <w:r>
        <w:t>η οποία κατέλαβε την κορυφή και ακολουθεί</w:t>
      </w:r>
      <w:r w:rsidRPr="00507CDF">
        <w:t xml:space="preserve"> στη 2</w:t>
      </w:r>
      <w:r w:rsidRPr="00507CDF">
        <w:rPr>
          <w:vertAlign w:val="superscript"/>
        </w:rPr>
        <w:t>η</w:t>
      </w:r>
      <w:r>
        <w:t xml:space="preserve"> θέση η</w:t>
      </w:r>
      <w:r w:rsidRPr="0041399B">
        <w:t>ΠΕΙΡΑΙΩΣ ΤΡΑΠΕΖΑ ΑΕ</w:t>
      </w:r>
      <w:r w:rsidR="006704F5" w:rsidRPr="0041399B">
        <w:t>,</w:t>
      </w:r>
      <w:r w:rsidR="006704F5" w:rsidRPr="006704F5">
        <w:t>τα κέρδη των οποίων αντιπροσωπεύουν οφέλη που προέκυψαν α</w:t>
      </w:r>
      <w:r w:rsidR="004146EA" w:rsidRPr="006704F5">
        <w:rPr>
          <w:szCs w:val="22"/>
        </w:rPr>
        <w:t>πό την αρνητική υπεραξία των εξαγορών</w:t>
      </w:r>
      <w:r w:rsidR="00952FDF" w:rsidRPr="006704F5">
        <w:rPr>
          <w:szCs w:val="22"/>
        </w:rPr>
        <w:t xml:space="preserve"> τους.</w:t>
      </w:r>
      <w:r w:rsidRPr="006704F5">
        <w:rPr>
          <w:szCs w:val="22"/>
        </w:rPr>
        <w:t>Νεοεισερχόμενες εταιρείες στο TOP 20</w:t>
      </w:r>
      <w:r w:rsidRPr="00507CDF">
        <w:rPr>
          <w:szCs w:val="22"/>
        </w:rPr>
        <w:t xml:space="preserve"> είναι </w:t>
      </w:r>
      <w:r w:rsidR="006704F5">
        <w:rPr>
          <w:szCs w:val="22"/>
        </w:rPr>
        <w:t xml:space="preserve">επίσης </w:t>
      </w:r>
      <w:r>
        <w:t>η ΑΕΡΟΠΟΡΙΑ ΑΙΓΑΙΟΥ ΑΕ (κλάδος Αεροπορικών Μεταφορών) και η ΚΑΤΑΣΤΗΜΑΤΑ ΑΦΟΡΟΛΟΓΗΤΩΝ ΕΙΔΩΝ ΑΕ (κλάδος Εμπορίου Διαφόρων Ειδών).</w:t>
      </w:r>
    </w:p>
    <w:p w:rsidR="0096399A" w:rsidRDefault="0096399A" w:rsidP="0096399A">
      <w:pPr>
        <w:pStyle w:val="ae"/>
        <w:spacing w:line="360" w:lineRule="auto"/>
        <w:ind w:firstLine="0"/>
        <w:jc w:val="both"/>
      </w:pPr>
      <w:r w:rsidRPr="00507CDF">
        <w:rPr>
          <w:szCs w:val="22"/>
        </w:rPr>
        <w:t xml:space="preserve">Η συμμετοχή των </w:t>
      </w:r>
      <w:r w:rsidRPr="00507CDF">
        <w:rPr>
          <w:b/>
          <w:i/>
          <w:szCs w:val="22"/>
        </w:rPr>
        <w:t>πρώτων 20 εταιρειών</w:t>
      </w:r>
      <w:r w:rsidRPr="00507CDF">
        <w:rPr>
          <w:szCs w:val="22"/>
        </w:rPr>
        <w:t xml:space="preserve">  της κατάταξης είναι καθοριστική, εφόσον μόνον αυτές κάλυψαν το 201</w:t>
      </w:r>
      <w:r>
        <w:rPr>
          <w:szCs w:val="22"/>
        </w:rPr>
        <w:t>3</w:t>
      </w:r>
      <w:r w:rsidRPr="00507CDF">
        <w:rPr>
          <w:szCs w:val="22"/>
        </w:rPr>
        <w:t xml:space="preserve"> (από κοινού) μερίδιο </w:t>
      </w:r>
      <w:r>
        <w:rPr>
          <w:b/>
          <w:szCs w:val="22"/>
        </w:rPr>
        <w:t>61,4</w:t>
      </w:r>
      <w:r w:rsidRPr="00507CDF">
        <w:rPr>
          <w:b/>
          <w:szCs w:val="22"/>
        </w:rPr>
        <w:t>%</w:t>
      </w:r>
      <w:r w:rsidRPr="00507CDF">
        <w:rPr>
          <w:szCs w:val="22"/>
        </w:rPr>
        <w:t xml:space="preserve"> επί των συνολικών κερδών EBITDA, καθώς και μερίδιο </w:t>
      </w:r>
      <w:r w:rsidRPr="00507CDF">
        <w:rPr>
          <w:b/>
          <w:szCs w:val="22"/>
        </w:rPr>
        <w:t>4</w:t>
      </w:r>
      <w:r>
        <w:rPr>
          <w:b/>
          <w:szCs w:val="22"/>
        </w:rPr>
        <w:t>2,7</w:t>
      </w:r>
      <w:r w:rsidRPr="00507CDF">
        <w:rPr>
          <w:b/>
          <w:szCs w:val="22"/>
        </w:rPr>
        <w:t>%</w:t>
      </w:r>
      <w:r w:rsidRPr="00507CDF">
        <w:rPr>
          <w:szCs w:val="22"/>
        </w:rPr>
        <w:t xml:space="preserve"> επί του συνολικού κύκλου εργασιών, που πραγματοποίησαν και οι 500 εταιρείες της κατάταξης.</w:t>
      </w:r>
    </w:p>
    <w:p w:rsidR="0096399A" w:rsidRPr="00507CDF" w:rsidRDefault="0096399A" w:rsidP="0096399A">
      <w:pPr>
        <w:pStyle w:val="ae"/>
        <w:spacing w:line="360" w:lineRule="auto"/>
        <w:ind w:firstLine="0"/>
        <w:jc w:val="both"/>
      </w:pPr>
    </w:p>
    <w:tbl>
      <w:tblPr>
        <w:tblW w:w="9583" w:type="dxa"/>
        <w:jc w:val="center"/>
        <w:tblBorders>
          <w:insideH w:val="single" w:sz="18" w:space="0" w:color="FFFFFF"/>
          <w:insideV w:val="single" w:sz="18" w:space="0" w:color="FFFFFF"/>
        </w:tblBorders>
        <w:tblLayout w:type="fixed"/>
        <w:tblLook w:val="0000"/>
      </w:tblPr>
      <w:tblGrid>
        <w:gridCol w:w="2140"/>
        <w:gridCol w:w="1917"/>
        <w:gridCol w:w="1728"/>
        <w:gridCol w:w="2106"/>
        <w:gridCol w:w="1692"/>
      </w:tblGrid>
      <w:tr w:rsidR="0096399A" w:rsidRPr="00EA358B" w:rsidTr="00BD50B4">
        <w:trPr>
          <w:trHeight w:val="57"/>
          <w:jc w:val="center"/>
        </w:trPr>
        <w:tc>
          <w:tcPr>
            <w:tcW w:w="9583" w:type="dxa"/>
            <w:gridSpan w:val="5"/>
            <w:shd w:val="pct5" w:color="000000" w:fill="FFFFFF"/>
            <w:noWrap/>
          </w:tcPr>
          <w:p w:rsidR="0096399A" w:rsidRPr="00EA358B" w:rsidRDefault="0096399A" w:rsidP="00BD50B4">
            <w:pPr>
              <w:pStyle w:val="a7"/>
              <w:rPr>
                <w:sz w:val="20"/>
                <w:szCs w:val="20"/>
                <w:lang w:val="el-GR"/>
              </w:rPr>
            </w:pPr>
            <w:bookmarkStart w:id="7" w:name="_Toc207785918"/>
            <w:r w:rsidRPr="00EA358B">
              <w:rPr>
                <w:sz w:val="20"/>
                <w:szCs w:val="20"/>
                <w:lang w:val="el-GR"/>
              </w:rPr>
              <w:t>Πίνακας 3. Συμμετοχή Κορυφαίων Εταιρειών στα Συνολικά Μεγέθη της Κατάταξης (201</w:t>
            </w:r>
            <w:r>
              <w:rPr>
                <w:sz w:val="20"/>
                <w:szCs w:val="20"/>
                <w:lang w:val="el-GR"/>
              </w:rPr>
              <w:t>3</w:t>
            </w:r>
            <w:r w:rsidRPr="00EA358B">
              <w:rPr>
                <w:sz w:val="20"/>
                <w:szCs w:val="20"/>
                <w:lang w:val="el-GR"/>
              </w:rPr>
              <w:t>, σε χιλ. €)</w:t>
            </w:r>
            <w:bookmarkEnd w:id="7"/>
          </w:p>
        </w:tc>
      </w:tr>
      <w:tr w:rsidR="0096399A" w:rsidRPr="00EA358B" w:rsidTr="00BD50B4">
        <w:trPr>
          <w:trHeight w:val="57"/>
          <w:jc w:val="center"/>
        </w:trPr>
        <w:tc>
          <w:tcPr>
            <w:tcW w:w="2140" w:type="dxa"/>
            <w:shd w:val="pct20" w:color="000000" w:fill="FFFFFF"/>
            <w:noWrap/>
          </w:tcPr>
          <w:p w:rsidR="0096399A" w:rsidRPr="00EA358B" w:rsidRDefault="0096399A" w:rsidP="00BD50B4">
            <w:pPr>
              <w:jc w:val="center"/>
              <w:rPr>
                <w:b/>
                <w:bCs/>
                <w:sz w:val="20"/>
                <w:szCs w:val="20"/>
              </w:rPr>
            </w:pPr>
            <w:r w:rsidRPr="00EA358B">
              <w:rPr>
                <w:b/>
                <w:bCs/>
                <w:sz w:val="20"/>
                <w:szCs w:val="20"/>
              </w:rPr>
              <w:t>ΠλήθοςΕταιρειών</w:t>
            </w:r>
          </w:p>
        </w:tc>
        <w:tc>
          <w:tcPr>
            <w:tcW w:w="1917" w:type="dxa"/>
            <w:shd w:val="pct20" w:color="000000" w:fill="FFFFFF"/>
            <w:noWrap/>
          </w:tcPr>
          <w:p w:rsidR="0096399A" w:rsidRPr="00EA358B" w:rsidRDefault="0096399A" w:rsidP="00BD50B4">
            <w:pPr>
              <w:jc w:val="center"/>
              <w:rPr>
                <w:b/>
                <w:bCs/>
                <w:sz w:val="20"/>
                <w:szCs w:val="20"/>
              </w:rPr>
            </w:pPr>
            <w:r w:rsidRPr="00EA358B">
              <w:rPr>
                <w:b/>
                <w:bCs/>
                <w:sz w:val="20"/>
                <w:szCs w:val="20"/>
              </w:rPr>
              <w:t>Κέρδη EBITDA</w:t>
            </w:r>
          </w:p>
        </w:tc>
        <w:tc>
          <w:tcPr>
            <w:tcW w:w="1728" w:type="dxa"/>
            <w:shd w:val="pct20" w:color="000000" w:fill="FFFFFF"/>
            <w:noWrap/>
          </w:tcPr>
          <w:p w:rsidR="0096399A" w:rsidRPr="00EA358B" w:rsidRDefault="0096399A" w:rsidP="00BD50B4">
            <w:pPr>
              <w:jc w:val="center"/>
              <w:rPr>
                <w:b/>
                <w:bCs/>
                <w:i/>
                <w:sz w:val="20"/>
                <w:szCs w:val="20"/>
                <w:lang w:val="el-GR"/>
              </w:rPr>
            </w:pPr>
            <w:r w:rsidRPr="00EA358B">
              <w:rPr>
                <w:b/>
                <w:bCs/>
                <w:i/>
                <w:sz w:val="20"/>
                <w:szCs w:val="20"/>
              </w:rPr>
              <w:t>(%)</w:t>
            </w:r>
            <w:r w:rsidRPr="00EA358B">
              <w:rPr>
                <w:b/>
                <w:bCs/>
                <w:i/>
                <w:sz w:val="20"/>
                <w:szCs w:val="20"/>
                <w:lang w:val="el-GR"/>
              </w:rPr>
              <w:t xml:space="preserve"> Συνόλου</w:t>
            </w:r>
          </w:p>
        </w:tc>
        <w:tc>
          <w:tcPr>
            <w:tcW w:w="2106" w:type="dxa"/>
            <w:shd w:val="pct20" w:color="000000" w:fill="FFFFFF"/>
            <w:noWrap/>
          </w:tcPr>
          <w:p w:rsidR="0096399A" w:rsidRPr="00EA358B" w:rsidRDefault="0096399A" w:rsidP="00BD50B4">
            <w:pPr>
              <w:jc w:val="center"/>
              <w:rPr>
                <w:b/>
                <w:bCs/>
                <w:sz w:val="20"/>
                <w:szCs w:val="20"/>
              </w:rPr>
            </w:pPr>
            <w:r w:rsidRPr="00EA358B">
              <w:rPr>
                <w:b/>
                <w:bCs/>
                <w:sz w:val="20"/>
                <w:szCs w:val="20"/>
              </w:rPr>
              <w:t>ΚύκλοςΕργασιών</w:t>
            </w:r>
          </w:p>
        </w:tc>
        <w:tc>
          <w:tcPr>
            <w:tcW w:w="1692" w:type="dxa"/>
            <w:shd w:val="pct20" w:color="000000" w:fill="FFFFFF"/>
            <w:noWrap/>
          </w:tcPr>
          <w:p w:rsidR="0096399A" w:rsidRPr="00EA358B" w:rsidRDefault="0096399A" w:rsidP="00BD50B4">
            <w:pPr>
              <w:jc w:val="center"/>
              <w:rPr>
                <w:b/>
                <w:bCs/>
                <w:i/>
                <w:sz w:val="20"/>
                <w:szCs w:val="20"/>
                <w:lang w:val="el-GR"/>
              </w:rPr>
            </w:pPr>
            <w:r w:rsidRPr="00EA358B">
              <w:rPr>
                <w:b/>
                <w:bCs/>
                <w:i/>
                <w:sz w:val="20"/>
                <w:szCs w:val="20"/>
              </w:rPr>
              <w:t>(%)</w:t>
            </w:r>
            <w:r w:rsidRPr="00EA358B">
              <w:rPr>
                <w:b/>
                <w:bCs/>
                <w:i/>
                <w:sz w:val="20"/>
                <w:szCs w:val="20"/>
                <w:lang w:val="el-GR"/>
              </w:rPr>
              <w:t xml:space="preserve"> Συνόλου</w:t>
            </w:r>
          </w:p>
        </w:tc>
      </w:tr>
      <w:tr w:rsidR="0096399A" w:rsidRPr="00EA358B" w:rsidTr="00BD50B4">
        <w:trPr>
          <w:trHeight w:val="57"/>
          <w:jc w:val="center"/>
        </w:trPr>
        <w:tc>
          <w:tcPr>
            <w:tcW w:w="2140" w:type="dxa"/>
            <w:shd w:val="pct5"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20</w:t>
            </w:r>
            <w:r w:rsidRPr="00EA358B">
              <w:rPr>
                <w:sz w:val="20"/>
                <w:szCs w:val="20"/>
              </w:rPr>
              <w:t>Εταιρείες</w:t>
            </w:r>
          </w:p>
        </w:tc>
        <w:tc>
          <w:tcPr>
            <w:tcW w:w="1917" w:type="dxa"/>
            <w:shd w:val="pct5" w:color="000000" w:fill="FFFFFF"/>
            <w:noWrap/>
            <w:vAlign w:val="bottom"/>
          </w:tcPr>
          <w:p w:rsidR="0096399A" w:rsidRPr="0032361E" w:rsidRDefault="0096399A" w:rsidP="00BD50B4">
            <w:pPr>
              <w:ind w:right="320"/>
              <w:jc w:val="right"/>
              <w:rPr>
                <w:sz w:val="20"/>
                <w:szCs w:val="20"/>
                <w:lang w:val="el-GR"/>
              </w:rPr>
            </w:pPr>
            <w:r>
              <w:rPr>
                <w:sz w:val="20"/>
                <w:szCs w:val="20"/>
                <w:lang w:val="el-GR"/>
              </w:rPr>
              <w:t>8.142.322</w:t>
            </w:r>
          </w:p>
        </w:tc>
        <w:tc>
          <w:tcPr>
            <w:tcW w:w="1728" w:type="dxa"/>
            <w:shd w:val="pct5"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61,4%</w:t>
            </w:r>
          </w:p>
        </w:tc>
        <w:tc>
          <w:tcPr>
            <w:tcW w:w="2106" w:type="dxa"/>
            <w:shd w:val="pct5" w:color="000000" w:fill="FFFFFF"/>
            <w:noWrap/>
            <w:vAlign w:val="bottom"/>
          </w:tcPr>
          <w:p w:rsidR="0096399A" w:rsidRPr="00716268" w:rsidRDefault="0096399A" w:rsidP="00BD50B4">
            <w:pPr>
              <w:ind w:right="327"/>
              <w:jc w:val="right"/>
              <w:rPr>
                <w:sz w:val="20"/>
                <w:szCs w:val="20"/>
                <w:lang w:val="el-GR"/>
              </w:rPr>
            </w:pPr>
            <w:r>
              <w:rPr>
                <w:sz w:val="20"/>
                <w:szCs w:val="20"/>
                <w:lang w:val="el-GR"/>
              </w:rPr>
              <w:t>35.161.576</w:t>
            </w:r>
          </w:p>
        </w:tc>
        <w:tc>
          <w:tcPr>
            <w:tcW w:w="1692" w:type="dxa"/>
            <w:shd w:val="pct5"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42,7%</w:t>
            </w:r>
          </w:p>
        </w:tc>
      </w:tr>
      <w:tr w:rsidR="0096399A" w:rsidRPr="00EA358B" w:rsidTr="00BD50B4">
        <w:trPr>
          <w:trHeight w:val="57"/>
          <w:jc w:val="center"/>
        </w:trPr>
        <w:tc>
          <w:tcPr>
            <w:tcW w:w="2140" w:type="dxa"/>
            <w:shd w:val="pct20"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50</w:t>
            </w:r>
            <w:r w:rsidRPr="00EA358B">
              <w:rPr>
                <w:sz w:val="20"/>
                <w:szCs w:val="20"/>
              </w:rPr>
              <w:t>Εταιρείες</w:t>
            </w:r>
          </w:p>
        </w:tc>
        <w:tc>
          <w:tcPr>
            <w:tcW w:w="1917" w:type="dxa"/>
            <w:shd w:val="pct20" w:color="000000" w:fill="FFFFFF"/>
            <w:noWrap/>
            <w:vAlign w:val="bottom"/>
          </w:tcPr>
          <w:p w:rsidR="0096399A" w:rsidRPr="0032361E" w:rsidRDefault="0096399A" w:rsidP="00BD50B4">
            <w:pPr>
              <w:ind w:right="320"/>
              <w:jc w:val="right"/>
              <w:rPr>
                <w:sz w:val="20"/>
                <w:szCs w:val="20"/>
                <w:lang w:val="el-GR"/>
              </w:rPr>
            </w:pPr>
            <w:r>
              <w:rPr>
                <w:sz w:val="20"/>
                <w:szCs w:val="20"/>
                <w:lang w:val="el-GR"/>
              </w:rPr>
              <w:t>9.570.764</w:t>
            </w:r>
          </w:p>
        </w:tc>
        <w:tc>
          <w:tcPr>
            <w:tcW w:w="1728" w:type="dxa"/>
            <w:shd w:val="pct20"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72,2%</w:t>
            </w:r>
          </w:p>
        </w:tc>
        <w:tc>
          <w:tcPr>
            <w:tcW w:w="2106" w:type="dxa"/>
            <w:shd w:val="pct20" w:color="000000" w:fill="FFFFFF"/>
            <w:noWrap/>
            <w:vAlign w:val="bottom"/>
          </w:tcPr>
          <w:p w:rsidR="0096399A" w:rsidRPr="00716268" w:rsidRDefault="0096399A" w:rsidP="00BD50B4">
            <w:pPr>
              <w:ind w:right="327"/>
              <w:jc w:val="right"/>
              <w:rPr>
                <w:sz w:val="20"/>
                <w:szCs w:val="20"/>
                <w:lang w:val="el-GR"/>
              </w:rPr>
            </w:pPr>
            <w:r>
              <w:rPr>
                <w:sz w:val="20"/>
                <w:szCs w:val="20"/>
                <w:lang w:val="el-GR"/>
              </w:rPr>
              <w:t>44.926.884</w:t>
            </w:r>
          </w:p>
        </w:tc>
        <w:tc>
          <w:tcPr>
            <w:tcW w:w="1692" w:type="dxa"/>
            <w:shd w:val="pct20"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54,6%</w:t>
            </w:r>
          </w:p>
        </w:tc>
      </w:tr>
      <w:tr w:rsidR="0096399A" w:rsidRPr="00EA358B" w:rsidTr="00BD50B4">
        <w:trPr>
          <w:trHeight w:val="57"/>
          <w:jc w:val="center"/>
        </w:trPr>
        <w:tc>
          <w:tcPr>
            <w:tcW w:w="2140" w:type="dxa"/>
            <w:shd w:val="pct5"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100</w:t>
            </w:r>
            <w:r w:rsidRPr="00EA358B">
              <w:rPr>
                <w:sz w:val="20"/>
                <w:szCs w:val="20"/>
              </w:rPr>
              <w:t>Εταιρείες</w:t>
            </w:r>
          </w:p>
        </w:tc>
        <w:tc>
          <w:tcPr>
            <w:tcW w:w="1917" w:type="dxa"/>
            <w:shd w:val="pct5" w:color="000000" w:fill="FFFFFF"/>
            <w:noWrap/>
            <w:vAlign w:val="bottom"/>
          </w:tcPr>
          <w:p w:rsidR="0096399A" w:rsidRPr="00716268" w:rsidRDefault="0096399A" w:rsidP="00BD50B4">
            <w:pPr>
              <w:ind w:right="320"/>
              <w:jc w:val="right"/>
              <w:rPr>
                <w:sz w:val="20"/>
                <w:szCs w:val="20"/>
                <w:lang w:val="el-GR"/>
              </w:rPr>
            </w:pPr>
            <w:r>
              <w:rPr>
                <w:sz w:val="20"/>
                <w:szCs w:val="20"/>
                <w:lang w:val="el-GR"/>
              </w:rPr>
              <w:t>10.676.517</w:t>
            </w:r>
          </w:p>
        </w:tc>
        <w:tc>
          <w:tcPr>
            <w:tcW w:w="1728" w:type="dxa"/>
            <w:shd w:val="pct5"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80,6%</w:t>
            </w:r>
          </w:p>
        </w:tc>
        <w:tc>
          <w:tcPr>
            <w:tcW w:w="2106" w:type="dxa"/>
            <w:shd w:val="pct5" w:color="000000" w:fill="FFFFFF"/>
            <w:noWrap/>
            <w:vAlign w:val="bottom"/>
          </w:tcPr>
          <w:p w:rsidR="0096399A" w:rsidRPr="00716268" w:rsidRDefault="0096399A" w:rsidP="00BD50B4">
            <w:pPr>
              <w:ind w:right="327"/>
              <w:jc w:val="right"/>
              <w:rPr>
                <w:sz w:val="20"/>
                <w:szCs w:val="20"/>
                <w:lang w:val="el-GR"/>
              </w:rPr>
            </w:pPr>
            <w:r>
              <w:rPr>
                <w:sz w:val="20"/>
                <w:szCs w:val="20"/>
                <w:lang w:val="el-GR"/>
              </w:rPr>
              <w:t>54.028.815</w:t>
            </w:r>
          </w:p>
        </w:tc>
        <w:tc>
          <w:tcPr>
            <w:tcW w:w="1692" w:type="dxa"/>
            <w:shd w:val="pct5"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65,6%</w:t>
            </w:r>
          </w:p>
        </w:tc>
      </w:tr>
      <w:tr w:rsidR="0096399A" w:rsidRPr="00EA358B" w:rsidTr="00BD50B4">
        <w:trPr>
          <w:trHeight w:val="57"/>
          <w:jc w:val="center"/>
        </w:trPr>
        <w:tc>
          <w:tcPr>
            <w:tcW w:w="2140" w:type="dxa"/>
            <w:shd w:val="pct20"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200</w:t>
            </w:r>
            <w:r w:rsidRPr="00EA358B">
              <w:rPr>
                <w:sz w:val="20"/>
                <w:szCs w:val="20"/>
              </w:rPr>
              <w:t>Εταιρείες</w:t>
            </w:r>
          </w:p>
        </w:tc>
        <w:tc>
          <w:tcPr>
            <w:tcW w:w="1917" w:type="dxa"/>
            <w:shd w:val="pct20" w:color="000000" w:fill="FFFFFF"/>
            <w:noWrap/>
            <w:vAlign w:val="bottom"/>
          </w:tcPr>
          <w:p w:rsidR="0096399A" w:rsidRPr="00716268" w:rsidRDefault="0096399A" w:rsidP="00BD50B4">
            <w:pPr>
              <w:ind w:right="320"/>
              <w:jc w:val="right"/>
              <w:rPr>
                <w:sz w:val="20"/>
                <w:szCs w:val="20"/>
                <w:lang w:val="el-GR"/>
              </w:rPr>
            </w:pPr>
            <w:r>
              <w:rPr>
                <w:sz w:val="20"/>
                <w:szCs w:val="20"/>
                <w:lang w:val="el-GR"/>
              </w:rPr>
              <w:t>11.748.904</w:t>
            </w:r>
          </w:p>
        </w:tc>
        <w:tc>
          <w:tcPr>
            <w:tcW w:w="1728" w:type="dxa"/>
            <w:shd w:val="pct20"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88,7%</w:t>
            </w:r>
          </w:p>
        </w:tc>
        <w:tc>
          <w:tcPr>
            <w:tcW w:w="2106" w:type="dxa"/>
            <w:shd w:val="pct20" w:color="000000" w:fill="FFFFFF"/>
            <w:noWrap/>
            <w:vAlign w:val="bottom"/>
          </w:tcPr>
          <w:p w:rsidR="0096399A" w:rsidRPr="00716268" w:rsidRDefault="0096399A" w:rsidP="00BD50B4">
            <w:pPr>
              <w:ind w:right="327"/>
              <w:jc w:val="right"/>
              <w:rPr>
                <w:sz w:val="20"/>
                <w:szCs w:val="20"/>
                <w:lang w:val="el-GR"/>
              </w:rPr>
            </w:pPr>
            <w:r>
              <w:rPr>
                <w:sz w:val="20"/>
                <w:szCs w:val="20"/>
                <w:lang w:val="el-GR"/>
              </w:rPr>
              <w:t>65.615.932</w:t>
            </w:r>
          </w:p>
        </w:tc>
        <w:tc>
          <w:tcPr>
            <w:tcW w:w="1692" w:type="dxa"/>
            <w:shd w:val="pct20"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79,7%</w:t>
            </w:r>
          </w:p>
        </w:tc>
      </w:tr>
      <w:tr w:rsidR="0096399A" w:rsidRPr="00EA358B" w:rsidTr="00BD50B4">
        <w:trPr>
          <w:trHeight w:val="57"/>
          <w:jc w:val="center"/>
        </w:trPr>
        <w:tc>
          <w:tcPr>
            <w:tcW w:w="2140" w:type="dxa"/>
            <w:shd w:val="pct5"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300</w:t>
            </w:r>
            <w:r w:rsidRPr="00EA358B">
              <w:rPr>
                <w:sz w:val="20"/>
                <w:szCs w:val="20"/>
              </w:rPr>
              <w:t>Εταιρείες</w:t>
            </w:r>
          </w:p>
        </w:tc>
        <w:tc>
          <w:tcPr>
            <w:tcW w:w="1917" w:type="dxa"/>
            <w:shd w:val="pct5" w:color="000000" w:fill="FFFFFF"/>
            <w:noWrap/>
            <w:vAlign w:val="bottom"/>
          </w:tcPr>
          <w:p w:rsidR="0096399A" w:rsidRPr="00716268" w:rsidRDefault="0096399A" w:rsidP="00BD50B4">
            <w:pPr>
              <w:ind w:right="320"/>
              <w:jc w:val="right"/>
              <w:rPr>
                <w:sz w:val="20"/>
                <w:szCs w:val="20"/>
                <w:lang w:val="el-GR"/>
              </w:rPr>
            </w:pPr>
            <w:r>
              <w:rPr>
                <w:sz w:val="20"/>
                <w:szCs w:val="20"/>
                <w:lang w:val="el-GR"/>
              </w:rPr>
              <w:t>12.398.612</w:t>
            </w:r>
          </w:p>
        </w:tc>
        <w:tc>
          <w:tcPr>
            <w:tcW w:w="1728" w:type="dxa"/>
            <w:shd w:val="pct5"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93,6%</w:t>
            </w:r>
          </w:p>
        </w:tc>
        <w:tc>
          <w:tcPr>
            <w:tcW w:w="2106" w:type="dxa"/>
            <w:shd w:val="pct5" w:color="000000" w:fill="FFFFFF"/>
            <w:noWrap/>
            <w:vAlign w:val="bottom"/>
          </w:tcPr>
          <w:p w:rsidR="0096399A" w:rsidRPr="00716268" w:rsidRDefault="0096399A" w:rsidP="00BD50B4">
            <w:pPr>
              <w:ind w:right="327"/>
              <w:jc w:val="right"/>
              <w:rPr>
                <w:sz w:val="20"/>
                <w:szCs w:val="20"/>
                <w:lang w:val="el-GR"/>
              </w:rPr>
            </w:pPr>
            <w:r>
              <w:rPr>
                <w:sz w:val="20"/>
                <w:szCs w:val="20"/>
                <w:lang w:val="el-GR"/>
              </w:rPr>
              <w:t>72.141.895</w:t>
            </w:r>
          </w:p>
        </w:tc>
        <w:tc>
          <w:tcPr>
            <w:tcW w:w="1692" w:type="dxa"/>
            <w:shd w:val="pct5"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87,6%</w:t>
            </w:r>
          </w:p>
        </w:tc>
      </w:tr>
      <w:tr w:rsidR="0096399A" w:rsidRPr="00EA358B" w:rsidTr="00BD50B4">
        <w:trPr>
          <w:trHeight w:val="57"/>
          <w:jc w:val="center"/>
        </w:trPr>
        <w:tc>
          <w:tcPr>
            <w:tcW w:w="2140" w:type="dxa"/>
            <w:shd w:val="pct20" w:color="000000" w:fill="FFFFFF"/>
            <w:noWrap/>
          </w:tcPr>
          <w:p w:rsidR="0096399A" w:rsidRPr="00EA358B" w:rsidRDefault="0096399A" w:rsidP="00BD50B4">
            <w:pPr>
              <w:rPr>
                <w:sz w:val="20"/>
                <w:szCs w:val="20"/>
              </w:rPr>
            </w:pPr>
            <w:r w:rsidRPr="00EA358B">
              <w:rPr>
                <w:sz w:val="20"/>
                <w:szCs w:val="20"/>
              </w:rPr>
              <w:t xml:space="preserve">Top </w:t>
            </w:r>
            <w:r w:rsidRPr="00EA358B">
              <w:rPr>
                <w:b/>
                <w:sz w:val="20"/>
                <w:szCs w:val="20"/>
              </w:rPr>
              <w:t>400</w:t>
            </w:r>
            <w:r w:rsidRPr="00EA358B">
              <w:rPr>
                <w:sz w:val="20"/>
                <w:szCs w:val="20"/>
              </w:rPr>
              <w:t>Εταιρείες</w:t>
            </w:r>
          </w:p>
        </w:tc>
        <w:tc>
          <w:tcPr>
            <w:tcW w:w="1917" w:type="dxa"/>
            <w:shd w:val="pct20" w:color="000000" w:fill="FFFFFF"/>
            <w:noWrap/>
            <w:vAlign w:val="bottom"/>
          </w:tcPr>
          <w:p w:rsidR="0096399A" w:rsidRPr="00716268" w:rsidRDefault="0096399A" w:rsidP="00BD50B4">
            <w:pPr>
              <w:ind w:right="320"/>
              <w:jc w:val="right"/>
              <w:rPr>
                <w:sz w:val="20"/>
                <w:szCs w:val="20"/>
                <w:lang w:val="el-GR"/>
              </w:rPr>
            </w:pPr>
            <w:r>
              <w:rPr>
                <w:sz w:val="20"/>
                <w:szCs w:val="20"/>
                <w:lang w:val="el-GR"/>
              </w:rPr>
              <w:t>12.882.292</w:t>
            </w:r>
          </w:p>
        </w:tc>
        <w:tc>
          <w:tcPr>
            <w:tcW w:w="1728" w:type="dxa"/>
            <w:shd w:val="pct20" w:color="000000" w:fill="FFFFFF"/>
            <w:noWrap/>
            <w:vAlign w:val="bottom"/>
          </w:tcPr>
          <w:p w:rsidR="0096399A" w:rsidRPr="00716268" w:rsidRDefault="0096399A" w:rsidP="00BD50B4">
            <w:pPr>
              <w:ind w:right="394"/>
              <w:jc w:val="right"/>
              <w:rPr>
                <w:i/>
                <w:iCs/>
                <w:sz w:val="20"/>
                <w:szCs w:val="20"/>
                <w:lang w:val="el-GR"/>
              </w:rPr>
            </w:pPr>
            <w:r>
              <w:rPr>
                <w:i/>
                <w:iCs/>
                <w:sz w:val="20"/>
                <w:szCs w:val="20"/>
                <w:lang w:val="el-GR"/>
              </w:rPr>
              <w:t>97,2%</w:t>
            </w:r>
          </w:p>
        </w:tc>
        <w:tc>
          <w:tcPr>
            <w:tcW w:w="2106" w:type="dxa"/>
            <w:shd w:val="pct20" w:color="000000" w:fill="FFFFFF"/>
            <w:noWrap/>
            <w:vAlign w:val="bottom"/>
          </w:tcPr>
          <w:p w:rsidR="0096399A" w:rsidRPr="00716268" w:rsidRDefault="0096399A" w:rsidP="00BD50B4">
            <w:pPr>
              <w:ind w:right="327"/>
              <w:jc w:val="right"/>
              <w:rPr>
                <w:sz w:val="20"/>
                <w:szCs w:val="20"/>
                <w:lang w:val="el-GR"/>
              </w:rPr>
            </w:pPr>
            <w:r>
              <w:rPr>
                <w:sz w:val="20"/>
                <w:szCs w:val="20"/>
                <w:lang w:val="el-GR"/>
              </w:rPr>
              <w:t>78.792.756</w:t>
            </w:r>
          </w:p>
        </w:tc>
        <w:tc>
          <w:tcPr>
            <w:tcW w:w="1692" w:type="dxa"/>
            <w:shd w:val="pct20" w:color="000000" w:fill="FFFFFF"/>
            <w:noWrap/>
            <w:vAlign w:val="bottom"/>
          </w:tcPr>
          <w:p w:rsidR="0096399A" w:rsidRPr="00716268" w:rsidRDefault="0096399A" w:rsidP="00BD50B4">
            <w:pPr>
              <w:ind w:right="401"/>
              <w:jc w:val="right"/>
              <w:rPr>
                <w:i/>
                <w:iCs/>
                <w:sz w:val="20"/>
                <w:szCs w:val="20"/>
                <w:lang w:val="el-GR"/>
              </w:rPr>
            </w:pPr>
            <w:r>
              <w:rPr>
                <w:i/>
                <w:iCs/>
                <w:sz w:val="20"/>
                <w:szCs w:val="20"/>
                <w:lang w:val="el-GR"/>
              </w:rPr>
              <w:t>95,7%</w:t>
            </w:r>
          </w:p>
        </w:tc>
      </w:tr>
      <w:tr w:rsidR="0096399A" w:rsidRPr="00EA358B" w:rsidTr="00BD50B4">
        <w:trPr>
          <w:trHeight w:val="57"/>
          <w:jc w:val="center"/>
        </w:trPr>
        <w:tc>
          <w:tcPr>
            <w:tcW w:w="2140" w:type="dxa"/>
            <w:shd w:val="pct5" w:color="000000" w:fill="FFFFFF"/>
            <w:noWrap/>
          </w:tcPr>
          <w:p w:rsidR="0096399A" w:rsidRPr="00EA358B" w:rsidRDefault="0096399A" w:rsidP="00BD50B4">
            <w:pPr>
              <w:rPr>
                <w:b/>
                <w:sz w:val="20"/>
                <w:szCs w:val="20"/>
              </w:rPr>
            </w:pPr>
            <w:r w:rsidRPr="00EA358B">
              <w:rPr>
                <w:b/>
                <w:sz w:val="20"/>
                <w:szCs w:val="20"/>
              </w:rPr>
              <w:t>Σύνολο 500 Εταιρειών</w:t>
            </w:r>
          </w:p>
        </w:tc>
        <w:tc>
          <w:tcPr>
            <w:tcW w:w="1917" w:type="dxa"/>
            <w:shd w:val="pct5" w:color="000000" w:fill="FFFFFF"/>
            <w:noWrap/>
            <w:vAlign w:val="bottom"/>
          </w:tcPr>
          <w:p w:rsidR="0096399A" w:rsidRPr="00716268" w:rsidRDefault="0096399A" w:rsidP="00BD50B4">
            <w:pPr>
              <w:ind w:right="320"/>
              <w:jc w:val="right"/>
              <w:rPr>
                <w:b/>
                <w:bCs/>
                <w:sz w:val="20"/>
                <w:szCs w:val="20"/>
                <w:lang w:val="el-GR"/>
              </w:rPr>
            </w:pPr>
            <w:r>
              <w:rPr>
                <w:b/>
                <w:bCs/>
                <w:sz w:val="20"/>
                <w:szCs w:val="20"/>
                <w:lang w:val="el-GR"/>
              </w:rPr>
              <w:t>13.253.495</w:t>
            </w:r>
          </w:p>
        </w:tc>
        <w:tc>
          <w:tcPr>
            <w:tcW w:w="1728" w:type="dxa"/>
            <w:shd w:val="pct5" w:color="000000" w:fill="FFFFFF"/>
            <w:noWrap/>
            <w:vAlign w:val="bottom"/>
          </w:tcPr>
          <w:p w:rsidR="0096399A" w:rsidRPr="00EA358B" w:rsidRDefault="0096399A" w:rsidP="00BD50B4">
            <w:pPr>
              <w:ind w:right="394"/>
              <w:jc w:val="right"/>
              <w:rPr>
                <w:b/>
                <w:bCs/>
                <w:i/>
                <w:iCs/>
                <w:sz w:val="20"/>
                <w:szCs w:val="20"/>
              </w:rPr>
            </w:pPr>
            <w:r w:rsidRPr="00EA358B">
              <w:rPr>
                <w:b/>
                <w:bCs/>
                <w:i/>
                <w:iCs/>
                <w:sz w:val="20"/>
                <w:szCs w:val="20"/>
              </w:rPr>
              <w:t>100,0%</w:t>
            </w:r>
          </w:p>
        </w:tc>
        <w:tc>
          <w:tcPr>
            <w:tcW w:w="2106" w:type="dxa"/>
            <w:shd w:val="pct5" w:color="000000" w:fill="FFFFFF"/>
            <w:noWrap/>
            <w:vAlign w:val="bottom"/>
          </w:tcPr>
          <w:p w:rsidR="0096399A" w:rsidRPr="00716268" w:rsidRDefault="0096399A" w:rsidP="00BD50B4">
            <w:pPr>
              <w:ind w:right="327"/>
              <w:jc w:val="right"/>
              <w:rPr>
                <w:b/>
                <w:bCs/>
                <w:sz w:val="20"/>
                <w:szCs w:val="20"/>
                <w:lang w:val="el-GR"/>
              </w:rPr>
            </w:pPr>
            <w:r>
              <w:rPr>
                <w:b/>
                <w:bCs/>
                <w:sz w:val="20"/>
                <w:szCs w:val="20"/>
                <w:lang w:val="el-GR"/>
              </w:rPr>
              <w:t>82.358.860</w:t>
            </w:r>
          </w:p>
        </w:tc>
        <w:tc>
          <w:tcPr>
            <w:tcW w:w="1692" w:type="dxa"/>
            <w:shd w:val="pct5" w:color="000000" w:fill="FFFFFF"/>
            <w:noWrap/>
            <w:vAlign w:val="bottom"/>
          </w:tcPr>
          <w:p w:rsidR="0096399A" w:rsidRPr="00EA358B" w:rsidRDefault="0096399A" w:rsidP="00BD50B4">
            <w:pPr>
              <w:ind w:right="401"/>
              <w:jc w:val="right"/>
              <w:rPr>
                <w:b/>
                <w:bCs/>
                <w:i/>
                <w:iCs/>
                <w:sz w:val="20"/>
                <w:szCs w:val="20"/>
              </w:rPr>
            </w:pPr>
            <w:r w:rsidRPr="00EA358B">
              <w:rPr>
                <w:b/>
                <w:bCs/>
                <w:i/>
                <w:iCs/>
                <w:sz w:val="20"/>
                <w:szCs w:val="20"/>
              </w:rPr>
              <w:t>100,0%</w:t>
            </w:r>
          </w:p>
        </w:tc>
      </w:tr>
    </w:tbl>
    <w:p w:rsidR="0096399A" w:rsidRPr="00D13A51" w:rsidRDefault="0096399A" w:rsidP="0096399A">
      <w:pPr>
        <w:pStyle w:val="ae"/>
        <w:spacing w:line="360" w:lineRule="auto"/>
        <w:jc w:val="both"/>
        <w:rPr>
          <w:highlight w:val="yellow"/>
        </w:rPr>
      </w:pPr>
    </w:p>
    <w:p w:rsidR="0096399A" w:rsidRPr="00D13A51" w:rsidRDefault="0096399A" w:rsidP="0096399A">
      <w:pPr>
        <w:pStyle w:val="ae"/>
        <w:spacing w:line="360" w:lineRule="auto"/>
        <w:jc w:val="both"/>
        <w:rPr>
          <w:highlight w:val="yellow"/>
        </w:rPr>
      </w:pPr>
    </w:p>
    <w:p w:rsidR="0096399A" w:rsidRPr="001C543E" w:rsidRDefault="0096399A" w:rsidP="0096399A">
      <w:pPr>
        <w:pStyle w:val="a8"/>
        <w:rPr>
          <w:rFonts w:ascii="Times New Roman" w:hAnsi="Times New Roman"/>
        </w:rPr>
      </w:pPr>
      <w:bookmarkStart w:id="8" w:name="_Toc207785914"/>
      <w:r w:rsidRPr="001C543E">
        <w:rPr>
          <w:rFonts w:ascii="Times New Roman" w:hAnsi="Times New Roman"/>
        </w:rPr>
        <w:t>4.</w:t>
      </w:r>
      <w:r w:rsidRPr="001C543E">
        <w:rPr>
          <w:rFonts w:ascii="Times New Roman" w:hAnsi="Times New Roman"/>
        </w:rPr>
        <w:tab/>
        <w:t>Σύγκριση Βασικών Δεικτών ανά Κλάδο</w:t>
      </w:r>
      <w:bookmarkEnd w:id="8"/>
    </w:p>
    <w:p w:rsidR="0096399A" w:rsidRPr="00D13A51" w:rsidRDefault="0096399A" w:rsidP="0096399A">
      <w:pPr>
        <w:pStyle w:val="ae"/>
        <w:jc w:val="both"/>
        <w:rPr>
          <w:b/>
          <w:highlight w:val="yellow"/>
        </w:rPr>
      </w:pPr>
    </w:p>
    <w:p w:rsidR="0096399A" w:rsidRPr="001C543E" w:rsidRDefault="0096399A" w:rsidP="0096399A">
      <w:pPr>
        <w:pStyle w:val="ae"/>
        <w:spacing w:line="360" w:lineRule="auto"/>
        <w:ind w:firstLine="0"/>
        <w:jc w:val="both"/>
        <w:rPr>
          <w:szCs w:val="22"/>
        </w:rPr>
      </w:pPr>
      <w:r w:rsidRPr="001C543E">
        <w:rPr>
          <w:szCs w:val="22"/>
        </w:rPr>
        <w:t xml:space="preserve">Προκειμένου να αξιολογηθεί πλήρως η συμμετοχή των επί μέρους τομέων  στην κατάταξη των πλέον κερδοφόρων επιχειρήσεων, στη συνέχεια γίνεται σύγκριση των βασικών δεικτών για κάθε έναν από τους προαναφερθέντες τομείς. Ακολουθώντας τη μεθοδολογία και των προηγουμένων εκδόσεων, </w:t>
      </w:r>
      <w:r>
        <w:rPr>
          <w:szCs w:val="22"/>
        </w:rPr>
        <w:t>υπολογίσθηκαν</w:t>
      </w:r>
      <w:r w:rsidRPr="00144782">
        <w:rPr>
          <w:szCs w:val="22"/>
          <w:u w:val="single"/>
        </w:rPr>
        <w:t>οι δείκτες</w:t>
      </w:r>
      <w:r w:rsidRPr="001C543E">
        <w:rPr>
          <w:szCs w:val="22"/>
          <w:u w:val="single"/>
        </w:rPr>
        <w:t xml:space="preserve"> βάσει των ενοποιημένων μεγεθών για κάθε τομέα</w:t>
      </w:r>
      <w:r w:rsidRPr="001C543E">
        <w:rPr>
          <w:szCs w:val="22"/>
        </w:rPr>
        <w:t xml:space="preserve"> και όχι </w:t>
      </w:r>
      <w:r>
        <w:rPr>
          <w:szCs w:val="22"/>
        </w:rPr>
        <w:t>οι</w:t>
      </w:r>
      <w:r w:rsidRPr="001C543E">
        <w:rPr>
          <w:szCs w:val="22"/>
        </w:rPr>
        <w:t xml:space="preserve"> μέσο</w:t>
      </w:r>
      <w:r>
        <w:rPr>
          <w:szCs w:val="22"/>
        </w:rPr>
        <w:t>ι</w:t>
      </w:r>
      <w:r w:rsidRPr="001C543E">
        <w:rPr>
          <w:szCs w:val="22"/>
        </w:rPr>
        <w:t xml:space="preserve"> αριθμητικ</w:t>
      </w:r>
      <w:r>
        <w:rPr>
          <w:szCs w:val="22"/>
        </w:rPr>
        <w:t>οί</w:t>
      </w:r>
      <w:r w:rsidRPr="001C543E">
        <w:rPr>
          <w:szCs w:val="22"/>
        </w:rPr>
        <w:t xml:space="preserve"> δείκτ</w:t>
      </w:r>
      <w:r>
        <w:rPr>
          <w:szCs w:val="22"/>
        </w:rPr>
        <w:t>ες</w:t>
      </w:r>
      <w:r w:rsidRPr="001C543E">
        <w:rPr>
          <w:szCs w:val="22"/>
        </w:rPr>
        <w:t xml:space="preserve"> (</w:t>
      </w:r>
      <w:r>
        <w:rPr>
          <w:szCs w:val="22"/>
        </w:rPr>
        <w:t>μέσοι όροι των επί μέρους</w:t>
      </w:r>
      <w:r w:rsidRPr="001C543E">
        <w:rPr>
          <w:szCs w:val="22"/>
        </w:rPr>
        <w:t xml:space="preserve"> δεικτών των εταιρειών), προς εξομάλυνση των «παραμορφώσεων» που προκύπτουν από τις ακραίες τιμές δεικτών ορισμένων εταιρειών.</w:t>
      </w:r>
    </w:p>
    <w:p w:rsidR="0096399A" w:rsidRPr="001C543E" w:rsidRDefault="0096399A" w:rsidP="0096399A">
      <w:pPr>
        <w:pStyle w:val="ae"/>
        <w:spacing w:line="360" w:lineRule="auto"/>
        <w:ind w:firstLine="0"/>
        <w:jc w:val="both"/>
      </w:pPr>
      <w:r w:rsidRPr="001C543E">
        <w:rPr>
          <w:szCs w:val="22"/>
        </w:rPr>
        <w:t xml:space="preserve">Συγκρίνοντας τους δείκτες, διαφορετική εξέλιξη παρατηρείται κατά κλάδο. Όσον αφορά το </w:t>
      </w:r>
      <w:r w:rsidRPr="001C543E">
        <w:rPr>
          <w:szCs w:val="22"/>
          <w:u w:val="single"/>
        </w:rPr>
        <w:t>δείκτη Κερδοφορίας EBITDA,</w:t>
      </w:r>
      <w:r w:rsidRPr="001C543E">
        <w:rPr>
          <w:szCs w:val="22"/>
        </w:rPr>
        <w:t xml:space="preserve"> τις καλύτερες επιδόσεις το 201</w:t>
      </w:r>
      <w:r>
        <w:rPr>
          <w:szCs w:val="22"/>
        </w:rPr>
        <w:t>3</w:t>
      </w:r>
      <w:r w:rsidRPr="001C543E">
        <w:rPr>
          <w:szCs w:val="22"/>
        </w:rPr>
        <w:t xml:space="preserve"> είχ</w:t>
      </w:r>
      <w:r>
        <w:rPr>
          <w:szCs w:val="22"/>
        </w:rPr>
        <w:t>ε</w:t>
      </w:r>
      <w:r w:rsidRPr="001C543E">
        <w:rPr>
          <w:szCs w:val="22"/>
        </w:rPr>
        <w:t xml:space="preserve"> ο τομέας</w:t>
      </w:r>
      <w:r>
        <w:rPr>
          <w:szCs w:val="22"/>
        </w:rPr>
        <w:t xml:space="preserve"> των </w:t>
      </w:r>
      <w:r w:rsidRPr="00C36A12">
        <w:rPr>
          <w:b/>
          <w:szCs w:val="22"/>
        </w:rPr>
        <w:t>Τραπεζών-</w:t>
      </w:r>
      <w:r>
        <w:rPr>
          <w:b/>
          <w:szCs w:val="22"/>
        </w:rPr>
        <w:t xml:space="preserve"> εταιρειών </w:t>
      </w:r>
      <w:r w:rsidRPr="00C36A12">
        <w:rPr>
          <w:b/>
          <w:szCs w:val="22"/>
          <w:lang w:val="en-US"/>
        </w:rPr>
        <w:t>Factoring</w:t>
      </w:r>
      <w:r w:rsidRPr="00C36A12">
        <w:rPr>
          <w:b/>
          <w:szCs w:val="22"/>
        </w:rPr>
        <w:t>(65,3%)</w:t>
      </w:r>
      <w:r w:rsidR="00952FDF">
        <w:rPr>
          <w:b/>
          <w:szCs w:val="22"/>
        </w:rPr>
        <w:t>,</w:t>
      </w:r>
      <w:r>
        <w:rPr>
          <w:szCs w:val="22"/>
        </w:rPr>
        <w:t xml:space="preserve">ο οποίος εμφάνισε θετικό δείκτη το τελευταίο έτος </w:t>
      </w:r>
      <w:r w:rsidRPr="001C543E">
        <w:rPr>
          <w:szCs w:val="22"/>
        </w:rPr>
        <w:t>και εν συνεχεία</w:t>
      </w:r>
      <w:r>
        <w:rPr>
          <w:szCs w:val="22"/>
        </w:rPr>
        <w:t xml:space="preserve"> ο τομέας του </w:t>
      </w:r>
      <w:r w:rsidRPr="00C36A12">
        <w:rPr>
          <w:b/>
          <w:szCs w:val="22"/>
        </w:rPr>
        <w:t>Τουρισμού(28,3%)</w:t>
      </w:r>
      <w:r w:rsidRPr="001C543E">
        <w:rPr>
          <w:szCs w:val="22"/>
        </w:rPr>
        <w:t>.</w:t>
      </w:r>
    </w:p>
    <w:p w:rsidR="0096399A" w:rsidRPr="001C543E" w:rsidRDefault="0096399A" w:rsidP="0096399A">
      <w:pPr>
        <w:pStyle w:val="ae"/>
        <w:spacing w:line="360" w:lineRule="auto"/>
        <w:ind w:firstLine="0"/>
        <w:jc w:val="both"/>
        <w:rPr>
          <w:szCs w:val="22"/>
        </w:rPr>
      </w:pPr>
      <w:r w:rsidRPr="001C543E">
        <w:t>Περαιτέρω</w:t>
      </w:r>
      <w:r w:rsidRPr="001C543E">
        <w:rPr>
          <w:szCs w:val="22"/>
        </w:rPr>
        <w:t xml:space="preserve">, με βάση την </w:t>
      </w:r>
      <w:r w:rsidRPr="001C543E">
        <w:rPr>
          <w:szCs w:val="22"/>
          <w:u w:val="single"/>
        </w:rPr>
        <w:t>Αποδοτικότητα Ιδίων Κεφαλαίων</w:t>
      </w:r>
      <w:r w:rsidRPr="001C543E">
        <w:rPr>
          <w:szCs w:val="22"/>
        </w:rPr>
        <w:t xml:space="preserve"> (δείκτης ROE), κορυφαίος αναδείχθηκε</w:t>
      </w:r>
      <w:r>
        <w:rPr>
          <w:szCs w:val="22"/>
        </w:rPr>
        <w:t xml:space="preserve"> και πάλι</w:t>
      </w:r>
      <w:r w:rsidRPr="001C543E">
        <w:rPr>
          <w:szCs w:val="22"/>
        </w:rPr>
        <w:t xml:space="preserve"> ο τομέας των Τραπεζών – ετ. Factoring, με το σχετικό δείκτη </w:t>
      </w:r>
      <w:r>
        <w:rPr>
          <w:szCs w:val="22"/>
        </w:rPr>
        <w:t xml:space="preserve"> να διαμορφώνεται σε 29,1</w:t>
      </w:r>
      <w:r w:rsidRPr="001C543E">
        <w:rPr>
          <w:szCs w:val="22"/>
        </w:rPr>
        <w:t>%</w:t>
      </w:r>
      <w:r>
        <w:rPr>
          <w:szCs w:val="22"/>
        </w:rPr>
        <w:t xml:space="preserve"> το 2013</w:t>
      </w:r>
      <w:r w:rsidRPr="001C543E">
        <w:rPr>
          <w:szCs w:val="22"/>
        </w:rPr>
        <w:t>. Στη δεύτερη θέση βρίσκεται ο τομέας</w:t>
      </w:r>
      <w:r>
        <w:rPr>
          <w:szCs w:val="22"/>
        </w:rPr>
        <w:t xml:space="preserve"> του Εμπορίου</w:t>
      </w:r>
      <w:r w:rsidRPr="001C543E">
        <w:rPr>
          <w:szCs w:val="22"/>
        </w:rPr>
        <w:t xml:space="preserve"> με δείκτη</w:t>
      </w:r>
      <w:r>
        <w:rPr>
          <w:szCs w:val="22"/>
        </w:rPr>
        <w:t xml:space="preserve"> 23</w:t>
      </w:r>
      <w:r w:rsidRPr="001C543E">
        <w:rPr>
          <w:szCs w:val="22"/>
        </w:rPr>
        <w:t>%</w:t>
      </w:r>
      <w:r>
        <w:rPr>
          <w:szCs w:val="22"/>
        </w:rPr>
        <w:t>.</w:t>
      </w:r>
      <w:r w:rsidRPr="001C543E">
        <w:rPr>
          <w:szCs w:val="22"/>
        </w:rPr>
        <w:t xml:space="preserve"> Εντύπωση  προκαλεί </w:t>
      </w:r>
      <w:r>
        <w:rPr>
          <w:szCs w:val="22"/>
        </w:rPr>
        <w:t>για ακόμη μια χρονιά</w:t>
      </w:r>
      <w:r w:rsidRPr="001C543E">
        <w:rPr>
          <w:szCs w:val="22"/>
        </w:rPr>
        <w:t xml:space="preserve"> ο ιδιαίτερα χαμηλός δείκτης των «Λοιπών Υπηρεσιών</w:t>
      </w:r>
      <w:r>
        <w:rPr>
          <w:szCs w:val="22"/>
        </w:rPr>
        <w:t>» (1,2</w:t>
      </w:r>
      <w:r w:rsidRPr="001C543E">
        <w:rPr>
          <w:szCs w:val="22"/>
        </w:rPr>
        <w:t>%)</w:t>
      </w:r>
      <w:r w:rsidR="006704F5">
        <w:rPr>
          <w:szCs w:val="22"/>
        </w:rPr>
        <w:t>,</w:t>
      </w:r>
      <w:r>
        <w:rPr>
          <w:szCs w:val="22"/>
        </w:rPr>
        <w:t xml:space="preserve"> αλλά και του Τουρισμού (1,4%)</w:t>
      </w:r>
      <w:r w:rsidRPr="001C543E">
        <w:rPr>
          <w:szCs w:val="22"/>
        </w:rPr>
        <w:t xml:space="preserve">. </w:t>
      </w:r>
    </w:p>
    <w:p w:rsidR="00B345ED" w:rsidRPr="00A90F4D" w:rsidRDefault="00B345ED" w:rsidP="0096399A">
      <w:pPr>
        <w:pStyle w:val="ae"/>
        <w:spacing w:line="360" w:lineRule="auto"/>
        <w:ind w:firstLine="0"/>
        <w:jc w:val="both"/>
        <w:rPr>
          <w:szCs w:val="22"/>
        </w:rPr>
      </w:pPr>
    </w:p>
    <w:p w:rsidR="00B345ED" w:rsidRPr="00A90F4D" w:rsidRDefault="00B345ED" w:rsidP="0096399A">
      <w:pPr>
        <w:pStyle w:val="ae"/>
        <w:spacing w:line="360" w:lineRule="auto"/>
        <w:ind w:firstLine="0"/>
        <w:jc w:val="both"/>
        <w:rPr>
          <w:szCs w:val="22"/>
        </w:rPr>
      </w:pPr>
    </w:p>
    <w:p w:rsidR="0096399A" w:rsidRPr="001C543E" w:rsidRDefault="0096399A" w:rsidP="0096399A">
      <w:pPr>
        <w:pStyle w:val="ae"/>
        <w:spacing w:line="360" w:lineRule="auto"/>
        <w:ind w:firstLine="0"/>
        <w:jc w:val="both"/>
        <w:rPr>
          <w:szCs w:val="22"/>
        </w:rPr>
      </w:pPr>
      <w:r w:rsidRPr="001C543E">
        <w:rPr>
          <w:szCs w:val="22"/>
        </w:rPr>
        <w:t xml:space="preserve">Σχετικά με το </w:t>
      </w:r>
      <w:r w:rsidRPr="001C543E">
        <w:rPr>
          <w:szCs w:val="22"/>
          <w:u w:val="single"/>
        </w:rPr>
        <w:t>δείκτη Ξένων προς Ίδια Κεφάλαια</w:t>
      </w:r>
      <w:r w:rsidRPr="001C543E">
        <w:rPr>
          <w:szCs w:val="22"/>
        </w:rPr>
        <w:t>, την υψηλότερη δανειακή επιβάρυνση παρουσιάζει ο τομέας του Τουρισμού</w:t>
      </w:r>
      <w:r>
        <w:rPr>
          <w:szCs w:val="22"/>
        </w:rPr>
        <w:t xml:space="preserve"> (1,83)</w:t>
      </w:r>
      <w:r w:rsidRPr="001C543E">
        <w:rPr>
          <w:szCs w:val="22"/>
        </w:rPr>
        <w:t>, ενώ το χαμηλότερο δείκτη</w:t>
      </w:r>
      <w:r>
        <w:rPr>
          <w:szCs w:val="22"/>
        </w:rPr>
        <w:t xml:space="preserve"> εμφάνισε οκλάδος του Εμπορίου (1,58) βελτιωμένος ωστόσο αισθητά σε σχέση με το 2012.</w:t>
      </w:r>
    </w:p>
    <w:tbl>
      <w:tblPr>
        <w:tblW w:w="9708" w:type="dxa"/>
        <w:jc w:val="center"/>
        <w:tblBorders>
          <w:insideH w:val="single" w:sz="18" w:space="0" w:color="FFFFFF"/>
          <w:insideV w:val="single" w:sz="18" w:space="0" w:color="FFFFFF"/>
        </w:tblBorders>
        <w:tblLayout w:type="fixed"/>
        <w:tblLook w:val="00A0"/>
      </w:tblPr>
      <w:tblGrid>
        <w:gridCol w:w="1796"/>
        <w:gridCol w:w="1033"/>
        <w:gridCol w:w="1034"/>
        <w:gridCol w:w="1461"/>
        <w:gridCol w:w="1461"/>
        <w:gridCol w:w="1461"/>
        <w:gridCol w:w="1462"/>
      </w:tblGrid>
      <w:tr w:rsidR="0096399A" w:rsidRPr="00CB476D" w:rsidTr="00BD50B4">
        <w:trPr>
          <w:trHeight w:val="57"/>
          <w:jc w:val="center"/>
        </w:trPr>
        <w:tc>
          <w:tcPr>
            <w:tcW w:w="9708" w:type="dxa"/>
            <w:gridSpan w:val="7"/>
            <w:shd w:val="pct20" w:color="000000" w:fill="FFFFFF"/>
          </w:tcPr>
          <w:p w:rsidR="0096399A" w:rsidRPr="001C543E" w:rsidRDefault="0096399A" w:rsidP="00BD50B4">
            <w:pPr>
              <w:pStyle w:val="a7"/>
              <w:rPr>
                <w:bCs/>
                <w:sz w:val="20"/>
                <w:szCs w:val="20"/>
                <w:lang w:val="el-GR"/>
              </w:rPr>
            </w:pPr>
            <w:r w:rsidRPr="001C543E">
              <w:rPr>
                <w:bCs/>
                <w:sz w:val="20"/>
                <w:szCs w:val="20"/>
                <w:lang w:val="el-GR"/>
              </w:rPr>
              <w:t>Πίνακας 4. Μέσοι Δείκτες ανά Τομέα</w:t>
            </w:r>
          </w:p>
        </w:tc>
      </w:tr>
      <w:tr w:rsidR="0096399A" w:rsidRPr="001C543E" w:rsidTr="00BD50B4">
        <w:trPr>
          <w:trHeight w:val="57"/>
          <w:jc w:val="center"/>
        </w:trPr>
        <w:tc>
          <w:tcPr>
            <w:tcW w:w="1796" w:type="dxa"/>
            <w:shd w:val="pct5" w:color="000000" w:fill="FFFFFF"/>
          </w:tcPr>
          <w:p w:rsidR="0096399A" w:rsidRPr="001C543E" w:rsidRDefault="0096399A" w:rsidP="00BD50B4">
            <w:pPr>
              <w:jc w:val="center"/>
              <w:rPr>
                <w:b/>
                <w:sz w:val="20"/>
                <w:szCs w:val="20"/>
                <w:lang w:val="el-GR"/>
              </w:rPr>
            </w:pPr>
            <w:r w:rsidRPr="001C543E">
              <w:rPr>
                <w:b/>
                <w:sz w:val="20"/>
                <w:szCs w:val="20"/>
                <w:lang w:val="el-GR"/>
              </w:rPr>
              <w:t>ΤΟΜΕΑΣ</w:t>
            </w:r>
          </w:p>
        </w:tc>
        <w:tc>
          <w:tcPr>
            <w:tcW w:w="1033" w:type="dxa"/>
            <w:shd w:val="pct5" w:color="000000" w:fill="FFFFFF"/>
          </w:tcPr>
          <w:p w:rsidR="0096399A" w:rsidRPr="001C543E" w:rsidRDefault="0096399A" w:rsidP="00BD50B4">
            <w:pPr>
              <w:jc w:val="center"/>
              <w:rPr>
                <w:b/>
                <w:sz w:val="20"/>
                <w:szCs w:val="20"/>
                <w:lang w:val="el-GR"/>
              </w:rPr>
            </w:pPr>
            <w:r w:rsidRPr="001C543E">
              <w:rPr>
                <w:b/>
                <w:sz w:val="20"/>
                <w:szCs w:val="20"/>
              </w:rPr>
              <w:t>ROE</w:t>
            </w:r>
            <w:r w:rsidRPr="001C543E">
              <w:rPr>
                <w:b/>
                <w:sz w:val="20"/>
                <w:szCs w:val="20"/>
                <w:lang w:val="el-GR"/>
              </w:rPr>
              <w:t xml:space="preserve">* (%) </w:t>
            </w:r>
          </w:p>
          <w:p w:rsidR="0096399A" w:rsidRPr="00A54F62" w:rsidRDefault="0096399A" w:rsidP="00BD50B4">
            <w:pPr>
              <w:jc w:val="center"/>
              <w:rPr>
                <w:b/>
                <w:sz w:val="20"/>
                <w:szCs w:val="20"/>
                <w:lang w:val="el-GR"/>
              </w:rPr>
            </w:pPr>
            <w:r w:rsidRPr="001C543E">
              <w:rPr>
                <w:b/>
                <w:sz w:val="20"/>
                <w:szCs w:val="20"/>
                <w:lang w:val="el-GR"/>
              </w:rPr>
              <w:t>201</w:t>
            </w:r>
            <w:r>
              <w:rPr>
                <w:b/>
                <w:sz w:val="20"/>
                <w:szCs w:val="20"/>
                <w:lang w:val="el-GR"/>
              </w:rPr>
              <w:t>3</w:t>
            </w:r>
          </w:p>
        </w:tc>
        <w:tc>
          <w:tcPr>
            <w:tcW w:w="1034" w:type="dxa"/>
            <w:shd w:val="pct5" w:color="000000" w:fill="FFFFFF"/>
          </w:tcPr>
          <w:p w:rsidR="0096399A" w:rsidRPr="001C543E" w:rsidRDefault="0096399A" w:rsidP="00BD50B4">
            <w:pPr>
              <w:jc w:val="center"/>
              <w:rPr>
                <w:b/>
                <w:sz w:val="20"/>
                <w:szCs w:val="20"/>
                <w:lang w:val="el-GR"/>
              </w:rPr>
            </w:pPr>
            <w:r w:rsidRPr="001C543E">
              <w:rPr>
                <w:b/>
                <w:sz w:val="20"/>
                <w:szCs w:val="20"/>
              </w:rPr>
              <w:t>ROE</w:t>
            </w:r>
            <w:r w:rsidRPr="001C543E">
              <w:rPr>
                <w:b/>
                <w:sz w:val="20"/>
                <w:szCs w:val="20"/>
                <w:lang w:val="el-GR"/>
              </w:rPr>
              <w:t xml:space="preserve">* (%) </w:t>
            </w:r>
          </w:p>
          <w:p w:rsidR="0096399A" w:rsidRPr="00A54F62" w:rsidRDefault="0096399A" w:rsidP="00BD50B4">
            <w:pPr>
              <w:jc w:val="center"/>
              <w:rPr>
                <w:b/>
                <w:sz w:val="20"/>
                <w:szCs w:val="20"/>
                <w:lang w:val="el-GR"/>
              </w:rPr>
            </w:pPr>
            <w:r w:rsidRPr="001C543E">
              <w:rPr>
                <w:b/>
                <w:sz w:val="20"/>
                <w:szCs w:val="20"/>
                <w:lang w:val="el-GR"/>
              </w:rPr>
              <w:t>20</w:t>
            </w:r>
            <w:r w:rsidRPr="001C543E">
              <w:rPr>
                <w:b/>
                <w:sz w:val="20"/>
                <w:szCs w:val="20"/>
                <w:lang w:val="en-US"/>
              </w:rPr>
              <w:t>1</w:t>
            </w:r>
            <w:r>
              <w:rPr>
                <w:b/>
                <w:sz w:val="20"/>
                <w:szCs w:val="20"/>
                <w:lang w:val="el-GR"/>
              </w:rPr>
              <w:t>2</w:t>
            </w:r>
          </w:p>
        </w:tc>
        <w:tc>
          <w:tcPr>
            <w:tcW w:w="1461" w:type="dxa"/>
            <w:shd w:val="pct5" w:color="000000" w:fill="FFFFFF"/>
          </w:tcPr>
          <w:p w:rsidR="0096399A" w:rsidRPr="00A54F62" w:rsidRDefault="0096399A" w:rsidP="00BD50B4">
            <w:pPr>
              <w:jc w:val="center"/>
              <w:rPr>
                <w:b/>
                <w:sz w:val="20"/>
                <w:szCs w:val="20"/>
                <w:lang w:val="el-GR"/>
              </w:rPr>
            </w:pPr>
            <w:r w:rsidRPr="001C543E">
              <w:rPr>
                <w:b/>
                <w:sz w:val="20"/>
                <w:szCs w:val="20"/>
                <w:lang w:val="el-GR"/>
              </w:rPr>
              <w:t xml:space="preserve">Κερδοφορία </w:t>
            </w:r>
            <w:r w:rsidRPr="001C543E">
              <w:rPr>
                <w:b/>
                <w:sz w:val="20"/>
                <w:szCs w:val="20"/>
              </w:rPr>
              <w:t>EBITDA</w:t>
            </w:r>
            <w:r w:rsidRPr="001C543E">
              <w:rPr>
                <w:b/>
                <w:sz w:val="20"/>
                <w:szCs w:val="20"/>
                <w:lang w:val="el-GR"/>
              </w:rPr>
              <w:t xml:space="preserve"> (%) 201</w:t>
            </w:r>
            <w:r>
              <w:rPr>
                <w:b/>
                <w:sz w:val="20"/>
                <w:szCs w:val="20"/>
                <w:lang w:val="el-GR"/>
              </w:rPr>
              <w:t>3</w:t>
            </w:r>
          </w:p>
        </w:tc>
        <w:tc>
          <w:tcPr>
            <w:tcW w:w="1461" w:type="dxa"/>
            <w:shd w:val="pct5" w:color="000000" w:fill="FFFFFF"/>
          </w:tcPr>
          <w:p w:rsidR="0096399A" w:rsidRPr="00A54F62" w:rsidRDefault="0096399A" w:rsidP="00BD50B4">
            <w:pPr>
              <w:jc w:val="center"/>
              <w:rPr>
                <w:b/>
                <w:sz w:val="20"/>
                <w:szCs w:val="20"/>
                <w:lang w:val="el-GR"/>
              </w:rPr>
            </w:pPr>
            <w:r w:rsidRPr="001C543E">
              <w:rPr>
                <w:b/>
                <w:sz w:val="20"/>
                <w:szCs w:val="20"/>
                <w:lang w:val="el-GR"/>
              </w:rPr>
              <w:t xml:space="preserve">Κερδοφορία </w:t>
            </w:r>
            <w:r w:rsidRPr="001C543E">
              <w:rPr>
                <w:b/>
                <w:sz w:val="20"/>
                <w:szCs w:val="20"/>
              </w:rPr>
              <w:t>EBITDA</w:t>
            </w:r>
            <w:r w:rsidRPr="001C543E">
              <w:rPr>
                <w:b/>
                <w:sz w:val="20"/>
                <w:szCs w:val="20"/>
                <w:lang w:val="el-GR"/>
              </w:rPr>
              <w:t xml:space="preserve"> (%) 20</w:t>
            </w:r>
            <w:r w:rsidRPr="001C543E">
              <w:rPr>
                <w:b/>
                <w:sz w:val="20"/>
                <w:szCs w:val="20"/>
                <w:lang w:val="en-US"/>
              </w:rPr>
              <w:t>1</w:t>
            </w:r>
            <w:r>
              <w:rPr>
                <w:b/>
                <w:sz w:val="20"/>
                <w:szCs w:val="20"/>
                <w:lang w:val="el-GR"/>
              </w:rPr>
              <w:t>2</w:t>
            </w:r>
          </w:p>
        </w:tc>
        <w:tc>
          <w:tcPr>
            <w:tcW w:w="1461" w:type="dxa"/>
            <w:shd w:val="pct5" w:color="000000" w:fill="FFFFFF"/>
          </w:tcPr>
          <w:p w:rsidR="0096399A" w:rsidRPr="001C543E" w:rsidRDefault="0096399A" w:rsidP="00BD50B4">
            <w:pPr>
              <w:jc w:val="center"/>
              <w:rPr>
                <w:b/>
                <w:sz w:val="20"/>
                <w:szCs w:val="20"/>
                <w:lang w:val="el-GR"/>
              </w:rPr>
            </w:pPr>
            <w:r w:rsidRPr="001C543E">
              <w:rPr>
                <w:b/>
                <w:sz w:val="20"/>
                <w:szCs w:val="20"/>
                <w:lang w:val="el-GR"/>
              </w:rPr>
              <w:t>Ξένα/Ιδιακεφ</w:t>
            </w:r>
            <w:r w:rsidRPr="001C543E">
              <w:rPr>
                <w:b/>
                <w:sz w:val="20"/>
                <w:szCs w:val="20"/>
              </w:rPr>
              <w:t xml:space="preserve">άλαια </w:t>
            </w:r>
          </w:p>
          <w:p w:rsidR="0096399A" w:rsidRPr="00A54F62" w:rsidRDefault="0096399A" w:rsidP="00BD50B4">
            <w:pPr>
              <w:jc w:val="center"/>
              <w:rPr>
                <w:b/>
                <w:sz w:val="20"/>
                <w:szCs w:val="20"/>
                <w:lang w:val="el-GR"/>
              </w:rPr>
            </w:pPr>
            <w:r w:rsidRPr="001C543E">
              <w:rPr>
                <w:b/>
                <w:sz w:val="20"/>
                <w:szCs w:val="20"/>
              </w:rPr>
              <w:t>20</w:t>
            </w:r>
            <w:r w:rsidRPr="001C543E">
              <w:rPr>
                <w:b/>
                <w:sz w:val="20"/>
                <w:szCs w:val="20"/>
                <w:lang w:val="el-GR"/>
              </w:rPr>
              <w:t>1</w:t>
            </w:r>
            <w:r>
              <w:rPr>
                <w:b/>
                <w:sz w:val="20"/>
                <w:szCs w:val="20"/>
                <w:lang w:val="el-GR"/>
              </w:rPr>
              <w:t>3</w:t>
            </w:r>
          </w:p>
        </w:tc>
        <w:tc>
          <w:tcPr>
            <w:tcW w:w="1462" w:type="dxa"/>
            <w:shd w:val="pct5" w:color="000000" w:fill="FFFFFF"/>
          </w:tcPr>
          <w:p w:rsidR="0096399A" w:rsidRPr="001C543E" w:rsidRDefault="0096399A" w:rsidP="00BD50B4">
            <w:pPr>
              <w:jc w:val="center"/>
              <w:rPr>
                <w:b/>
                <w:sz w:val="20"/>
                <w:szCs w:val="20"/>
                <w:lang w:val="el-GR"/>
              </w:rPr>
            </w:pPr>
            <w:r w:rsidRPr="001C543E">
              <w:rPr>
                <w:b/>
                <w:sz w:val="20"/>
                <w:szCs w:val="20"/>
                <w:lang w:val="el-GR"/>
              </w:rPr>
              <w:t xml:space="preserve">Ξένα/Ιδια κεφάλαια </w:t>
            </w:r>
          </w:p>
          <w:p w:rsidR="0096399A" w:rsidRPr="00A54F62" w:rsidRDefault="0096399A" w:rsidP="00BD50B4">
            <w:pPr>
              <w:jc w:val="center"/>
              <w:rPr>
                <w:b/>
                <w:sz w:val="20"/>
                <w:szCs w:val="20"/>
                <w:lang w:val="el-GR"/>
              </w:rPr>
            </w:pPr>
            <w:r w:rsidRPr="001C543E">
              <w:rPr>
                <w:b/>
                <w:sz w:val="20"/>
                <w:szCs w:val="20"/>
                <w:lang w:val="el-GR"/>
              </w:rPr>
              <w:t>20</w:t>
            </w:r>
            <w:r w:rsidRPr="001C543E">
              <w:rPr>
                <w:b/>
                <w:sz w:val="20"/>
                <w:szCs w:val="20"/>
                <w:lang w:val="en-US"/>
              </w:rPr>
              <w:t>1</w:t>
            </w:r>
            <w:r>
              <w:rPr>
                <w:b/>
                <w:sz w:val="20"/>
                <w:szCs w:val="20"/>
                <w:lang w:val="el-GR"/>
              </w:rPr>
              <w:t>2</w:t>
            </w:r>
          </w:p>
        </w:tc>
      </w:tr>
      <w:tr w:rsidR="0096399A" w:rsidRPr="00D13A51" w:rsidTr="00BD50B4">
        <w:trPr>
          <w:trHeight w:val="57"/>
          <w:jc w:val="center"/>
        </w:trPr>
        <w:tc>
          <w:tcPr>
            <w:tcW w:w="1796" w:type="dxa"/>
            <w:shd w:val="pct20" w:color="000000" w:fill="FFFFFF"/>
            <w:noWrap/>
          </w:tcPr>
          <w:p w:rsidR="0096399A" w:rsidRPr="001C543E" w:rsidRDefault="0096399A" w:rsidP="00BD50B4">
            <w:pPr>
              <w:rPr>
                <w:sz w:val="20"/>
                <w:szCs w:val="20"/>
              </w:rPr>
            </w:pPr>
            <w:r w:rsidRPr="001C543E">
              <w:rPr>
                <w:sz w:val="20"/>
                <w:szCs w:val="20"/>
              </w:rPr>
              <w:t>Βιομηχανία</w:t>
            </w:r>
          </w:p>
        </w:tc>
        <w:tc>
          <w:tcPr>
            <w:tcW w:w="1033" w:type="dxa"/>
            <w:shd w:val="pct20" w:color="000000" w:fill="FFFFFF"/>
            <w:vAlign w:val="bottom"/>
          </w:tcPr>
          <w:p w:rsidR="0096399A" w:rsidRPr="001C543E" w:rsidRDefault="0096399A" w:rsidP="00BD50B4">
            <w:pPr>
              <w:ind w:right="-3"/>
              <w:jc w:val="right"/>
              <w:rPr>
                <w:sz w:val="20"/>
                <w:szCs w:val="20"/>
                <w:lang w:val="el-GR"/>
              </w:rPr>
            </w:pPr>
            <w:r>
              <w:rPr>
                <w:sz w:val="20"/>
                <w:szCs w:val="20"/>
                <w:lang w:val="el-GR"/>
              </w:rPr>
              <w:t>10,1</w:t>
            </w:r>
          </w:p>
        </w:tc>
        <w:tc>
          <w:tcPr>
            <w:tcW w:w="1034" w:type="dxa"/>
            <w:shd w:val="pct20" w:color="000000" w:fill="FFFFFF"/>
            <w:noWrap/>
            <w:vAlign w:val="bottom"/>
          </w:tcPr>
          <w:p w:rsidR="0096399A" w:rsidRPr="00C36A12" w:rsidRDefault="0096399A" w:rsidP="00BD50B4">
            <w:pPr>
              <w:jc w:val="right"/>
              <w:rPr>
                <w:sz w:val="20"/>
                <w:szCs w:val="20"/>
                <w:lang w:val="el-GR"/>
              </w:rPr>
            </w:pPr>
            <w:r>
              <w:rPr>
                <w:sz w:val="20"/>
                <w:szCs w:val="20"/>
                <w:lang w:val="el-GR"/>
              </w:rPr>
              <w:t>6,7</w:t>
            </w:r>
          </w:p>
        </w:tc>
        <w:tc>
          <w:tcPr>
            <w:tcW w:w="1461" w:type="dxa"/>
            <w:shd w:val="pct20" w:color="000000" w:fill="FFFFFF"/>
            <w:vAlign w:val="bottom"/>
          </w:tcPr>
          <w:p w:rsidR="0096399A" w:rsidRPr="00C36A12" w:rsidRDefault="0096399A" w:rsidP="00BD50B4">
            <w:pPr>
              <w:ind w:right="219"/>
              <w:jc w:val="right"/>
              <w:rPr>
                <w:sz w:val="20"/>
                <w:szCs w:val="20"/>
                <w:lang w:val="el-GR"/>
              </w:rPr>
            </w:pPr>
            <w:r>
              <w:rPr>
                <w:sz w:val="20"/>
                <w:szCs w:val="20"/>
                <w:lang w:val="el-GR"/>
              </w:rPr>
              <w:t>8,3</w:t>
            </w:r>
          </w:p>
        </w:tc>
        <w:tc>
          <w:tcPr>
            <w:tcW w:w="1461" w:type="dxa"/>
            <w:shd w:val="pct20" w:color="000000" w:fill="FFFFFF"/>
            <w:noWrap/>
            <w:vAlign w:val="bottom"/>
          </w:tcPr>
          <w:p w:rsidR="0096399A" w:rsidRPr="001C543E" w:rsidRDefault="0096399A" w:rsidP="00BD50B4">
            <w:pPr>
              <w:ind w:right="263"/>
              <w:jc w:val="right"/>
              <w:rPr>
                <w:sz w:val="20"/>
                <w:szCs w:val="20"/>
                <w:lang w:val="el-GR"/>
              </w:rPr>
            </w:pPr>
            <w:r>
              <w:rPr>
                <w:sz w:val="20"/>
                <w:szCs w:val="20"/>
                <w:lang w:val="el-GR"/>
              </w:rPr>
              <w:t>7,8</w:t>
            </w:r>
          </w:p>
        </w:tc>
        <w:tc>
          <w:tcPr>
            <w:tcW w:w="1461" w:type="dxa"/>
            <w:shd w:val="pct20" w:color="000000" w:fill="FFFFFF"/>
            <w:vAlign w:val="bottom"/>
          </w:tcPr>
          <w:p w:rsidR="0096399A" w:rsidRPr="00C36A12" w:rsidRDefault="0096399A" w:rsidP="00BD50B4">
            <w:pPr>
              <w:ind w:right="165"/>
              <w:jc w:val="right"/>
              <w:rPr>
                <w:sz w:val="20"/>
                <w:szCs w:val="20"/>
                <w:lang w:val="el-GR"/>
              </w:rPr>
            </w:pPr>
            <w:r>
              <w:rPr>
                <w:sz w:val="20"/>
                <w:szCs w:val="20"/>
                <w:lang w:val="el-GR"/>
              </w:rPr>
              <w:t>1,66</w:t>
            </w:r>
          </w:p>
        </w:tc>
        <w:tc>
          <w:tcPr>
            <w:tcW w:w="1462" w:type="dxa"/>
            <w:shd w:val="pct20" w:color="000000" w:fill="FFFFFF"/>
            <w:noWrap/>
            <w:vAlign w:val="bottom"/>
          </w:tcPr>
          <w:p w:rsidR="0096399A" w:rsidRPr="00C36A12" w:rsidRDefault="0096399A" w:rsidP="00BD50B4">
            <w:pPr>
              <w:ind w:right="165"/>
              <w:jc w:val="right"/>
              <w:rPr>
                <w:sz w:val="20"/>
                <w:szCs w:val="20"/>
                <w:lang w:val="el-GR"/>
              </w:rPr>
            </w:pPr>
            <w:r>
              <w:rPr>
                <w:sz w:val="20"/>
                <w:szCs w:val="20"/>
                <w:lang w:val="el-GR"/>
              </w:rPr>
              <w:t>1,80</w:t>
            </w:r>
          </w:p>
        </w:tc>
      </w:tr>
      <w:tr w:rsidR="0096399A" w:rsidRPr="00D13A51" w:rsidTr="00BD50B4">
        <w:trPr>
          <w:trHeight w:val="57"/>
          <w:jc w:val="center"/>
        </w:trPr>
        <w:tc>
          <w:tcPr>
            <w:tcW w:w="1796" w:type="dxa"/>
            <w:shd w:val="pct5" w:color="000000" w:fill="FFFFFF"/>
            <w:noWrap/>
          </w:tcPr>
          <w:p w:rsidR="0096399A" w:rsidRPr="001C543E" w:rsidRDefault="0096399A" w:rsidP="00BD50B4">
            <w:pPr>
              <w:rPr>
                <w:sz w:val="20"/>
                <w:szCs w:val="20"/>
              </w:rPr>
            </w:pPr>
            <w:r w:rsidRPr="001C543E">
              <w:rPr>
                <w:sz w:val="20"/>
                <w:szCs w:val="20"/>
              </w:rPr>
              <w:t>Εμπόριο</w:t>
            </w:r>
          </w:p>
        </w:tc>
        <w:tc>
          <w:tcPr>
            <w:tcW w:w="1033" w:type="dxa"/>
            <w:shd w:val="pct5" w:color="000000" w:fill="FFFFFF"/>
            <w:vAlign w:val="bottom"/>
          </w:tcPr>
          <w:p w:rsidR="0096399A" w:rsidRPr="00C36A12" w:rsidRDefault="0096399A" w:rsidP="00BD50B4">
            <w:pPr>
              <w:jc w:val="right"/>
              <w:rPr>
                <w:sz w:val="20"/>
                <w:szCs w:val="20"/>
                <w:lang w:val="el-GR"/>
              </w:rPr>
            </w:pPr>
            <w:r>
              <w:rPr>
                <w:sz w:val="20"/>
                <w:szCs w:val="20"/>
                <w:lang w:val="el-GR"/>
              </w:rPr>
              <w:t>23,0</w:t>
            </w:r>
          </w:p>
        </w:tc>
        <w:tc>
          <w:tcPr>
            <w:tcW w:w="1034" w:type="dxa"/>
            <w:shd w:val="pct5" w:color="000000" w:fill="FFFFFF"/>
            <w:noWrap/>
            <w:vAlign w:val="bottom"/>
          </w:tcPr>
          <w:p w:rsidR="0096399A" w:rsidRPr="00C36A12" w:rsidRDefault="0096399A" w:rsidP="00BD50B4">
            <w:pPr>
              <w:jc w:val="right"/>
              <w:rPr>
                <w:sz w:val="20"/>
                <w:szCs w:val="20"/>
                <w:lang w:val="el-GR"/>
              </w:rPr>
            </w:pPr>
            <w:r>
              <w:rPr>
                <w:sz w:val="20"/>
                <w:szCs w:val="20"/>
                <w:lang w:val="el-GR"/>
              </w:rPr>
              <w:t>14,3</w:t>
            </w:r>
          </w:p>
        </w:tc>
        <w:tc>
          <w:tcPr>
            <w:tcW w:w="1461" w:type="dxa"/>
            <w:shd w:val="pct5" w:color="000000" w:fill="FFFFFF"/>
            <w:vAlign w:val="bottom"/>
          </w:tcPr>
          <w:p w:rsidR="0096399A" w:rsidRPr="00C36A12" w:rsidRDefault="0096399A" w:rsidP="00BD50B4">
            <w:pPr>
              <w:ind w:right="219"/>
              <w:jc w:val="right"/>
              <w:rPr>
                <w:sz w:val="20"/>
                <w:szCs w:val="20"/>
                <w:lang w:val="el-GR"/>
              </w:rPr>
            </w:pPr>
            <w:r>
              <w:rPr>
                <w:sz w:val="20"/>
                <w:szCs w:val="20"/>
                <w:lang w:val="el-GR"/>
              </w:rPr>
              <w:t>5,3</w:t>
            </w:r>
          </w:p>
        </w:tc>
        <w:tc>
          <w:tcPr>
            <w:tcW w:w="1461" w:type="dxa"/>
            <w:shd w:val="pct5" w:color="000000" w:fill="FFFFFF"/>
            <w:noWrap/>
            <w:vAlign w:val="bottom"/>
          </w:tcPr>
          <w:p w:rsidR="0096399A" w:rsidRPr="00C36A12" w:rsidRDefault="0096399A" w:rsidP="00BD50B4">
            <w:pPr>
              <w:ind w:right="263"/>
              <w:jc w:val="right"/>
              <w:rPr>
                <w:sz w:val="20"/>
                <w:szCs w:val="20"/>
                <w:lang w:val="el-GR"/>
              </w:rPr>
            </w:pPr>
            <w:r>
              <w:rPr>
                <w:sz w:val="20"/>
                <w:szCs w:val="20"/>
                <w:lang w:val="el-GR"/>
              </w:rPr>
              <w:t>5,1</w:t>
            </w:r>
          </w:p>
        </w:tc>
        <w:tc>
          <w:tcPr>
            <w:tcW w:w="1461" w:type="dxa"/>
            <w:shd w:val="pct5" w:color="000000" w:fill="FFFFFF"/>
            <w:vAlign w:val="bottom"/>
          </w:tcPr>
          <w:p w:rsidR="0096399A" w:rsidRPr="001C543E" w:rsidRDefault="0096399A" w:rsidP="00BD50B4">
            <w:pPr>
              <w:ind w:right="165"/>
              <w:jc w:val="right"/>
              <w:rPr>
                <w:sz w:val="20"/>
                <w:szCs w:val="20"/>
                <w:lang w:val="el-GR"/>
              </w:rPr>
            </w:pPr>
            <w:r>
              <w:rPr>
                <w:sz w:val="20"/>
                <w:szCs w:val="20"/>
                <w:lang w:val="el-GR"/>
              </w:rPr>
              <w:t>1,58</w:t>
            </w:r>
          </w:p>
        </w:tc>
        <w:tc>
          <w:tcPr>
            <w:tcW w:w="1462" w:type="dxa"/>
            <w:shd w:val="pct5" w:color="000000" w:fill="FFFFFF"/>
            <w:noWrap/>
            <w:vAlign w:val="bottom"/>
          </w:tcPr>
          <w:p w:rsidR="0096399A" w:rsidRPr="001C543E" w:rsidRDefault="0096399A" w:rsidP="00BD50B4">
            <w:pPr>
              <w:ind w:right="165"/>
              <w:jc w:val="right"/>
              <w:rPr>
                <w:sz w:val="20"/>
                <w:szCs w:val="20"/>
                <w:lang w:val="el-GR"/>
              </w:rPr>
            </w:pPr>
            <w:r>
              <w:rPr>
                <w:sz w:val="20"/>
                <w:szCs w:val="20"/>
                <w:lang w:val="el-GR"/>
              </w:rPr>
              <w:t>2,15</w:t>
            </w:r>
          </w:p>
        </w:tc>
      </w:tr>
      <w:tr w:rsidR="0096399A" w:rsidRPr="00D13A51" w:rsidTr="00BD50B4">
        <w:trPr>
          <w:trHeight w:val="57"/>
          <w:jc w:val="center"/>
        </w:trPr>
        <w:tc>
          <w:tcPr>
            <w:tcW w:w="1796" w:type="dxa"/>
            <w:shd w:val="pct20" w:color="000000" w:fill="FFFFFF"/>
            <w:noWrap/>
          </w:tcPr>
          <w:p w:rsidR="0096399A" w:rsidRPr="001C543E" w:rsidRDefault="0096399A" w:rsidP="00BD50B4">
            <w:pPr>
              <w:rPr>
                <w:sz w:val="20"/>
                <w:szCs w:val="20"/>
              </w:rPr>
            </w:pPr>
            <w:r w:rsidRPr="001C543E">
              <w:rPr>
                <w:sz w:val="20"/>
                <w:szCs w:val="20"/>
              </w:rPr>
              <w:t>Τουρισμός</w:t>
            </w:r>
          </w:p>
        </w:tc>
        <w:tc>
          <w:tcPr>
            <w:tcW w:w="1033" w:type="dxa"/>
            <w:shd w:val="pct20" w:color="000000" w:fill="FFFFFF"/>
            <w:vAlign w:val="bottom"/>
          </w:tcPr>
          <w:p w:rsidR="0096399A" w:rsidRPr="00C36A12" w:rsidRDefault="0096399A" w:rsidP="00BD50B4">
            <w:pPr>
              <w:jc w:val="right"/>
              <w:rPr>
                <w:sz w:val="20"/>
                <w:szCs w:val="20"/>
                <w:lang w:val="el-GR"/>
              </w:rPr>
            </w:pPr>
            <w:r>
              <w:rPr>
                <w:sz w:val="20"/>
                <w:szCs w:val="20"/>
                <w:lang w:val="el-GR"/>
              </w:rPr>
              <w:t>1,4</w:t>
            </w:r>
          </w:p>
        </w:tc>
        <w:tc>
          <w:tcPr>
            <w:tcW w:w="1034" w:type="dxa"/>
            <w:shd w:val="pct20" w:color="000000" w:fill="FFFFFF"/>
            <w:noWrap/>
            <w:vAlign w:val="bottom"/>
          </w:tcPr>
          <w:p w:rsidR="0096399A" w:rsidRPr="00C36A12" w:rsidRDefault="0096399A" w:rsidP="00BD50B4">
            <w:pPr>
              <w:jc w:val="right"/>
              <w:rPr>
                <w:sz w:val="20"/>
                <w:szCs w:val="20"/>
                <w:lang w:val="el-GR"/>
              </w:rPr>
            </w:pPr>
            <w:r>
              <w:rPr>
                <w:sz w:val="20"/>
                <w:szCs w:val="20"/>
                <w:lang w:val="el-GR"/>
              </w:rPr>
              <w:t>-5,9</w:t>
            </w:r>
          </w:p>
        </w:tc>
        <w:tc>
          <w:tcPr>
            <w:tcW w:w="1461" w:type="dxa"/>
            <w:shd w:val="pct20" w:color="000000" w:fill="FFFFFF"/>
            <w:vAlign w:val="bottom"/>
          </w:tcPr>
          <w:p w:rsidR="0096399A" w:rsidRPr="00C36A12" w:rsidRDefault="0096399A" w:rsidP="00BD50B4">
            <w:pPr>
              <w:ind w:right="219"/>
              <w:jc w:val="right"/>
              <w:rPr>
                <w:sz w:val="20"/>
                <w:szCs w:val="20"/>
                <w:lang w:val="el-GR"/>
              </w:rPr>
            </w:pPr>
            <w:r>
              <w:rPr>
                <w:sz w:val="20"/>
                <w:szCs w:val="20"/>
                <w:lang w:val="el-GR"/>
              </w:rPr>
              <w:t>28,3</w:t>
            </w:r>
          </w:p>
        </w:tc>
        <w:tc>
          <w:tcPr>
            <w:tcW w:w="1461" w:type="dxa"/>
            <w:shd w:val="pct20" w:color="000000" w:fill="FFFFFF"/>
            <w:noWrap/>
            <w:vAlign w:val="bottom"/>
          </w:tcPr>
          <w:p w:rsidR="0096399A" w:rsidRPr="00C36A12" w:rsidRDefault="0096399A" w:rsidP="00BD50B4">
            <w:pPr>
              <w:ind w:right="263"/>
              <w:jc w:val="right"/>
              <w:rPr>
                <w:sz w:val="20"/>
                <w:szCs w:val="20"/>
                <w:lang w:val="el-GR"/>
              </w:rPr>
            </w:pPr>
            <w:r>
              <w:rPr>
                <w:sz w:val="20"/>
                <w:szCs w:val="20"/>
                <w:lang w:val="el-GR"/>
              </w:rPr>
              <w:t>30,8</w:t>
            </w:r>
          </w:p>
        </w:tc>
        <w:tc>
          <w:tcPr>
            <w:tcW w:w="1461" w:type="dxa"/>
            <w:shd w:val="pct20" w:color="000000" w:fill="FFFFFF"/>
            <w:vAlign w:val="bottom"/>
          </w:tcPr>
          <w:p w:rsidR="0096399A" w:rsidRPr="00C36A12" w:rsidRDefault="0096399A" w:rsidP="00BD50B4">
            <w:pPr>
              <w:ind w:right="165"/>
              <w:jc w:val="right"/>
              <w:rPr>
                <w:sz w:val="20"/>
                <w:szCs w:val="20"/>
                <w:lang w:val="el-GR"/>
              </w:rPr>
            </w:pPr>
            <w:r>
              <w:rPr>
                <w:sz w:val="20"/>
                <w:szCs w:val="20"/>
                <w:lang w:val="el-GR"/>
              </w:rPr>
              <w:t>1,83</w:t>
            </w:r>
          </w:p>
        </w:tc>
        <w:tc>
          <w:tcPr>
            <w:tcW w:w="1462" w:type="dxa"/>
            <w:shd w:val="pct20" w:color="000000" w:fill="FFFFFF"/>
            <w:noWrap/>
            <w:vAlign w:val="bottom"/>
          </w:tcPr>
          <w:p w:rsidR="0096399A" w:rsidRPr="00C36A12" w:rsidRDefault="0096399A" w:rsidP="00BD50B4">
            <w:pPr>
              <w:ind w:right="165"/>
              <w:jc w:val="right"/>
              <w:rPr>
                <w:sz w:val="20"/>
                <w:szCs w:val="20"/>
                <w:lang w:val="el-GR"/>
              </w:rPr>
            </w:pPr>
            <w:r>
              <w:rPr>
                <w:sz w:val="20"/>
                <w:szCs w:val="20"/>
                <w:lang w:val="el-GR"/>
              </w:rPr>
              <w:t>1,85</w:t>
            </w:r>
          </w:p>
        </w:tc>
      </w:tr>
      <w:tr w:rsidR="0096399A" w:rsidRPr="00D13A51" w:rsidTr="00BD50B4">
        <w:trPr>
          <w:trHeight w:val="57"/>
          <w:jc w:val="center"/>
        </w:trPr>
        <w:tc>
          <w:tcPr>
            <w:tcW w:w="1796" w:type="dxa"/>
            <w:shd w:val="pct5" w:color="000000" w:fill="FFFFFF"/>
            <w:noWrap/>
          </w:tcPr>
          <w:p w:rsidR="0096399A" w:rsidRPr="001C543E" w:rsidRDefault="0096399A" w:rsidP="00BD50B4">
            <w:pPr>
              <w:rPr>
                <w:sz w:val="20"/>
                <w:szCs w:val="20"/>
              </w:rPr>
            </w:pPr>
            <w:r w:rsidRPr="001C543E">
              <w:rPr>
                <w:sz w:val="20"/>
                <w:szCs w:val="20"/>
              </w:rPr>
              <w:t>Τράπεζες-</w:t>
            </w:r>
            <w:r w:rsidRPr="001C543E">
              <w:rPr>
                <w:sz w:val="20"/>
                <w:szCs w:val="20"/>
                <w:lang w:val="en-US"/>
              </w:rPr>
              <w:t>f</w:t>
            </w:r>
            <w:r w:rsidRPr="001C543E">
              <w:rPr>
                <w:sz w:val="20"/>
                <w:szCs w:val="20"/>
              </w:rPr>
              <w:t>actoring</w:t>
            </w:r>
          </w:p>
        </w:tc>
        <w:tc>
          <w:tcPr>
            <w:tcW w:w="1033" w:type="dxa"/>
            <w:shd w:val="pct5" w:color="000000" w:fill="FFFFFF"/>
            <w:vAlign w:val="bottom"/>
          </w:tcPr>
          <w:p w:rsidR="0096399A" w:rsidRPr="00C36A12" w:rsidRDefault="0096399A" w:rsidP="00BD50B4">
            <w:pPr>
              <w:jc w:val="right"/>
              <w:rPr>
                <w:sz w:val="20"/>
                <w:szCs w:val="20"/>
                <w:lang w:val="el-GR"/>
              </w:rPr>
            </w:pPr>
            <w:r>
              <w:rPr>
                <w:sz w:val="20"/>
                <w:szCs w:val="20"/>
                <w:lang w:val="el-GR"/>
              </w:rPr>
              <w:t>29,1</w:t>
            </w:r>
          </w:p>
        </w:tc>
        <w:tc>
          <w:tcPr>
            <w:tcW w:w="1034" w:type="dxa"/>
            <w:shd w:val="pct5" w:color="000000" w:fill="FFFFFF"/>
            <w:noWrap/>
            <w:vAlign w:val="bottom"/>
          </w:tcPr>
          <w:p w:rsidR="0096399A" w:rsidRPr="00C36A12" w:rsidRDefault="0096399A" w:rsidP="00BD50B4">
            <w:pPr>
              <w:jc w:val="right"/>
              <w:rPr>
                <w:sz w:val="20"/>
                <w:szCs w:val="20"/>
                <w:lang w:val="el-GR"/>
              </w:rPr>
            </w:pPr>
            <w:r>
              <w:rPr>
                <w:sz w:val="20"/>
                <w:szCs w:val="20"/>
                <w:lang w:val="el-GR"/>
              </w:rPr>
              <w:t>119,8</w:t>
            </w:r>
          </w:p>
        </w:tc>
        <w:tc>
          <w:tcPr>
            <w:tcW w:w="1461" w:type="dxa"/>
            <w:shd w:val="pct5" w:color="000000" w:fill="FFFFFF"/>
            <w:vAlign w:val="bottom"/>
          </w:tcPr>
          <w:p w:rsidR="0096399A" w:rsidRPr="00C36A12" w:rsidRDefault="0096399A" w:rsidP="00BD50B4">
            <w:pPr>
              <w:ind w:right="78"/>
              <w:jc w:val="right"/>
              <w:rPr>
                <w:sz w:val="20"/>
                <w:szCs w:val="20"/>
                <w:lang w:val="el-GR"/>
              </w:rPr>
            </w:pPr>
            <w:r>
              <w:rPr>
                <w:sz w:val="20"/>
                <w:szCs w:val="20"/>
                <w:lang w:val="el-GR"/>
              </w:rPr>
              <w:t>65,3**</w:t>
            </w:r>
          </w:p>
        </w:tc>
        <w:tc>
          <w:tcPr>
            <w:tcW w:w="1461" w:type="dxa"/>
            <w:shd w:val="pct5" w:color="000000" w:fill="FFFFFF"/>
            <w:noWrap/>
            <w:vAlign w:val="bottom"/>
          </w:tcPr>
          <w:p w:rsidR="0096399A" w:rsidRPr="00C36A12" w:rsidRDefault="0096399A" w:rsidP="00BD50B4">
            <w:pPr>
              <w:tabs>
                <w:tab w:val="left" w:pos="1124"/>
              </w:tabs>
              <w:ind w:right="121"/>
              <w:jc w:val="right"/>
              <w:rPr>
                <w:sz w:val="20"/>
                <w:szCs w:val="20"/>
                <w:lang w:val="el-GR"/>
              </w:rPr>
            </w:pPr>
            <w:r>
              <w:rPr>
                <w:sz w:val="20"/>
                <w:szCs w:val="20"/>
                <w:lang w:val="el-GR"/>
              </w:rPr>
              <w:t>-26,2**</w:t>
            </w:r>
          </w:p>
        </w:tc>
        <w:tc>
          <w:tcPr>
            <w:tcW w:w="1461" w:type="dxa"/>
            <w:shd w:val="pct5" w:color="000000" w:fill="FFFFFF"/>
            <w:vAlign w:val="bottom"/>
          </w:tcPr>
          <w:p w:rsidR="0096399A" w:rsidRPr="00C36A12" w:rsidRDefault="0096399A" w:rsidP="00BD50B4">
            <w:pPr>
              <w:ind w:right="165"/>
              <w:jc w:val="right"/>
              <w:rPr>
                <w:sz w:val="20"/>
                <w:szCs w:val="20"/>
                <w:lang w:val="en-US"/>
              </w:rPr>
            </w:pPr>
            <w:r>
              <w:rPr>
                <w:sz w:val="20"/>
                <w:szCs w:val="20"/>
                <w:lang w:val="en-US"/>
              </w:rPr>
              <w:t>NC</w:t>
            </w:r>
          </w:p>
        </w:tc>
        <w:tc>
          <w:tcPr>
            <w:tcW w:w="1462" w:type="dxa"/>
            <w:shd w:val="pct5" w:color="000000" w:fill="FFFFFF"/>
            <w:noWrap/>
            <w:vAlign w:val="bottom"/>
          </w:tcPr>
          <w:p w:rsidR="0096399A" w:rsidRPr="001C543E" w:rsidRDefault="0096399A" w:rsidP="00BD50B4">
            <w:pPr>
              <w:ind w:right="165"/>
              <w:jc w:val="right"/>
              <w:rPr>
                <w:sz w:val="20"/>
                <w:szCs w:val="20"/>
              </w:rPr>
            </w:pPr>
            <w:r>
              <w:rPr>
                <w:sz w:val="20"/>
                <w:szCs w:val="20"/>
              </w:rPr>
              <w:t>NC</w:t>
            </w:r>
          </w:p>
        </w:tc>
      </w:tr>
      <w:tr w:rsidR="0096399A" w:rsidRPr="00D13A51" w:rsidTr="00BD50B4">
        <w:trPr>
          <w:trHeight w:val="57"/>
          <w:jc w:val="center"/>
        </w:trPr>
        <w:tc>
          <w:tcPr>
            <w:tcW w:w="1796" w:type="dxa"/>
            <w:shd w:val="pct20" w:color="000000" w:fill="FFFFFF"/>
            <w:noWrap/>
          </w:tcPr>
          <w:p w:rsidR="0096399A" w:rsidRPr="001C543E" w:rsidRDefault="0096399A" w:rsidP="00BD50B4">
            <w:pPr>
              <w:rPr>
                <w:sz w:val="20"/>
                <w:szCs w:val="20"/>
              </w:rPr>
            </w:pPr>
            <w:r w:rsidRPr="001C543E">
              <w:rPr>
                <w:sz w:val="20"/>
                <w:szCs w:val="20"/>
              </w:rPr>
              <w:t>Ασφάλειες</w:t>
            </w:r>
          </w:p>
        </w:tc>
        <w:tc>
          <w:tcPr>
            <w:tcW w:w="1033" w:type="dxa"/>
            <w:shd w:val="pct20" w:color="000000" w:fill="FFFFFF"/>
            <w:vAlign w:val="bottom"/>
          </w:tcPr>
          <w:p w:rsidR="0096399A" w:rsidRPr="00C36A12" w:rsidRDefault="0096399A" w:rsidP="00BD50B4">
            <w:pPr>
              <w:jc w:val="right"/>
              <w:rPr>
                <w:sz w:val="20"/>
                <w:szCs w:val="20"/>
                <w:lang w:val="el-GR"/>
              </w:rPr>
            </w:pPr>
            <w:r>
              <w:rPr>
                <w:sz w:val="20"/>
                <w:szCs w:val="20"/>
                <w:lang w:val="el-GR"/>
              </w:rPr>
              <w:t>22,0</w:t>
            </w:r>
          </w:p>
        </w:tc>
        <w:tc>
          <w:tcPr>
            <w:tcW w:w="1034" w:type="dxa"/>
            <w:shd w:val="pct20" w:color="000000" w:fill="FFFFFF"/>
            <w:noWrap/>
            <w:vAlign w:val="bottom"/>
          </w:tcPr>
          <w:p w:rsidR="0096399A" w:rsidRPr="001C543E" w:rsidRDefault="0096399A" w:rsidP="00BD50B4">
            <w:pPr>
              <w:jc w:val="right"/>
              <w:rPr>
                <w:sz w:val="20"/>
                <w:szCs w:val="20"/>
                <w:lang w:val="el-GR"/>
              </w:rPr>
            </w:pPr>
            <w:r>
              <w:rPr>
                <w:sz w:val="20"/>
                <w:szCs w:val="20"/>
                <w:lang w:val="el-GR"/>
              </w:rPr>
              <w:t>17,9</w:t>
            </w:r>
          </w:p>
        </w:tc>
        <w:tc>
          <w:tcPr>
            <w:tcW w:w="1461" w:type="dxa"/>
            <w:shd w:val="pct20" w:color="000000" w:fill="FFFFFF"/>
            <w:vAlign w:val="bottom"/>
          </w:tcPr>
          <w:p w:rsidR="0096399A" w:rsidRPr="00C36A12" w:rsidRDefault="0096399A" w:rsidP="00BD50B4">
            <w:pPr>
              <w:ind w:right="78"/>
              <w:jc w:val="right"/>
              <w:rPr>
                <w:sz w:val="20"/>
                <w:szCs w:val="20"/>
                <w:lang w:val="el-GR"/>
              </w:rPr>
            </w:pPr>
            <w:r>
              <w:rPr>
                <w:sz w:val="20"/>
                <w:szCs w:val="20"/>
                <w:lang w:val="el-GR"/>
              </w:rPr>
              <w:t>11,7**</w:t>
            </w:r>
          </w:p>
        </w:tc>
        <w:tc>
          <w:tcPr>
            <w:tcW w:w="1461" w:type="dxa"/>
            <w:shd w:val="pct20" w:color="000000" w:fill="FFFFFF"/>
            <w:noWrap/>
            <w:vAlign w:val="bottom"/>
          </w:tcPr>
          <w:p w:rsidR="0096399A" w:rsidRPr="00C36A12" w:rsidRDefault="0096399A" w:rsidP="00BD50B4">
            <w:pPr>
              <w:tabs>
                <w:tab w:val="left" w:pos="1266"/>
              </w:tabs>
              <w:ind w:right="121"/>
              <w:jc w:val="right"/>
              <w:rPr>
                <w:sz w:val="20"/>
                <w:szCs w:val="20"/>
                <w:lang w:val="el-GR"/>
              </w:rPr>
            </w:pPr>
            <w:r>
              <w:rPr>
                <w:sz w:val="20"/>
                <w:szCs w:val="20"/>
                <w:lang w:val="el-GR"/>
              </w:rPr>
              <w:t>6,1**</w:t>
            </w:r>
          </w:p>
        </w:tc>
        <w:tc>
          <w:tcPr>
            <w:tcW w:w="1461" w:type="dxa"/>
            <w:shd w:val="pct20" w:color="000000" w:fill="FFFFFF"/>
            <w:vAlign w:val="bottom"/>
          </w:tcPr>
          <w:p w:rsidR="0096399A" w:rsidRPr="001C543E" w:rsidRDefault="0096399A" w:rsidP="00BD50B4">
            <w:pPr>
              <w:ind w:right="165"/>
              <w:jc w:val="right"/>
              <w:rPr>
                <w:sz w:val="20"/>
                <w:szCs w:val="20"/>
              </w:rPr>
            </w:pPr>
            <w:r>
              <w:rPr>
                <w:sz w:val="20"/>
                <w:szCs w:val="20"/>
              </w:rPr>
              <w:t>NC</w:t>
            </w:r>
          </w:p>
        </w:tc>
        <w:tc>
          <w:tcPr>
            <w:tcW w:w="1462" w:type="dxa"/>
            <w:shd w:val="pct20" w:color="000000" w:fill="FFFFFF"/>
            <w:noWrap/>
            <w:vAlign w:val="bottom"/>
          </w:tcPr>
          <w:p w:rsidR="0096399A" w:rsidRPr="001C543E" w:rsidRDefault="0096399A" w:rsidP="00BD50B4">
            <w:pPr>
              <w:ind w:right="165"/>
              <w:jc w:val="right"/>
              <w:rPr>
                <w:sz w:val="20"/>
                <w:szCs w:val="20"/>
              </w:rPr>
            </w:pPr>
            <w:r>
              <w:rPr>
                <w:sz w:val="20"/>
                <w:szCs w:val="20"/>
              </w:rPr>
              <w:t>NC</w:t>
            </w:r>
          </w:p>
        </w:tc>
      </w:tr>
      <w:tr w:rsidR="0096399A" w:rsidRPr="00D13A51" w:rsidTr="00BD50B4">
        <w:trPr>
          <w:trHeight w:val="57"/>
          <w:jc w:val="center"/>
        </w:trPr>
        <w:tc>
          <w:tcPr>
            <w:tcW w:w="1796" w:type="dxa"/>
            <w:shd w:val="pct5" w:color="000000" w:fill="FFFFFF"/>
            <w:noWrap/>
          </w:tcPr>
          <w:p w:rsidR="0096399A" w:rsidRPr="001C543E" w:rsidRDefault="0096399A" w:rsidP="00BD50B4">
            <w:pPr>
              <w:rPr>
                <w:sz w:val="20"/>
                <w:szCs w:val="20"/>
              </w:rPr>
            </w:pPr>
            <w:r w:rsidRPr="001C543E">
              <w:rPr>
                <w:sz w:val="20"/>
                <w:szCs w:val="20"/>
              </w:rPr>
              <w:t>Λοιπές υπηρεσίες</w:t>
            </w:r>
          </w:p>
        </w:tc>
        <w:tc>
          <w:tcPr>
            <w:tcW w:w="1033" w:type="dxa"/>
            <w:shd w:val="pct5" w:color="000000" w:fill="FFFFFF"/>
            <w:vAlign w:val="bottom"/>
          </w:tcPr>
          <w:p w:rsidR="0096399A" w:rsidRPr="00C36A12" w:rsidRDefault="0096399A" w:rsidP="00BD50B4">
            <w:pPr>
              <w:jc w:val="right"/>
              <w:rPr>
                <w:sz w:val="20"/>
                <w:szCs w:val="20"/>
                <w:lang w:val="el-GR"/>
              </w:rPr>
            </w:pPr>
            <w:r>
              <w:rPr>
                <w:sz w:val="20"/>
                <w:szCs w:val="20"/>
                <w:lang w:val="el-GR"/>
              </w:rPr>
              <w:t>1,2</w:t>
            </w:r>
          </w:p>
        </w:tc>
        <w:tc>
          <w:tcPr>
            <w:tcW w:w="1034" w:type="dxa"/>
            <w:shd w:val="pct5" w:color="000000" w:fill="FFFFFF"/>
            <w:noWrap/>
            <w:vAlign w:val="bottom"/>
          </w:tcPr>
          <w:p w:rsidR="0096399A" w:rsidRPr="00C36A12" w:rsidRDefault="0096399A" w:rsidP="00BD50B4">
            <w:pPr>
              <w:jc w:val="right"/>
              <w:rPr>
                <w:sz w:val="20"/>
                <w:szCs w:val="20"/>
                <w:lang w:val="el-GR"/>
              </w:rPr>
            </w:pPr>
            <w:r>
              <w:rPr>
                <w:sz w:val="20"/>
                <w:szCs w:val="20"/>
                <w:lang w:val="el-GR"/>
              </w:rPr>
              <w:t>1,6</w:t>
            </w:r>
          </w:p>
        </w:tc>
        <w:tc>
          <w:tcPr>
            <w:tcW w:w="1461" w:type="dxa"/>
            <w:shd w:val="pct5" w:color="000000" w:fill="FFFFFF"/>
            <w:vAlign w:val="bottom"/>
          </w:tcPr>
          <w:p w:rsidR="0096399A" w:rsidRPr="00C36A12" w:rsidRDefault="0096399A" w:rsidP="00BD50B4">
            <w:pPr>
              <w:ind w:right="219"/>
              <w:jc w:val="right"/>
              <w:rPr>
                <w:sz w:val="20"/>
                <w:szCs w:val="20"/>
                <w:lang w:val="el-GR"/>
              </w:rPr>
            </w:pPr>
            <w:r>
              <w:rPr>
                <w:sz w:val="20"/>
                <w:szCs w:val="20"/>
                <w:lang w:val="el-GR"/>
              </w:rPr>
              <w:t>17,0</w:t>
            </w:r>
          </w:p>
        </w:tc>
        <w:tc>
          <w:tcPr>
            <w:tcW w:w="1461" w:type="dxa"/>
            <w:shd w:val="pct5" w:color="000000" w:fill="FFFFFF"/>
            <w:noWrap/>
            <w:vAlign w:val="bottom"/>
          </w:tcPr>
          <w:p w:rsidR="0096399A" w:rsidRPr="001C543E" w:rsidRDefault="0096399A" w:rsidP="00BD50B4">
            <w:pPr>
              <w:ind w:right="263"/>
              <w:jc w:val="right"/>
              <w:rPr>
                <w:sz w:val="20"/>
                <w:szCs w:val="20"/>
                <w:lang w:val="el-GR"/>
              </w:rPr>
            </w:pPr>
            <w:r>
              <w:rPr>
                <w:sz w:val="20"/>
                <w:szCs w:val="20"/>
                <w:lang w:val="el-GR"/>
              </w:rPr>
              <w:t>17,9</w:t>
            </w:r>
          </w:p>
        </w:tc>
        <w:tc>
          <w:tcPr>
            <w:tcW w:w="1461" w:type="dxa"/>
            <w:shd w:val="pct5" w:color="000000" w:fill="FFFFFF"/>
            <w:vAlign w:val="bottom"/>
          </w:tcPr>
          <w:p w:rsidR="0096399A" w:rsidRPr="00C36A12" w:rsidRDefault="0096399A" w:rsidP="00BD50B4">
            <w:pPr>
              <w:ind w:right="121"/>
              <w:jc w:val="right"/>
              <w:rPr>
                <w:sz w:val="20"/>
                <w:szCs w:val="20"/>
                <w:lang w:val="el-GR"/>
              </w:rPr>
            </w:pPr>
            <w:r>
              <w:rPr>
                <w:sz w:val="20"/>
                <w:szCs w:val="20"/>
              </w:rPr>
              <w:t>1</w:t>
            </w:r>
            <w:r>
              <w:rPr>
                <w:sz w:val="20"/>
                <w:szCs w:val="20"/>
                <w:lang w:val="el-GR"/>
              </w:rPr>
              <w:t>,61</w:t>
            </w:r>
          </w:p>
        </w:tc>
        <w:tc>
          <w:tcPr>
            <w:tcW w:w="1462" w:type="dxa"/>
            <w:shd w:val="pct5" w:color="000000" w:fill="FFFFFF"/>
            <w:noWrap/>
            <w:vAlign w:val="bottom"/>
          </w:tcPr>
          <w:p w:rsidR="0096399A" w:rsidRPr="001C543E" w:rsidRDefault="0096399A" w:rsidP="00BD50B4">
            <w:pPr>
              <w:ind w:right="165"/>
              <w:jc w:val="right"/>
              <w:rPr>
                <w:sz w:val="20"/>
                <w:szCs w:val="20"/>
                <w:lang w:val="el-GR"/>
              </w:rPr>
            </w:pPr>
            <w:r>
              <w:rPr>
                <w:sz w:val="20"/>
                <w:szCs w:val="20"/>
                <w:lang w:val="el-GR"/>
              </w:rPr>
              <w:t>1,70</w:t>
            </w:r>
          </w:p>
        </w:tc>
      </w:tr>
      <w:tr w:rsidR="0096399A" w:rsidRPr="00CB476D" w:rsidTr="00BD50B4">
        <w:trPr>
          <w:trHeight w:val="57"/>
          <w:jc w:val="center"/>
        </w:trPr>
        <w:tc>
          <w:tcPr>
            <w:tcW w:w="9708" w:type="dxa"/>
            <w:gridSpan w:val="7"/>
            <w:shd w:val="pct20" w:color="000000" w:fill="FFFFFF"/>
            <w:noWrap/>
          </w:tcPr>
          <w:p w:rsidR="0096399A" w:rsidRPr="001C543E" w:rsidRDefault="0096399A" w:rsidP="00BD50B4">
            <w:pPr>
              <w:pStyle w:val="ae"/>
              <w:ind w:firstLine="0"/>
              <w:rPr>
                <w:i/>
                <w:sz w:val="18"/>
                <w:szCs w:val="18"/>
              </w:rPr>
            </w:pPr>
            <w:r w:rsidRPr="001C543E">
              <w:rPr>
                <w:i/>
                <w:sz w:val="18"/>
                <w:szCs w:val="18"/>
              </w:rPr>
              <w:t>* ROE : Αποδοτικότητα Ιδίων Κεφαλαίων</w:t>
            </w:r>
          </w:p>
          <w:p w:rsidR="0096399A" w:rsidRPr="001C543E" w:rsidRDefault="0096399A" w:rsidP="00BD50B4">
            <w:pPr>
              <w:rPr>
                <w:i/>
                <w:sz w:val="18"/>
                <w:szCs w:val="18"/>
                <w:lang w:val="el-GR"/>
              </w:rPr>
            </w:pPr>
            <w:r w:rsidRPr="001C543E">
              <w:rPr>
                <w:i/>
                <w:sz w:val="18"/>
                <w:szCs w:val="18"/>
              </w:rPr>
              <w:t>NC</w:t>
            </w:r>
            <w:r w:rsidRPr="001C543E">
              <w:rPr>
                <w:i/>
                <w:sz w:val="18"/>
                <w:szCs w:val="18"/>
                <w:lang w:val="el-GR"/>
              </w:rPr>
              <w:t xml:space="preserve"> : </w:t>
            </w:r>
            <w:r w:rsidRPr="001C543E">
              <w:rPr>
                <w:i/>
                <w:sz w:val="18"/>
                <w:szCs w:val="18"/>
                <w:lang w:val="en-US"/>
              </w:rPr>
              <w:t>NotCalculable</w:t>
            </w:r>
            <w:r w:rsidRPr="001C543E">
              <w:rPr>
                <w:i/>
                <w:sz w:val="18"/>
                <w:szCs w:val="18"/>
                <w:lang w:val="el-GR"/>
              </w:rPr>
              <w:t xml:space="preserve"> – Μη υπολογίσιμο</w:t>
            </w:r>
          </w:p>
          <w:p w:rsidR="0096399A" w:rsidRPr="001C543E" w:rsidRDefault="0096399A" w:rsidP="00BD50B4">
            <w:pPr>
              <w:jc w:val="both"/>
              <w:rPr>
                <w:sz w:val="20"/>
                <w:szCs w:val="20"/>
                <w:lang w:val="el-GR"/>
              </w:rPr>
            </w:pPr>
            <w:r w:rsidRPr="001C543E">
              <w:rPr>
                <w:i/>
                <w:sz w:val="18"/>
                <w:szCs w:val="18"/>
                <w:lang w:val="el-GR"/>
              </w:rPr>
              <w:t>**Για τις Τράπεζες και τις Ασφάλειες  υπενθυμίζεται ότι οι δείκτες υπολογίζονται βάσει του λογαριασμού Κέρδη προ Φόρων και Αποσβέσεων(</w:t>
            </w:r>
            <w:r w:rsidRPr="001C543E">
              <w:rPr>
                <w:i/>
                <w:sz w:val="18"/>
                <w:szCs w:val="18"/>
                <w:lang w:val="en-US"/>
              </w:rPr>
              <w:t>EBTD</w:t>
            </w:r>
            <w:r w:rsidRPr="001C543E">
              <w:rPr>
                <w:i/>
                <w:sz w:val="18"/>
                <w:szCs w:val="18"/>
                <w:lang w:val="el-GR"/>
              </w:rPr>
              <w:t xml:space="preserve">, </w:t>
            </w:r>
            <w:r w:rsidRPr="001C543E">
              <w:rPr>
                <w:i/>
                <w:sz w:val="18"/>
                <w:szCs w:val="18"/>
                <w:lang w:val="en-US"/>
              </w:rPr>
              <w:t>EarningsBeforeTaxandDepreciation</w:t>
            </w:r>
            <w:r w:rsidRPr="001C543E">
              <w:rPr>
                <w:i/>
                <w:sz w:val="18"/>
                <w:szCs w:val="18"/>
                <w:lang w:val="el-GR"/>
              </w:rPr>
              <w:t>) - βλέπε και παραδοχές.</w:t>
            </w:r>
          </w:p>
        </w:tc>
      </w:tr>
    </w:tbl>
    <w:p w:rsidR="0096399A" w:rsidRPr="00D13A51" w:rsidRDefault="0096399A" w:rsidP="0096399A">
      <w:pPr>
        <w:pStyle w:val="ae"/>
        <w:jc w:val="both"/>
        <w:rPr>
          <w:highlight w:val="yellow"/>
        </w:rPr>
      </w:pPr>
    </w:p>
    <w:p w:rsidR="0096399A" w:rsidRPr="00D13A51" w:rsidRDefault="0096399A" w:rsidP="0096399A">
      <w:pPr>
        <w:pStyle w:val="a8"/>
        <w:rPr>
          <w:rFonts w:ascii="Times New Roman" w:hAnsi="Times New Roman"/>
          <w:highlight w:val="yellow"/>
        </w:rPr>
      </w:pPr>
      <w:bookmarkStart w:id="9" w:name="_Toc207785915"/>
    </w:p>
    <w:p w:rsidR="0096399A" w:rsidRPr="003B6229" w:rsidRDefault="0096399A" w:rsidP="0096399A">
      <w:pPr>
        <w:pStyle w:val="a8"/>
        <w:rPr>
          <w:rFonts w:ascii="Times New Roman" w:hAnsi="Times New Roman"/>
        </w:rPr>
      </w:pPr>
      <w:r w:rsidRPr="003B6229">
        <w:rPr>
          <w:rFonts w:ascii="Times New Roman" w:hAnsi="Times New Roman"/>
        </w:rPr>
        <w:t>5.</w:t>
      </w:r>
      <w:r w:rsidRPr="003B6229">
        <w:rPr>
          <w:rFonts w:ascii="Times New Roman" w:hAnsi="Times New Roman"/>
        </w:rPr>
        <w:tab/>
        <w:t>Κλαδική Κατανομή Εταιρειών και Αντίστοιχων Κερδών EBITDA</w:t>
      </w:r>
      <w:bookmarkEnd w:id="9"/>
    </w:p>
    <w:p w:rsidR="0096399A" w:rsidRPr="003B6229" w:rsidRDefault="0096399A" w:rsidP="0096399A">
      <w:pPr>
        <w:pStyle w:val="ae"/>
        <w:spacing w:line="360" w:lineRule="auto"/>
        <w:jc w:val="both"/>
      </w:pPr>
    </w:p>
    <w:p w:rsidR="0096399A" w:rsidRPr="003B6229" w:rsidRDefault="0096399A" w:rsidP="0096399A">
      <w:pPr>
        <w:pStyle w:val="ae"/>
        <w:numPr>
          <w:ilvl w:val="1"/>
          <w:numId w:val="3"/>
        </w:numPr>
        <w:tabs>
          <w:tab w:val="clear" w:pos="1440"/>
          <w:tab w:val="num" w:pos="480"/>
        </w:tabs>
        <w:spacing w:line="360" w:lineRule="auto"/>
        <w:ind w:left="480" w:hanging="480"/>
        <w:jc w:val="both"/>
        <w:rPr>
          <w:b/>
          <w:i/>
        </w:rPr>
      </w:pPr>
      <w:r w:rsidRPr="003B6229">
        <w:rPr>
          <w:b/>
          <w:i/>
        </w:rPr>
        <w:t>Βιομηχανία</w:t>
      </w:r>
    </w:p>
    <w:p w:rsidR="0096399A" w:rsidRPr="00E74A50" w:rsidRDefault="0096399A" w:rsidP="0096399A">
      <w:pPr>
        <w:pStyle w:val="ae"/>
        <w:spacing w:line="360" w:lineRule="auto"/>
        <w:ind w:firstLine="0"/>
        <w:jc w:val="both"/>
        <w:rPr>
          <w:szCs w:val="22"/>
        </w:rPr>
      </w:pPr>
      <w:r w:rsidRPr="003B6229">
        <w:rPr>
          <w:szCs w:val="22"/>
        </w:rPr>
        <w:t xml:space="preserve">Στον τομέα της Βιομηχανίας, γενικά (ανεξαρτήτως επί μέρους κλάδων), στην κορυφή της κατάταξης βρίσκονται </w:t>
      </w:r>
      <w:r>
        <w:rPr>
          <w:b/>
          <w:szCs w:val="22"/>
        </w:rPr>
        <w:t>τέσσερις</w:t>
      </w:r>
      <w:r w:rsidRPr="003B6229">
        <w:rPr>
          <w:szCs w:val="22"/>
        </w:rPr>
        <w:t xml:space="preserve"> επιχειρήσεις που εμφάνισαν το 201</w:t>
      </w:r>
      <w:r>
        <w:rPr>
          <w:szCs w:val="22"/>
        </w:rPr>
        <w:t>3</w:t>
      </w:r>
      <w:r w:rsidRPr="003B6229">
        <w:rPr>
          <w:szCs w:val="22"/>
        </w:rPr>
        <w:t xml:space="preserve"> κέρδη EBITDA υψηλότερα των </w:t>
      </w:r>
      <w:r>
        <w:rPr>
          <w:szCs w:val="22"/>
        </w:rPr>
        <w:t>€</w:t>
      </w:r>
      <w:r w:rsidRPr="003B6229">
        <w:rPr>
          <w:szCs w:val="22"/>
        </w:rPr>
        <w:t>50 εκατ. η κάθε μία. Κορυφαία (βάσει κερδοφορίας) βιομηχανική επιχείρηση το 201</w:t>
      </w:r>
      <w:r>
        <w:rPr>
          <w:szCs w:val="22"/>
        </w:rPr>
        <w:t>3</w:t>
      </w:r>
      <w:r w:rsidRPr="003B6229">
        <w:rPr>
          <w:szCs w:val="22"/>
        </w:rPr>
        <w:t xml:space="preserve"> ήταν η εταιρεία </w:t>
      </w:r>
      <w:r w:rsidRPr="00A54F62">
        <w:rPr>
          <w:b/>
          <w:szCs w:val="22"/>
        </w:rPr>
        <w:t>ΜΟΤΟΡ ΟΙΛ</w:t>
      </w:r>
      <w:r>
        <w:rPr>
          <w:b/>
          <w:szCs w:val="22"/>
        </w:rPr>
        <w:t xml:space="preserve"> (ΕΛΛΑΣ) ΔΙΥΛΙΣΤΗΡΙΑ ΚΟΡΙΝΘΟΥ Α</w:t>
      </w:r>
      <w:r w:rsidRPr="00A54F62">
        <w:rPr>
          <w:b/>
          <w:szCs w:val="22"/>
        </w:rPr>
        <w:t>Ε</w:t>
      </w:r>
      <w:r>
        <w:rPr>
          <w:szCs w:val="22"/>
        </w:rPr>
        <w:t>(εταιρεία του κλάδου Π</w:t>
      </w:r>
      <w:r w:rsidRPr="003B6229">
        <w:rPr>
          <w:szCs w:val="22"/>
        </w:rPr>
        <w:t>ροϊόντων Πετρελαίου</w:t>
      </w:r>
      <w:r w:rsidRPr="00CF0115">
        <w:rPr>
          <w:szCs w:val="22"/>
        </w:rPr>
        <w:t>&amp;</w:t>
      </w:r>
      <w:r>
        <w:rPr>
          <w:szCs w:val="22"/>
        </w:rPr>
        <w:t>Άνθρακα) ακολουθούμενη από την ΚΑΡΕΛΙΑ ΚΑΠΝΟΒΙΟΜΗΧΑΝΙΑ ΑΕ (του κλάδου Καπνού)</w:t>
      </w:r>
      <w:r w:rsidRPr="003B6229">
        <w:rPr>
          <w:szCs w:val="22"/>
        </w:rPr>
        <w:t>.</w:t>
      </w:r>
      <w:r>
        <w:rPr>
          <w:szCs w:val="22"/>
        </w:rPr>
        <w:t xml:space="preserve"> Στην τρίτη και τέταρτη θέση βρίσκον</w:t>
      </w:r>
      <w:r w:rsidRPr="00E74A50">
        <w:rPr>
          <w:szCs w:val="22"/>
        </w:rPr>
        <w:t xml:space="preserve">ται </w:t>
      </w:r>
      <w:r>
        <w:rPr>
          <w:szCs w:val="22"/>
        </w:rPr>
        <w:t>δύο</w:t>
      </w:r>
      <w:r w:rsidRPr="00E74A50">
        <w:rPr>
          <w:szCs w:val="22"/>
        </w:rPr>
        <w:t xml:space="preserve"> επιχ</w:t>
      </w:r>
      <w:r>
        <w:rPr>
          <w:szCs w:val="22"/>
        </w:rPr>
        <w:t>ειρήσεις</w:t>
      </w:r>
      <w:r w:rsidRPr="00E74A50">
        <w:rPr>
          <w:szCs w:val="22"/>
        </w:rPr>
        <w:t xml:space="preserve"> του κλάδου </w:t>
      </w:r>
      <w:r>
        <w:rPr>
          <w:szCs w:val="22"/>
        </w:rPr>
        <w:t>Μεταλλικά Προϊόντα - Κατασκευές</w:t>
      </w:r>
      <w:r w:rsidRPr="00E74A50">
        <w:rPr>
          <w:szCs w:val="22"/>
        </w:rPr>
        <w:t xml:space="preserve"> (</w:t>
      </w:r>
      <w:r>
        <w:rPr>
          <w:szCs w:val="22"/>
        </w:rPr>
        <w:t>ΜΕΤΚΑ ΜΕΤΑΛΛΙΚΑΙ ΚΑΤΑΣΚΕΥΑΙ ΕΛΛΑΔΟΣ ΑΕ και ΕΛΛΗΝΙΚΑ ΑΜΥΝΤΙΚΑ ΣΥΣΤΗΜΑΤΑ ΑΒΕΕ αντίστοιχα)</w:t>
      </w:r>
      <w:r w:rsidRPr="00E74A50">
        <w:rPr>
          <w:szCs w:val="22"/>
        </w:rPr>
        <w:t xml:space="preserve">. </w:t>
      </w:r>
    </w:p>
    <w:p w:rsidR="0096399A" w:rsidRPr="00DB32A8" w:rsidRDefault="0096399A" w:rsidP="0096399A">
      <w:pPr>
        <w:pStyle w:val="ae"/>
        <w:spacing w:line="360" w:lineRule="auto"/>
        <w:ind w:firstLine="0"/>
        <w:jc w:val="both"/>
        <w:rPr>
          <w:szCs w:val="22"/>
        </w:rPr>
      </w:pPr>
      <w:r w:rsidRPr="00BF1266">
        <w:rPr>
          <w:szCs w:val="22"/>
        </w:rPr>
        <w:t xml:space="preserve">Οι προαναφερθείσες </w:t>
      </w:r>
      <w:r>
        <w:rPr>
          <w:b/>
          <w:szCs w:val="22"/>
        </w:rPr>
        <w:t>4</w:t>
      </w:r>
      <w:r w:rsidRPr="00BF1266">
        <w:rPr>
          <w:szCs w:val="22"/>
        </w:rPr>
        <w:t xml:space="preserve"> επιχειρήσεις πραγματοποίησαν από κοινού συνολικά κέρδη EBITDA ύψους </w:t>
      </w:r>
      <w:r w:rsidRPr="004F6DFA">
        <w:rPr>
          <w:b/>
          <w:szCs w:val="22"/>
        </w:rPr>
        <w:t>€</w:t>
      </w:r>
      <w:r>
        <w:rPr>
          <w:b/>
          <w:szCs w:val="22"/>
        </w:rPr>
        <w:t>325,4</w:t>
      </w:r>
      <w:r w:rsidRPr="00BF1266">
        <w:rPr>
          <w:b/>
          <w:szCs w:val="22"/>
        </w:rPr>
        <w:t xml:space="preserve"> εκατ.</w:t>
      </w:r>
      <w:r w:rsidRPr="00BF1266">
        <w:rPr>
          <w:szCs w:val="22"/>
        </w:rPr>
        <w:t xml:space="preserve"> (κάλυψαν μερίδιο </w:t>
      </w:r>
      <w:r>
        <w:rPr>
          <w:b/>
          <w:szCs w:val="22"/>
        </w:rPr>
        <w:t>18,8</w:t>
      </w:r>
      <w:r w:rsidRPr="00BF1266">
        <w:rPr>
          <w:b/>
          <w:szCs w:val="22"/>
        </w:rPr>
        <w:t>%</w:t>
      </w:r>
      <w:r w:rsidRPr="00BF1266">
        <w:rPr>
          <w:szCs w:val="22"/>
        </w:rPr>
        <w:t xml:space="preserve"> του συνόλου των αντίστοιχων κερδών των 16</w:t>
      </w:r>
      <w:r>
        <w:rPr>
          <w:szCs w:val="22"/>
        </w:rPr>
        <w:t>4</w:t>
      </w:r>
      <w:r w:rsidRPr="00BF1266">
        <w:rPr>
          <w:szCs w:val="22"/>
        </w:rPr>
        <w:t xml:space="preserve"> βιομηχανικών </w:t>
      </w:r>
      <w:r w:rsidRPr="00DB32A8">
        <w:rPr>
          <w:szCs w:val="22"/>
        </w:rPr>
        <w:t>εταιρειών της κατάταξης).</w:t>
      </w:r>
    </w:p>
    <w:p w:rsidR="0096399A" w:rsidRPr="00053300" w:rsidRDefault="0096399A" w:rsidP="0096399A">
      <w:pPr>
        <w:pStyle w:val="ae"/>
        <w:spacing w:line="360" w:lineRule="auto"/>
        <w:ind w:firstLine="0"/>
        <w:jc w:val="both"/>
        <w:rPr>
          <w:szCs w:val="22"/>
        </w:rPr>
      </w:pPr>
      <w:r w:rsidRPr="00DB32A8">
        <w:rPr>
          <w:szCs w:val="22"/>
        </w:rPr>
        <w:t>Η κλαδική κατανομή των αντίστοιχων κερδών του τομέα ανέδειξε τους πλέον κερδοφόρους βιομηχανικούς κλάδους της κατάταξης, οι οποίοι για το 201</w:t>
      </w:r>
      <w:r>
        <w:rPr>
          <w:szCs w:val="22"/>
        </w:rPr>
        <w:t>3</w:t>
      </w:r>
      <w:r w:rsidRPr="00DB32A8">
        <w:rPr>
          <w:szCs w:val="22"/>
        </w:rPr>
        <w:t xml:space="preserve"> ήταν οι εξής: </w:t>
      </w:r>
    </w:p>
    <w:p w:rsidR="00B345ED" w:rsidRDefault="00B345ED">
      <w:pPr>
        <w:spacing w:after="200" w:line="276" w:lineRule="auto"/>
        <w:rPr>
          <w:sz w:val="22"/>
          <w:szCs w:val="22"/>
          <w:lang w:val="el-GR"/>
        </w:rPr>
      </w:pPr>
      <w:r w:rsidRPr="00A90F4D">
        <w:rPr>
          <w:szCs w:val="22"/>
          <w:lang w:val="el-GR"/>
        </w:rPr>
        <w:br w:type="page"/>
      </w:r>
    </w:p>
    <w:p w:rsidR="0096399A" w:rsidRPr="00053300" w:rsidRDefault="0096399A" w:rsidP="0096399A">
      <w:pPr>
        <w:pStyle w:val="ae"/>
        <w:spacing w:line="360" w:lineRule="auto"/>
        <w:ind w:firstLine="0"/>
        <w:jc w:val="both"/>
        <w:rPr>
          <w:szCs w:val="22"/>
        </w:rPr>
      </w:pPr>
    </w:p>
    <w:tbl>
      <w:tblPr>
        <w:tblW w:w="9779" w:type="dxa"/>
        <w:jc w:val="center"/>
        <w:tblBorders>
          <w:insideH w:val="single" w:sz="18" w:space="0" w:color="FFFFFF"/>
          <w:insideV w:val="single" w:sz="18" w:space="0" w:color="FFFFFF"/>
        </w:tblBorders>
        <w:tblLayout w:type="fixed"/>
        <w:tblLook w:val="00A0"/>
      </w:tblPr>
      <w:tblGrid>
        <w:gridCol w:w="3366"/>
        <w:gridCol w:w="1205"/>
        <w:gridCol w:w="1700"/>
        <w:gridCol w:w="1900"/>
        <w:gridCol w:w="1608"/>
      </w:tblGrid>
      <w:tr w:rsidR="0096399A" w:rsidRPr="00CB476D" w:rsidTr="00BD50B4">
        <w:trPr>
          <w:trHeight w:val="57"/>
          <w:jc w:val="center"/>
        </w:trPr>
        <w:tc>
          <w:tcPr>
            <w:tcW w:w="9779" w:type="dxa"/>
            <w:gridSpan w:val="5"/>
            <w:shd w:val="pct20" w:color="000000" w:fill="FFFFFF"/>
            <w:noWrap/>
          </w:tcPr>
          <w:p w:rsidR="0096399A" w:rsidRPr="00BD4743" w:rsidRDefault="0096399A" w:rsidP="00BD50B4">
            <w:pPr>
              <w:pStyle w:val="a7"/>
              <w:rPr>
                <w:bCs/>
                <w:sz w:val="20"/>
                <w:szCs w:val="20"/>
                <w:lang w:val="el-GR"/>
              </w:rPr>
            </w:pPr>
            <w:r w:rsidRPr="00BD4743">
              <w:rPr>
                <w:bCs/>
                <w:sz w:val="20"/>
                <w:szCs w:val="20"/>
                <w:lang w:val="el-GR"/>
              </w:rPr>
              <w:t>Πίνακας 5. Κορυφαίοι Βιομηχανικοί</w:t>
            </w:r>
            <w:r>
              <w:rPr>
                <w:bCs/>
                <w:sz w:val="20"/>
                <w:szCs w:val="20"/>
                <w:lang w:val="el-GR"/>
              </w:rPr>
              <w:t xml:space="preserve"> Κλάδοι Βάσει Κερδοφορίας - 2013</w:t>
            </w:r>
          </w:p>
        </w:tc>
      </w:tr>
      <w:tr w:rsidR="0096399A" w:rsidRPr="00BD4743" w:rsidTr="00BD50B4">
        <w:trPr>
          <w:trHeight w:val="57"/>
          <w:jc w:val="center"/>
        </w:trPr>
        <w:tc>
          <w:tcPr>
            <w:tcW w:w="3366" w:type="dxa"/>
            <w:shd w:val="pct5" w:color="000000" w:fill="FFFFFF"/>
            <w:noWrap/>
            <w:vAlign w:val="center"/>
          </w:tcPr>
          <w:p w:rsidR="0096399A" w:rsidRPr="00BD4743" w:rsidRDefault="0096399A" w:rsidP="00BD50B4">
            <w:pPr>
              <w:jc w:val="center"/>
              <w:rPr>
                <w:b/>
                <w:sz w:val="20"/>
                <w:szCs w:val="20"/>
                <w:lang w:val="el-GR"/>
              </w:rPr>
            </w:pPr>
            <w:r w:rsidRPr="00BD4743">
              <w:rPr>
                <w:b/>
                <w:sz w:val="20"/>
                <w:szCs w:val="20"/>
                <w:lang w:val="el-GR"/>
              </w:rPr>
              <w:t>Κλάδος</w:t>
            </w:r>
          </w:p>
        </w:tc>
        <w:tc>
          <w:tcPr>
            <w:tcW w:w="1205" w:type="dxa"/>
            <w:shd w:val="pct5" w:color="000000" w:fill="FFFFFF"/>
            <w:noWrap/>
            <w:vAlign w:val="center"/>
          </w:tcPr>
          <w:p w:rsidR="0096399A" w:rsidRPr="00BD4743" w:rsidRDefault="0096399A" w:rsidP="00BD50B4">
            <w:pPr>
              <w:jc w:val="center"/>
              <w:rPr>
                <w:b/>
                <w:sz w:val="20"/>
                <w:szCs w:val="20"/>
                <w:lang w:val="el-GR"/>
              </w:rPr>
            </w:pPr>
            <w:r w:rsidRPr="00BD4743">
              <w:rPr>
                <w:b/>
                <w:sz w:val="20"/>
                <w:szCs w:val="20"/>
                <w:lang w:val="el-GR"/>
              </w:rPr>
              <w:t>Πλήθος Εταιρειών</w:t>
            </w:r>
          </w:p>
        </w:tc>
        <w:tc>
          <w:tcPr>
            <w:tcW w:w="1700" w:type="dxa"/>
            <w:shd w:val="pct5" w:color="000000" w:fill="FFFFFF"/>
            <w:vAlign w:val="center"/>
          </w:tcPr>
          <w:p w:rsidR="0096399A" w:rsidRPr="00BD4743" w:rsidRDefault="0096399A" w:rsidP="00BD50B4">
            <w:pPr>
              <w:jc w:val="center"/>
              <w:rPr>
                <w:b/>
                <w:sz w:val="20"/>
                <w:szCs w:val="20"/>
                <w:lang w:val="el-GR"/>
              </w:rPr>
            </w:pPr>
            <w:r w:rsidRPr="00BD4743">
              <w:rPr>
                <w:b/>
                <w:sz w:val="20"/>
                <w:szCs w:val="20"/>
                <w:lang w:val="el-GR"/>
              </w:rPr>
              <w:t xml:space="preserve">Κέρδη </w:t>
            </w:r>
            <w:r w:rsidRPr="00BD4743">
              <w:rPr>
                <w:b/>
                <w:sz w:val="20"/>
                <w:szCs w:val="20"/>
              </w:rPr>
              <w:t>EBITDA</w:t>
            </w:r>
          </w:p>
          <w:p w:rsidR="0096399A" w:rsidRPr="00BD4743" w:rsidRDefault="0096399A" w:rsidP="00BD50B4">
            <w:pPr>
              <w:jc w:val="center"/>
              <w:rPr>
                <w:b/>
                <w:sz w:val="20"/>
                <w:szCs w:val="20"/>
                <w:lang w:val="el-GR"/>
              </w:rPr>
            </w:pPr>
            <w:r w:rsidRPr="00BD4743">
              <w:rPr>
                <w:b/>
                <w:sz w:val="20"/>
                <w:szCs w:val="20"/>
                <w:lang w:val="el-GR"/>
              </w:rPr>
              <w:t>(χιλ. €)</w:t>
            </w:r>
          </w:p>
        </w:tc>
        <w:tc>
          <w:tcPr>
            <w:tcW w:w="1900" w:type="dxa"/>
            <w:shd w:val="pct5" w:color="000000" w:fill="FFFFFF"/>
            <w:vAlign w:val="center"/>
          </w:tcPr>
          <w:p w:rsidR="0096399A" w:rsidRPr="00BD4743" w:rsidRDefault="0096399A" w:rsidP="00BD50B4">
            <w:pPr>
              <w:jc w:val="center"/>
              <w:rPr>
                <w:b/>
                <w:sz w:val="20"/>
                <w:szCs w:val="20"/>
                <w:lang w:val="el-GR"/>
              </w:rPr>
            </w:pPr>
            <w:r w:rsidRPr="00BD4743">
              <w:rPr>
                <w:b/>
                <w:sz w:val="20"/>
                <w:szCs w:val="20"/>
                <w:lang w:val="el-GR"/>
              </w:rPr>
              <w:t>Κύκλος Εργασιών</w:t>
            </w:r>
          </w:p>
          <w:p w:rsidR="0096399A" w:rsidRPr="00BD4743" w:rsidRDefault="0096399A" w:rsidP="00BD50B4">
            <w:pPr>
              <w:jc w:val="center"/>
              <w:rPr>
                <w:b/>
                <w:sz w:val="20"/>
                <w:szCs w:val="20"/>
                <w:lang w:val="el-GR"/>
              </w:rPr>
            </w:pPr>
            <w:r w:rsidRPr="00BD4743">
              <w:rPr>
                <w:b/>
                <w:sz w:val="20"/>
                <w:szCs w:val="20"/>
                <w:lang w:val="el-GR"/>
              </w:rPr>
              <w:t>(χιλ. €)</w:t>
            </w:r>
          </w:p>
        </w:tc>
        <w:tc>
          <w:tcPr>
            <w:tcW w:w="1608" w:type="dxa"/>
            <w:shd w:val="pct5" w:color="000000" w:fill="FFFFFF"/>
            <w:vAlign w:val="center"/>
          </w:tcPr>
          <w:p w:rsidR="0096399A" w:rsidRPr="00BD4743" w:rsidRDefault="0096399A" w:rsidP="00BD50B4">
            <w:pPr>
              <w:jc w:val="center"/>
              <w:rPr>
                <w:b/>
                <w:sz w:val="20"/>
                <w:szCs w:val="20"/>
                <w:lang w:val="el-GR"/>
              </w:rPr>
            </w:pPr>
            <w:r w:rsidRPr="00BD4743">
              <w:rPr>
                <w:b/>
                <w:sz w:val="20"/>
                <w:szCs w:val="20"/>
                <w:lang w:val="el-GR"/>
              </w:rPr>
              <w:t>(%) Κύκλου Εργασιών Βιομηχανίας</w:t>
            </w:r>
          </w:p>
        </w:tc>
      </w:tr>
      <w:tr w:rsidR="0096399A" w:rsidRPr="00D13A51" w:rsidTr="00BD50B4">
        <w:trPr>
          <w:trHeight w:val="57"/>
          <w:jc w:val="center"/>
        </w:trPr>
        <w:tc>
          <w:tcPr>
            <w:tcW w:w="3366" w:type="dxa"/>
            <w:shd w:val="pct20" w:color="000000" w:fill="FFFFFF"/>
            <w:noWrap/>
            <w:vAlign w:val="bottom"/>
          </w:tcPr>
          <w:p w:rsidR="0096399A" w:rsidRPr="00716268" w:rsidRDefault="0096399A" w:rsidP="00BD50B4">
            <w:pPr>
              <w:rPr>
                <w:bCs/>
                <w:sz w:val="20"/>
                <w:szCs w:val="20"/>
                <w:lang w:val="el-GR"/>
              </w:rPr>
            </w:pPr>
            <w:r w:rsidRPr="00716268">
              <w:rPr>
                <w:bCs/>
                <w:sz w:val="20"/>
                <w:szCs w:val="20"/>
                <w:lang w:val="el-GR"/>
              </w:rPr>
              <w:t>Βιομηχανία (Είδη Διατροφής)</w:t>
            </w:r>
          </w:p>
        </w:tc>
        <w:tc>
          <w:tcPr>
            <w:tcW w:w="1205" w:type="dxa"/>
            <w:shd w:val="pct20" w:color="000000" w:fill="FFFFFF"/>
            <w:noWrap/>
            <w:vAlign w:val="bottom"/>
          </w:tcPr>
          <w:p w:rsidR="0096399A" w:rsidRPr="00716268" w:rsidRDefault="0096399A" w:rsidP="00BD50B4">
            <w:pPr>
              <w:ind w:right="280"/>
              <w:jc w:val="right"/>
              <w:rPr>
                <w:bCs/>
                <w:lang w:val="el-GR"/>
              </w:rPr>
            </w:pPr>
            <w:r>
              <w:rPr>
                <w:bCs/>
                <w:sz w:val="22"/>
                <w:szCs w:val="22"/>
                <w:lang w:val="el-GR"/>
              </w:rPr>
              <w:t>48</w:t>
            </w:r>
          </w:p>
        </w:tc>
        <w:tc>
          <w:tcPr>
            <w:tcW w:w="1700" w:type="dxa"/>
            <w:shd w:val="pct20" w:color="000000" w:fill="FFFFFF"/>
            <w:noWrap/>
            <w:vAlign w:val="bottom"/>
          </w:tcPr>
          <w:p w:rsidR="0096399A" w:rsidRPr="00716268" w:rsidRDefault="0096399A" w:rsidP="00BD50B4">
            <w:pPr>
              <w:ind w:right="280"/>
              <w:jc w:val="right"/>
              <w:rPr>
                <w:bCs/>
                <w:lang w:val="el-GR"/>
              </w:rPr>
            </w:pPr>
            <w:r>
              <w:rPr>
                <w:bCs/>
                <w:sz w:val="22"/>
                <w:szCs w:val="22"/>
                <w:lang w:val="el-GR"/>
              </w:rPr>
              <w:t>385.897</w:t>
            </w:r>
          </w:p>
        </w:tc>
        <w:tc>
          <w:tcPr>
            <w:tcW w:w="1900" w:type="dxa"/>
            <w:shd w:val="pct20" w:color="000000" w:fill="FFFFFF"/>
            <w:vAlign w:val="bottom"/>
          </w:tcPr>
          <w:p w:rsidR="0096399A" w:rsidRPr="00716268" w:rsidRDefault="0096399A" w:rsidP="00BD50B4">
            <w:pPr>
              <w:ind w:right="280"/>
              <w:jc w:val="right"/>
              <w:rPr>
                <w:bCs/>
                <w:lang w:val="el-GR"/>
              </w:rPr>
            </w:pPr>
            <w:r>
              <w:rPr>
                <w:bCs/>
                <w:sz w:val="22"/>
                <w:szCs w:val="22"/>
                <w:lang w:val="el-GR"/>
              </w:rPr>
              <w:t>3.784.758</w:t>
            </w:r>
          </w:p>
        </w:tc>
        <w:tc>
          <w:tcPr>
            <w:tcW w:w="1608" w:type="dxa"/>
            <w:shd w:val="pct20" w:color="000000" w:fill="FFFFFF"/>
          </w:tcPr>
          <w:p w:rsidR="0096399A" w:rsidRPr="00716268" w:rsidRDefault="0096399A" w:rsidP="00BD50B4">
            <w:pPr>
              <w:ind w:right="337"/>
              <w:jc w:val="right"/>
              <w:rPr>
                <w:bCs/>
                <w:lang w:val="el-GR"/>
              </w:rPr>
            </w:pPr>
            <w:r>
              <w:rPr>
                <w:bCs/>
                <w:sz w:val="22"/>
                <w:szCs w:val="22"/>
                <w:lang w:val="el-GR"/>
              </w:rPr>
              <w:t>18,1</w:t>
            </w:r>
          </w:p>
        </w:tc>
      </w:tr>
      <w:tr w:rsidR="0096399A" w:rsidRPr="00716268" w:rsidTr="00BD50B4">
        <w:trPr>
          <w:trHeight w:val="57"/>
          <w:jc w:val="center"/>
        </w:trPr>
        <w:tc>
          <w:tcPr>
            <w:tcW w:w="3366" w:type="dxa"/>
            <w:shd w:val="pct5" w:color="000000" w:fill="FFFFFF"/>
            <w:noWrap/>
            <w:vAlign w:val="bottom"/>
          </w:tcPr>
          <w:p w:rsidR="0096399A" w:rsidRPr="007365D5" w:rsidRDefault="0096399A" w:rsidP="00BD50B4">
            <w:pPr>
              <w:rPr>
                <w:bCs/>
                <w:sz w:val="20"/>
                <w:szCs w:val="20"/>
              </w:rPr>
            </w:pPr>
            <w:r w:rsidRPr="007365D5">
              <w:rPr>
                <w:bCs/>
                <w:sz w:val="20"/>
                <w:szCs w:val="20"/>
              </w:rPr>
              <w:t>Βιομηχανία (Φάρμακα - Καλλυντικά - Απορρυπαντικά)</w:t>
            </w:r>
          </w:p>
        </w:tc>
        <w:tc>
          <w:tcPr>
            <w:tcW w:w="1205" w:type="dxa"/>
            <w:shd w:val="pct5" w:color="000000" w:fill="FFFFFF"/>
            <w:noWrap/>
            <w:vAlign w:val="bottom"/>
          </w:tcPr>
          <w:p w:rsidR="0096399A" w:rsidRPr="00716268" w:rsidRDefault="0096399A" w:rsidP="00BD50B4">
            <w:pPr>
              <w:ind w:right="280"/>
              <w:jc w:val="right"/>
              <w:rPr>
                <w:bCs/>
                <w:lang w:val="el-GR"/>
              </w:rPr>
            </w:pPr>
            <w:r>
              <w:rPr>
                <w:bCs/>
                <w:sz w:val="22"/>
                <w:szCs w:val="22"/>
                <w:lang w:val="el-GR"/>
              </w:rPr>
              <w:t>16</w:t>
            </w:r>
          </w:p>
        </w:tc>
        <w:tc>
          <w:tcPr>
            <w:tcW w:w="1700" w:type="dxa"/>
            <w:shd w:val="pct5" w:color="000000" w:fill="FFFFFF"/>
            <w:noWrap/>
            <w:vAlign w:val="bottom"/>
          </w:tcPr>
          <w:p w:rsidR="0096399A" w:rsidRPr="00716268" w:rsidRDefault="0096399A" w:rsidP="00BD50B4">
            <w:pPr>
              <w:ind w:right="280"/>
              <w:jc w:val="right"/>
              <w:rPr>
                <w:bCs/>
                <w:lang w:val="el-GR"/>
              </w:rPr>
            </w:pPr>
            <w:r>
              <w:rPr>
                <w:bCs/>
                <w:sz w:val="22"/>
                <w:szCs w:val="22"/>
                <w:lang w:val="el-GR"/>
              </w:rPr>
              <w:t>193.103</w:t>
            </w:r>
          </w:p>
        </w:tc>
        <w:tc>
          <w:tcPr>
            <w:tcW w:w="1900" w:type="dxa"/>
            <w:shd w:val="pct5" w:color="000000" w:fill="FFFFFF"/>
            <w:vAlign w:val="bottom"/>
          </w:tcPr>
          <w:p w:rsidR="0096399A" w:rsidRPr="00716268" w:rsidRDefault="0096399A" w:rsidP="00BD50B4">
            <w:pPr>
              <w:ind w:right="280"/>
              <w:jc w:val="right"/>
              <w:rPr>
                <w:bCs/>
                <w:lang w:val="el-GR"/>
              </w:rPr>
            </w:pPr>
            <w:r>
              <w:rPr>
                <w:bCs/>
                <w:sz w:val="22"/>
                <w:szCs w:val="22"/>
                <w:lang w:val="el-GR"/>
              </w:rPr>
              <w:t>1.170.648</w:t>
            </w:r>
          </w:p>
        </w:tc>
        <w:tc>
          <w:tcPr>
            <w:tcW w:w="1608" w:type="dxa"/>
            <w:shd w:val="pct5" w:color="000000" w:fill="FFFFFF"/>
          </w:tcPr>
          <w:p w:rsidR="0096399A" w:rsidRPr="00716268" w:rsidRDefault="0096399A" w:rsidP="00BD50B4">
            <w:pPr>
              <w:ind w:right="337"/>
              <w:jc w:val="right"/>
              <w:rPr>
                <w:bCs/>
                <w:lang w:val="el-GR"/>
              </w:rPr>
            </w:pPr>
            <w:r>
              <w:rPr>
                <w:bCs/>
                <w:sz w:val="22"/>
                <w:szCs w:val="22"/>
                <w:lang w:val="el-GR"/>
              </w:rPr>
              <w:t>5,6</w:t>
            </w:r>
          </w:p>
        </w:tc>
      </w:tr>
      <w:tr w:rsidR="0096399A" w:rsidRPr="00D13A51" w:rsidTr="00BD50B4">
        <w:trPr>
          <w:trHeight w:val="57"/>
          <w:jc w:val="center"/>
        </w:trPr>
        <w:tc>
          <w:tcPr>
            <w:tcW w:w="3366" w:type="dxa"/>
            <w:shd w:val="pct20" w:color="000000" w:fill="FFFFFF"/>
            <w:noWrap/>
            <w:vAlign w:val="bottom"/>
          </w:tcPr>
          <w:p w:rsidR="0096399A" w:rsidRPr="007365D5" w:rsidRDefault="0096399A" w:rsidP="00BD50B4">
            <w:pPr>
              <w:rPr>
                <w:bCs/>
                <w:sz w:val="20"/>
                <w:szCs w:val="20"/>
              </w:rPr>
            </w:pPr>
            <w:r w:rsidRPr="007365D5">
              <w:rPr>
                <w:bCs/>
                <w:sz w:val="20"/>
                <w:szCs w:val="20"/>
              </w:rPr>
              <w:t>Βιομηχανία (Μεταλλικά Προϊόντα &amp; Κατασκευές)</w:t>
            </w:r>
          </w:p>
        </w:tc>
        <w:tc>
          <w:tcPr>
            <w:tcW w:w="1205" w:type="dxa"/>
            <w:shd w:val="pct20" w:color="000000" w:fill="FFFFFF"/>
            <w:noWrap/>
            <w:vAlign w:val="bottom"/>
          </w:tcPr>
          <w:p w:rsidR="0096399A" w:rsidRPr="00716268" w:rsidRDefault="0096399A" w:rsidP="00BD50B4">
            <w:pPr>
              <w:ind w:right="280"/>
              <w:jc w:val="right"/>
              <w:rPr>
                <w:bCs/>
                <w:lang w:val="el-GR"/>
              </w:rPr>
            </w:pPr>
            <w:r>
              <w:rPr>
                <w:bCs/>
                <w:sz w:val="22"/>
                <w:szCs w:val="22"/>
                <w:lang w:val="el-GR"/>
              </w:rPr>
              <w:t>11</w:t>
            </w:r>
          </w:p>
        </w:tc>
        <w:tc>
          <w:tcPr>
            <w:tcW w:w="1700" w:type="dxa"/>
            <w:shd w:val="pct20" w:color="000000" w:fill="FFFFFF"/>
            <w:noWrap/>
            <w:vAlign w:val="bottom"/>
          </w:tcPr>
          <w:p w:rsidR="0096399A" w:rsidRPr="00716268" w:rsidRDefault="0096399A" w:rsidP="00BD50B4">
            <w:pPr>
              <w:ind w:right="280"/>
              <w:jc w:val="right"/>
              <w:rPr>
                <w:bCs/>
                <w:lang w:val="el-GR"/>
              </w:rPr>
            </w:pPr>
            <w:r>
              <w:rPr>
                <w:bCs/>
                <w:sz w:val="22"/>
                <w:szCs w:val="22"/>
                <w:lang w:val="el-GR"/>
              </w:rPr>
              <w:t>172.458</w:t>
            </w:r>
          </w:p>
        </w:tc>
        <w:tc>
          <w:tcPr>
            <w:tcW w:w="1900" w:type="dxa"/>
            <w:shd w:val="pct20" w:color="000000" w:fill="FFFFFF"/>
            <w:vAlign w:val="bottom"/>
          </w:tcPr>
          <w:p w:rsidR="0096399A" w:rsidRPr="00716268" w:rsidRDefault="0096399A" w:rsidP="00BD50B4">
            <w:pPr>
              <w:ind w:right="280"/>
              <w:jc w:val="right"/>
              <w:rPr>
                <w:bCs/>
                <w:lang w:val="el-GR"/>
              </w:rPr>
            </w:pPr>
            <w:r>
              <w:rPr>
                <w:bCs/>
                <w:sz w:val="22"/>
                <w:szCs w:val="22"/>
                <w:lang w:val="el-GR"/>
              </w:rPr>
              <w:t>1.145.318</w:t>
            </w:r>
          </w:p>
        </w:tc>
        <w:tc>
          <w:tcPr>
            <w:tcW w:w="1608" w:type="dxa"/>
            <w:shd w:val="pct20" w:color="000000" w:fill="FFFFFF"/>
          </w:tcPr>
          <w:p w:rsidR="0096399A" w:rsidRPr="008E3AA2" w:rsidRDefault="0096399A" w:rsidP="00BD50B4">
            <w:pPr>
              <w:ind w:right="337"/>
              <w:jc w:val="right"/>
              <w:rPr>
                <w:bCs/>
                <w:lang w:val="el-GR"/>
              </w:rPr>
            </w:pPr>
            <w:r>
              <w:rPr>
                <w:bCs/>
                <w:sz w:val="22"/>
                <w:szCs w:val="22"/>
                <w:lang w:val="el-GR"/>
              </w:rPr>
              <w:t>5,5</w:t>
            </w:r>
          </w:p>
        </w:tc>
      </w:tr>
      <w:tr w:rsidR="0096399A" w:rsidRPr="00D13A51" w:rsidTr="00BD50B4">
        <w:trPr>
          <w:trHeight w:val="57"/>
          <w:jc w:val="center"/>
        </w:trPr>
        <w:tc>
          <w:tcPr>
            <w:tcW w:w="3366" w:type="dxa"/>
            <w:shd w:val="pct5" w:color="000000" w:fill="FFFFFF"/>
            <w:noWrap/>
            <w:vAlign w:val="bottom"/>
          </w:tcPr>
          <w:p w:rsidR="0096399A" w:rsidRPr="007365D5" w:rsidRDefault="0096399A" w:rsidP="00BD50B4">
            <w:pPr>
              <w:rPr>
                <w:bCs/>
                <w:sz w:val="20"/>
                <w:szCs w:val="20"/>
              </w:rPr>
            </w:pPr>
            <w:r w:rsidRPr="00716268">
              <w:rPr>
                <w:bCs/>
                <w:sz w:val="20"/>
                <w:szCs w:val="20"/>
                <w:lang w:val="el-GR"/>
              </w:rPr>
              <w:t>Βιομηχανία (Προϊόντα Πετρελαίου &amp;Ανθρακα)</w:t>
            </w:r>
          </w:p>
        </w:tc>
        <w:tc>
          <w:tcPr>
            <w:tcW w:w="1205" w:type="dxa"/>
            <w:shd w:val="pct5" w:color="000000" w:fill="FFFFFF"/>
            <w:noWrap/>
            <w:vAlign w:val="bottom"/>
          </w:tcPr>
          <w:p w:rsidR="0096399A" w:rsidRPr="00716268" w:rsidRDefault="0096399A" w:rsidP="00BD50B4">
            <w:pPr>
              <w:ind w:right="280"/>
              <w:jc w:val="right"/>
              <w:rPr>
                <w:bCs/>
                <w:lang w:val="el-GR"/>
              </w:rPr>
            </w:pPr>
            <w:r>
              <w:rPr>
                <w:bCs/>
                <w:sz w:val="22"/>
                <w:szCs w:val="22"/>
                <w:lang w:val="el-GR"/>
              </w:rPr>
              <w:t>2</w:t>
            </w:r>
          </w:p>
        </w:tc>
        <w:tc>
          <w:tcPr>
            <w:tcW w:w="1700" w:type="dxa"/>
            <w:shd w:val="pct5" w:color="000000" w:fill="FFFFFF"/>
            <w:noWrap/>
            <w:vAlign w:val="bottom"/>
          </w:tcPr>
          <w:p w:rsidR="0096399A" w:rsidRPr="00716268" w:rsidRDefault="0096399A" w:rsidP="00BD50B4">
            <w:pPr>
              <w:ind w:right="280"/>
              <w:jc w:val="right"/>
              <w:rPr>
                <w:bCs/>
                <w:lang w:val="el-GR"/>
              </w:rPr>
            </w:pPr>
            <w:r>
              <w:rPr>
                <w:bCs/>
                <w:sz w:val="22"/>
                <w:szCs w:val="22"/>
                <w:lang w:val="el-GR"/>
              </w:rPr>
              <w:t>155.420</w:t>
            </w:r>
          </w:p>
        </w:tc>
        <w:tc>
          <w:tcPr>
            <w:tcW w:w="1900" w:type="dxa"/>
            <w:shd w:val="pct5" w:color="000000" w:fill="FFFFFF"/>
            <w:vAlign w:val="bottom"/>
          </w:tcPr>
          <w:p w:rsidR="0096399A" w:rsidRPr="00716268" w:rsidRDefault="0096399A" w:rsidP="00BD50B4">
            <w:pPr>
              <w:ind w:right="280"/>
              <w:jc w:val="right"/>
              <w:rPr>
                <w:bCs/>
                <w:lang w:val="el-GR"/>
              </w:rPr>
            </w:pPr>
            <w:r>
              <w:rPr>
                <w:bCs/>
                <w:sz w:val="22"/>
                <w:szCs w:val="22"/>
                <w:lang w:val="el-GR"/>
              </w:rPr>
              <w:t>8.173.302</w:t>
            </w:r>
          </w:p>
        </w:tc>
        <w:tc>
          <w:tcPr>
            <w:tcW w:w="1608" w:type="dxa"/>
            <w:shd w:val="pct5" w:color="000000" w:fill="FFFFFF"/>
          </w:tcPr>
          <w:p w:rsidR="0096399A" w:rsidRPr="008E3AA2" w:rsidRDefault="0096399A" w:rsidP="00BD50B4">
            <w:pPr>
              <w:ind w:right="337"/>
              <w:jc w:val="right"/>
              <w:rPr>
                <w:bCs/>
                <w:lang w:val="el-GR"/>
              </w:rPr>
            </w:pPr>
            <w:r>
              <w:rPr>
                <w:bCs/>
                <w:sz w:val="22"/>
                <w:szCs w:val="22"/>
                <w:lang w:val="el-GR"/>
              </w:rPr>
              <w:t>39,2</w:t>
            </w:r>
          </w:p>
        </w:tc>
      </w:tr>
      <w:tr w:rsidR="0096399A" w:rsidRPr="00D13A51" w:rsidTr="00BD50B4">
        <w:trPr>
          <w:trHeight w:val="57"/>
          <w:jc w:val="center"/>
        </w:trPr>
        <w:tc>
          <w:tcPr>
            <w:tcW w:w="3366" w:type="dxa"/>
            <w:shd w:val="pct20" w:color="000000" w:fill="FFFFFF"/>
            <w:noWrap/>
            <w:vAlign w:val="bottom"/>
          </w:tcPr>
          <w:p w:rsidR="0096399A" w:rsidRPr="007365D5" w:rsidRDefault="0096399A" w:rsidP="00BD50B4">
            <w:pPr>
              <w:rPr>
                <w:bCs/>
                <w:sz w:val="20"/>
                <w:szCs w:val="20"/>
                <w:lang w:val="el-GR"/>
              </w:rPr>
            </w:pPr>
            <w:r w:rsidRPr="007365D5">
              <w:rPr>
                <w:bCs/>
                <w:sz w:val="20"/>
                <w:szCs w:val="20"/>
                <w:lang w:val="el-GR"/>
              </w:rPr>
              <w:t>Βιομηχανία (Προϊόντα μη Μεταλλικών Ορυκτών)</w:t>
            </w:r>
          </w:p>
        </w:tc>
        <w:tc>
          <w:tcPr>
            <w:tcW w:w="1205" w:type="dxa"/>
            <w:shd w:val="pct20" w:color="000000" w:fill="FFFFFF"/>
            <w:noWrap/>
            <w:vAlign w:val="bottom"/>
          </w:tcPr>
          <w:p w:rsidR="0096399A" w:rsidRPr="00716268" w:rsidRDefault="0096399A" w:rsidP="00BD50B4">
            <w:pPr>
              <w:ind w:right="280"/>
              <w:jc w:val="right"/>
              <w:rPr>
                <w:bCs/>
                <w:lang w:val="el-GR"/>
              </w:rPr>
            </w:pPr>
            <w:r>
              <w:rPr>
                <w:bCs/>
                <w:sz w:val="22"/>
                <w:szCs w:val="22"/>
                <w:lang w:val="el-GR"/>
              </w:rPr>
              <w:t>12</w:t>
            </w:r>
          </w:p>
        </w:tc>
        <w:tc>
          <w:tcPr>
            <w:tcW w:w="1700" w:type="dxa"/>
            <w:shd w:val="pct20" w:color="000000" w:fill="FFFFFF"/>
            <w:noWrap/>
            <w:vAlign w:val="bottom"/>
          </w:tcPr>
          <w:p w:rsidR="0096399A" w:rsidRPr="00716268" w:rsidRDefault="0096399A" w:rsidP="00BD50B4">
            <w:pPr>
              <w:ind w:right="280"/>
              <w:jc w:val="right"/>
              <w:rPr>
                <w:bCs/>
                <w:highlight w:val="yellow"/>
                <w:lang w:val="el-GR"/>
              </w:rPr>
            </w:pPr>
            <w:r w:rsidRPr="00716268">
              <w:rPr>
                <w:bCs/>
                <w:sz w:val="22"/>
                <w:szCs w:val="22"/>
                <w:lang w:val="el-GR"/>
              </w:rPr>
              <w:t>115</w:t>
            </w:r>
            <w:r>
              <w:rPr>
                <w:bCs/>
                <w:sz w:val="22"/>
                <w:szCs w:val="22"/>
                <w:lang w:val="el-GR"/>
              </w:rPr>
              <w:t>.</w:t>
            </w:r>
            <w:r w:rsidRPr="00716268">
              <w:rPr>
                <w:bCs/>
                <w:sz w:val="22"/>
                <w:szCs w:val="22"/>
                <w:lang w:val="el-GR"/>
              </w:rPr>
              <w:t>797</w:t>
            </w:r>
          </w:p>
        </w:tc>
        <w:tc>
          <w:tcPr>
            <w:tcW w:w="1900" w:type="dxa"/>
            <w:shd w:val="pct20" w:color="000000" w:fill="FFFFFF"/>
            <w:vAlign w:val="bottom"/>
          </w:tcPr>
          <w:p w:rsidR="0096399A" w:rsidRPr="00716268" w:rsidRDefault="0096399A" w:rsidP="00BD50B4">
            <w:pPr>
              <w:ind w:right="280"/>
              <w:jc w:val="right"/>
              <w:rPr>
                <w:bCs/>
                <w:highlight w:val="yellow"/>
                <w:lang w:val="el-GR"/>
              </w:rPr>
            </w:pPr>
            <w:r w:rsidRPr="00716268">
              <w:rPr>
                <w:bCs/>
                <w:sz w:val="22"/>
                <w:szCs w:val="22"/>
                <w:lang w:val="el-GR"/>
              </w:rPr>
              <w:t>616</w:t>
            </w:r>
            <w:r>
              <w:rPr>
                <w:bCs/>
                <w:sz w:val="22"/>
                <w:szCs w:val="22"/>
                <w:lang w:val="el-GR"/>
              </w:rPr>
              <w:t>.</w:t>
            </w:r>
            <w:r w:rsidRPr="00716268">
              <w:rPr>
                <w:bCs/>
                <w:sz w:val="22"/>
                <w:szCs w:val="22"/>
                <w:lang w:val="el-GR"/>
              </w:rPr>
              <w:t>220</w:t>
            </w:r>
          </w:p>
        </w:tc>
        <w:tc>
          <w:tcPr>
            <w:tcW w:w="1608" w:type="dxa"/>
            <w:shd w:val="pct20" w:color="000000" w:fill="FFFFFF"/>
          </w:tcPr>
          <w:p w:rsidR="0096399A" w:rsidRPr="008E3AA2" w:rsidRDefault="0096399A" w:rsidP="00BD50B4">
            <w:pPr>
              <w:ind w:right="337"/>
              <w:jc w:val="right"/>
              <w:rPr>
                <w:bCs/>
                <w:lang w:val="el-GR"/>
              </w:rPr>
            </w:pPr>
            <w:r>
              <w:rPr>
                <w:bCs/>
                <w:sz w:val="22"/>
                <w:szCs w:val="22"/>
                <w:lang w:val="el-GR"/>
              </w:rPr>
              <w:t>3,0</w:t>
            </w:r>
          </w:p>
        </w:tc>
      </w:tr>
    </w:tbl>
    <w:p w:rsidR="0096399A" w:rsidRDefault="0096399A" w:rsidP="0096399A">
      <w:pPr>
        <w:pStyle w:val="ae"/>
        <w:spacing w:line="360" w:lineRule="auto"/>
        <w:ind w:firstLine="0"/>
        <w:jc w:val="both"/>
        <w:rPr>
          <w:szCs w:val="22"/>
          <w:highlight w:val="yellow"/>
          <w:lang w:val="en-US"/>
        </w:rPr>
      </w:pPr>
    </w:p>
    <w:p w:rsidR="0096399A" w:rsidRPr="00CF3C72" w:rsidRDefault="0096399A" w:rsidP="0096399A">
      <w:pPr>
        <w:pStyle w:val="ae"/>
        <w:spacing w:line="360" w:lineRule="auto"/>
        <w:ind w:firstLine="0"/>
        <w:jc w:val="both"/>
        <w:rPr>
          <w:szCs w:val="22"/>
        </w:rPr>
      </w:pPr>
      <w:r w:rsidRPr="00CF3C72">
        <w:rPr>
          <w:szCs w:val="22"/>
        </w:rPr>
        <w:t xml:space="preserve">Οι παραπάνω κλάδοι κάλυψαν από κοινού το </w:t>
      </w:r>
      <w:r w:rsidRPr="00053300">
        <w:rPr>
          <w:b/>
          <w:szCs w:val="22"/>
        </w:rPr>
        <w:t>59,1</w:t>
      </w:r>
      <w:r w:rsidRPr="00CF3C72">
        <w:rPr>
          <w:b/>
          <w:szCs w:val="22"/>
        </w:rPr>
        <w:t>%</w:t>
      </w:r>
      <w:r w:rsidRPr="00CF3C72">
        <w:rPr>
          <w:szCs w:val="22"/>
        </w:rPr>
        <w:t xml:space="preserve"> των συνολικών κερδών EBITDA και το </w:t>
      </w:r>
      <w:r>
        <w:rPr>
          <w:b/>
          <w:szCs w:val="22"/>
        </w:rPr>
        <w:t>71,4</w:t>
      </w:r>
      <w:r w:rsidRPr="00CF3C72">
        <w:rPr>
          <w:b/>
          <w:szCs w:val="22"/>
        </w:rPr>
        <w:t>%</w:t>
      </w:r>
      <w:r w:rsidRPr="00CF3C72">
        <w:rPr>
          <w:szCs w:val="22"/>
        </w:rPr>
        <w:t xml:space="preserve"> του συνολικού κύκλου εργασιών του τομέα της Βιομηχανίας.</w:t>
      </w:r>
    </w:p>
    <w:p w:rsidR="0096399A" w:rsidRPr="00CF3C72" w:rsidRDefault="0096399A" w:rsidP="0096399A">
      <w:pPr>
        <w:pStyle w:val="ae"/>
        <w:jc w:val="center"/>
      </w:pPr>
    </w:p>
    <w:p w:rsidR="0096399A" w:rsidRPr="00CF3C72" w:rsidRDefault="0096399A" w:rsidP="0096399A">
      <w:pPr>
        <w:pStyle w:val="ae"/>
        <w:numPr>
          <w:ilvl w:val="1"/>
          <w:numId w:val="3"/>
        </w:numPr>
        <w:tabs>
          <w:tab w:val="clear" w:pos="1440"/>
          <w:tab w:val="num" w:pos="480"/>
        </w:tabs>
        <w:spacing w:line="360" w:lineRule="auto"/>
        <w:ind w:left="480" w:hanging="480"/>
        <w:jc w:val="both"/>
        <w:rPr>
          <w:b/>
          <w:i/>
        </w:rPr>
      </w:pPr>
      <w:r w:rsidRPr="00CF3C72">
        <w:rPr>
          <w:b/>
          <w:i/>
        </w:rPr>
        <w:t>Εμπόριο</w:t>
      </w:r>
    </w:p>
    <w:p w:rsidR="0096399A" w:rsidRPr="00CF3C72" w:rsidRDefault="0096399A" w:rsidP="0096399A">
      <w:pPr>
        <w:pStyle w:val="ae"/>
        <w:spacing w:line="360" w:lineRule="auto"/>
        <w:ind w:firstLine="0"/>
        <w:jc w:val="both"/>
        <w:rPr>
          <w:szCs w:val="22"/>
        </w:rPr>
      </w:pPr>
      <w:r w:rsidRPr="00CF3C72">
        <w:rPr>
          <w:szCs w:val="22"/>
        </w:rPr>
        <w:t xml:space="preserve">Στον τομέα του Εμπορίου αντίστοιχα, ανεξαρτήτως επί μέρους κλάδων, στην κορυφή της κατάταξης ανεδείχθησαν </w:t>
      </w:r>
      <w:r>
        <w:rPr>
          <w:b/>
          <w:szCs w:val="22"/>
        </w:rPr>
        <w:t>πέντε</w:t>
      </w:r>
      <w:r w:rsidRPr="00CF3C72">
        <w:rPr>
          <w:szCs w:val="22"/>
        </w:rPr>
        <w:t xml:space="preserve"> επιχειρήσεις που εμφάνισαν (το 201</w:t>
      </w:r>
      <w:r>
        <w:rPr>
          <w:szCs w:val="22"/>
        </w:rPr>
        <w:t>3</w:t>
      </w:r>
      <w:r w:rsidRPr="00CF3C72">
        <w:rPr>
          <w:szCs w:val="22"/>
        </w:rPr>
        <w:t xml:space="preserve">) κέρδη EBITDA υψηλότερα των €40 εκατ. η κάθε μία. </w:t>
      </w:r>
      <w:r w:rsidRPr="00CF3C72">
        <w:rPr>
          <w:b/>
          <w:szCs w:val="22"/>
        </w:rPr>
        <w:t>«Πρωταθλήτρια» κερδών</w:t>
      </w:r>
      <w:r w:rsidRPr="00CF3C72">
        <w:rPr>
          <w:szCs w:val="22"/>
        </w:rPr>
        <w:t xml:space="preserve"> του τομέα ανεδείχθη για </w:t>
      </w:r>
      <w:r>
        <w:rPr>
          <w:szCs w:val="22"/>
        </w:rPr>
        <w:t>πέμπτο</w:t>
      </w:r>
      <w:r w:rsidRPr="00CF3C72">
        <w:rPr>
          <w:szCs w:val="22"/>
        </w:rPr>
        <w:t xml:space="preserve"> συνεχές έτος η εταιρεία </w:t>
      </w:r>
      <w:r>
        <w:rPr>
          <w:b/>
          <w:szCs w:val="22"/>
        </w:rPr>
        <w:t>J</w:t>
      </w:r>
      <w:r>
        <w:rPr>
          <w:b/>
          <w:szCs w:val="22"/>
          <w:lang w:val="en-US"/>
        </w:rPr>
        <w:t>UMBO</w:t>
      </w:r>
      <w:r>
        <w:rPr>
          <w:b/>
          <w:szCs w:val="22"/>
        </w:rPr>
        <w:t xml:space="preserve"> Α</w:t>
      </w:r>
      <w:r w:rsidRPr="00CF3C72">
        <w:rPr>
          <w:b/>
          <w:szCs w:val="22"/>
        </w:rPr>
        <w:t>Ε</w:t>
      </w:r>
      <w:r w:rsidRPr="00CF3C72">
        <w:rPr>
          <w:szCs w:val="22"/>
        </w:rPr>
        <w:t xml:space="preserve">. Την κορυφαία </w:t>
      </w:r>
      <w:r>
        <w:rPr>
          <w:szCs w:val="22"/>
        </w:rPr>
        <w:t>πεντ</w:t>
      </w:r>
      <w:r w:rsidRPr="00CF3C72">
        <w:rPr>
          <w:szCs w:val="22"/>
        </w:rPr>
        <w:t xml:space="preserve">άδα των κερδοφόρων εμπορικών επιχειρήσεων συμπληρώνουν μία εταιρεία του κλάδου </w:t>
      </w:r>
      <w:r>
        <w:rPr>
          <w:szCs w:val="22"/>
        </w:rPr>
        <w:t>Διάφορα Είδη</w:t>
      </w:r>
      <w:r w:rsidRPr="00CF3C72">
        <w:rPr>
          <w:szCs w:val="22"/>
        </w:rPr>
        <w:t xml:space="preserve"> (</w:t>
      </w:r>
      <w:r>
        <w:rPr>
          <w:szCs w:val="22"/>
        </w:rPr>
        <w:t>ΚΑΤΑΣΤΗΜΑΤΑ ΑΦΟΡΟΛΟΓΗΤΩΝ ΕΙΔΩΝ ΑΕ)</w:t>
      </w:r>
      <w:r w:rsidRPr="00CF3C72">
        <w:rPr>
          <w:szCs w:val="22"/>
        </w:rPr>
        <w:t xml:space="preserve"> και </w:t>
      </w:r>
      <w:r>
        <w:rPr>
          <w:szCs w:val="22"/>
        </w:rPr>
        <w:t>τρεις</w:t>
      </w:r>
      <w:r w:rsidRPr="00CF3C72">
        <w:rPr>
          <w:szCs w:val="22"/>
        </w:rPr>
        <w:t xml:space="preserve"> επιχειρήσεις του κλάδου Σουπερμάρκετ – Πολυκατ</w:t>
      </w:r>
      <w:r>
        <w:rPr>
          <w:szCs w:val="22"/>
        </w:rPr>
        <w:t>αστήματα (ΑΛΦΑ-ΒΗΤΑ ΒΑΣΙΛΟΠΟΥΛΟΣ ΑΕ, ΣΚΛΑΒΕΝΙΤΗΣ, Ι. &amp; Σ. ΑΕΕ, ΜΑΣΟΥΤΗΣ</w:t>
      </w:r>
      <w:r w:rsidRPr="00CF3C72">
        <w:rPr>
          <w:szCs w:val="22"/>
        </w:rPr>
        <w:t xml:space="preserve"> Δ.</w:t>
      </w:r>
      <w:r>
        <w:rPr>
          <w:szCs w:val="22"/>
        </w:rPr>
        <w:t xml:space="preserve"> ΣΟΥΠΕΡΜΑΡΚΕΤ ΑΕ</w:t>
      </w:r>
      <w:r w:rsidRPr="00CF3C72">
        <w:rPr>
          <w:szCs w:val="22"/>
        </w:rPr>
        <w:t xml:space="preserve">). </w:t>
      </w:r>
    </w:p>
    <w:p w:rsidR="0096399A" w:rsidRPr="00CF3C72" w:rsidRDefault="0096399A" w:rsidP="0096399A">
      <w:pPr>
        <w:pStyle w:val="ae"/>
        <w:spacing w:line="360" w:lineRule="auto"/>
        <w:ind w:firstLine="0"/>
        <w:jc w:val="both"/>
        <w:rPr>
          <w:szCs w:val="22"/>
        </w:rPr>
      </w:pPr>
      <w:r w:rsidRPr="00CF3C72">
        <w:rPr>
          <w:szCs w:val="22"/>
        </w:rPr>
        <w:t xml:space="preserve">Τα συνολικά κέρδη EBITDA των παραπάνω εταιρειών ανήλθαν σε  </w:t>
      </w:r>
      <w:r w:rsidRPr="00CF3C72">
        <w:rPr>
          <w:b/>
          <w:szCs w:val="22"/>
        </w:rPr>
        <w:t>€</w:t>
      </w:r>
      <w:r>
        <w:rPr>
          <w:b/>
          <w:szCs w:val="22"/>
        </w:rPr>
        <w:t>378,4</w:t>
      </w:r>
      <w:r w:rsidRPr="00CF3C72">
        <w:rPr>
          <w:b/>
          <w:szCs w:val="22"/>
        </w:rPr>
        <w:t xml:space="preserve"> εκατ.</w:t>
      </w:r>
      <w:r w:rsidRPr="00CF3C72">
        <w:rPr>
          <w:szCs w:val="22"/>
        </w:rPr>
        <w:t xml:space="preserve"> περίπου. Το μερίδιο των κερδών EBITDA των </w:t>
      </w:r>
      <w:r>
        <w:rPr>
          <w:szCs w:val="22"/>
        </w:rPr>
        <w:t>πέντε</w:t>
      </w:r>
      <w:r w:rsidRPr="00CF3C72">
        <w:rPr>
          <w:szCs w:val="22"/>
        </w:rPr>
        <w:t xml:space="preserve"> κορυφαίων εμπορικών εταιρειών, επί των συνολικών κερδών του τομέα ήταν </w:t>
      </w:r>
      <w:r w:rsidRPr="00CF3C72">
        <w:rPr>
          <w:b/>
          <w:szCs w:val="22"/>
        </w:rPr>
        <w:t>3</w:t>
      </w:r>
      <w:r>
        <w:rPr>
          <w:b/>
          <w:szCs w:val="22"/>
        </w:rPr>
        <w:t>3,1</w:t>
      </w:r>
      <w:r w:rsidRPr="00CF3C72">
        <w:rPr>
          <w:b/>
          <w:szCs w:val="22"/>
        </w:rPr>
        <w:t xml:space="preserve">%. </w:t>
      </w:r>
    </w:p>
    <w:p w:rsidR="0096399A" w:rsidRPr="00CF3C72" w:rsidRDefault="0096399A" w:rsidP="0096399A">
      <w:pPr>
        <w:pStyle w:val="ae"/>
        <w:spacing w:line="360" w:lineRule="auto"/>
        <w:ind w:firstLine="0"/>
        <w:jc w:val="both"/>
        <w:rPr>
          <w:szCs w:val="22"/>
        </w:rPr>
      </w:pPr>
      <w:r w:rsidRPr="00CF3C72">
        <w:rPr>
          <w:szCs w:val="22"/>
        </w:rPr>
        <w:t>Η κατανομή των αντίστοιχων κερδών ανέδειξε τους πέντε κορυφαίους εμπορικούς κλάδους</w:t>
      </w:r>
      <w:r>
        <w:rPr>
          <w:szCs w:val="22"/>
        </w:rPr>
        <w:t xml:space="preserve"> για το 2013</w:t>
      </w:r>
      <w:r w:rsidRPr="00CF3C72">
        <w:rPr>
          <w:szCs w:val="22"/>
        </w:rPr>
        <w:t xml:space="preserve">: </w:t>
      </w:r>
    </w:p>
    <w:p w:rsidR="0096399A" w:rsidRPr="00D13A51" w:rsidRDefault="0096399A" w:rsidP="0096399A">
      <w:pPr>
        <w:pStyle w:val="ae"/>
        <w:jc w:val="center"/>
        <w:rPr>
          <w:highlight w:val="yellow"/>
        </w:rPr>
      </w:pPr>
    </w:p>
    <w:tbl>
      <w:tblPr>
        <w:tblW w:w="9854" w:type="dxa"/>
        <w:jc w:val="center"/>
        <w:tblBorders>
          <w:insideH w:val="single" w:sz="18" w:space="0" w:color="FFFFFF"/>
          <w:insideV w:val="single" w:sz="18" w:space="0" w:color="FFFFFF"/>
        </w:tblBorders>
        <w:tblLayout w:type="fixed"/>
        <w:tblLook w:val="00A0"/>
      </w:tblPr>
      <w:tblGrid>
        <w:gridCol w:w="3608"/>
        <w:gridCol w:w="1463"/>
        <w:gridCol w:w="1594"/>
        <w:gridCol w:w="1594"/>
        <w:gridCol w:w="1595"/>
      </w:tblGrid>
      <w:tr w:rsidR="0096399A" w:rsidRPr="00CB476D" w:rsidTr="00BD50B4">
        <w:trPr>
          <w:trHeight w:val="57"/>
          <w:jc w:val="center"/>
        </w:trPr>
        <w:tc>
          <w:tcPr>
            <w:tcW w:w="9854" w:type="dxa"/>
            <w:gridSpan w:val="5"/>
            <w:shd w:val="pct20" w:color="000000" w:fill="FFFFFF"/>
            <w:noWrap/>
          </w:tcPr>
          <w:p w:rsidR="0096399A" w:rsidRPr="00B47797" w:rsidRDefault="0096399A" w:rsidP="00BD50B4">
            <w:pPr>
              <w:pStyle w:val="a7"/>
              <w:rPr>
                <w:bCs/>
                <w:sz w:val="20"/>
                <w:szCs w:val="20"/>
                <w:lang w:val="el-GR"/>
              </w:rPr>
            </w:pPr>
            <w:bookmarkStart w:id="10" w:name="_Toc207785921"/>
            <w:r w:rsidRPr="00B47797">
              <w:rPr>
                <w:bCs/>
                <w:sz w:val="20"/>
                <w:szCs w:val="20"/>
                <w:lang w:val="el-GR"/>
              </w:rPr>
              <w:t>Πίνακας 6. Κορυφαίοι Εμπορικοί Κλάδοι Βάσει Κερδοφορίας - 20</w:t>
            </w:r>
            <w:bookmarkEnd w:id="10"/>
            <w:r w:rsidR="00733C5D">
              <w:rPr>
                <w:bCs/>
                <w:sz w:val="20"/>
                <w:szCs w:val="20"/>
                <w:lang w:val="el-GR"/>
              </w:rPr>
              <w:t>13</w:t>
            </w:r>
          </w:p>
        </w:tc>
      </w:tr>
      <w:tr w:rsidR="0096399A" w:rsidRPr="00B47797" w:rsidTr="00BD50B4">
        <w:trPr>
          <w:trHeight w:val="57"/>
          <w:jc w:val="center"/>
        </w:trPr>
        <w:tc>
          <w:tcPr>
            <w:tcW w:w="3608" w:type="dxa"/>
            <w:shd w:val="pct5" w:color="000000" w:fill="FFFFFF"/>
            <w:noWrap/>
            <w:vAlign w:val="center"/>
          </w:tcPr>
          <w:p w:rsidR="0096399A" w:rsidRPr="00B47797" w:rsidRDefault="0096399A" w:rsidP="00BD50B4">
            <w:pPr>
              <w:jc w:val="center"/>
              <w:rPr>
                <w:b/>
                <w:sz w:val="20"/>
                <w:szCs w:val="20"/>
                <w:lang w:val="el-GR"/>
              </w:rPr>
            </w:pPr>
            <w:r w:rsidRPr="00B47797">
              <w:rPr>
                <w:b/>
                <w:sz w:val="20"/>
                <w:szCs w:val="20"/>
                <w:lang w:val="el-GR"/>
              </w:rPr>
              <w:t>Κλάδος</w:t>
            </w:r>
          </w:p>
        </w:tc>
        <w:tc>
          <w:tcPr>
            <w:tcW w:w="1463" w:type="dxa"/>
            <w:shd w:val="pct5" w:color="000000" w:fill="FFFFFF"/>
            <w:noWrap/>
            <w:vAlign w:val="center"/>
          </w:tcPr>
          <w:p w:rsidR="0096399A" w:rsidRPr="00B47797" w:rsidRDefault="0096399A" w:rsidP="00BD50B4">
            <w:pPr>
              <w:jc w:val="center"/>
              <w:rPr>
                <w:b/>
                <w:sz w:val="20"/>
                <w:szCs w:val="20"/>
                <w:lang w:val="el-GR"/>
              </w:rPr>
            </w:pPr>
            <w:r w:rsidRPr="00B47797">
              <w:rPr>
                <w:b/>
                <w:sz w:val="20"/>
                <w:szCs w:val="20"/>
                <w:lang w:val="el-GR"/>
              </w:rPr>
              <w:t>Πλήθος Εταιρειών</w:t>
            </w:r>
          </w:p>
        </w:tc>
        <w:tc>
          <w:tcPr>
            <w:tcW w:w="1594" w:type="dxa"/>
            <w:shd w:val="pct5" w:color="000000" w:fill="FFFFFF"/>
            <w:noWrap/>
            <w:vAlign w:val="center"/>
          </w:tcPr>
          <w:p w:rsidR="0096399A" w:rsidRPr="00B47797" w:rsidRDefault="0096399A" w:rsidP="00BD50B4">
            <w:pPr>
              <w:jc w:val="center"/>
              <w:rPr>
                <w:b/>
                <w:sz w:val="20"/>
                <w:szCs w:val="20"/>
                <w:lang w:val="el-GR"/>
              </w:rPr>
            </w:pPr>
            <w:r w:rsidRPr="00B47797">
              <w:rPr>
                <w:b/>
                <w:sz w:val="20"/>
                <w:szCs w:val="20"/>
                <w:lang w:val="el-GR"/>
              </w:rPr>
              <w:t xml:space="preserve">Κέρδη </w:t>
            </w:r>
            <w:r w:rsidRPr="00B47797">
              <w:rPr>
                <w:b/>
                <w:sz w:val="20"/>
                <w:szCs w:val="20"/>
              </w:rPr>
              <w:t>EBITDA</w:t>
            </w:r>
          </w:p>
          <w:p w:rsidR="0096399A" w:rsidRPr="00B47797" w:rsidRDefault="0096399A" w:rsidP="00BD50B4">
            <w:pPr>
              <w:jc w:val="center"/>
              <w:rPr>
                <w:b/>
                <w:sz w:val="20"/>
                <w:szCs w:val="20"/>
                <w:lang w:val="el-GR"/>
              </w:rPr>
            </w:pPr>
            <w:r w:rsidRPr="00B47797">
              <w:rPr>
                <w:b/>
                <w:sz w:val="20"/>
                <w:szCs w:val="20"/>
                <w:lang w:val="el-GR"/>
              </w:rPr>
              <w:t>(χιλ. €)</w:t>
            </w:r>
          </w:p>
        </w:tc>
        <w:tc>
          <w:tcPr>
            <w:tcW w:w="1594" w:type="dxa"/>
            <w:shd w:val="pct5" w:color="000000" w:fill="FFFFFF"/>
            <w:vAlign w:val="center"/>
          </w:tcPr>
          <w:p w:rsidR="0096399A" w:rsidRPr="00B47797" w:rsidRDefault="0096399A" w:rsidP="00BD50B4">
            <w:pPr>
              <w:jc w:val="center"/>
              <w:rPr>
                <w:b/>
                <w:sz w:val="20"/>
                <w:szCs w:val="20"/>
                <w:lang w:val="el-GR"/>
              </w:rPr>
            </w:pPr>
            <w:r w:rsidRPr="00B47797">
              <w:rPr>
                <w:b/>
                <w:sz w:val="20"/>
                <w:szCs w:val="20"/>
                <w:lang w:val="el-GR"/>
              </w:rPr>
              <w:t xml:space="preserve">Κύκλος Εργασιών </w:t>
            </w:r>
          </w:p>
          <w:p w:rsidR="0096399A" w:rsidRPr="00B47797" w:rsidRDefault="0096399A" w:rsidP="00BD50B4">
            <w:pPr>
              <w:jc w:val="center"/>
              <w:rPr>
                <w:b/>
                <w:sz w:val="20"/>
                <w:szCs w:val="20"/>
                <w:lang w:val="el-GR"/>
              </w:rPr>
            </w:pPr>
            <w:r w:rsidRPr="00B47797">
              <w:rPr>
                <w:b/>
                <w:sz w:val="20"/>
                <w:szCs w:val="20"/>
                <w:lang w:val="el-GR"/>
              </w:rPr>
              <w:t>(χιλ. €)</w:t>
            </w:r>
          </w:p>
        </w:tc>
        <w:tc>
          <w:tcPr>
            <w:tcW w:w="1595" w:type="dxa"/>
            <w:shd w:val="pct5" w:color="000000" w:fill="FFFFFF"/>
            <w:vAlign w:val="center"/>
          </w:tcPr>
          <w:p w:rsidR="0096399A" w:rsidRPr="00B47797" w:rsidRDefault="0096399A" w:rsidP="00BD50B4">
            <w:pPr>
              <w:jc w:val="center"/>
              <w:rPr>
                <w:b/>
                <w:sz w:val="20"/>
                <w:szCs w:val="20"/>
                <w:lang w:val="el-GR"/>
              </w:rPr>
            </w:pPr>
            <w:r w:rsidRPr="00B47797">
              <w:rPr>
                <w:b/>
                <w:sz w:val="20"/>
                <w:szCs w:val="20"/>
                <w:lang w:val="el-GR"/>
              </w:rPr>
              <w:t>(%) Κύκλου Εργασιών Εμπορίου</w:t>
            </w:r>
          </w:p>
        </w:tc>
      </w:tr>
      <w:tr w:rsidR="0096399A" w:rsidRPr="00D13A51" w:rsidTr="00BD50B4">
        <w:trPr>
          <w:trHeight w:val="57"/>
          <w:jc w:val="center"/>
        </w:trPr>
        <w:tc>
          <w:tcPr>
            <w:tcW w:w="3608" w:type="dxa"/>
            <w:shd w:val="pct20" w:color="000000" w:fill="FFFFFF"/>
            <w:noWrap/>
            <w:vAlign w:val="bottom"/>
          </w:tcPr>
          <w:p w:rsidR="0096399A" w:rsidRPr="00B47797" w:rsidRDefault="0096399A" w:rsidP="00BD50B4">
            <w:pPr>
              <w:rPr>
                <w:sz w:val="20"/>
                <w:szCs w:val="20"/>
              </w:rPr>
            </w:pPr>
            <w:r w:rsidRPr="00B47797">
              <w:rPr>
                <w:sz w:val="20"/>
                <w:szCs w:val="20"/>
              </w:rPr>
              <w:t>Εμπόριο (Σουπερμάρκετ - Πολυκαταστήματα)</w:t>
            </w:r>
          </w:p>
        </w:tc>
        <w:tc>
          <w:tcPr>
            <w:tcW w:w="1463" w:type="dxa"/>
            <w:shd w:val="pct20" w:color="000000" w:fill="FFFFFF"/>
            <w:noWrap/>
            <w:vAlign w:val="bottom"/>
          </w:tcPr>
          <w:p w:rsidR="0096399A" w:rsidRPr="00B47797" w:rsidRDefault="0096399A" w:rsidP="00BD50B4">
            <w:pPr>
              <w:jc w:val="center"/>
              <w:rPr>
                <w:color w:val="000000"/>
                <w:lang w:val="el-GR"/>
              </w:rPr>
            </w:pPr>
            <w:r>
              <w:rPr>
                <w:color w:val="000000"/>
                <w:sz w:val="22"/>
                <w:szCs w:val="22"/>
                <w:lang w:val="el-GR"/>
              </w:rPr>
              <w:t>13</w:t>
            </w:r>
          </w:p>
        </w:tc>
        <w:tc>
          <w:tcPr>
            <w:tcW w:w="1594" w:type="dxa"/>
            <w:shd w:val="pct20" w:color="000000" w:fill="FFFFFF"/>
            <w:noWrap/>
            <w:vAlign w:val="bottom"/>
          </w:tcPr>
          <w:p w:rsidR="0096399A" w:rsidRPr="00716268" w:rsidRDefault="0096399A" w:rsidP="00BD50B4">
            <w:pPr>
              <w:ind w:right="212"/>
              <w:jc w:val="right"/>
              <w:rPr>
                <w:lang w:val="el-GR"/>
              </w:rPr>
            </w:pPr>
            <w:r>
              <w:rPr>
                <w:sz w:val="22"/>
                <w:szCs w:val="22"/>
                <w:lang w:val="el-GR"/>
              </w:rPr>
              <w:t>288.673</w:t>
            </w:r>
          </w:p>
        </w:tc>
        <w:tc>
          <w:tcPr>
            <w:tcW w:w="1594" w:type="dxa"/>
            <w:shd w:val="pct20" w:color="000000" w:fill="FFFFFF"/>
            <w:vAlign w:val="bottom"/>
          </w:tcPr>
          <w:p w:rsidR="0096399A" w:rsidRPr="00716268" w:rsidRDefault="0096399A" w:rsidP="00BD50B4">
            <w:pPr>
              <w:ind w:right="246"/>
              <w:jc w:val="right"/>
              <w:rPr>
                <w:lang w:val="el-GR"/>
              </w:rPr>
            </w:pPr>
            <w:r>
              <w:rPr>
                <w:sz w:val="22"/>
                <w:szCs w:val="22"/>
                <w:lang w:val="el-GR"/>
              </w:rPr>
              <w:t>5.866.306</w:t>
            </w:r>
          </w:p>
        </w:tc>
        <w:tc>
          <w:tcPr>
            <w:tcW w:w="1595" w:type="dxa"/>
            <w:shd w:val="pct20" w:color="000000" w:fill="FFFFFF"/>
            <w:vAlign w:val="center"/>
          </w:tcPr>
          <w:p w:rsidR="0096399A" w:rsidRPr="00B47797" w:rsidRDefault="0096399A" w:rsidP="00BD50B4">
            <w:pPr>
              <w:ind w:right="246"/>
              <w:jc w:val="right"/>
              <w:rPr>
                <w:lang w:val="el-GR"/>
              </w:rPr>
            </w:pPr>
            <w:r>
              <w:rPr>
                <w:sz w:val="22"/>
                <w:szCs w:val="22"/>
                <w:lang w:val="el-GR"/>
              </w:rPr>
              <w:t>27,2</w:t>
            </w:r>
          </w:p>
        </w:tc>
      </w:tr>
      <w:tr w:rsidR="0096399A" w:rsidRPr="00D13A51" w:rsidTr="00BD50B4">
        <w:trPr>
          <w:trHeight w:val="57"/>
          <w:jc w:val="center"/>
        </w:trPr>
        <w:tc>
          <w:tcPr>
            <w:tcW w:w="3608" w:type="dxa"/>
            <w:shd w:val="pct5" w:color="000000" w:fill="FFFFFF"/>
            <w:noWrap/>
            <w:vAlign w:val="bottom"/>
          </w:tcPr>
          <w:p w:rsidR="0096399A" w:rsidRPr="00716268" w:rsidRDefault="0096399A" w:rsidP="00BD50B4">
            <w:pPr>
              <w:rPr>
                <w:sz w:val="20"/>
                <w:szCs w:val="20"/>
                <w:lang w:val="el-GR"/>
              </w:rPr>
            </w:pPr>
            <w:r>
              <w:rPr>
                <w:sz w:val="20"/>
                <w:szCs w:val="20"/>
                <w:lang w:val="el-GR"/>
              </w:rPr>
              <w:t>Ε</w:t>
            </w:r>
            <w:r w:rsidRPr="00716268">
              <w:rPr>
                <w:sz w:val="20"/>
                <w:szCs w:val="20"/>
                <w:lang w:val="el-GR"/>
              </w:rPr>
              <w:t>μπόριο (Διάφορα Είδη)</w:t>
            </w:r>
          </w:p>
        </w:tc>
        <w:tc>
          <w:tcPr>
            <w:tcW w:w="1463" w:type="dxa"/>
            <w:shd w:val="pct5" w:color="000000" w:fill="FFFFFF"/>
            <w:noWrap/>
            <w:vAlign w:val="bottom"/>
          </w:tcPr>
          <w:p w:rsidR="0096399A" w:rsidRPr="00B47797" w:rsidRDefault="0096399A" w:rsidP="00BD50B4">
            <w:pPr>
              <w:jc w:val="center"/>
              <w:rPr>
                <w:color w:val="000000"/>
                <w:lang w:val="el-GR"/>
              </w:rPr>
            </w:pPr>
            <w:r>
              <w:rPr>
                <w:color w:val="000000"/>
                <w:sz w:val="22"/>
                <w:szCs w:val="22"/>
                <w:lang w:val="el-GR"/>
              </w:rPr>
              <w:t>5</w:t>
            </w:r>
          </w:p>
        </w:tc>
        <w:tc>
          <w:tcPr>
            <w:tcW w:w="1594" w:type="dxa"/>
            <w:shd w:val="pct5" w:color="000000" w:fill="FFFFFF"/>
            <w:noWrap/>
            <w:vAlign w:val="bottom"/>
          </w:tcPr>
          <w:p w:rsidR="0096399A" w:rsidRPr="00716268" w:rsidRDefault="0096399A" w:rsidP="00BD50B4">
            <w:pPr>
              <w:ind w:right="212"/>
              <w:jc w:val="right"/>
              <w:rPr>
                <w:lang w:val="el-GR"/>
              </w:rPr>
            </w:pPr>
            <w:r>
              <w:rPr>
                <w:sz w:val="22"/>
                <w:szCs w:val="22"/>
                <w:lang w:val="el-GR"/>
              </w:rPr>
              <w:t>219.040</w:t>
            </w:r>
          </w:p>
        </w:tc>
        <w:tc>
          <w:tcPr>
            <w:tcW w:w="1594" w:type="dxa"/>
            <w:shd w:val="pct5" w:color="000000" w:fill="FFFFFF"/>
            <w:vAlign w:val="bottom"/>
          </w:tcPr>
          <w:p w:rsidR="0096399A" w:rsidRPr="00716268" w:rsidRDefault="0096399A" w:rsidP="00BD50B4">
            <w:pPr>
              <w:ind w:right="246"/>
              <w:jc w:val="right"/>
              <w:rPr>
                <w:lang w:val="el-GR"/>
              </w:rPr>
            </w:pPr>
            <w:r>
              <w:rPr>
                <w:sz w:val="22"/>
                <w:szCs w:val="22"/>
                <w:lang w:val="el-GR"/>
              </w:rPr>
              <w:t>836.254</w:t>
            </w:r>
          </w:p>
        </w:tc>
        <w:tc>
          <w:tcPr>
            <w:tcW w:w="1595" w:type="dxa"/>
            <w:shd w:val="pct5" w:color="000000" w:fill="FFFFFF"/>
            <w:vAlign w:val="center"/>
          </w:tcPr>
          <w:p w:rsidR="0096399A" w:rsidRPr="00B47797" w:rsidRDefault="0096399A" w:rsidP="00BD50B4">
            <w:pPr>
              <w:ind w:right="246"/>
              <w:jc w:val="right"/>
              <w:rPr>
                <w:lang w:val="el-GR"/>
              </w:rPr>
            </w:pPr>
            <w:r>
              <w:rPr>
                <w:sz w:val="22"/>
                <w:szCs w:val="22"/>
                <w:lang w:val="el-GR"/>
              </w:rPr>
              <w:t>3,9</w:t>
            </w:r>
          </w:p>
        </w:tc>
      </w:tr>
      <w:tr w:rsidR="0096399A" w:rsidRPr="00D13A51" w:rsidTr="00BD50B4">
        <w:trPr>
          <w:trHeight w:val="57"/>
          <w:jc w:val="center"/>
        </w:trPr>
        <w:tc>
          <w:tcPr>
            <w:tcW w:w="3608" w:type="dxa"/>
            <w:shd w:val="pct20" w:color="000000" w:fill="FFFFFF"/>
            <w:noWrap/>
            <w:vAlign w:val="bottom"/>
          </w:tcPr>
          <w:p w:rsidR="0096399A" w:rsidRPr="00B47797" w:rsidRDefault="0096399A" w:rsidP="00BD50B4">
            <w:pPr>
              <w:rPr>
                <w:sz w:val="20"/>
                <w:szCs w:val="20"/>
              </w:rPr>
            </w:pPr>
            <w:r w:rsidRPr="00716268">
              <w:rPr>
                <w:sz w:val="20"/>
                <w:szCs w:val="20"/>
                <w:lang w:val="el-GR"/>
              </w:rPr>
              <w:t>Εμπόριο (Φάρμακα - Καλλυντικά - Απορρυπαντικά)</w:t>
            </w:r>
          </w:p>
        </w:tc>
        <w:tc>
          <w:tcPr>
            <w:tcW w:w="1463" w:type="dxa"/>
            <w:shd w:val="pct20" w:color="000000" w:fill="FFFFFF"/>
            <w:noWrap/>
            <w:vAlign w:val="bottom"/>
          </w:tcPr>
          <w:p w:rsidR="0096399A" w:rsidRPr="00B47797" w:rsidRDefault="0096399A" w:rsidP="00BD50B4">
            <w:pPr>
              <w:jc w:val="center"/>
              <w:rPr>
                <w:color w:val="000000"/>
                <w:lang w:val="el-GR"/>
              </w:rPr>
            </w:pPr>
            <w:r>
              <w:rPr>
                <w:color w:val="000000"/>
                <w:sz w:val="22"/>
                <w:szCs w:val="22"/>
                <w:lang w:val="el-GR"/>
              </w:rPr>
              <w:t>19</w:t>
            </w:r>
          </w:p>
        </w:tc>
        <w:tc>
          <w:tcPr>
            <w:tcW w:w="1594" w:type="dxa"/>
            <w:shd w:val="pct20" w:color="000000" w:fill="FFFFFF"/>
            <w:vAlign w:val="bottom"/>
          </w:tcPr>
          <w:p w:rsidR="0096399A" w:rsidRPr="00716268" w:rsidRDefault="0096399A" w:rsidP="00BD50B4">
            <w:pPr>
              <w:ind w:right="212"/>
              <w:jc w:val="right"/>
              <w:rPr>
                <w:lang w:val="el-GR"/>
              </w:rPr>
            </w:pPr>
            <w:r>
              <w:rPr>
                <w:sz w:val="22"/>
                <w:szCs w:val="22"/>
                <w:lang w:val="el-GR"/>
              </w:rPr>
              <w:t>145.774</w:t>
            </w:r>
          </w:p>
        </w:tc>
        <w:tc>
          <w:tcPr>
            <w:tcW w:w="1594" w:type="dxa"/>
            <w:shd w:val="pct20" w:color="000000" w:fill="FFFFFF"/>
            <w:noWrap/>
            <w:vAlign w:val="bottom"/>
          </w:tcPr>
          <w:p w:rsidR="0096399A" w:rsidRPr="00716268" w:rsidRDefault="0096399A" w:rsidP="00BD50B4">
            <w:pPr>
              <w:ind w:right="246"/>
              <w:jc w:val="right"/>
              <w:rPr>
                <w:lang w:val="el-GR"/>
              </w:rPr>
            </w:pPr>
            <w:r>
              <w:rPr>
                <w:sz w:val="22"/>
                <w:szCs w:val="22"/>
                <w:lang w:val="el-GR"/>
              </w:rPr>
              <w:t>2.148.323</w:t>
            </w:r>
          </w:p>
        </w:tc>
        <w:tc>
          <w:tcPr>
            <w:tcW w:w="1595" w:type="dxa"/>
            <w:shd w:val="pct20" w:color="000000" w:fill="FFFFFF"/>
            <w:vAlign w:val="center"/>
          </w:tcPr>
          <w:p w:rsidR="0096399A" w:rsidRPr="00B47797" w:rsidRDefault="0096399A" w:rsidP="00BD50B4">
            <w:pPr>
              <w:ind w:right="246"/>
              <w:jc w:val="right"/>
              <w:rPr>
                <w:lang w:val="el-GR"/>
              </w:rPr>
            </w:pPr>
            <w:r>
              <w:rPr>
                <w:sz w:val="22"/>
                <w:szCs w:val="22"/>
                <w:lang w:val="el-GR"/>
              </w:rPr>
              <w:t>10,0</w:t>
            </w:r>
          </w:p>
        </w:tc>
      </w:tr>
      <w:tr w:rsidR="0096399A" w:rsidRPr="00D13A51" w:rsidTr="00BD50B4">
        <w:trPr>
          <w:trHeight w:val="57"/>
          <w:jc w:val="center"/>
        </w:trPr>
        <w:tc>
          <w:tcPr>
            <w:tcW w:w="3608" w:type="dxa"/>
            <w:shd w:val="pct5" w:color="000000" w:fill="FFFFFF"/>
            <w:noWrap/>
            <w:vAlign w:val="bottom"/>
          </w:tcPr>
          <w:p w:rsidR="0096399A" w:rsidRPr="00B47797" w:rsidRDefault="0096399A" w:rsidP="00BD50B4">
            <w:pPr>
              <w:rPr>
                <w:sz w:val="20"/>
                <w:szCs w:val="20"/>
              </w:rPr>
            </w:pPr>
            <w:r w:rsidRPr="00B47797">
              <w:rPr>
                <w:sz w:val="20"/>
                <w:szCs w:val="20"/>
              </w:rPr>
              <w:t>Εμπόριο (Ιατρικά - Εργαστηριακά - Επιστημονικά)</w:t>
            </w:r>
          </w:p>
        </w:tc>
        <w:tc>
          <w:tcPr>
            <w:tcW w:w="1463" w:type="dxa"/>
            <w:shd w:val="pct5" w:color="000000" w:fill="FFFFFF"/>
            <w:noWrap/>
            <w:vAlign w:val="bottom"/>
          </w:tcPr>
          <w:p w:rsidR="0096399A" w:rsidRPr="00B47797" w:rsidRDefault="0096399A" w:rsidP="00BD50B4">
            <w:pPr>
              <w:jc w:val="center"/>
              <w:rPr>
                <w:color w:val="000000"/>
                <w:lang w:val="el-GR"/>
              </w:rPr>
            </w:pPr>
            <w:r>
              <w:rPr>
                <w:color w:val="000000"/>
                <w:sz w:val="22"/>
                <w:szCs w:val="22"/>
                <w:lang w:val="el-GR"/>
              </w:rPr>
              <w:t>12</w:t>
            </w:r>
          </w:p>
        </w:tc>
        <w:tc>
          <w:tcPr>
            <w:tcW w:w="1594" w:type="dxa"/>
            <w:shd w:val="pct5" w:color="000000" w:fill="FFFFFF"/>
            <w:vAlign w:val="bottom"/>
          </w:tcPr>
          <w:p w:rsidR="0096399A" w:rsidRPr="00716268" w:rsidRDefault="0096399A" w:rsidP="00BD50B4">
            <w:pPr>
              <w:ind w:right="212"/>
              <w:jc w:val="right"/>
              <w:rPr>
                <w:lang w:val="el-GR"/>
              </w:rPr>
            </w:pPr>
            <w:r>
              <w:rPr>
                <w:sz w:val="22"/>
                <w:szCs w:val="22"/>
                <w:lang w:val="el-GR"/>
              </w:rPr>
              <w:t>85.755</w:t>
            </w:r>
          </w:p>
        </w:tc>
        <w:tc>
          <w:tcPr>
            <w:tcW w:w="1594" w:type="dxa"/>
            <w:shd w:val="pct5" w:color="000000" w:fill="FFFFFF"/>
            <w:noWrap/>
            <w:vAlign w:val="bottom"/>
          </w:tcPr>
          <w:p w:rsidR="0096399A" w:rsidRPr="00716268" w:rsidRDefault="0096399A" w:rsidP="00BD50B4">
            <w:pPr>
              <w:ind w:right="246"/>
              <w:jc w:val="right"/>
              <w:rPr>
                <w:lang w:val="el-GR"/>
              </w:rPr>
            </w:pPr>
            <w:r>
              <w:rPr>
                <w:sz w:val="22"/>
                <w:szCs w:val="22"/>
                <w:lang w:val="el-GR"/>
              </w:rPr>
              <w:t>341.546</w:t>
            </w:r>
          </w:p>
        </w:tc>
        <w:tc>
          <w:tcPr>
            <w:tcW w:w="1595" w:type="dxa"/>
            <w:shd w:val="pct5" w:color="000000" w:fill="FFFFFF"/>
            <w:vAlign w:val="center"/>
          </w:tcPr>
          <w:p w:rsidR="0096399A" w:rsidRPr="00B47797" w:rsidRDefault="0096399A" w:rsidP="00BD50B4">
            <w:pPr>
              <w:ind w:right="246"/>
              <w:jc w:val="right"/>
              <w:rPr>
                <w:lang w:val="el-GR"/>
              </w:rPr>
            </w:pPr>
            <w:r>
              <w:rPr>
                <w:sz w:val="22"/>
                <w:szCs w:val="22"/>
                <w:lang w:val="el-GR"/>
              </w:rPr>
              <w:t>1,6</w:t>
            </w:r>
          </w:p>
        </w:tc>
      </w:tr>
      <w:tr w:rsidR="0096399A" w:rsidRPr="00D13A51" w:rsidTr="00BD50B4">
        <w:trPr>
          <w:trHeight w:val="57"/>
          <w:jc w:val="center"/>
        </w:trPr>
        <w:tc>
          <w:tcPr>
            <w:tcW w:w="3608" w:type="dxa"/>
            <w:shd w:val="pct20" w:color="000000" w:fill="FFFFFF"/>
            <w:noWrap/>
            <w:vAlign w:val="bottom"/>
          </w:tcPr>
          <w:p w:rsidR="0096399A" w:rsidRPr="00716268" w:rsidRDefault="0096399A" w:rsidP="00BD50B4">
            <w:pPr>
              <w:rPr>
                <w:sz w:val="20"/>
                <w:szCs w:val="20"/>
                <w:lang w:val="el-GR"/>
              </w:rPr>
            </w:pPr>
            <w:r w:rsidRPr="00716268">
              <w:rPr>
                <w:sz w:val="20"/>
                <w:szCs w:val="20"/>
                <w:lang w:val="el-GR"/>
              </w:rPr>
              <w:t>Εμπόριο (</w:t>
            </w:r>
            <w:r>
              <w:rPr>
                <w:sz w:val="20"/>
                <w:szCs w:val="20"/>
                <w:lang w:val="el-GR"/>
              </w:rPr>
              <w:t>Ενδύματα – Υποδήματα – Δερμάτινα Είδη)</w:t>
            </w:r>
          </w:p>
        </w:tc>
        <w:tc>
          <w:tcPr>
            <w:tcW w:w="1463" w:type="dxa"/>
            <w:shd w:val="pct20" w:color="000000" w:fill="FFFFFF"/>
            <w:noWrap/>
            <w:vAlign w:val="bottom"/>
          </w:tcPr>
          <w:p w:rsidR="0096399A" w:rsidRPr="00B47797" w:rsidRDefault="0096399A" w:rsidP="00BD50B4">
            <w:pPr>
              <w:jc w:val="center"/>
              <w:rPr>
                <w:color w:val="000000"/>
                <w:lang w:val="el-GR"/>
              </w:rPr>
            </w:pPr>
            <w:r>
              <w:rPr>
                <w:color w:val="000000"/>
                <w:sz w:val="22"/>
                <w:szCs w:val="22"/>
                <w:lang w:val="el-GR"/>
              </w:rPr>
              <w:t>11</w:t>
            </w:r>
          </w:p>
        </w:tc>
        <w:tc>
          <w:tcPr>
            <w:tcW w:w="1594" w:type="dxa"/>
            <w:shd w:val="pct20" w:color="000000" w:fill="FFFFFF"/>
            <w:vAlign w:val="bottom"/>
          </w:tcPr>
          <w:p w:rsidR="0096399A" w:rsidRPr="00716268" w:rsidRDefault="0096399A" w:rsidP="00BD50B4">
            <w:pPr>
              <w:ind w:right="212"/>
              <w:jc w:val="right"/>
              <w:rPr>
                <w:lang w:val="el-GR"/>
              </w:rPr>
            </w:pPr>
            <w:r>
              <w:rPr>
                <w:sz w:val="22"/>
                <w:szCs w:val="22"/>
                <w:lang w:val="el-GR"/>
              </w:rPr>
              <w:t>77.078</w:t>
            </w:r>
          </w:p>
        </w:tc>
        <w:tc>
          <w:tcPr>
            <w:tcW w:w="1594" w:type="dxa"/>
            <w:shd w:val="pct20" w:color="000000" w:fill="FFFFFF"/>
            <w:noWrap/>
            <w:vAlign w:val="bottom"/>
          </w:tcPr>
          <w:p w:rsidR="0096399A" w:rsidRPr="00716268" w:rsidRDefault="0096399A" w:rsidP="00BD50B4">
            <w:pPr>
              <w:ind w:right="246"/>
              <w:jc w:val="right"/>
              <w:rPr>
                <w:lang w:val="el-GR"/>
              </w:rPr>
            </w:pPr>
            <w:r>
              <w:rPr>
                <w:sz w:val="22"/>
                <w:szCs w:val="22"/>
                <w:lang w:val="el-GR"/>
              </w:rPr>
              <w:t>819.670</w:t>
            </w:r>
          </w:p>
        </w:tc>
        <w:tc>
          <w:tcPr>
            <w:tcW w:w="1595" w:type="dxa"/>
            <w:shd w:val="pct20" w:color="000000" w:fill="FFFFFF"/>
            <w:vAlign w:val="center"/>
          </w:tcPr>
          <w:p w:rsidR="0096399A" w:rsidRPr="00B47797" w:rsidRDefault="0096399A" w:rsidP="00BD50B4">
            <w:pPr>
              <w:ind w:right="246"/>
              <w:jc w:val="right"/>
              <w:rPr>
                <w:lang w:val="el-GR"/>
              </w:rPr>
            </w:pPr>
            <w:r>
              <w:rPr>
                <w:sz w:val="22"/>
                <w:szCs w:val="22"/>
                <w:lang w:val="el-GR"/>
              </w:rPr>
              <w:t>3,8</w:t>
            </w:r>
          </w:p>
        </w:tc>
      </w:tr>
    </w:tbl>
    <w:p w:rsidR="0096399A" w:rsidRPr="00D13A51" w:rsidRDefault="0096399A" w:rsidP="0096399A">
      <w:pPr>
        <w:pStyle w:val="ae"/>
        <w:rPr>
          <w:highlight w:val="yellow"/>
        </w:rPr>
      </w:pPr>
    </w:p>
    <w:p w:rsidR="0096399A" w:rsidRPr="00B47797" w:rsidRDefault="0096399A" w:rsidP="0096399A">
      <w:pPr>
        <w:pStyle w:val="ae"/>
        <w:spacing w:line="360" w:lineRule="auto"/>
        <w:ind w:firstLine="0"/>
        <w:jc w:val="both"/>
        <w:rPr>
          <w:szCs w:val="22"/>
        </w:rPr>
      </w:pPr>
      <w:r w:rsidRPr="00B47797">
        <w:rPr>
          <w:szCs w:val="22"/>
        </w:rPr>
        <w:t xml:space="preserve">Οι παραπάνω κλάδοι κάλυψαν από κοινού το </w:t>
      </w:r>
      <w:r>
        <w:rPr>
          <w:b/>
          <w:szCs w:val="22"/>
        </w:rPr>
        <w:t>71,5</w:t>
      </w:r>
      <w:r w:rsidRPr="00B47797">
        <w:rPr>
          <w:b/>
          <w:szCs w:val="22"/>
        </w:rPr>
        <w:t>%</w:t>
      </w:r>
      <w:r w:rsidRPr="00B47797">
        <w:rPr>
          <w:szCs w:val="22"/>
        </w:rPr>
        <w:t xml:space="preserve"> των συνολικών κερδών EBITDA και το </w:t>
      </w:r>
      <w:r>
        <w:rPr>
          <w:b/>
          <w:szCs w:val="22"/>
        </w:rPr>
        <w:t>46,5</w:t>
      </w:r>
      <w:r w:rsidRPr="00B47797">
        <w:rPr>
          <w:b/>
          <w:szCs w:val="22"/>
        </w:rPr>
        <w:t>%</w:t>
      </w:r>
      <w:r w:rsidRPr="00B47797">
        <w:rPr>
          <w:szCs w:val="22"/>
        </w:rPr>
        <w:t xml:space="preserve"> του συνολικού κύκλου εργασιών του τομέα του Εμπορίου.</w:t>
      </w:r>
    </w:p>
    <w:p w:rsidR="0096399A" w:rsidRPr="00B47797" w:rsidRDefault="0096399A" w:rsidP="0096399A">
      <w:pPr>
        <w:pStyle w:val="ae"/>
        <w:jc w:val="both"/>
      </w:pPr>
    </w:p>
    <w:p w:rsidR="0096399A" w:rsidRPr="00E16B73" w:rsidRDefault="0096399A" w:rsidP="0096399A">
      <w:pPr>
        <w:pStyle w:val="ae"/>
        <w:numPr>
          <w:ilvl w:val="1"/>
          <w:numId w:val="3"/>
        </w:numPr>
        <w:tabs>
          <w:tab w:val="clear" w:pos="1440"/>
          <w:tab w:val="num" w:pos="480"/>
        </w:tabs>
        <w:spacing w:line="360" w:lineRule="auto"/>
        <w:ind w:left="480" w:hanging="480"/>
        <w:jc w:val="both"/>
        <w:rPr>
          <w:b/>
          <w:i/>
        </w:rPr>
      </w:pPr>
      <w:r w:rsidRPr="00E16B73">
        <w:rPr>
          <w:b/>
          <w:i/>
        </w:rPr>
        <w:t xml:space="preserve">Λοιπές Υπηρεσίες (εκτός Τραπεζών - Ετ. </w:t>
      </w:r>
      <w:r w:rsidRPr="00E16B73">
        <w:rPr>
          <w:b/>
          <w:i/>
          <w:lang w:val="en-US"/>
        </w:rPr>
        <w:t>Factoring</w:t>
      </w:r>
      <w:r w:rsidRPr="00E16B73">
        <w:rPr>
          <w:b/>
          <w:i/>
        </w:rPr>
        <w:t>, Ασφαλειών, Τουρισμού)</w:t>
      </w:r>
    </w:p>
    <w:p w:rsidR="0096399A" w:rsidRPr="00E16B73" w:rsidRDefault="0096399A" w:rsidP="0096399A">
      <w:pPr>
        <w:pStyle w:val="ae"/>
        <w:spacing w:line="360" w:lineRule="auto"/>
        <w:ind w:firstLine="0"/>
        <w:jc w:val="both"/>
        <w:rPr>
          <w:szCs w:val="22"/>
        </w:rPr>
      </w:pPr>
      <w:r w:rsidRPr="00E16B73">
        <w:rPr>
          <w:szCs w:val="22"/>
        </w:rPr>
        <w:t xml:space="preserve">Στον τομέα των </w:t>
      </w:r>
      <w:r>
        <w:rPr>
          <w:szCs w:val="22"/>
        </w:rPr>
        <w:t>«</w:t>
      </w:r>
      <w:r w:rsidRPr="00E16B73">
        <w:rPr>
          <w:szCs w:val="22"/>
        </w:rPr>
        <w:t>Λοιπών Υπηρεσιών</w:t>
      </w:r>
      <w:r>
        <w:rPr>
          <w:szCs w:val="22"/>
        </w:rPr>
        <w:t>»</w:t>
      </w:r>
      <w:r w:rsidRPr="00E16B73">
        <w:rPr>
          <w:szCs w:val="22"/>
        </w:rPr>
        <w:t>, στην κορυφή της κατάταξης το 201</w:t>
      </w:r>
      <w:r>
        <w:rPr>
          <w:szCs w:val="22"/>
        </w:rPr>
        <w:t>3</w:t>
      </w:r>
      <w:r w:rsidRPr="00E16B73">
        <w:rPr>
          <w:szCs w:val="22"/>
        </w:rPr>
        <w:t xml:space="preserve"> βρίσκονται </w:t>
      </w:r>
      <w:r w:rsidRPr="00D3208C">
        <w:rPr>
          <w:b/>
          <w:szCs w:val="22"/>
        </w:rPr>
        <w:t>πέντε</w:t>
      </w:r>
      <w:r w:rsidRPr="00E16B73">
        <w:rPr>
          <w:szCs w:val="22"/>
        </w:rPr>
        <w:t xml:space="preserve"> επιχειρήσεις κάθε μία εκ των οποίων εμφάνισε κέρδη EBITDA υψηλότερα των €</w:t>
      </w:r>
      <w:r>
        <w:rPr>
          <w:szCs w:val="22"/>
        </w:rPr>
        <w:t>170</w:t>
      </w:r>
      <w:r w:rsidRPr="00E16B73">
        <w:rPr>
          <w:szCs w:val="22"/>
        </w:rPr>
        <w:t xml:space="preserve"> εκατ. Στην κορυφή της κατάταξης βρίσκεται</w:t>
      </w:r>
      <w:r>
        <w:rPr>
          <w:szCs w:val="22"/>
        </w:rPr>
        <w:t xml:space="preserve"> (για μια ακόμη χρονιά)</w:t>
      </w:r>
      <w:r w:rsidRPr="00E16B73">
        <w:rPr>
          <w:szCs w:val="22"/>
        </w:rPr>
        <w:t xml:space="preserve"> μία εταιρεία του κλάδου Ενέργεια-Νερό, η </w:t>
      </w:r>
      <w:r>
        <w:rPr>
          <w:b/>
          <w:szCs w:val="22"/>
        </w:rPr>
        <w:t>ΔΕΗ ΑΕ</w:t>
      </w:r>
      <w:r w:rsidRPr="00E16B73">
        <w:rPr>
          <w:szCs w:val="22"/>
        </w:rPr>
        <w:t xml:space="preserve">. </w:t>
      </w:r>
      <w:r>
        <w:rPr>
          <w:szCs w:val="22"/>
        </w:rPr>
        <w:t>Στη δ</w:t>
      </w:r>
      <w:r w:rsidRPr="00E16B73">
        <w:rPr>
          <w:szCs w:val="22"/>
        </w:rPr>
        <w:t>εύτερη</w:t>
      </w:r>
      <w:r>
        <w:rPr>
          <w:szCs w:val="22"/>
        </w:rPr>
        <w:t xml:space="preserve"> και τρίτη θέση βρίσκονταιδύο επιχειρήσεις</w:t>
      </w:r>
      <w:r w:rsidRPr="00E16B73">
        <w:rPr>
          <w:szCs w:val="22"/>
        </w:rPr>
        <w:t xml:space="preserve"> του </w:t>
      </w:r>
      <w:r>
        <w:rPr>
          <w:szCs w:val="22"/>
        </w:rPr>
        <w:t>κλάδου Τηλεπικοινωνίες</w:t>
      </w:r>
      <w:r w:rsidRPr="00E16B73">
        <w:rPr>
          <w:szCs w:val="22"/>
        </w:rPr>
        <w:t xml:space="preserve"> (</w:t>
      </w:r>
      <w:r>
        <w:rPr>
          <w:szCs w:val="22"/>
          <w:lang w:val="en-US"/>
        </w:rPr>
        <w:t>COSMOTEKINHTE</w:t>
      </w:r>
      <w:r>
        <w:rPr>
          <w:szCs w:val="22"/>
        </w:rPr>
        <w:t>Σ ΤΗΛΕΠΙΚΟΙΝΩΝΙΕΣ ΑΕ και ΟΤΕ AE</w:t>
      </w:r>
      <w:r w:rsidRPr="00E16B73">
        <w:rPr>
          <w:szCs w:val="22"/>
        </w:rPr>
        <w:t xml:space="preserve">). Ακολουθούν </w:t>
      </w:r>
      <w:r>
        <w:rPr>
          <w:szCs w:val="22"/>
        </w:rPr>
        <w:t>μιαεταιρεία του κλάδου Τυχερών Παιχνιδιών (Ο.Π.Α.Π. ΟΡΓΑΝΙΣΜΟΣ ΠΡΟΓΝΩΣΤΙΚΩΝ ΑΓΩΝΩΝ ΠΟΔΟΣΦΑΙΡΟΥ ΑΕ) και μία ακόμη εταιρεία του κλάδου Ενέργεια-Νερό</w:t>
      </w:r>
      <w:r w:rsidRPr="00E16B73">
        <w:rPr>
          <w:szCs w:val="22"/>
        </w:rPr>
        <w:t xml:space="preserve"> (</w:t>
      </w:r>
      <w:r>
        <w:rPr>
          <w:szCs w:val="22"/>
        </w:rPr>
        <w:t xml:space="preserve">ΑΔΜΗΕ ΑΕ). </w:t>
      </w:r>
      <w:r w:rsidRPr="00E16B73">
        <w:rPr>
          <w:szCs w:val="22"/>
        </w:rPr>
        <w:t xml:space="preserve">Οι 5 αυτές επιχειρήσεις πραγματοποίησαν από κοινού συνολικά κέρδη EBITDA ύψους </w:t>
      </w:r>
      <w:r w:rsidRPr="00E16B73">
        <w:rPr>
          <w:b/>
          <w:szCs w:val="22"/>
        </w:rPr>
        <w:t>€</w:t>
      </w:r>
      <w:r>
        <w:rPr>
          <w:b/>
          <w:szCs w:val="22"/>
        </w:rPr>
        <w:t>1.827</w:t>
      </w:r>
      <w:r w:rsidRPr="00E16B73">
        <w:rPr>
          <w:b/>
          <w:szCs w:val="22"/>
        </w:rPr>
        <w:t xml:space="preserve"> εκατ.</w:t>
      </w:r>
      <w:r w:rsidRPr="00E16B73">
        <w:rPr>
          <w:szCs w:val="22"/>
        </w:rPr>
        <w:t xml:space="preserve"> και κάλυψαν μερίδιο </w:t>
      </w:r>
      <w:r>
        <w:rPr>
          <w:b/>
          <w:szCs w:val="22"/>
        </w:rPr>
        <w:t>40,5</w:t>
      </w:r>
      <w:r w:rsidRPr="00E16B73">
        <w:rPr>
          <w:b/>
          <w:szCs w:val="22"/>
        </w:rPr>
        <w:t>%</w:t>
      </w:r>
      <w:r w:rsidRPr="00E16B73">
        <w:rPr>
          <w:szCs w:val="22"/>
        </w:rPr>
        <w:t xml:space="preserve"> του συνόλου των αντίστοιχων κερδών των 1</w:t>
      </w:r>
      <w:r>
        <w:rPr>
          <w:szCs w:val="22"/>
        </w:rPr>
        <w:t>42</w:t>
      </w:r>
      <w:r w:rsidRPr="00E16B73">
        <w:rPr>
          <w:szCs w:val="22"/>
        </w:rPr>
        <w:t xml:space="preserve"> εταιρειών του τομέα. Από τα παραπάνω είναι προφανές ότι και στον τομέα  των Λοιπών Υπηρεσιών υφίσταται αυξημένη συγκέντρωση της κερδοφορίας. </w:t>
      </w:r>
    </w:p>
    <w:p w:rsidR="0096399A" w:rsidRPr="00E16B73" w:rsidRDefault="0096399A" w:rsidP="0096399A">
      <w:pPr>
        <w:pStyle w:val="ae"/>
        <w:spacing w:line="360" w:lineRule="auto"/>
        <w:ind w:firstLine="0"/>
        <w:jc w:val="both"/>
        <w:rPr>
          <w:szCs w:val="22"/>
        </w:rPr>
      </w:pPr>
      <w:r w:rsidRPr="00E16B73">
        <w:rPr>
          <w:szCs w:val="22"/>
        </w:rPr>
        <w:t>Οι πέντε κορυφαίοι κλάδοι του τομέα Λοιπών Υπηρεσιών, όπως προκύπτουν από την κλαδική κατανομή των κερδών για το 201</w:t>
      </w:r>
      <w:r>
        <w:rPr>
          <w:szCs w:val="22"/>
        </w:rPr>
        <w:t>3</w:t>
      </w:r>
      <w:r w:rsidRPr="00E16B73">
        <w:rPr>
          <w:szCs w:val="22"/>
        </w:rPr>
        <w:t>, ήταν οι εξής:</w:t>
      </w:r>
    </w:p>
    <w:p w:rsidR="0096399A" w:rsidRPr="00D13A51" w:rsidRDefault="0096399A" w:rsidP="0096399A">
      <w:pPr>
        <w:pStyle w:val="ae"/>
        <w:jc w:val="both"/>
        <w:rPr>
          <w:highlight w:val="yellow"/>
        </w:rPr>
      </w:pPr>
    </w:p>
    <w:tbl>
      <w:tblPr>
        <w:tblW w:w="9729" w:type="dxa"/>
        <w:tblBorders>
          <w:insideH w:val="single" w:sz="18" w:space="0" w:color="FFFFFF"/>
          <w:insideV w:val="single" w:sz="18" w:space="0" w:color="FFFFFF"/>
        </w:tblBorders>
        <w:tblLayout w:type="fixed"/>
        <w:tblLook w:val="00A0"/>
      </w:tblPr>
      <w:tblGrid>
        <w:gridCol w:w="3243"/>
        <w:gridCol w:w="1621"/>
        <w:gridCol w:w="1622"/>
        <w:gridCol w:w="1621"/>
        <w:gridCol w:w="1622"/>
      </w:tblGrid>
      <w:tr w:rsidR="0096399A" w:rsidRPr="00CB476D" w:rsidTr="00BD50B4">
        <w:trPr>
          <w:trHeight w:val="57"/>
        </w:trPr>
        <w:tc>
          <w:tcPr>
            <w:tcW w:w="9729" w:type="dxa"/>
            <w:gridSpan w:val="5"/>
            <w:shd w:val="pct20" w:color="000000" w:fill="FFFFFF"/>
            <w:noWrap/>
          </w:tcPr>
          <w:p w:rsidR="0096399A" w:rsidRPr="00733C5D" w:rsidRDefault="0096399A" w:rsidP="00BD50B4">
            <w:pPr>
              <w:pStyle w:val="a7"/>
              <w:rPr>
                <w:bCs/>
                <w:sz w:val="20"/>
                <w:szCs w:val="20"/>
                <w:lang w:val="el-GR"/>
              </w:rPr>
            </w:pPr>
            <w:bookmarkStart w:id="11" w:name="_Toc207785922"/>
            <w:r w:rsidRPr="00733C5D">
              <w:rPr>
                <w:bCs/>
                <w:sz w:val="20"/>
                <w:szCs w:val="20"/>
                <w:lang w:val="el-GR"/>
              </w:rPr>
              <w:t>Πίνακας 7. Κορυφαίοι Κλάδοι του Τομέα Λοιπών Υπηρεσιών Βάσει Κερδοφορίας - 20</w:t>
            </w:r>
            <w:bookmarkEnd w:id="11"/>
            <w:r w:rsidRPr="00733C5D">
              <w:rPr>
                <w:bCs/>
                <w:sz w:val="20"/>
                <w:szCs w:val="20"/>
                <w:lang w:val="el-GR"/>
              </w:rPr>
              <w:t>13</w:t>
            </w:r>
          </w:p>
        </w:tc>
      </w:tr>
      <w:tr w:rsidR="0096399A" w:rsidRPr="009B73F0" w:rsidTr="00BD50B4">
        <w:trPr>
          <w:trHeight w:val="57"/>
        </w:trPr>
        <w:tc>
          <w:tcPr>
            <w:tcW w:w="3243" w:type="dxa"/>
            <w:shd w:val="pct5" w:color="000000" w:fill="FFFFFF"/>
            <w:noWrap/>
          </w:tcPr>
          <w:p w:rsidR="0096399A" w:rsidRPr="009B73F0" w:rsidRDefault="0096399A" w:rsidP="00BD50B4">
            <w:pPr>
              <w:jc w:val="center"/>
              <w:rPr>
                <w:b/>
                <w:sz w:val="20"/>
                <w:szCs w:val="20"/>
                <w:lang w:val="el-GR"/>
              </w:rPr>
            </w:pPr>
          </w:p>
          <w:p w:rsidR="0096399A" w:rsidRPr="009B73F0" w:rsidRDefault="0096399A" w:rsidP="00BD50B4">
            <w:pPr>
              <w:jc w:val="center"/>
              <w:rPr>
                <w:b/>
                <w:sz w:val="20"/>
                <w:szCs w:val="20"/>
                <w:lang w:val="el-GR"/>
              </w:rPr>
            </w:pPr>
            <w:r w:rsidRPr="009B73F0">
              <w:rPr>
                <w:b/>
                <w:sz w:val="20"/>
                <w:szCs w:val="20"/>
                <w:lang w:val="el-GR"/>
              </w:rPr>
              <w:t>Κλάδος</w:t>
            </w:r>
          </w:p>
        </w:tc>
        <w:tc>
          <w:tcPr>
            <w:tcW w:w="1621" w:type="dxa"/>
            <w:shd w:val="pct5" w:color="000000" w:fill="FFFFFF"/>
            <w:noWrap/>
          </w:tcPr>
          <w:p w:rsidR="0096399A" w:rsidRPr="009B73F0" w:rsidRDefault="0096399A" w:rsidP="00BD50B4">
            <w:pPr>
              <w:jc w:val="center"/>
              <w:rPr>
                <w:b/>
                <w:sz w:val="20"/>
                <w:szCs w:val="20"/>
                <w:lang w:val="el-GR"/>
              </w:rPr>
            </w:pPr>
            <w:r w:rsidRPr="009B73F0">
              <w:rPr>
                <w:b/>
                <w:sz w:val="20"/>
                <w:szCs w:val="20"/>
                <w:lang w:val="el-GR"/>
              </w:rPr>
              <w:t>Πλήθος Εταιρειών</w:t>
            </w:r>
          </w:p>
        </w:tc>
        <w:tc>
          <w:tcPr>
            <w:tcW w:w="1622" w:type="dxa"/>
            <w:shd w:val="pct5" w:color="000000" w:fill="FFFFFF"/>
            <w:noWrap/>
          </w:tcPr>
          <w:p w:rsidR="0096399A" w:rsidRPr="009B73F0" w:rsidRDefault="0096399A" w:rsidP="00BD50B4">
            <w:pPr>
              <w:jc w:val="center"/>
              <w:rPr>
                <w:b/>
                <w:sz w:val="20"/>
                <w:szCs w:val="20"/>
                <w:lang w:val="el-GR"/>
              </w:rPr>
            </w:pPr>
            <w:r w:rsidRPr="009B73F0">
              <w:rPr>
                <w:b/>
                <w:sz w:val="20"/>
                <w:szCs w:val="20"/>
                <w:lang w:val="el-GR"/>
              </w:rPr>
              <w:t>Κέρδη EBITDA (χιλ. €)</w:t>
            </w:r>
          </w:p>
        </w:tc>
        <w:tc>
          <w:tcPr>
            <w:tcW w:w="1621" w:type="dxa"/>
            <w:shd w:val="pct5" w:color="000000" w:fill="FFFFFF"/>
          </w:tcPr>
          <w:p w:rsidR="0096399A" w:rsidRPr="009B73F0" w:rsidRDefault="0096399A" w:rsidP="00BD50B4">
            <w:pPr>
              <w:jc w:val="center"/>
              <w:rPr>
                <w:b/>
                <w:sz w:val="20"/>
                <w:szCs w:val="20"/>
                <w:lang w:val="el-GR"/>
              </w:rPr>
            </w:pPr>
            <w:r w:rsidRPr="009B73F0">
              <w:rPr>
                <w:b/>
                <w:sz w:val="20"/>
                <w:szCs w:val="20"/>
                <w:lang w:val="el-GR"/>
              </w:rPr>
              <w:t>Κύκλος Εργασιών</w:t>
            </w:r>
          </w:p>
          <w:p w:rsidR="0096399A" w:rsidRPr="009B73F0" w:rsidRDefault="0096399A" w:rsidP="00BD50B4">
            <w:pPr>
              <w:jc w:val="center"/>
              <w:rPr>
                <w:b/>
                <w:sz w:val="20"/>
                <w:szCs w:val="20"/>
                <w:lang w:val="el-GR"/>
              </w:rPr>
            </w:pPr>
            <w:r w:rsidRPr="009B73F0">
              <w:rPr>
                <w:b/>
                <w:sz w:val="20"/>
                <w:szCs w:val="20"/>
                <w:lang w:val="el-GR"/>
              </w:rPr>
              <w:t>(χιλ. €)</w:t>
            </w:r>
          </w:p>
        </w:tc>
        <w:tc>
          <w:tcPr>
            <w:tcW w:w="1622" w:type="dxa"/>
            <w:shd w:val="pct5" w:color="000000" w:fill="FFFFFF"/>
          </w:tcPr>
          <w:p w:rsidR="0096399A" w:rsidRPr="009B73F0" w:rsidRDefault="0096399A" w:rsidP="00BD50B4">
            <w:pPr>
              <w:jc w:val="center"/>
              <w:rPr>
                <w:b/>
                <w:sz w:val="20"/>
                <w:szCs w:val="20"/>
                <w:lang w:val="el-GR"/>
              </w:rPr>
            </w:pPr>
            <w:r w:rsidRPr="009B73F0">
              <w:rPr>
                <w:b/>
                <w:sz w:val="20"/>
                <w:szCs w:val="20"/>
                <w:lang w:val="el-GR"/>
              </w:rPr>
              <w:t xml:space="preserve">(%) Κύκλου Εργασιών </w:t>
            </w:r>
            <w:r>
              <w:rPr>
                <w:b/>
                <w:sz w:val="20"/>
                <w:szCs w:val="20"/>
                <w:lang w:val="el-GR"/>
              </w:rPr>
              <w:t xml:space="preserve">Λοιπών </w:t>
            </w:r>
            <w:r w:rsidRPr="009B73F0">
              <w:rPr>
                <w:b/>
                <w:sz w:val="20"/>
                <w:szCs w:val="20"/>
                <w:lang w:val="el-GR"/>
              </w:rPr>
              <w:t>Υπηρεσιών</w:t>
            </w:r>
          </w:p>
        </w:tc>
      </w:tr>
      <w:tr w:rsidR="0096399A" w:rsidRPr="009B73F0" w:rsidTr="00BD50B4">
        <w:trPr>
          <w:trHeight w:val="57"/>
        </w:trPr>
        <w:tc>
          <w:tcPr>
            <w:tcW w:w="3243" w:type="dxa"/>
            <w:shd w:val="pct20" w:color="000000" w:fill="FFFFFF"/>
            <w:noWrap/>
          </w:tcPr>
          <w:p w:rsidR="0096399A" w:rsidRPr="009B73F0" w:rsidRDefault="0096399A" w:rsidP="00BD50B4">
            <w:pPr>
              <w:rPr>
                <w:sz w:val="20"/>
                <w:szCs w:val="20"/>
              </w:rPr>
            </w:pPr>
            <w:r w:rsidRPr="009B73F0">
              <w:rPr>
                <w:sz w:val="20"/>
                <w:szCs w:val="20"/>
              </w:rPr>
              <w:t>Ενέργεια - Νερό</w:t>
            </w:r>
          </w:p>
        </w:tc>
        <w:tc>
          <w:tcPr>
            <w:tcW w:w="1621" w:type="dxa"/>
            <w:shd w:val="pct20" w:color="000000" w:fill="FFFFFF"/>
            <w:noWrap/>
          </w:tcPr>
          <w:p w:rsidR="0096399A" w:rsidRPr="009B73F0" w:rsidRDefault="0096399A" w:rsidP="00BD50B4">
            <w:pPr>
              <w:jc w:val="center"/>
              <w:rPr>
                <w:color w:val="000000"/>
                <w:lang w:val="el-GR"/>
              </w:rPr>
            </w:pPr>
            <w:r>
              <w:rPr>
                <w:color w:val="000000"/>
                <w:sz w:val="22"/>
                <w:szCs w:val="22"/>
                <w:lang w:val="el-GR"/>
              </w:rPr>
              <w:t>29</w:t>
            </w:r>
          </w:p>
        </w:tc>
        <w:tc>
          <w:tcPr>
            <w:tcW w:w="1622" w:type="dxa"/>
            <w:shd w:val="pct20" w:color="000000" w:fill="FFFFFF"/>
            <w:noWrap/>
          </w:tcPr>
          <w:p w:rsidR="0096399A" w:rsidRPr="009B73F0" w:rsidRDefault="0096399A" w:rsidP="00BD50B4">
            <w:pPr>
              <w:ind w:right="236"/>
              <w:jc w:val="right"/>
              <w:rPr>
                <w:lang w:val="el-GR"/>
              </w:rPr>
            </w:pPr>
            <w:r>
              <w:rPr>
                <w:sz w:val="22"/>
                <w:szCs w:val="22"/>
                <w:lang w:val="el-GR"/>
              </w:rPr>
              <w:t>1.607.917</w:t>
            </w:r>
          </w:p>
        </w:tc>
        <w:tc>
          <w:tcPr>
            <w:tcW w:w="1621" w:type="dxa"/>
            <w:shd w:val="pct20" w:color="000000" w:fill="FFFFFF"/>
          </w:tcPr>
          <w:p w:rsidR="0096399A" w:rsidRPr="009B73F0" w:rsidRDefault="0096399A" w:rsidP="00BD50B4">
            <w:pPr>
              <w:ind w:right="298"/>
              <w:jc w:val="right"/>
              <w:rPr>
                <w:lang w:val="el-GR"/>
              </w:rPr>
            </w:pPr>
            <w:r>
              <w:rPr>
                <w:sz w:val="22"/>
                <w:szCs w:val="22"/>
                <w:lang w:val="el-GR"/>
              </w:rPr>
              <w:t>11.527.815</w:t>
            </w:r>
          </w:p>
        </w:tc>
        <w:tc>
          <w:tcPr>
            <w:tcW w:w="1622" w:type="dxa"/>
            <w:shd w:val="pct20" w:color="000000" w:fill="FFFFFF"/>
          </w:tcPr>
          <w:p w:rsidR="0096399A" w:rsidRPr="009B73F0" w:rsidRDefault="0096399A" w:rsidP="00BD50B4">
            <w:pPr>
              <w:ind w:right="570"/>
              <w:jc w:val="right"/>
              <w:rPr>
                <w:lang w:val="el-GR"/>
              </w:rPr>
            </w:pPr>
            <w:r>
              <w:rPr>
                <w:sz w:val="22"/>
                <w:szCs w:val="22"/>
                <w:lang w:val="el-GR"/>
              </w:rPr>
              <w:t>43,3</w:t>
            </w:r>
          </w:p>
        </w:tc>
      </w:tr>
      <w:tr w:rsidR="0096399A" w:rsidRPr="009B73F0" w:rsidTr="00BD50B4">
        <w:trPr>
          <w:trHeight w:val="57"/>
        </w:trPr>
        <w:tc>
          <w:tcPr>
            <w:tcW w:w="3243" w:type="dxa"/>
            <w:shd w:val="pct5" w:color="000000" w:fill="FFFFFF"/>
            <w:noWrap/>
          </w:tcPr>
          <w:p w:rsidR="0096399A" w:rsidRPr="009B73F0" w:rsidRDefault="0096399A" w:rsidP="00BD50B4">
            <w:pPr>
              <w:rPr>
                <w:sz w:val="20"/>
                <w:szCs w:val="20"/>
              </w:rPr>
            </w:pPr>
            <w:r w:rsidRPr="009B73F0">
              <w:rPr>
                <w:sz w:val="20"/>
                <w:szCs w:val="20"/>
              </w:rPr>
              <w:t>Τηλεπικοινωνίες</w:t>
            </w:r>
          </w:p>
        </w:tc>
        <w:tc>
          <w:tcPr>
            <w:tcW w:w="1621" w:type="dxa"/>
            <w:shd w:val="pct5" w:color="000000" w:fill="FFFFFF"/>
            <w:noWrap/>
          </w:tcPr>
          <w:p w:rsidR="0096399A" w:rsidRPr="00CC1D9C" w:rsidRDefault="0096399A" w:rsidP="00BD50B4">
            <w:pPr>
              <w:jc w:val="center"/>
              <w:rPr>
                <w:lang w:val="el-GR"/>
              </w:rPr>
            </w:pPr>
            <w:r>
              <w:rPr>
                <w:sz w:val="22"/>
                <w:szCs w:val="22"/>
                <w:lang w:val="el-GR"/>
              </w:rPr>
              <w:t>9</w:t>
            </w:r>
          </w:p>
        </w:tc>
        <w:tc>
          <w:tcPr>
            <w:tcW w:w="1622" w:type="dxa"/>
            <w:shd w:val="pct5" w:color="000000" w:fill="FFFFFF"/>
            <w:noWrap/>
          </w:tcPr>
          <w:p w:rsidR="0096399A" w:rsidRPr="00CC1D9C" w:rsidRDefault="0096399A" w:rsidP="00BD50B4">
            <w:pPr>
              <w:ind w:right="236"/>
              <w:jc w:val="right"/>
              <w:rPr>
                <w:lang w:val="el-GR"/>
              </w:rPr>
            </w:pPr>
            <w:r>
              <w:rPr>
                <w:sz w:val="22"/>
                <w:szCs w:val="22"/>
                <w:lang w:val="el-GR"/>
              </w:rPr>
              <w:t>1.201.819</w:t>
            </w:r>
          </w:p>
        </w:tc>
        <w:tc>
          <w:tcPr>
            <w:tcW w:w="1621" w:type="dxa"/>
            <w:shd w:val="pct5" w:color="000000" w:fill="FFFFFF"/>
          </w:tcPr>
          <w:p w:rsidR="0096399A" w:rsidRPr="00CC1D9C" w:rsidRDefault="0096399A" w:rsidP="00BD50B4">
            <w:pPr>
              <w:ind w:right="298"/>
              <w:jc w:val="right"/>
              <w:rPr>
                <w:lang w:val="el-GR"/>
              </w:rPr>
            </w:pPr>
            <w:r>
              <w:rPr>
                <w:sz w:val="22"/>
                <w:szCs w:val="22"/>
                <w:lang w:val="el-GR"/>
              </w:rPr>
              <w:t>4.817.942</w:t>
            </w:r>
          </w:p>
        </w:tc>
        <w:tc>
          <w:tcPr>
            <w:tcW w:w="1622" w:type="dxa"/>
            <w:shd w:val="pct5" w:color="000000" w:fill="FFFFFF"/>
          </w:tcPr>
          <w:p w:rsidR="0096399A" w:rsidRPr="008E3AA2" w:rsidRDefault="0096399A" w:rsidP="00BD50B4">
            <w:pPr>
              <w:ind w:right="570"/>
              <w:jc w:val="right"/>
              <w:rPr>
                <w:lang w:val="el-GR"/>
              </w:rPr>
            </w:pPr>
            <w:r>
              <w:rPr>
                <w:sz w:val="22"/>
                <w:szCs w:val="22"/>
                <w:lang w:val="el-GR"/>
              </w:rPr>
              <w:t>18,1</w:t>
            </w:r>
          </w:p>
        </w:tc>
      </w:tr>
      <w:tr w:rsidR="0096399A" w:rsidRPr="009B73F0" w:rsidTr="00BD50B4">
        <w:trPr>
          <w:trHeight w:val="57"/>
        </w:trPr>
        <w:tc>
          <w:tcPr>
            <w:tcW w:w="3243" w:type="dxa"/>
            <w:shd w:val="pct20" w:color="000000" w:fill="FFFFFF"/>
            <w:noWrap/>
          </w:tcPr>
          <w:p w:rsidR="0096399A" w:rsidRPr="00CC1D9C" w:rsidRDefault="0096399A" w:rsidP="00BD50B4">
            <w:pPr>
              <w:rPr>
                <w:sz w:val="20"/>
                <w:szCs w:val="20"/>
                <w:lang w:val="el-GR"/>
              </w:rPr>
            </w:pPr>
            <w:r>
              <w:rPr>
                <w:sz w:val="20"/>
                <w:szCs w:val="20"/>
                <w:lang w:val="el-GR"/>
              </w:rPr>
              <w:t>Υπηρεσίες Μεταφορών</w:t>
            </w:r>
          </w:p>
        </w:tc>
        <w:tc>
          <w:tcPr>
            <w:tcW w:w="1621" w:type="dxa"/>
            <w:shd w:val="pct20" w:color="000000" w:fill="FFFFFF"/>
            <w:noWrap/>
          </w:tcPr>
          <w:p w:rsidR="0096399A" w:rsidRPr="009B73F0" w:rsidRDefault="0096399A" w:rsidP="00BD50B4">
            <w:pPr>
              <w:jc w:val="center"/>
              <w:rPr>
                <w:color w:val="000000"/>
                <w:lang w:val="el-GR"/>
              </w:rPr>
            </w:pPr>
            <w:r>
              <w:rPr>
                <w:color w:val="000000"/>
                <w:sz w:val="22"/>
                <w:szCs w:val="22"/>
                <w:lang w:val="el-GR"/>
              </w:rPr>
              <w:t>15</w:t>
            </w:r>
          </w:p>
        </w:tc>
        <w:tc>
          <w:tcPr>
            <w:tcW w:w="1622" w:type="dxa"/>
            <w:shd w:val="pct20" w:color="000000" w:fill="FFFFFF"/>
            <w:noWrap/>
          </w:tcPr>
          <w:p w:rsidR="0096399A" w:rsidRPr="00CC1D9C" w:rsidRDefault="0096399A" w:rsidP="00BD50B4">
            <w:pPr>
              <w:ind w:right="236"/>
              <w:jc w:val="right"/>
              <w:rPr>
                <w:lang w:val="el-GR"/>
              </w:rPr>
            </w:pPr>
            <w:r>
              <w:rPr>
                <w:sz w:val="22"/>
                <w:szCs w:val="22"/>
                <w:lang w:val="el-GR"/>
              </w:rPr>
              <w:t>509.945</w:t>
            </w:r>
          </w:p>
        </w:tc>
        <w:tc>
          <w:tcPr>
            <w:tcW w:w="1621" w:type="dxa"/>
            <w:shd w:val="pct20" w:color="000000" w:fill="FFFFFF"/>
          </w:tcPr>
          <w:p w:rsidR="0096399A" w:rsidRPr="00CC1D9C" w:rsidRDefault="0096399A" w:rsidP="00BD50B4">
            <w:pPr>
              <w:ind w:right="298"/>
              <w:jc w:val="right"/>
              <w:rPr>
                <w:lang w:val="el-GR"/>
              </w:rPr>
            </w:pPr>
            <w:r>
              <w:rPr>
                <w:sz w:val="22"/>
                <w:szCs w:val="22"/>
                <w:lang w:val="el-GR"/>
              </w:rPr>
              <w:t>1.120.889</w:t>
            </w:r>
          </w:p>
        </w:tc>
        <w:tc>
          <w:tcPr>
            <w:tcW w:w="1622" w:type="dxa"/>
            <w:shd w:val="pct20" w:color="000000" w:fill="FFFFFF"/>
          </w:tcPr>
          <w:p w:rsidR="0096399A" w:rsidRPr="009B73F0" w:rsidRDefault="0096399A" w:rsidP="00BD50B4">
            <w:pPr>
              <w:ind w:right="570"/>
              <w:jc w:val="right"/>
              <w:rPr>
                <w:lang w:val="el-GR"/>
              </w:rPr>
            </w:pPr>
            <w:r>
              <w:rPr>
                <w:sz w:val="22"/>
                <w:szCs w:val="22"/>
                <w:lang w:val="el-GR"/>
              </w:rPr>
              <w:t>4,2</w:t>
            </w:r>
          </w:p>
        </w:tc>
      </w:tr>
      <w:tr w:rsidR="0096399A" w:rsidRPr="009B73F0" w:rsidTr="00BD50B4">
        <w:trPr>
          <w:trHeight w:val="57"/>
        </w:trPr>
        <w:tc>
          <w:tcPr>
            <w:tcW w:w="3243" w:type="dxa"/>
            <w:shd w:val="pct5" w:color="000000" w:fill="FFFFFF"/>
            <w:noWrap/>
          </w:tcPr>
          <w:p w:rsidR="0096399A" w:rsidRPr="00CC1D9C" w:rsidRDefault="0096399A" w:rsidP="00BD50B4">
            <w:pPr>
              <w:rPr>
                <w:sz w:val="20"/>
                <w:szCs w:val="20"/>
                <w:lang w:val="el-GR"/>
              </w:rPr>
            </w:pPr>
            <w:r>
              <w:rPr>
                <w:sz w:val="20"/>
                <w:szCs w:val="20"/>
                <w:lang w:val="el-GR"/>
              </w:rPr>
              <w:t>Τυχερά Παιχνίδια - Καζίνο</w:t>
            </w:r>
          </w:p>
        </w:tc>
        <w:tc>
          <w:tcPr>
            <w:tcW w:w="1621" w:type="dxa"/>
            <w:shd w:val="pct5" w:color="000000" w:fill="FFFFFF"/>
            <w:noWrap/>
          </w:tcPr>
          <w:p w:rsidR="0096399A" w:rsidRPr="009B73F0" w:rsidRDefault="0096399A" w:rsidP="00BD50B4">
            <w:pPr>
              <w:jc w:val="center"/>
              <w:rPr>
                <w:color w:val="000000"/>
                <w:lang w:val="el-GR"/>
              </w:rPr>
            </w:pPr>
            <w:r>
              <w:rPr>
                <w:color w:val="000000"/>
                <w:sz w:val="22"/>
                <w:szCs w:val="22"/>
                <w:lang w:val="el-GR"/>
              </w:rPr>
              <w:t>3</w:t>
            </w:r>
          </w:p>
        </w:tc>
        <w:tc>
          <w:tcPr>
            <w:tcW w:w="1622" w:type="dxa"/>
            <w:shd w:val="pct5" w:color="000000" w:fill="FFFFFF"/>
            <w:noWrap/>
          </w:tcPr>
          <w:p w:rsidR="0096399A" w:rsidRPr="00CC1D9C" w:rsidRDefault="0096399A" w:rsidP="00BD50B4">
            <w:pPr>
              <w:ind w:right="236"/>
              <w:jc w:val="right"/>
              <w:rPr>
                <w:lang w:val="el-GR"/>
              </w:rPr>
            </w:pPr>
            <w:r>
              <w:rPr>
                <w:sz w:val="22"/>
                <w:szCs w:val="22"/>
                <w:lang w:val="el-GR"/>
              </w:rPr>
              <w:t>233.646</w:t>
            </w:r>
          </w:p>
        </w:tc>
        <w:tc>
          <w:tcPr>
            <w:tcW w:w="1621" w:type="dxa"/>
            <w:shd w:val="pct5" w:color="000000" w:fill="FFFFFF"/>
          </w:tcPr>
          <w:p w:rsidR="0096399A" w:rsidRPr="00CC1D9C" w:rsidRDefault="0096399A" w:rsidP="00BD50B4">
            <w:pPr>
              <w:ind w:right="298"/>
              <w:jc w:val="right"/>
              <w:rPr>
                <w:lang w:val="el-GR"/>
              </w:rPr>
            </w:pPr>
            <w:r>
              <w:rPr>
                <w:sz w:val="22"/>
                <w:szCs w:val="22"/>
                <w:lang w:val="el-GR"/>
              </w:rPr>
              <w:t>3.627.250</w:t>
            </w:r>
          </w:p>
        </w:tc>
        <w:tc>
          <w:tcPr>
            <w:tcW w:w="1622" w:type="dxa"/>
            <w:shd w:val="pct5" w:color="000000" w:fill="FFFFFF"/>
          </w:tcPr>
          <w:p w:rsidR="0096399A" w:rsidRPr="009B73F0" w:rsidRDefault="0096399A" w:rsidP="00BD50B4">
            <w:pPr>
              <w:ind w:right="570"/>
              <w:jc w:val="right"/>
              <w:rPr>
                <w:lang w:val="el-GR"/>
              </w:rPr>
            </w:pPr>
            <w:r>
              <w:rPr>
                <w:sz w:val="22"/>
                <w:szCs w:val="22"/>
                <w:lang w:val="el-GR"/>
              </w:rPr>
              <w:t>13,6</w:t>
            </w:r>
          </w:p>
        </w:tc>
      </w:tr>
      <w:tr w:rsidR="0096399A" w:rsidRPr="009B73F0" w:rsidTr="00BD50B4">
        <w:trPr>
          <w:trHeight w:val="57"/>
        </w:trPr>
        <w:tc>
          <w:tcPr>
            <w:tcW w:w="3243" w:type="dxa"/>
            <w:shd w:val="pct20" w:color="000000" w:fill="FFFFFF"/>
            <w:noWrap/>
          </w:tcPr>
          <w:p w:rsidR="0096399A" w:rsidRPr="00CC1D9C" w:rsidRDefault="0096399A" w:rsidP="00BD50B4">
            <w:pPr>
              <w:rPr>
                <w:sz w:val="20"/>
                <w:szCs w:val="20"/>
                <w:lang w:val="el-GR"/>
              </w:rPr>
            </w:pPr>
            <w:r>
              <w:rPr>
                <w:sz w:val="20"/>
                <w:szCs w:val="20"/>
                <w:lang w:val="el-GR"/>
              </w:rPr>
              <w:t>Τεχνικές - Οικοδομικές</w:t>
            </w:r>
          </w:p>
        </w:tc>
        <w:tc>
          <w:tcPr>
            <w:tcW w:w="1621" w:type="dxa"/>
            <w:shd w:val="pct20" w:color="000000" w:fill="FFFFFF"/>
            <w:noWrap/>
          </w:tcPr>
          <w:p w:rsidR="0096399A" w:rsidRPr="009B73F0" w:rsidRDefault="0096399A" w:rsidP="00BD50B4">
            <w:pPr>
              <w:jc w:val="center"/>
              <w:rPr>
                <w:color w:val="000000"/>
                <w:lang w:val="el-GR"/>
              </w:rPr>
            </w:pPr>
            <w:r>
              <w:rPr>
                <w:color w:val="000000"/>
                <w:sz w:val="22"/>
                <w:szCs w:val="22"/>
                <w:lang w:val="el-GR"/>
              </w:rPr>
              <w:t>14</w:t>
            </w:r>
          </w:p>
        </w:tc>
        <w:tc>
          <w:tcPr>
            <w:tcW w:w="1622" w:type="dxa"/>
            <w:shd w:val="pct20" w:color="000000" w:fill="FFFFFF"/>
            <w:noWrap/>
          </w:tcPr>
          <w:p w:rsidR="0096399A" w:rsidRPr="00CC1D9C" w:rsidRDefault="0096399A" w:rsidP="00BD50B4">
            <w:pPr>
              <w:ind w:right="236"/>
              <w:jc w:val="right"/>
              <w:rPr>
                <w:lang w:val="el-GR"/>
              </w:rPr>
            </w:pPr>
            <w:r>
              <w:rPr>
                <w:sz w:val="22"/>
                <w:szCs w:val="22"/>
                <w:lang w:val="el-GR"/>
              </w:rPr>
              <w:t>200.544</w:t>
            </w:r>
          </w:p>
        </w:tc>
        <w:tc>
          <w:tcPr>
            <w:tcW w:w="1621" w:type="dxa"/>
            <w:shd w:val="pct20" w:color="000000" w:fill="FFFFFF"/>
          </w:tcPr>
          <w:p w:rsidR="0096399A" w:rsidRPr="00CC1D9C" w:rsidRDefault="0096399A" w:rsidP="00BD50B4">
            <w:pPr>
              <w:ind w:right="298"/>
              <w:jc w:val="right"/>
              <w:rPr>
                <w:lang w:val="el-GR"/>
              </w:rPr>
            </w:pPr>
            <w:r>
              <w:rPr>
                <w:sz w:val="22"/>
                <w:szCs w:val="22"/>
                <w:lang w:val="el-GR"/>
              </w:rPr>
              <w:t>1.283.961</w:t>
            </w:r>
          </w:p>
        </w:tc>
        <w:tc>
          <w:tcPr>
            <w:tcW w:w="1622" w:type="dxa"/>
            <w:shd w:val="pct20" w:color="000000" w:fill="FFFFFF"/>
          </w:tcPr>
          <w:p w:rsidR="0096399A" w:rsidRPr="009B73F0" w:rsidRDefault="0096399A" w:rsidP="00BD50B4">
            <w:pPr>
              <w:ind w:right="570"/>
              <w:jc w:val="right"/>
              <w:rPr>
                <w:lang w:val="el-GR"/>
              </w:rPr>
            </w:pPr>
            <w:r>
              <w:rPr>
                <w:sz w:val="22"/>
                <w:szCs w:val="22"/>
                <w:lang w:val="el-GR"/>
              </w:rPr>
              <w:t>4,8</w:t>
            </w:r>
          </w:p>
        </w:tc>
      </w:tr>
    </w:tbl>
    <w:p w:rsidR="0096399A" w:rsidRPr="00D13A51" w:rsidRDefault="0096399A" w:rsidP="0096399A">
      <w:pPr>
        <w:pStyle w:val="ae"/>
        <w:rPr>
          <w:highlight w:val="yellow"/>
        </w:rPr>
      </w:pPr>
    </w:p>
    <w:p w:rsidR="0096399A" w:rsidRPr="00E16B73" w:rsidRDefault="0096399A" w:rsidP="0096399A">
      <w:pPr>
        <w:pStyle w:val="ae"/>
        <w:spacing w:line="360" w:lineRule="auto"/>
        <w:ind w:firstLine="0"/>
        <w:jc w:val="both"/>
        <w:rPr>
          <w:szCs w:val="22"/>
        </w:rPr>
      </w:pPr>
      <w:r w:rsidRPr="00E16B73">
        <w:rPr>
          <w:szCs w:val="22"/>
        </w:rPr>
        <w:t xml:space="preserve">Οι παραπάνω κλάδοι κάλυψαν από κοινού το </w:t>
      </w:r>
      <w:r w:rsidRPr="00E16B73">
        <w:rPr>
          <w:b/>
          <w:szCs w:val="22"/>
        </w:rPr>
        <w:t>8</w:t>
      </w:r>
      <w:r>
        <w:rPr>
          <w:b/>
          <w:szCs w:val="22"/>
        </w:rPr>
        <w:t>3,2</w:t>
      </w:r>
      <w:r w:rsidRPr="00E16B73">
        <w:rPr>
          <w:b/>
          <w:szCs w:val="22"/>
        </w:rPr>
        <w:t>%</w:t>
      </w:r>
      <w:r w:rsidRPr="00E16B73">
        <w:rPr>
          <w:szCs w:val="22"/>
        </w:rPr>
        <w:t xml:space="preserve"> των συνολικών κερδών EBITDA και </w:t>
      </w:r>
      <w:r>
        <w:rPr>
          <w:szCs w:val="22"/>
        </w:rPr>
        <w:t xml:space="preserve">το </w:t>
      </w:r>
      <w:r w:rsidRPr="00345991">
        <w:rPr>
          <w:b/>
          <w:szCs w:val="22"/>
        </w:rPr>
        <w:t>84%</w:t>
      </w:r>
      <w:r>
        <w:rPr>
          <w:szCs w:val="22"/>
        </w:rPr>
        <w:t xml:space="preserve"> του </w:t>
      </w:r>
      <w:r w:rsidRPr="00E16B73">
        <w:rPr>
          <w:szCs w:val="22"/>
        </w:rPr>
        <w:t>συνολικού κύκλου εργασιών του  εν λόγω τομέα.</w:t>
      </w:r>
    </w:p>
    <w:p w:rsidR="0096399A" w:rsidRPr="00D13A51" w:rsidRDefault="0096399A" w:rsidP="0096399A">
      <w:pPr>
        <w:pStyle w:val="ae"/>
        <w:jc w:val="both"/>
        <w:rPr>
          <w:highlight w:val="yellow"/>
        </w:rPr>
      </w:pPr>
    </w:p>
    <w:p w:rsidR="0096399A" w:rsidRPr="00D13A51" w:rsidRDefault="0096399A" w:rsidP="0096399A">
      <w:pPr>
        <w:pStyle w:val="ae"/>
        <w:jc w:val="both"/>
        <w:rPr>
          <w:highlight w:val="yellow"/>
        </w:rPr>
      </w:pPr>
    </w:p>
    <w:p w:rsidR="0096399A" w:rsidRPr="00D13A51" w:rsidRDefault="0096399A" w:rsidP="0096399A">
      <w:pPr>
        <w:pStyle w:val="ae"/>
        <w:jc w:val="both"/>
        <w:rPr>
          <w:highlight w:val="yellow"/>
        </w:rPr>
      </w:pPr>
    </w:p>
    <w:p w:rsidR="0096399A" w:rsidRPr="00F44DDA" w:rsidRDefault="0096399A" w:rsidP="0096399A">
      <w:pPr>
        <w:pStyle w:val="ae"/>
        <w:numPr>
          <w:ilvl w:val="1"/>
          <w:numId w:val="3"/>
        </w:numPr>
        <w:tabs>
          <w:tab w:val="clear" w:pos="1440"/>
          <w:tab w:val="num" w:pos="480"/>
        </w:tabs>
        <w:spacing w:line="360" w:lineRule="auto"/>
        <w:ind w:left="480" w:hanging="480"/>
        <w:jc w:val="both"/>
        <w:rPr>
          <w:b/>
          <w:i/>
        </w:rPr>
      </w:pPr>
      <w:r w:rsidRPr="00F44DDA">
        <w:rPr>
          <w:b/>
          <w:i/>
        </w:rPr>
        <w:t xml:space="preserve">Τράπεζες – </w:t>
      </w:r>
      <w:r w:rsidRPr="00F44DDA">
        <w:rPr>
          <w:b/>
          <w:i/>
          <w:lang w:val="en-US"/>
        </w:rPr>
        <w:t>Factoring</w:t>
      </w:r>
    </w:p>
    <w:p w:rsidR="0096399A" w:rsidRPr="00345991" w:rsidRDefault="0096399A" w:rsidP="0096399A">
      <w:pPr>
        <w:pStyle w:val="ae"/>
        <w:spacing w:line="360" w:lineRule="auto"/>
        <w:ind w:firstLine="0"/>
        <w:jc w:val="both"/>
        <w:rPr>
          <w:szCs w:val="22"/>
        </w:rPr>
      </w:pPr>
      <w:r w:rsidRPr="00F44DDA">
        <w:rPr>
          <w:szCs w:val="22"/>
        </w:rPr>
        <w:t>Στον τομέα αυτόν την</w:t>
      </w:r>
      <w:r>
        <w:rPr>
          <w:szCs w:val="22"/>
        </w:rPr>
        <w:t xml:space="preserve"> τελευταία διετία υπήρξαν «θεαματι</w:t>
      </w:r>
      <w:r w:rsidRPr="00F44DDA">
        <w:rPr>
          <w:szCs w:val="22"/>
        </w:rPr>
        <w:t>κές» αλλαγές, αφού στη</w:t>
      </w:r>
      <w:r>
        <w:rPr>
          <w:szCs w:val="22"/>
        </w:rPr>
        <w:t>ν</w:t>
      </w:r>
      <w:r w:rsidRPr="00F44DDA">
        <w:rPr>
          <w:szCs w:val="22"/>
        </w:rPr>
        <w:t xml:space="preserve"> κατάταξη των BusinessLeaders</w:t>
      </w:r>
      <w:r>
        <w:rPr>
          <w:szCs w:val="22"/>
        </w:rPr>
        <w:t>το 2013</w:t>
      </w:r>
      <w:r w:rsidRPr="00F44DDA">
        <w:rPr>
          <w:szCs w:val="22"/>
        </w:rPr>
        <w:t xml:space="preserve"> από πλευράς του τραπεζικού συστήματος βρίσκονται μόνον </w:t>
      </w:r>
      <w:r>
        <w:rPr>
          <w:szCs w:val="22"/>
        </w:rPr>
        <w:t>τρεις</w:t>
      </w:r>
      <w:r w:rsidRPr="00F44DDA">
        <w:rPr>
          <w:szCs w:val="22"/>
        </w:rPr>
        <w:t xml:space="preserve"> τράπεζες</w:t>
      </w:r>
      <w:r w:rsidR="00B56D39">
        <w:rPr>
          <w:szCs w:val="22"/>
        </w:rPr>
        <w:t>,</w:t>
      </w:r>
      <w:r>
        <w:rPr>
          <w:szCs w:val="22"/>
        </w:rPr>
        <w:t>οι δύο εκ των οποίων (</w:t>
      </w:r>
      <w:r>
        <w:rPr>
          <w:szCs w:val="22"/>
          <w:lang w:val="en-US"/>
        </w:rPr>
        <w:t>ALPHABANKAE</w:t>
      </w:r>
      <w:r>
        <w:rPr>
          <w:szCs w:val="22"/>
        </w:rPr>
        <w:t>και ΠΕΙΡΑΙΩΣ ΤΡΑΠΕΖΑ ΑΕ) κατέλαβαν αντίστοιχα την 1</w:t>
      </w:r>
      <w:r w:rsidRPr="00345991">
        <w:rPr>
          <w:szCs w:val="22"/>
          <w:vertAlign w:val="superscript"/>
        </w:rPr>
        <w:t>η</w:t>
      </w:r>
      <w:r>
        <w:rPr>
          <w:szCs w:val="22"/>
        </w:rPr>
        <w:t xml:space="preserve"> και 2</w:t>
      </w:r>
      <w:r w:rsidRPr="00345991">
        <w:rPr>
          <w:szCs w:val="22"/>
          <w:vertAlign w:val="superscript"/>
        </w:rPr>
        <w:t>η</w:t>
      </w:r>
      <w:r>
        <w:rPr>
          <w:szCs w:val="22"/>
        </w:rPr>
        <w:t xml:space="preserve"> θέση των </w:t>
      </w:r>
      <w:r>
        <w:rPr>
          <w:szCs w:val="22"/>
          <w:lang w:val="en-US"/>
        </w:rPr>
        <w:t>top</w:t>
      </w:r>
      <w:r w:rsidRPr="00345991">
        <w:rPr>
          <w:szCs w:val="22"/>
        </w:rPr>
        <w:t xml:space="preserve"> 500 </w:t>
      </w:r>
      <w:r>
        <w:rPr>
          <w:szCs w:val="22"/>
        </w:rPr>
        <w:t xml:space="preserve">εταιρειών βάσει κερδών </w:t>
      </w:r>
      <w:r>
        <w:rPr>
          <w:szCs w:val="22"/>
          <w:lang w:val="en-US"/>
        </w:rPr>
        <w:t>EBITDA</w:t>
      </w:r>
      <w:r>
        <w:rPr>
          <w:szCs w:val="22"/>
        </w:rPr>
        <w:t>.</w:t>
      </w:r>
    </w:p>
    <w:p w:rsidR="0096399A" w:rsidRPr="00F44DDA" w:rsidRDefault="0096399A" w:rsidP="0096399A">
      <w:pPr>
        <w:pStyle w:val="ae"/>
        <w:spacing w:line="360" w:lineRule="auto"/>
        <w:ind w:firstLine="0"/>
        <w:jc w:val="both"/>
        <w:rPr>
          <w:szCs w:val="22"/>
        </w:rPr>
      </w:pPr>
    </w:p>
    <w:p w:rsidR="00B345ED" w:rsidRPr="00A90F4D" w:rsidRDefault="00B345ED" w:rsidP="0096399A">
      <w:pPr>
        <w:pStyle w:val="ae"/>
        <w:spacing w:line="360" w:lineRule="auto"/>
        <w:ind w:firstLine="0"/>
        <w:jc w:val="both"/>
        <w:rPr>
          <w:szCs w:val="22"/>
        </w:rPr>
      </w:pPr>
    </w:p>
    <w:p w:rsidR="0096399A" w:rsidRPr="000D6724" w:rsidRDefault="0096399A" w:rsidP="0096399A">
      <w:pPr>
        <w:pStyle w:val="ae"/>
        <w:spacing w:line="360" w:lineRule="auto"/>
        <w:ind w:firstLine="0"/>
        <w:jc w:val="both"/>
        <w:rPr>
          <w:szCs w:val="22"/>
        </w:rPr>
      </w:pPr>
      <w:r w:rsidRPr="00F44DDA">
        <w:rPr>
          <w:szCs w:val="22"/>
        </w:rPr>
        <w:t>Τέλος, στον τομέα του ΤΟΥΡΙΣΜΟΥ, η κορυφαία πεντάδα</w:t>
      </w:r>
      <w:r>
        <w:rPr>
          <w:szCs w:val="22"/>
        </w:rPr>
        <w:t xml:space="preserve"> αποτελείται</w:t>
      </w:r>
      <w:r w:rsidRPr="00F44DDA">
        <w:rPr>
          <w:szCs w:val="22"/>
        </w:rPr>
        <w:t xml:space="preserve"> από</w:t>
      </w:r>
      <w:r>
        <w:rPr>
          <w:szCs w:val="22"/>
        </w:rPr>
        <w:t xml:space="preserve"> τρεις</w:t>
      </w:r>
      <w:r w:rsidRPr="00F44DDA">
        <w:rPr>
          <w:szCs w:val="22"/>
        </w:rPr>
        <w:t xml:space="preserve"> εταιρείες ενοικίασης αυτοκινήτων, με επί κεφαλής τις εταιρείες</w:t>
      </w:r>
      <w:r w:rsidRPr="00F44DDA">
        <w:rPr>
          <w:szCs w:val="22"/>
          <w:lang w:val="en-US"/>
        </w:rPr>
        <w:t>Autohellas</w:t>
      </w:r>
      <w:r w:rsidRPr="00F44DDA">
        <w:rPr>
          <w:szCs w:val="22"/>
        </w:rPr>
        <w:t xml:space="preserve"> (</w:t>
      </w:r>
      <w:r w:rsidRPr="00F44DDA">
        <w:rPr>
          <w:szCs w:val="22"/>
          <w:lang w:val="en-US"/>
        </w:rPr>
        <w:t>Hertz</w:t>
      </w:r>
      <w:r w:rsidRPr="00F44DDA">
        <w:rPr>
          <w:szCs w:val="22"/>
        </w:rPr>
        <w:t>) ΑΤΕΕ</w:t>
      </w:r>
      <w:r>
        <w:rPr>
          <w:szCs w:val="22"/>
        </w:rPr>
        <w:t xml:space="preserve"> και</w:t>
      </w:r>
      <w:r w:rsidRPr="00F44DDA">
        <w:rPr>
          <w:szCs w:val="22"/>
          <w:lang w:val="en-US"/>
        </w:rPr>
        <w:t>OlympicAE</w:t>
      </w:r>
      <w:r>
        <w:rPr>
          <w:szCs w:val="22"/>
        </w:rPr>
        <w:t xml:space="preserve"> και δύο ξενοδοχειακές επιχειρήσεις (με επικεφαλής την ΦΑΙΑΞ ΑΕ)</w:t>
      </w:r>
      <w:r w:rsidRPr="00F44DDA">
        <w:rPr>
          <w:szCs w:val="22"/>
        </w:rPr>
        <w:t>.</w:t>
      </w:r>
    </w:p>
    <w:p w:rsidR="0096399A" w:rsidRPr="006670A9" w:rsidRDefault="0096399A" w:rsidP="0096399A">
      <w:pPr>
        <w:spacing w:line="360" w:lineRule="auto"/>
        <w:jc w:val="both"/>
        <w:rPr>
          <w:highlight w:val="yellow"/>
          <w:lang w:val="el-GR"/>
        </w:rPr>
      </w:pPr>
    </w:p>
    <w:p w:rsidR="0096399A" w:rsidRPr="000D6724" w:rsidRDefault="0096399A" w:rsidP="0096399A">
      <w:pPr>
        <w:pStyle w:val="a8"/>
        <w:numPr>
          <w:ilvl w:val="0"/>
          <w:numId w:val="4"/>
        </w:numPr>
        <w:rPr>
          <w:rFonts w:ascii="Times New Roman" w:hAnsi="Times New Roman"/>
        </w:rPr>
      </w:pPr>
      <w:r w:rsidRPr="000D6724">
        <w:rPr>
          <w:rFonts w:ascii="Times New Roman" w:hAnsi="Times New Roman"/>
        </w:rPr>
        <w:t xml:space="preserve">Κατάταξη των 200 Πλέον Κερδοφόρων Ομίλων Εταιρειών </w:t>
      </w:r>
    </w:p>
    <w:p w:rsidR="0096399A" w:rsidRPr="006670A9" w:rsidRDefault="0096399A" w:rsidP="0096399A">
      <w:pPr>
        <w:pStyle w:val="a8"/>
        <w:rPr>
          <w:rFonts w:ascii="Times New Roman" w:hAnsi="Times New Roman"/>
          <w:highlight w:val="yellow"/>
        </w:rPr>
      </w:pPr>
    </w:p>
    <w:p w:rsidR="0096399A" w:rsidRPr="004E6CFD" w:rsidRDefault="0096399A" w:rsidP="0096399A">
      <w:pPr>
        <w:pStyle w:val="ae"/>
        <w:spacing w:line="360" w:lineRule="auto"/>
        <w:ind w:firstLine="0"/>
        <w:jc w:val="both"/>
      </w:pPr>
      <w:r w:rsidRPr="004E6CFD">
        <w:t xml:space="preserve">Πέραν της κατάταξης των μεμονωμένων εταιρειών, στην έκδοση παρουσιάζονται και οι 200 πιο κερδοφόροι όμιλοι εταιρειών στην Ελλάδα, βάσει των δημοσιευμένων </w:t>
      </w:r>
      <w:r w:rsidRPr="004E6CFD">
        <w:rPr>
          <w:b/>
        </w:rPr>
        <w:t>ενοποιημένων ισολογισμών</w:t>
      </w:r>
      <w:r w:rsidRPr="004E6CFD">
        <w:t xml:space="preserve"> του έτους 201</w:t>
      </w:r>
      <w:r>
        <w:t>3</w:t>
      </w:r>
      <w:r w:rsidRPr="004E6CFD">
        <w:t xml:space="preserve">, με χρήση του ίδιου ακριβώς κριτηρίου κατάταξης, ήτοι τα κέρδη </w:t>
      </w:r>
      <w:r w:rsidRPr="004E6CFD">
        <w:rPr>
          <w:lang w:val="en-US"/>
        </w:rPr>
        <w:t>EBITDA</w:t>
      </w:r>
      <w:r w:rsidRPr="004E6CFD">
        <w:t>. Σε επίπεδο ομίλων αποτυπώνεται η εξέλιξη των μεγεθών που προκύπτουν από τη συνολική δραστηριότητ</w:t>
      </w:r>
      <w:r>
        <w:t>ά</w:t>
      </w:r>
      <w:r w:rsidRPr="004E6CFD">
        <w:t xml:space="preserve"> τους, η οποία και διαφοροποιείται σε πολλά σημεία από την εικόνα που προκύπτει σε επίπεδο μεμονωμένων εταιρειών. </w:t>
      </w:r>
    </w:p>
    <w:p w:rsidR="00733C5D" w:rsidRDefault="00733C5D" w:rsidP="0096399A">
      <w:pPr>
        <w:pStyle w:val="ae"/>
        <w:spacing w:line="360" w:lineRule="auto"/>
        <w:ind w:firstLine="0"/>
        <w:jc w:val="both"/>
      </w:pPr>
    </w:p>
    <w:p w:rsidR="0096399A" w:rsidRDefault="0096399A" w:rsidP="0096399A">
      <w:pPr>
        <w:pStyle w:val="ae"/>
        <w:spacing w:line="360" w:lineRule="auto"/>
        <w:ind w:firstLine="0"/>
        <w:jc w:val="both"/>
        <w:rPr>
          <w:szCs w:val="22"/>
        </w:rPr>
      </w:pPr>
      <w:r w:rsidRPr="006C645C">
        <w:t>Βάσει των στοιχείων των ενοποιημένων ισολογισμών ομίλων του 201</w:t>
      </w:r>
      <w:r>
        <w:t>3</w:t>
      </w:r>
      <w:r w:rsidRPr="006C645C">
        <w:t>, προκύπτει σημαντική βελτίωση της κερδοφορίας των ομίλων</w:t>
      </w:r>
      <w:r>
        <w:t>.</w:t>
      </w:r>
      <w:r w:rsidRPr="006C645C">
        <w:t xml:space="preserve"> Συγκεκριμένα,</w:t>
      </w:r>
      <w:r>
        <w:t xml:space="preserve"> ενώ</w:t>
      </w:r>
      <w:r w:rsidRPr="006C645C">
        <w:t xml:space="preserve"> ο συνολικός </w:t>
      </w:r>
      <w:r w:rsidRPr="008E40CD">
        <w:t xml:space="preserve">κύκλος εργασιών </w:t>
      </w:r>
      <w:r>
        <w:t>των ομίλων της κατάταξης μειώ</w:t>
      </w:r>
      <w:r w:rsidRPr="006C645C">
        <w:t xml:space="preserve">θηκε κατά </w:t>
      </w:r>
      <w:r w:rsidRPr="000928BB">
        <w:t>2,3%,</w:t>
      </w:r>
      <w:r w:rsidRPr="006C645C">
        <w:t xml:space="preserve"> τα </w:t>
      </w:r>
      <w:r w:rsidRPr="008E40CD">
        <w:t xml:space="preserve">συνολικά κέρδη </w:t>
      </w:r>
      <w:r w:rsidRPr="008E40CD">
        <w:rPr>
          <w:szCs w:val="22"/>
        </w:rPr>
        <w:t xml:space="preserve">EBITDA υπερτριπλασιάστηκαν. </w:t>
      </w:r>
      <w:r w:rsidR="008E40CD">
        <w:rPr>
          <w:szCs w:val="22"/>
        </w:rPr>
        <w:t>Αν εξαιρεθούν όμως οι</w:t>
      </w:r>
      <w:r w:rsidR="00373468" w:rsidRPr="008E40CD">
        <w:rPr>
          <w:szCs w:val="22"/>
        </w:rPr>
        <w:t xml:space="preserve"> δύο τρ</w:t>
      </w:r>
      <w:r w:rsidR="008E40CD">
        <w:rPr>
          <w:szCs w:val="22"/>
        </w:rPr>
        <w:t xml:space="preserve">άπεζες, </w:t>
      </w:r>
      <w:r w:rsidR="00373468" w:rsidRPr="008E40CD">
        <w:rPr>
          <w:szCs w:val="22"/>
        </w:rPr>
        <w:t>τα κέρδη των οποίων, όπως έχει ήδη αναφερθεί, προέρχονται</w:t>
      </w:r>
      <w:r w:rsidR="00B50A91">
        <w:rPr>
          <w:szCs w:val="22"/>
        </w:rPr>
        <w:t xml:space="preserve"> από τα οφέλη που προέκυψαν από την αρνητική υπεραξία των εξαγορών τους</w:t>
      </w:r>
      <w:r w:rsidR="00373468" w:rsidRPr="008E40CD">
        <w:rPr>
          <w:szCs w:val="22"/>
        </w:rPr>
        <w:t xml:space="preserve">, τότε τα κέρδη </w:t>
      </w:r>
      <w:r w:rsidR="00373468" w:rsidRPr="008E40CD">
        <w:rPr>
          <w:szCs w:val="22"/>
          <w:lang w:val="en-US"/>
        </w:rPr>
        <w:t>EBITDA</w:t>
      </w:r>
      <w:r w:rsidR="008E40CD" w:rsidRPr="008E40CD">
        <w:rPr>
          <w:szCs w:val="22"/>
        </w:rPr>
        <w:t>σημειώνουν αύξηση κατά 24,0%.</w:t>
      </w:r>
      <w:r w:rsidRPr="006C645C">
        <w:rPr>
          <w:szCs w:val="22"/>
        </w:rPr>
        <w:t xml:space="preserve">Ιδιαίτερα θετική ήταν όμως η αναστροφή του </w:t>
      </w:r>
      <w:r>
        <w:rPr>
          <w:szCs w:val="22"/>
        </w:rPr>
        <w:t>τελικού αποτελέσματος, από ζημίες το 2012</w:t>
      </w:r>
      <w:r w:rsidRPr="006C645C">
        <w:rPr>
          <w:szCs w:val="22"/>
        </w:rPr>
        <w:t xml:space="preserve"> σε </w:t>
      </w:r>
      <w:r>
        <w:rPr>
          <w:szCs w:val="22"/>
        </w:rPr>
        <w:t xml:space="preserve">σημαντικά </w:t>
      </w:r>
      <w:r w:rsidRPr="006C645C">
        <w:rPr>
          <w:b/>
          <w:szCs w:val="22"/>
        </w:rPr>
        <w:t>προ φόρου κ</w:t>
      </w:r>
      <w:r>
        <w:rPr>
          <w:b/>
          <w:szCs w:val="22"/>
        </w:rPr>
        <w:t xml:space="preserve">έρδη </w:t>
      </w:r>
      <w:r>
        <w:rPr>
          <w:szCs w:val="22"/>
        </w:rPr>
        <w:t>(€4,2 δισ.)το 2013</w:t>
      </w:r>
      <w:r w:rsidRPr="006C645C">
        <w:rPr>
          <w:b/>
          <w:szCs w:val="22"/>
        </w:rPr>
        <w:t>.</w:t>
      </w:r>
      <w:r w:rsidRPr="006C645C">
        <w:rPr>
          <w:szCs w:val="22"/>
        </w:rPr>
        <w:t xml:space="preserve"> Τέλος, τα συνολικά </w:t>
      </w:r>
      <w:r w:rsidRPr="000928BB">
        <w:rPr>
          <w:b/>
          <w:szCs w:val="22"/>
        </w:rPr>
        <w:t>ίδια κεφάλαια</w:t>
      </w:r>
      <w:r w:rsidRPr="006C645C">
        <w:rPr>
          <w:szCs w:val="22"/>
        </w:rPr>
        <w:t xml:space="preserve"> των ομίλων </w:t>
      </w:r>
      <w:r>
        <w:rPr>
          <w:szCs w:val="22"/>
        </w:rPr>
        <w:t>αυξήθηκαν σημαντικά (87,7%)</w:t>
      </w:r>
      <w:r w:rsidRPr="006C645C">
        <w:rPr>
          <w:szCs w:val="22"/>
        </w:rPr>
        <w:t>, το τελευταίο έτος</w:t>
      </w:r>
      <w:r w:rsidR="00915BAF">
        <w:rPr>
          <w:szCs w:val="22"/>
        </w:rPr>
        <w:t xml:space="preserve">, με το μεγαλύτερο μέρος αυτής να καλύπτουν οι δύο τραπεζικοί </w:t>
      </w:r>
      <w:r w:rsidR="009972CD">
        <w:rPr>
          <w:szCs w:val="22"/>
        </w:rPr>
        <w:t>όμιλοι (60,3%).</w:t>
      </w:r>
    </w:p>
    <w:p w:rsidR="00373468" w:rsidRDefault="00373468" w:rsidP="0096399A">
      <w:pPr>
        <w:pStyle w:val="ae"/>
        <w:spacing w:line="360" w:lineRule="auto"/>
        <w:ind w:firstLine="0"/>
        <w:jc w:val="both"/>
        <w:rPr>
          <w:szCs w:val="22"/>
        </w:rPr>
      </w:pPr>
    </w:p>
    <w:tbl>
      <w:tblPr>
        <w:tblW w:w="9652" w:type="dxa"/>
        <w:jc w:val="center"/>
        <w:tblBorders>
          <w:insideH w:val="single" w:sz="18" w:space="0" w:color="FFFFFF"/>
          <w:insideV w:val="single" w:sz="18" w:space="0" w:color="FFFFFF"/>
        </w:tblBorders>
        <w:tblLayout w:type="fixed"/>
        <w:tblLook w:val="00A0"/>
      </w:tblPr>
      <w:tblGrid>
        <w:gridCol w:w="2413"/>
        <w:gridCol w:w="2413"/>
        <w:gridCol w:w="2413"/>
        <w:gridCol w:w="2413"/>
      </w:tblGrid>
      <w:tr w:rsidR="0096399A" w:rsidRPr="00CB695A" w:rsidTr="00BD50B4">
        <w:trPr>
          <w:trHeight w:val="57"/>
          <w:jc w:val="center"/>
        </w:trPr>
        <w:tc>
          <w:tcPr>
            <w:tcW w:w="9652" w:type="dxa"/>
            <w:gridSpan w:val="4"/>
            <w:shd w:val="pct20" w:color="000000" w:fill="FFFFFF"/>
          </w:tcPr>
          <w:p w:rsidR="0096399A" w:rsidRPr="00CB695A" w:rsidRDefault="0096399A" w:rsidP="00BD50B4">
            <w:pPr>
              <w:pStyle w:val="a7"/>
              <w:rPr>
                <w:bCs/>
                <w:sz w:val="20"/>
                <w:szCs w:val="20"/>
                <w:lang w:val="el-GR"/>
              </w:rPr>
            </w:pPr>
            <w:r w:rsidRPr="00CB695A">
              <w:rPr>
                <w:bCs/>
                <w:sz w:val="20"/>
                <w:szCs w:val="20"/>
                <w:lang w:val="el-GR"/>
              </w:rPr>
              <w:t xml:space="preserve">Πίνακας 8. Μεταβολές Βασικών Μεγεθών των 200 Πλέον Κερδοφόρων Επιχειρηματικών Ομίλων </w:t>
            </w:r>
          </w:p>
          <w:p w:rsidR="0096399A" w:rsidRPr="00CB695A" w:rsidRDefault="0096399A" w:rsidP="00BD50B4">
            <w:pPr>
              <w:pStyle w:val="a7"/>
              <w:rPr>
                <w:b w:val="0"/>
                <w:bCs/>
                <w:sz w:val="20"/>
                <w:szCs w:val="20"/>
                <w:lang w:val="el-GR"/>
              </w:rPr>
            </w:pPr>
            <w:r w:rsidRPr="00CB695A">
              <w:rPr>
                <w:bCs/>
                <w:sz w:val="20"/>
                <w:szCs w:val="20"/>
                <w:lang w:val="el-GR"/>
              </w:rPr>
              <w:t>(ποσά σε χιλ. €)</w:t>
            </w:r>
          </w:p>
        </w:tc>
      </w:tr>
      <w:tr w:rsidR="0096399A" w:rsidRPr="00CB695A" w:rsidTr="00BD50B4">
        <w:trPr>
          <w:trHeight w:val="57"/>
          <w:jc w:val="center"/>
        </w:trPr>
        <w:tc>
          <w:tcPr>
            <w:tcW w:w="2413" w:type="dxa"/>
            <w:shd w:val="pct5" w:color="000000" w:fill="FFFFFF"/>
          </w:tcPr>
          <w:p w:rsidR="0096399A" w:rsidRPr="00CB695A" w:rsidRDefault="0096399A" w:rsidP="00BD50B4">
            <w:pPr>
              <w:rPr>
                <w:b/>
                <w:sz w:val="20"/>
                <w:szCs w:val="20"/>
                <w:lang w:val="el-GR"/>
              </w:rPr>
            </w:pPr>
            <w:r w:rsidRPr="00CB695A">
              <w:rPr>
                <w:b/>
                <w:sz w:val="20"/>
                <w:szCs w:val="20"/>
                <w:lang w:val="el-GR"/>
              </w:rPr>
              <w:t>Μεγέθη Εταιρειών</w:t>
            </w:r>
          </w:p>
        </w:tc>
        <w:tc>
          <w:tcPr>
            <w:tcW w:w="2413" w:type="dxa"/>
            <w:shd w:val="pct5" w:color="000000" w:fill="FFFFFF"/>
          </w:tcPr>
          <w:p w:rsidR="0096399A" w:rsidRPr="001634CA" w:rsidRDefault="0096399A" w:rsidP="00BD50B4">
            <w:pPr>
              <w:jc w:val="center"/>
              <w:rPr>
                <w:b/>
                <w:lang w:val="el-GR"/>
              </w:rPr>
            </w:pPr>
            <w:r w:rsidRPr="00F44DDA">
              <w:rPr>
                <w:b/>
                <w:sz w:val="22"/>
                <w:szCs w:val="22"/>
                <w:lang w:val="el-GR"/>
              </w:rPr>
              <w:t>201</w:t>
            </w:r>
            <w:r>
              <w:rPr>
                <w:b/>
                <w:sz w:val="22"/>
                <w:szCs w:val="22"/>
                <w:lang w:val="el-GR"/>
              </w:rPr>
              <w:t>3</w:t>
            </w:r>
          </w:p>
        </w:tc>
        <w:tc>
          <w:tcPr>
            <w:tcW w:w="2413" w:type="dxa"/>
            <w:shd w:val="pct5" w:color="000000" w:fill="FFFFFF"/>
          </w:tcPr>
          <w:p w:rsidR="0096399A" w:rsidRPr="001634CA" w:rsidRDefault="0096399A" w:rsidP="00BD50B4">
            <w:pPr>
              <w:jc w:val="center"/>
              <w:rPr>
                <w:b/>
                <w:lang w:val="el-GR"/>
              </w:rPr>
            </w:pPr>
            <w:r w:rsidRPr="00F44DDA">
              <w:rPr>
                <w:b/>
                <w:sz w:val="22"/>
                <w:szCs w:val="22"/>
                <w:lang w:val="el-GR"/>
              </w:rPr>
              <w:t>20</w:t>
            </w:r>
            <w:r>
              <w:rPr>
                <w:b/>
                <w:sz w:val="22"/>
                <w:szCs w:val="22"/>
                <w:lang w:val="en-US"/>
              </w:rPr>
              <w:t>1</w:t>
            </w:r>
            <w:r>
              <w:rPr>
                <w:b/>
                <w:sz w:val="22"/>
                <w:szCs w:val="22"/>
                <w:lang w:val="el-GR"/>
              </w:rPr>
              <w:t>2</w:t>
            </w:r>
          </w:p>
        </w:tc>
        <w:tc>
          <w:tcPr>
            <w:tcW w:w="2413" w:type="dxa"/>
            <w:shd w:val="pct5" w:color="000000" w:fill="FFFFFF"/>
          </w:tcPr>
          <w:p w:rsidR="0096399A" w:rsidRPr="00F44DDA" w:rsidRDefault="0096399A" w:rsidP="00BD50B4">
            <w:pPr>
              <w:jc w:val="center"/>
              <w:rPr>
                <w:b/>
                <w:lang w:val="el-GR"/>
              </w:rPr>
            </w:pPr>
            <w:r w:rsidRPr="00F44DDA">
              <w:rPr>
                <w:b/>
                <w:sz w:val="22"/>
                <w:szCs w:val="22"/>
                <w:lang w:val="el-GR"/>
              </w:rPr>
              <w:t>Μεταβολή %</w:t>
            </w:r>
          </w:p>
        </w:tc>
      </w:tr>
      <w:tr w:rsidR="0096399A" w:rsidRPr="00CB695A" w:rsidTr="00BD50B4">
        <w:trPr>
          <w:trHeight w:val="57"/>
          <w:jc w:val="center"/>
        </w:trPr>
        <w:tc>
          <w:tcPr>
            <w:tcW w:w="2413" w:type="dxa"/>
            <w:shd w:val="pct20" w:color="000000" w:fill="FFFFFF"/>
          </w:tcPr>
          <w:p w:rsidR="0096399A" w:rsidRPr="00CB695A" w:rsidRDefault="0096399A" w:rsidP="00BD50B4">
            <w:pPr>
              <w:rPr>
                <w:sz w:val="20"/>
                <w:szCs w:val="20"/>
                <w:lang w:val="el-GR"/>
              </w:rPr>
            </w:pPr>
            <w:r w:rsidRPr="00CB695A">
              <w:rPr>
                <w:sz w:val="20"/>
                <w:szCs w:val="20"/>
                <w:lang w:val="el-GR"/>
              </w:rPr>
              <w:t>Σύνολο κύκλου εργασιών</w:t>
            </w:r>
          </w:p>
        </w:tc>
        <w:tc>
          <w:tcPr>
            <w:tcW w:w="2413" w:type="dxa"/>
            <w:shd w:val="pct20" w:color="000000" w:fill="FFFFFF"/>
          </w:tcPr>
          <w:p w:rsidR="0096399A" w:rsidRPr="000928BB" w:rsidRDefault="0096399A" w:rsidP="0096399A">
            <w:pPr>
              <w:tabs>
                <w:tab w:val="left" w:pos="1587"/>
              </w:tabs>
              <w:ind w:rightChars="212" w:right="509"/>
              <w:jc w:val="right"/>
              <w:rPr>
                <w:lang w:val="en-US"/>
              </w:rPr>
            </w:pPr>
            <w:r>
              <w:rPr>
                <w:sz w:val="22"/>
                <w:szCs w:val="22"/>
                <w:lang w:val="en-US"/>
              </w:rPr>
              <w:t>88.707.849</w:t>
            </w:r>
          </w:p>
        </w:tc>
        <w:tc>
          <w:tcPr>
            <w:tcW w:w="2413" w:type="dxa"/>
            <w:shd w:val="pct20" w:color="000000" w:fill="FFFFFF"/>
          </w:tcPr>
          <w:p w:rsidR="0096399A" w:rsidRPr="000928BB" w:rsidRDefault="0096399A" w:rsidP="0096399A">
            <w:pPr>
              <w:tabs>
                <w:tab w:val="left" w:pos="1587"/>
              </w:tabs>
              <w:ind w:rightChars="212" w:right="509"/>
              <w:jc w:val="right"/>
              <w:rPr>
                <w:lang w:val="en-US"/>
              </w:rPr>
            </w:pPr>
            <w:r>
              <w:rPr>
                <w:sz w:val="22"/>
                <w:szCs w:val="22"/>
                <w:lang w:val="en-US"/>
              </w:rPr>
              <w:t>90.829.779</w:t>
            </w:r>
          </w:p>
        </w:tc>
        <w:tc>
          <w:tcPr>
            <w:tcW w:w="2413" w:type="dxa"/>
            <w:shd w:val="pct20" w:color="000000" w:fill="FFFFFF"/>
          </w:tcPr>
          <w:p w:rsidR="0096399A" w:rsidRPr="000928BB" w:rsidRDefault="0096399A" w:rsidP="00BD50B4">
            <w:pPr>
              <w:ind w:right="890"/>
              <w:jc w:val="right"/>
              <w:rPr>
                <w:lang w:val="en-US"/>
              </w:rPr>
            </w:pPr>
            <w:r>
              <w:rPr>
                <w:sz w:val="22"/>
                <w:szCs w:val="22"/>
                <w:lang w:val="en-US"/>
              </w:rPr>
              <w:t>-2,3</w:t>
            </w:r>
          </w:p>
        </w:tc>
      </w:tr>
      <w:tr w:rsidR="0096399A" w:rsidRPr="00CB695A" w:rsidTr="00BD50B4">
        <w:trPr>
          <w:trHeight w:val="57"/>
          <w:jc w:val="center"/>
        </w:trPr>
        <w:tc>
          <w:tcPr>
            <w:tcW w:w="2413" w:type="dxa"/>
            <w:shd w:val="pct5" w:color="000000" w:fill="FFFFFF"/>
          </w:tcPr>
          <w:p w:rsidR="0096399A" w:rsidRPr="00CB695A" w:rsidRDefault="0096399A" w:rsidP="00BD50B4">
            <w:pPr>
              <w:rPr>
                <w:sz w:val="20"/>
                <w:szCs w:val="20"/>
                <w:lang w:val="el-GR"/>
              </w:rPr>
            </w:pPr>
            <w:r w:rsidRPr="00CB695A">
              <w:rPr>
                <w:sz w:val="20"/>
                <w:szCs w:val="20"/>
                <w:lang w:val="el-GR"/>
              </w:rPr>
              <w:t xml:space="preserve">Σύνολο κερδών </w:t>
            </w:r>
            <w:r w:rsidRPr="00CB695A">
              <w:rPr>
                <w:sz w:val="20"/>
                <w:szCs w:val="20"/>
              </w:rPr>
              <w:t>EBITDA</w:t>
            </w:r>
          </w:p>
        </w:tc>
        <w:tc>
          <w:tcPr>
            <w:tcW w:w="2413" w:type="dxa"/>
            <w:shd w:val="pct5" w:color="000000" w:fill="FFFFFF"/>
          </w:tcPr>
          <w:p w:rsidR="0096399A" w:rsidRPr="000928BB" w:rsidRDefault="0096399A" w:rsidP="0096399A">
            <w:pPr>
              <w:tabs>
                <w:tab w:val="left" w:pos="1587"/>
              </w:tabs>
              <w:ind w:rightChars="212" w:right="509"/>
              <w:jc w:val="right"/>
              <w:rPr>
                <w:lang w:val="en-US"/>
              </w:rPr>
            </w:pPr>
            <w:r>
              <w:rPr>
                <w:sz w:val="22"/>
                <w:szCs w:val="22"/>
                <w:lang w:val="en-US"/>
              </w:rPr>
              <w:t>11.781.423*</w:t>
            </w:r>
          </w:p>
        </w:tc>
        <w:tc>
          <w:tcPr>
            <w:tcW w:w="2413" w:type="dxa"/>
            <w:shd w:val="pct5" w:color="000000" w:fill="FFFFFF"/>
          </w:tcPr>
          <w:p w:rsidR="0096399A" w:rsidRPr="000928BB" w:rsidRDefault="0096399A" w:rsidP="0096399A">
            <w:pPr>
              <w:tabs>
                <w:tab w:val="left" w:pos="1587"/>
              </w:tabs>
              <w:ind w:rightChars="212" w:right="509"/>
              <w:jc w:val="right"/>
              <w:rPr>
                <w:lang w:val="en-US"/>
              </w:rPr>
            </w:pPr>
            <w:r>
              <w:rPr>
                <w:sz w:val="22"/>
                <w:szCs w:val="22"/>
                <w:lang w:val="en-US"/>
              </w:rPr>
              <w:t>3.801.832</w:t>
            </w:r>
          </w:p>
        </w:tc>
        <w:tc>
          <w:tcPr>
            <w:tcW w:w="2413" w:type="dxa"/>
            <w:shd w:val="pct5" w:color="000000" w:fill="FFFFFF"/>
          </w:tcPr>
          <w:p w:rsidR="0096399A" w:rsidRPr="000928BB" w:rsidRDefault="0096399A" w:rsidP="00BD50B4">
            <w:pPr>
              <w:ind w:right="890"/>
              <w:jc w:val="right"/>
              <w:rPr>
                <w:lang w:val="en-US"/>
              </w:rPr>
            </w:pPr>
            <w:r>
              <w:rPr>
                <w:sz w:val="22"/>
                <w:szCs w:val="22"/>
                <w:lang w:val="en-US"/>
              </w:rPr>
              <w:t>209,9</w:t>
            </w:r>
          </w:p>
        </w:tc>
      </w:tr>
      <w:tr w:rsidR="0096399A" w:rsidRPr="00CB695A" w:rsidTr="00BD50B4">
        <w:trPr>
          <w:trHeight w:val="57"/>
          <w:jc w:val="center"/>
        </w:trPr>
        <w:tc>
          <w:tcPr>
            <w:tcW w:w="2413" w:type="dxa"/>
            <w:shd w:val="pct20" w:color="000000" w:fill="FFFFFF"/>
          </w:tcPr>
          <w:p w:rsidR="0096399A" w:rsidRPr="00CB695A" w:rsidRDefault="0096399A" w:rsidP="00BD50B4">
            <w:pPr>
              <w:rPr>
                <w:sz w:val="20"/>
                <w:szCs w:val="20"/>
                <w:lang w:val="el-GR"/>
              </w:rPr>
            </w:pPr>
            <w:r w:rsidRPr="00CB695A">
              <w:rPr>
                <w:sz w:val="20"/>
                <w:szCs w:val="20"/>
                <w:lang w:val="el-GR"/>
              </w:rPr>
              <w:t>Σύνολο κερδών προ φόρων</w:t>
            </w:r>
          </w:p>
        </w:tc>
        <w:tc>
          <w:tcPr>
            <w:tcW w:w="2413" w:type="dxa"/>
            <w:shd w:val="pct20" w:color="000000" w:fill="FFFFFF"/>
          </w:tcPr>
          <w:p w:rsidR="0096399A" w:rsidRPr="000928BB" w:rsidRDefault="0096399A" w:rsidP="0096399A">
            <w:pPr>
              <w:tabs>
                <w:tab w:val="left" w:pos="1587"/>
              </w:tabs>
              <w:ind w:rightChars="212" w:right="509"/>
              <w:jc w:val="right"/>
              <w:rPr>
                <w:lang w:val="en-US"/>
              </w:rPr>
            </w:pPr>
            <w:r>
              <w:rPr>
                <w:sz w:val="22"/>
                <w:szCs w:val="22"/>
                <w:lang w:val="en-US"/>
              </w:rPr>
              <w:t>4.196.268**</w:t>
            </w:r>
          </w:p>
        </w:tc>
        <w:tc>
          <w:tcPr>
            <w:tcW w:w="2413" w:type="dxa"/>
            <w:shd w:val="pct20" w:color="000000" w:fill="FFFFFF"/>
          </w:tcPr>
          <w:p w:rsidR="0096399A" w:rsidRPr="000928BB" w:rsidRDefault="0096399A" w:rsidP="0096399A">
            <w:pPr>
              <w:tabs>
                <w:tab w:val="left" w:pos="1587"/>
              </w:tabs>
              <w:ind w:rightChars="212" w:right="509"/>
              <w:jc w:val="right"/>
              <w:rPr>
                <w:lang w:val="en-US"/>
              </w:rPr>
            </w:pPr>
            <w:r>
              <w:rPr>
                <w:sz w:val="22"/>
                <w:szCs w:val="22"/>
                <w:lang w:val="en-US"/>
              </w:rPr>
              <w:t>-4.78</w:t>
            </w:r>
            <w:r>
              <w:rPr>
                <w:sz w:val="22"/>
                <w:szCs w:val="22"/>
                <w:lang w:val="el-GR"/>
              </w:rPr>
              <w:t>7</w:t>
            </w:r>
            <w:r>
              <w:rPr>
                <w:sz w:val="22"/>
                <w:szCs w:val="22"/>
                <w:lang w:val="en-US"/>
              </w:rPr>
              <w:t>.093</w:t>
            </w:r>
          </w:p>
        </w:tc>
        <w:tc>
          <w:tcPr>
            <w:tcW w:w="2413" w:type="dxa"/>
            <w:shd w:val="pct20" w:color="000000" w:fill="FFFFFF"/>
          </w:tcPr>
          <w:p w:rsidR="0096399A" w:rsidRPr="000928BB" w:rsidRDefault="0096399A" w:rsidP="00BD50B4">
            <w:pPr>
              <w:ind w:right="890"/>
              <w:jc w:val="right"/>
              <w:rPr>
                <w:lang w:val="en-US"/>
              </w:rPr>
            </w:pPr>
            <w:r>
              <w:rPr>
                <w:sz w:val="22"/>
                <w:szCs w:val="22"/>
                <w:lang w:val="en-US"/>
              </w:rPr>
              <w:t>-</w:t>
            </w:r>
          </w:p>
        </w:tc>
      </w:tr>
      <w:tr w:rsidR="0096399A" w:rsidRPr="00CB695A" w:rsidTr="00BD50B4">
        <w:trPr>
          <w:trHeight w:val="57"/>
          <w:jc w:val="center"/>
        </w:trPr>
        <w:tc>
          <w:tcPr>
            <w:tcW w:w="2413" w:type="dxa"/>
            <w:shd w:val="pct5" w:color="000000" w:fill="FFFFFF"/>
          </w:tcPr>
          <w:p w:rsidR="0096399A" w:rsidRPr="00CB695A" w:rsidRDefault="0096399A" w:rsidP="00BD50B4">
            <w:pPr>
              <w:rPr>
                <w:sz w:val="20"/>
                <w:szCs w:val="20"/>
                <w:lang w:val="el-GR"/>
              </w:rPr>
            </w:pPr>
            <w:r w:rsidRPr="00CB695A">
              <w:rPr>
                <w:sz w:val="20"/>
                <w:szCs w:val="20"/>
                <w:lang w:val="el-GR"/>
              </w:rPr>
              <w:t>Σύνολο ιδίων κεφαλαίων</w:t>
            </w:r>
          </w:p>
        </w:tc>
        <w:tc>
          <w:tcPr>
            <w:tcW w:w="2413" w:type="dxa"/>
            <w:shd w:val="pct5" w:color="000000" w:fill="FFFFFF"/>
          </w:tcPr>
          <w:p w:rsidR="0096399A" w:rsidRPr="000928BB" w:rsidRDefault="0096399A" w:rsidP="0096399A">
            <w:pPr>
              <w:tabs>
                <w:tab w:val="left" w:pos="1587"/>
              </w:tabs>
              <w:ind w:rightChars="212" w:right="509"/>
              <w:jc w:val="right"/>
              <w:rPr>
                <w:lang w:val="en-US"/>
              </w:rPr>
            </w:pPr>
            <w:r>
              <w:rPr>
                <w:sz w:val="22"/>
                <w:szCs w:val="22"/>
                <w:lang w:val="en-US"/>
              </w:rPr>
              <w:t>60.669.798</w:t>
            </w:r>
          </w:p>
        </w:tc>
        <w:tc>
          <w:tcPr>
            <w:tcW w:w="2413" w:type="dxa"/>
            <w:shd w:val="pct5" w:color="000000" w:fill="FFFFFF"/>
          </w:tcPr>
          <w:p w:rsidR="0096399A" w:rsidRPr="000928BB" w:rsidRDefault="0096399A" w:rsidP="0096399A">
            <w:pPr>
              <w:tabs>
                <w:tab w:val="left" w:pos="1587"/>
              </w:tabs>
              <w:ind w:rightChars="212" w:right="509"/>
              <w:jc w:val="right"/>
              <w:rPr>
                <w:lang w:val="en-US"/>
              </w:rPr>
            </w:pPr>
            <w:r>
              <w:rPr>
                <w:sz w:val="22"/>
                <w:szCs w:val="22"/>
                <w:lang w:val="en-US"/>
              </w:rPr>
              <w:t>32.316.643</w:t>
            </w:r>
          </w:p>
        </w:tc>
        <w:tc>
          <w:tcPr>
            <w:tcW w:w="2413" w:type="dxa"/>
            <w:shd w:val="pct5" w:color="000000" w:fill="FFFFFF"/>
          </w:tcPr>
          <w:p w:rsidR="0096399A" w:rsidRPr="000928BB" w:rsidRDefault="0096399A" w:rsidP="00BD50B4">
            <w:pPr>
              <w:ind w:right="890"/>
              <w:jc w:val="right"/>
              <w:rPr>
                <w:lang w:val="en-US"/>
              </w:rPr>
            </w:pPr>
            <w:r>
              <w:rPr>
                <w:sz w:val="22"/>
                <w:szCs w:val="22"/>
                <w:lang w:val="en-US"/>
              </w:rPr>
              <w:t>87,7</w:t>
            </w:r>
          </w:p>
        </w:tc>
      </w:tr>
    </w:tbl>
    <w:p w:rsidR="0096399A" w:rsidRPr="00533832" w:rsidRDefault="0096399A" w:rsidP="0096399A">
      <w:pPr>
        <w:spacing w:line="360" w:lineRule="auto"/>
        <w:jc w:val="both"/>
        <w:rPr>
          <w:sz w:val="18"/>
          <w:szCs w:val="18"/>
          <w:lang w:val="el-GR"/>
        </w:rPr>
      </w:pPr>
      <w:r>
        <w:rPr>
          <w:sz w:val="18"/>
          <w:szCs w:val="18"/>
          <w:lang w:val="el-GR"/>
        </w:rPr>
        <w:t xml:space="preserve">* </w:t>
      </w:r>
      <w:r w:rsidR="00B56D39">
        <w:rPr>
          <w:sz w:val="18"/>
          <w:szCs w:val="18"/>
          <w:lang w:val="el-GR"/>
        </w:rPr>
        <w:t xml:space="preserve">Το </w:t>
      </w:r>
      <w:r w:rsidR="008E40CD">
        <w:rPr>
          <w:sz w:val="18"/>
          <w:szCs w:val="18"/>
          <w:lang w:val="el-GR"/>
        </w:rPr>
        <w:t xml:space="preserve">αντίστοιχο </w:t>
      </w:r>
      <w:r w:rsidR="00B56D39">
        <w:rPr>
          <w:sz w:val="18"/>
          <w:szCs w:val="18"/>
          <w:lang w:val="el-GR"/>
        </w:rPr>
        <w:t xml:space="preserve">μέγεθος διαμορφώνεται σε </w:t>
      </w:r>
      <w:r>
        <w:rPr>
          <w:sz w:val="18"/>
          <w:szCs w:val="18"/>
          <w:lang w:val="el-GR"/>
        </w:rPr>
        <w:t>€</w:t>
      </w:r>
      <w:r w:rsidRPr="000928BB">
        <w:rPr>
          <w:sz w:val="18"/>
          <w:szCs w:val="18"/>
          <w:lang w:val="el-GR"/>
        </w:rPr>
        <w:t>7.569.440</w:t>
      </w:r>
      <w:r w:rsidRPr="00533832">
        <w:rPr>
          <w:sz w:val="18"/>
          <w:szCs w:val="18"/>
          <w:lang w:val="el-GR"/>
        </w:rPr>
        <w:t xml:space="preserve"> χιλ.</w:t>
      </w:r>
      <w:r w:rsidR="008E40CD">
        <w:rPr>
          <w:sz w:val="18"/>
          <w:szCs w:val="18"/>
          <w:lang w:val="el-GR"/>
        </w:rPr>
        <w:t>,</w:t>
      </w:r>
      <w:r w:rsidRPr="00533832">
        <w:rPr>
          <w:sz w:val="18"/>
          <w:szCs w:val="18"/>
          <w:lang w:val="el-GR"/>
        </w:rPr>
        <w:t xml:space="preserve"> εξαιρουμένων των</w:t>
      </w:r>
      <w:r>
        <w:rPr>
          <w:sz w:val="18"/>
          <w:szCs w:val="18"/>
          <w:lang w:val="el-GR"/>
        </w:rPr>
        <w:t>ομίλων</w:t>
      </w:r>
      <w:r w:rsidRPr="00533832">
        <w:rPr>
          <w:sz w:val="18"/>
          <w:szCs w:val="18"/>
          <w:lang w:val="en-US"/>
        </w:rPr>
        <w:t>AlphaBankAE</w:t>
      </w:r>
      <w:r w:rsidRPr="00533832">
        <w:rPr>
          <w:sz w:val="18"/>
          <w:szCs w:val="18"/>
          <w:lang w:val="el-GR"/>
        </w:rPr>
        <w:t xml:space="preserve"> και Πειραιώς Τράπεζα ΑΕ</w:t>
      </w:r>
    </w:p>
    <w:p w:rsidR="0096399A" w:rsidRPr="00533832" w:rsidRDefault="0096399A" w:rsidP="0096399A">
      <w:pPr>
        <w:spacing w:line="360" w:lineRule="auto"/>
        <w:jc w:val="both"/>
        <w:rPr>
          <w:sz w:val="18"/>
          <w:szCs w:val="18"/>
          <w:lang w:val="el-GR"/>
        </w:rPr>
      </w:pPr>
      <w:r>
        <w:rPr>
          <w:sz w:val="18"/>
          <w:szCs w:val="18"/>
          <w:lang w:val="el-GR"/>
        </w:rPr>
        <w:t xml:space="preserve">** </w:t>
      </w:r>
      <w:r w:rsidR="00B56D39">
        <w:rPr>
          <w:sz w:val="18"/>
          <w:szCs w:val="18"/>
          <w:lang w:val="el-GR"/>
        </w:rPr>
        <w:t xml:space="preserve">Το </w:t>
      </w:r>
      <w:r w:rsidR="008E40CD">
        <w:rPr>
          <w:sz w:val="18"/>
          <w:szCs w:val="18"/>
          <w:lang w:val="el-GR"/>
        </w:rPr>
        <w:t xml:space="preserve">αντίστοιχο </w:t>
      </w:r>
      <w:r w:rsidR="00B56D39">
        <w:rPr>
          <w:sz w:val="18"/>
          <w:szCs w:val="18"/>
          <w:lang w:val="el-GR"/>
        </w:rPr>
        <w:t xml:space="preserve">μέγεθος διαμορφώνεται σε </w:t>
      </w:r>
      <w:r>
        <w:rPr>
          <w:sz w:val="18"/>
          <w:szCs w:val="18"/>
          <w:lang w:val="el-GR"/>
        </w:rPr>
        <w:t>€205.133</w:t>
      </w:r>
      <w:r w:rsidRPr="00533832">
        <w:rPr>
          <w:sz w:val="18"/>
          <w:szCs w:val="18"/>
          <w:lang w:val="el-GR"/>
        </w:rPr>
        <w:t xml:space="preserve"> χιλ.</w:t>
      </w:r>
      <w:r w:rsidR="008E40CD">
        <w:rPr>
          <w:sz w:val="18"/>
          <w:szCs w:val="18"/>
          <w:lang w:val="el-GR"/>
        </w:rPr>
        <w:t>,</w:t>
      </w:r>
      <w:r w:rsidRPr="00533832">
        <w:rPr>
          <w:sz w:val="18"/>
          <w:szCs w:val="18"/>
          <w:lang w:val="el-GR"/>
        </w:rPr>
        <w:t xml:space="preserve"> εξαιρουμένων των</w:t>
      </w:r>
      <w:r>
        <w:rPr>
          <w:sz w:val="18"/>
          <w:szCs w:val="18"/>
          <w:lang w:val="el-GR"/>
        </w:rPr>
        <w:t xml:space="preserve"> ομίλων</w:t>
      </w:r>
      <w:r w:rsidRPr="00533832">
        <w:rPr>
          <w:sz w:val="18"/>
          <w:szCs w:val="18"/>
          <w:lang w:val="en-US"/>
        </w:rPr>
        <w:t>AlphaBankAE</w:t>
      </w:r>
      <w:r w:rsidRPr="00533832">
        <w:rPr>
          <w:sz w:val="18"/>
          <w:szCs w:val="18"/>
          <w:lang w:val="el-GR"/>
        </w:rPr>
        <w:t xml:space="preserve"> και Πειραιώς Τράπεζα ΑΕ</w:t>
      </w:r>
    </w:p>
    <w:p w:rsidR="0096399A" w:rsidRPr="006670A9" w:rsidRDefault="0096399A" w:rsidP="0096399A">
      <w:pPr>
        <w:pStyle w:val="ae"/>
        <w:spacing w:line="360" w:lineRule="auto"/>
        <w:ind w:firstLine="0"/>
        <w:jc w:val="both"/>
        <w:rPr>
          <w:highlight w:val="yellow"/>
        </w:rPr>
      </w:pPr>
    </w:p>
    <w:p w:rsidR="0096399A" w:rsidRDefault="0096399A" w:rsidP="0096399A">
      <w:pPr>
        <w:pStyle w:val="ae"/>
        <w:spacing w:line="360" w:lineRule="auto"/>
        <w:ind w:firstLine="0"/>
        <w:jc w:val="both"/>
        <w:rPr>
          <w:szCs w:val="22"/>
        </w:rPr>
      </w:pPr>
      <w:r w:rsidRPr="00B25B3F">
        <w:t>Σημειώνεται ότι</w:t>
      </w:r>
      <w:r>
        <w:t xml:space="preserve">, </w:t>
      </w:r>
      <w:r>
        <w:rPr>
          <w:b/>
        </w:rPr>
        <w:t>32</w:t>
      </w:r>
      <w:r w:rsidRPr="00B25B3F">
        <w:t>όμιλοι</w:t>
      </w:r>
      <w:r>
        <w:t xml:space="preserve"> από την αντίστοιχη κατάταξη (των 200 πιο κερδοφόρων ομίλων) της περσινής έκδοσης</w:t>
      </w:r>
      <w:r w:rsidRPr="00B25B3F">
        <w:t xml:space="preserve"> δεν περιλαμβάνονται στη νέα κατάταξη και αντικαταστάθηκαν από νεοεισερχόμενους. </w:t>
      </w:r>
      <w:r w:rsidRPr="00B25B3F">
        <w:rPr>
          <w:szCs w:val="22"/>
        </w:rPr>
        <w:t>Από τους ομίλους που βγήκαν από τη λίστα, 1</w:t>
      </w:r>
      <w:r>
        <w:rPr>
          <w:szCs w:val="22"/>
        </w:rPr>
        <w:t>8</w:t>
      </w:r>
      <w:r w:rsidRPr="00B25B3F">
        <w:rPr>
          <w:szCs w:val="22"/>
        </w:rPr>
        <w:t xml:space="preserve"> όμιλοι εμφάνισαν ζημιογόνα αποτελέσματα (αρνητικά κέρδη EBITDA) το 201</w:t>
      </w:r>
      <w:r>
        <w:rPr>
          <w:szCs w:val="22"/>
        </w:rPr>
        <w:t>3</w:t>
      </w:r>
      <w:r w:rsidRPr="00B25B3F">
        <w:rPr>
          <w:szCs w:val="22"/>
        </w:rPr>
        <w:t xml:space="preserve"> με συνέπεια, ενώ τα συνολικά κέρδη EBITDA των ομίλων που εξαιρέθηκαν ανήρχοντο σε €</w:t>
      </w:r>
      <w:r>
        <w:rPr>
          <w:szCs w:val="22"/>
        </w:rPr>
        <w:t>293,3</w:t>
      </w:r>
      <w:r w:rsidRPr="00B25B3F">
        <w:rPr>
          <w:szCs w:val="22"/>
        </w:rPr>
        <w:t xml:space="preserve"> εκατ. το 201</w:t>
      </w:r>
      <w:r>
        <w:rPr>
          <w:szCs w:val="22"/>
        </w:rPr>
        <w:t>2</w:t>
      </w:r>
      <w:r w:rsidRPr="00B25B3F">
        <w:rPr>
          <w:szCs w:val="22"/>
        </w:rPr>
        <w:t>, τ</w:t>
      </w:r>
      <w:r w:rsidR="00373468">
        <w:rPr>
          <w:szCs w:val="22"/>
        </w:rPr>
        <w:t>ο</w:t>
      </w:r>
      <w:r w:rsidRPr="00B25B3F">
        <w:rPr>
          <w:szCs w:val="22"/>
        </w:rPr>
        <w:t xml:space="preserve"> αντίστοιχο μέγεθος μετετράπη σε ζημίες ύψους  €</w:t>
      </w:r>
      <w:r>
        <w:rPr>
          <w:szCs w:val="22"/>
        </w:rPr>
        <w:t>191,1εκατ.</w:t>
      </w:r>
      <w:r w:rsidRPr="00B25B3F">
        <w:rPr>
          <w:szCs w:val="22"/>
        </w:rPr>
        <w:t xml:space="preserve"> κατά το 201</w:t>
      </w:r>
      <w:r>
        <w:rPr>
          <w:szCs w:val="22"/>
        </w:rPr>
        <w:t>3</w:t>
      </w:r>
      <w:r w:rsidRPr="00B25B3F">
        <w:rPr>
          <w:szCs w:val="22"/>
        </w:rPr>
        <w:t>.</w:t>
      </w:r>
    </w:p>
    <w:p w:rsidR="0096399A" w:rsidRPr="00B25B3F" w:rsidRDefault="0096399A" w:rsidP="0096399A">
      <w:pPr>
        <w:pStyle w:val="ae"/>
        <w:spacing w:line="360" w:lineRule="auto"/>
        <w:ind w:firstLine="0"/>
        <w:jc w:val="both"/>
        <w:rPr>
          <w:szCs w:val="22"/>
        </w:rPr>
      </w:pPr>
    </w:p>
    <w:p w:rsidR="0096399A" w:rsidRPr="00AC5726" w:rsidRDefault="0096399A" w:rsidP="0096399A">
      <w:pPr>
        <w:pStyle w:val="ae"/>
        <w:spacing w:line="360" w:lineRule="auto"/>
        <w:ind w:firstLine="0"/>
        <w:jc w:val="both"/>
        <w:rPr>
          <w:szCs w:val="22"/>
        </w:rPr>
      </w:pPr>
      <w:r w:rsidRPr="00AC5726">
        <w:t xml:space="preserve">Και στο επίπεδο των επιχειρηματικών ομίλων διαπιστώνεται ότι καθοριστικό ρόλο έχει μία μικρή ομάδα εξ αυτών, εφόσον οι </w:t>
      </w:r>
      <w:r w:rsidRPr="00AC5726">
        <w:rPr>
          <w:b/>
        </w:rPr>
        <w:t>20</w:t>
      </w:r>
      <w:r w:rsidRPr="00AC5726">
        <w:t xml:space="preserve"> κορυφαίοι όμιλοι κάλυψαν (από κοινού) </w:t>
      </w:r>
      <w:r w:rsidR="008A5D05">
        <w:t>το</w:t>
      </w:r>
      <w:r w:rsidRPr="00AC5726">
        <w:rPr>
          <w:b/>
        </w:rPr>
        <w:t>7</w:t>
      </w:r>
      <w:r>
        <w:rPr>
          <w:b/>
        </w:rPr>
        <w:t>7,5</w:t>
      </w:r>
      <w:r w:rsidRPr="00AC5726">
        <w:rPr>
          <w:b/>
        </w:rPr>
        <w:t>%</w:t>
      </w:r>
      <w:r w:rsidRPr="00AC5726">
        <w:t xml:space="preserve"> επί των συνολικών κερδών </w:t>
      </w:r>
      <w:r w:rsidRPr="00AC5726">
        <w:rPr>
          <w:szCs w:val="22"/>
        </w:rPr>
        <w:t xml:space="preserve">EBITDAκαι το </w:t>
      </w:r>
      <w:r>
        <w:rPr>
          <w:b/>
          <w:szCs w:val="22"/>
        </w:rPr>
        <w:t>50,1</w:t>
      </w:r>
      <w:r w:rsidRPr="00AC5726">
        <w:rPr>
          <w:b/>
          <w:szCs w:val="22"/>
        </w:rPr>
        <w:t>%</w:t>
      </w:r>
      <w:r w:rsidRPr="00AC5726">
        <w:rPr>
          <w:szCs w:val="22"/>
        </w:rPr>
        <w:t xml:space="preserve"> του συνολικού κύκλου εργασιών </w:t>
      </w:r>
      <w:r w:rsidR="008A5D05">
        <w:rPr>
          <w:szCs w:val="22"/>
        </w:rPr>
        <w:t xml:space="preserve">των </w:t>
      </w:r>
      <w:r w:rsidRPr="00AC5726">
        <w:rPr>
          <w:szCs w:val="22"/>
        </w:rPr>
        <w:t xml:space="preserve">200 </w:t>
      </w:r>
      <w:r w:rsidR="008A5D05">
        <w:rPr>
          <w:szCs w:val="22"/>
        </w:rPr>
        <w:t xml:space="preserve">ομίλων </w:t>
      </w:r>
      <w:r w:rsidRPr="00AC5726">
        <w:rPr>
          <w:szCs w:val="22"/>
        </w:rPr>
        <w:t>της κατάταξης</w:t>
      </w:r>
      <w:r>
        <w:rPr>
          <w:szCs w:val="22"/>
        </w:rPr>
        <w:t>, το 2013</w:t>
      </w:r>
      <w:r w:rsidRPr="00AC5726">
        <w:rPr>
          <w:szCs w:val="22"/>
        </w:rPr>
        <w:t>.</w:t>
      </w:r>
    </w:p>
    <w:p w:rsidR="0096399A" w:rsidRPr="00AC5726" w:rsidRDefault="0096399A" w:rsidP="0096399A">
      <w:pPr>
        <w:pStyle w:val="ae"/>
        <w:spacing w:line="360" w:lineRule="auto"/>
        <w:ind w:firstLine="0"/>
        <w:jc w:val="both"/>
      </w:pPr>
      <w:r w:rsidRPr="00AC5726">
        <w:rPr>
          <w:szCs w:val="22"/>
        </w:rPr>
        <w:t>Κορυφαίος  όμιλος βάσει κερδοφορίας για το 201</w:t>
      </w:r>
      <w:r>
        <w:rPr>
          <w:szCs w:val="22"/>
        </w:rPr>
        <w:t>3</w:t>
      </w:r>
      <w:r w:rsidRPr="00AC5726">
        <w:rPr>
          <w:szCs w:val="22"/>
        </w:rPr>
        <w:t xml:space="preserve"> ανεδείχθη ο όμιλος εταιρειών </w:t>
      </w:r>
      <w:r w:rsidRPr="004C15D4">
        <w:rPr>
          <w:szCs w:val="22"/>
        </w:rPr>
        <w:t>της</w:t>
      </w:r>
      <w:r>
        <w:rPr>
          <w:b/>
          <w:szCs w:val="22"/>
          <w:lang w:val="en-US"/>
        </w:rPr>
        <w:t>ALPHABANKAE</w:t>
      </w:r>
      <w:r w:rsidRPr="00AC5726">
        <w:rPr>
          <w:szCs w:val="22"/>
        </w:rPr>
        <w:t xml:space="preserve"> ακολουθούμενος από τον</w:t>
      </w:r>
      <w:r>
        <w:rPr>
          <w:szCs w:val="22"/>
        </w:rPr>
        <w:t xml:space="preserve">επίσης τραπεζικό </w:t>
      </w:r>
      <w:r w:rsidRPr="00AC5726">
        <w:rPr>
          <w:szCs w:val="22"/>
        </w:rPr>
        <w:t>όμιλο</w:t>
      </w:r>
      <w:r>
        <w:rPr>
          <w:szCs w:val="22"/>
        </w:rPr>
        <w:t xml:space="preserve"> της </w:t>
      </w:r>
      <w:r w:rsidRPr="004C15D4">
        <w:rPr>
          <w:b/>
          <w:szCs w:val="22"/>
        </w:rPr>
        <w:t>ΠΕΙΡΑΙΩΣ ΤΡΑΠΕΖΑ ΑΕ</w:t>
      </w:r>
      <w:r w:rsidRPr="00AC5726">
        <w:rPr>
          <w:szCs w:val="22"/>
        </w:rPr>
        <w:t xml:space="preserve">. Στη συνέχεια βρίσκονται οι όμιλοι εταιρειών </w:t>
      </w:r>
      <w:r>
        <w:rPr>
          <w:szCs w:val="22"/>
        </w:rPr>
        <w:t>ΟΤΕ</w:t>
      </w:r>
      <w:r w:rsidRPr="00AC5726">
        <w:rPr>
          <w:szCs w:val="22"/>
        </w:rPr>
        <w:t xml:space="preserve"> ΑΕ</w:t>
      </w:r>
      <w:r>
        <w:rPr>
          <w:szCs w:val="22"/>
        </w:rPr>
        <w:t xml:space="preserve"> και ΔΕΗ ΑΕ</w:t>
      </w:r>
      <w:r w:rsidRPr="00AC5726">
        <w:rPr>
          <w:szCs w:val="22"/>
        </w:rPr>
        <w:t xml:space="preserve">. </w:t>
      </w:r>
    </w:p>
    <w:p w:rsidR="0096399A" w:rsidRPr="00AC5726" w:rsidRDefault="0096399A" w:rsidP="0096399A">
      <w:pPr>
        <w:pStyle w:val="ae"/>
        <w:spacing w:line="360" w:lineRule="auto"/>
        <w:ind w:firstLine="0"/>
        <w:jc w:val="both"/>
      </w:pPr>
    </w:p>
    <w:p w:rsidR="0096399A" w:rsidRPr="00AC5726" w:rsidRDefault="0096399A" w:rsidP="0096399A">
      <w:pPr>
        <w:pStyle w:val="a8"/>
        <w:numPr>
          <w:ilvl w:val="0"/>
          <w:numId w:val="2"/>
        </w:numPr>
        <w:ind w:left="400" w:hanging="400"/>
        <w:rPr>
          <w:rFonts w:ascii="Times New Roman" w:hAnsi="Times New Roman"/>
        </w:rPr>
      </w:pPr>
      <w:r w:rsidRPr="00AC5726">
        <w:rPr>
          <w:rFonts w:ascii="Times New Roman" w:hAnsi="Times New Roman"/>
        </w:rPr>
        <w:t>Επίλογοσ</w:t>
      </w:r>
    </w:p>
    <w:p w:rsidR="0096399A" w:rsidRPr="00AC5726" w:rsidRDefault="0096399A" w:rsidP="0096399A">
      <w:pPr>
        <w:spacing w:line="360" w:lineRule="auto"/>
        <w:jc w:val="both"/>
        <w:rPr>
          <w:sz w:val="22"/>
          <w:szCs w:val="22"/>
          <w:lang w:val="el-GR"/>
        </w:rPr>
      </w:pPr>
    </w:p>
    <w:p w:rsidR="008E40CD" w:rsidRDefault="0096399A" w:rsidP="0096399A">
      <w:pPr>
        <w:pStyle w:val="ae"/>
        <w:spacing w:line="360" w:lineRule="auto"/>
        <w:ind w:firstLine="0"/>
        <w:jc w:val="both"/>
        <w:rPr>
          <w:szCs w:val="22"/>
        </w:rPr>
      </w:pPr>
      <w:r w:rsidRPr="00AD5594">
        <w:rPr>
          <w:szCs w:val="22"/>
        </w:rPr>
        <w:t>Συνοψίζοντας, οι επιχειρήσεις που περιλαμβάνονται στον κατάλογο των 500 πιο κερδοφόρων ελληνικών εταιρειών για το 201</w:t>
      </w:r>
      <w:r>
        <w:rPr>
          <w:szCs w:val="22"/>
        </w:rPr>
        <w:t>3</w:t>
      </w:r>
      <w:r w:rsidRPr="00AD5594">
        <w:rPr>
          <w:szCs w:val="22"/>
        </w:rPr>
        <w:t>, παρά τη συνεχιζόμενη ύφεση,</w:t>
      </w:r>
      <w:r>
        <w:rPr>
          <w:szCs w:val="22"/>
        </w:rPr>
        <w:t xml:space="preserve"> την πτώση της ζήτησης και τη μεγάλη έλλειψη ρευστότητας,</w:t>
      </w:r>
      <w:r w:rsidRPr="00AD5594">
        <w:rPr>
          <w:szCs w:val="22"/>
        </w:rPr>
        <w:t xml:space="preserve"> είχαν βελτιωμένες επιδόσεις, </w:t>
      </w:r>
      <w:r>
        <w:rPr>
          <w:szCs w:val="22"/>
        </w:rPr>
        <w:t>με χαρακτηριστικό τη</w:t>
      </w:r>
      <w:r w:rsidR="008E40CD">
        <w:rPr>
          <w:szCs w:val="22"/>
        </w:rPr>
        <w:t xml:space="preserve">ν </w:t>
      </w:r>
      <w:r w:rsidRPr="00AD5594">
        <w:rPr>
          <w:szCs w:val="22"/>
        </w:rPr>
        <w:t xml:space="preserve">αύξηση της κερδοφορίας </w:t>
      </w:r>
      <w:r w:rsidR="008E40CD">
        <w:rPr>
          <w:szCs w:val="22"/>
        </w:rPr>
        <w:t>τους.</w:t>
      </w:r>
    </w:p>
    <w:p w:rsidR="008E40CD" w:rsidRDefault="008E40CD" w:rsidP="0096399A">
      <w:pPr>
        <w:pStyle w:val="ae"/>
        <w:spacing w:line="360" w:lineRule="auto"/>
        <w:ind w:firstLine="0"/>
        <w:jc w:val="both"/>
        <w:rPr>
          <w:szCs w:val="22"/>
        </w:rPr>
      </w:pPr>
    </w:p>
    <w:p w:rsidR="0096399A" w:rsidRPr="00A90F4D" w:rsidRDefault="0096399A" w:rsidP="0096399A">
      <w:pPr>
        <w:pStyle w:val="ae"/>
        <w:spacing w:line="360" w:lineRule="auto"/>
        <w:ind w:firstLine="0"/>
        <w:jc w:val="both"/>
      </w:pPr>
      <w:r w:rsidRPr="008F6261">
        <w:t xml:space="preserve">Στις παρούσες συνθήκες, όπου η εμπιστοσύνη στην Ελληνική οικονομία αποκαθίσταται σταδιακά στις διεθνείς αγορές και η δημοσιονομική εξυγίανση προχωρά, είναι θέμα ύψιστης προτεραιότητας η επαναφορά σε τροχιά ανάπτυξης και η αποκατάσταση των ομαλών συνθηκών λειτουργίας στην «πραγματική» οικονομία. Σε αυτήν την προοπτική, </w:t>
      </w:r>
      <w:r w:rsidRPr="008F6261">
        <w:rPr>
          <w:szCs w:val="22"/>
        </w:rPr>
        <w:t>οι κορυφαίες ελληνικές επιχειρήσεις καλούνται να εντείνουν τις προσπάθει</w:t>
      </w:r>
      <w:r w:rsidR="00733C5D">
        <w:rPr>
          <w:szCs w:val="22"/>
        </w:rPr>
        <w:t>έ</w:t>
      </w:r>
      <w:r w:rsidRPr="008F6261">
        <w:rPr>
          <w:szCs w:val="22"/>
        </w:rPr>
        <w:t>ς τους, επιδεικνύοντας τόλμη και αποφασιστικότητα</w:t>
      </w:r>
      <w:r w:rsidRPr="008F6261">
        <w:t>.</w:t>
      </w:r>
    </w:p>
    <w:p w:rsidR="00B345ED" w:rsidRPr="00A90F4D" w:rsidRDefault="00B345ED" w:rsidP="0096399A">
      <w:pPr>
        <w:pStyle w:val="ae"/>
        <w:spacing w:line="360" w:lineRule="auto"/>
        <w:ind w:firstLine="0"/>
        <w:jc w:val="both"/>
        <w:rPr>
          <w:szCs w:val="22"/>
        </w:rPr>
      </w:pPr>
    </w:p>
    <w:p w:rsidR="00B345ED" w:rsidRPr="00B345ED" w:rsidRDefault="00B345ED" w:rsidP="00B345ED">
      <w:pPr>
        <w:pStyle w:val="a8"/>
        <w:rPr>
          <w:rFonts w:ascii="Times New Roman" w:hAnsi="Times New Roman"/>
        </w:rPr>
      </w:pPr>
      <w:r w:rsidRPr="00B345ED">
        <w:rPr>
          <w:rFonts w:ascii="Times New Roman" w:hAnsi="Times New Roman"/>
        </w:rPr>
        <w:t>ΔΗΛΩΣΗ Διευθύνοντος Συμβούλου ICAP Group, Νικήτα Κωνσταντέλλου</w:t>
      </w:r>
    </w:p>
    <w:p w:rsidR="00B345ED" w:rsidRPr="00B345ED" w:rsidRDefault="00B345ED" w:rsidP="00B345ED">
      <w:pPr>
        <w:jc w:val="both"/>
        <w:rPr>
          <w:rFonts w:cs="Arial"/>
          <w:b/>
          <w:color w:val="548DD4"/>
          <w:sz w:val="20"/>
          <w:szCs w:val="20"/>
          <w:lang w:val="el-GR"/>
        </w:rPr>
      </w:pPr>
    </w:p>
    <w:p w:rsidR="00B345ED" w:rsidRDefault="00B345ED" w:rsidP="00B345ED">
      <w:pPr>
        <w:shd w:val="clear" w:color="auto" w:fill="FFFFFF"/>
        <w:jc w:val="both"/>
        <w:rPr>
          <w:rFonts w:cs="Calibri"/>
          <w:sz w:val="22"/>
          <w:szCs w:val="22"/>
          <w:lang w:val="el-GR"/>
        </w:rPr>
      </w:pPr>
      <w:r>
        <w:rPr>
          <w:rFonts w:cs="Calibri"/>
          <w:sz w:val="22"/>
          <w:szCs w:val="22"/>
          <w:lang w:val="el-GR"/>
        </w:rPr>
        <w:t>«</w:t>
      </w:r>
      <w:r w:rsidRPr="00B6471E">
        <w:rPr>
          <w:rFonts w:cs="Calibri"/>
          <w:sz w:val="22"/>
          <w:szCs w:val="22"/>
          <w:lang w:val="el-GR"/>
        </w:rPr>
        <w:t xml:space="preserve">Μετά από έξι χρόνια βαθειάς ύφεσης, η ελληνική οικονομία βρίσκεται σήμερα σε μια σημαντική καμπή </w:t>
      </w:r>
      <w:r>
        <w:rPr>
          <w:rFonts w:cs="Calibri"/>
          <w:sz w:val="22"/>
          <w:szCs w:val="22"/>
          <w:lang w:val="el-GR"/>
        </w:rPr>
        <w:t>όπου αναμένεται από το τρέχον εξάμηνο να γυρίσει σε ανάπτυξη με μικρό θετικό πρόσημο.</w:t>
      </w:r>
      <w:r w:rsidRPr="00B6471E">
        <w:rPr>
          <w:rFonts w:cs="Calibri"/>
          <w:sz w:val="22"/>
          <w:szCs w:val="22"/>
          <w:lang w:val="el-GR"/>
        </w:rPr>
        <w:t xml:space="preserve">  Η βαθειά και παρατεταμένη οικονομική κρίση των τελευταίων ετών έπληξε το σύνολο της οικονομικής δραστηριότητας στην Ελλάδα, η δε κερδοφορία του ιδιωτικού τομέα έχει δεχθεί βαριά πλήγματα, σε όλους τους επιμέρους επιχειρηματικούς κλάδους. Το τρέχον έτος υπήρξαν σημαντικές βελτιώσεις στα δημοσιονομικά μεγέθη, όμως στο μέτωπο της πραγματικής οικονομίας, αν και υπάρχουν κάποιες θετικές εξελίξεις, ωστόσο οι δυσκολίες </w:t>
      </w:r>
      <w:r>
        <w:rPr>
          <w:rFonts w:cs="Calibri"/>
          <w:sz w:val="22"/>
          <w:szCs w:val="22"/>
          <w:lang w:val="el-GR"/>
        </w:rPr>
        <w:t>παραμένουν</w:t>
      </w:r>
      <w:r w:rsidRPr="00B6471E">
        <w:rPr>
          <w:rFonts w:cs="Calibri"/>
          <w:sz w:val="22"/>
          <w:szCs w:val="22"/>
          <w:lang w:val="el-GR"/>
        </w:rPr>
        <w:t xml:space="preserve"> έντονες.</w:t>
      </w:r>
    </w:p>
    <w:p w:rsidR="00B345ED" w:rsidRPr="007563B5" w:rsidRDefault="00B345ED" w:rsidP="00B345ED">
      <w:pPr>
        <w:shd w:val="clear" w:color="auto" w:fill="FFFFFF"/>
        <w:jc w:val="both"/>
        <w:rPr>
          <w:rFonts w:cs="Calibri"/>
          <w:sz w:val="22"/>
          <w:szCs w:val="22"/>
          <w:lang w:val="el-GR"/>
        </w:rPr>
      </w:pPr>
    </w:p>
    <w:p w:rsidR="00B345ED" w:rsidRPr="007563B5" w:rsidRDefault="00B345ED" w:rsidP="00B345ED">
      <w:pPr>
        <w:jc w:val="both"/>
        <w:rPr>
          <w:rFonts w:cs="Calibri"/>
          <w:b/>
          <w:sz w:val="22"/>
          <w:szCs w:val="22"/>
          <w:lang w:val="el-GR"/>
        </w:rPr>
      </w:pPr>
      <w:r w:rsidRPr="007563B5">
        <w:rPr>
          <w:rFonts w:cs="Calibri"/>
          <w:sz w:val="22"/>
          <w:szCs w:val="22"/>
          <w:lang w:val="el-GR"/>
        </w:rPr>
        <w:t xml:space="preserve">Ενδεικτικό της κατάστασης είναι ότι, στο σύνολο των ελληνικών εταιρειών, τα μεν </w:t>
      </w:r>
      <w:r w:rsidRPr="007563B5">
        <w:rPr>
          <w:rFonts w:cs="Calibri"/>
          <w:b/>
          <w:sz w:val="22"/>
          <w:szCs w:val="22"/>
          <w:lang w:val="el-GR"/>
        </w:rPr>
        <w:t>Κέρδη EBITDA αυξήθηκαν</w:t>
      </w:r>
      <w:r w:rsidRPr="007563B5">
        <w:rPr>
          <w:rFonts w:cs="Calibri"/>
          <w:sz w:val="22"/>
          <w:szCs w:val="22"/>
          <w:lang w:val="el-GR"/>
        </w:rPr>
        <w:t xml:space="preserve"> το 2013, ωστόσο το τελικό καθαρό αποτέλεσμα (προ φόρου) παρέμεινε ζημιογόνο και το 2013, με συνολικές ζημίες ύψους €1,3 δισ. Σε αυτή την συγκυρία λαμβάνει μεγαλύτερη αξία το γεγονός ότι </w:t>
      </w:r>
      <w:r w:rsidRPr="007563B5">
        <w:rPr>
          <w:rFonts w:cs="Calibri"/>
          <w:b/>
          <w:sz w:val="22"/>
          <w:szCs w:val="22"/>
          <w:lang w:val="el-GR"/>
        </w:rPr>
        <w:t>οι 500 πιο κερδοφόρες ελληνικές εταιρείες συνολικά το 2013, αν και μείωσαν τον κύκλο εργασιών τους κατά 4,5%, ωστόσο βελτίωσαν εντυπωσιακά την κερδοφορία τους.</w:t>
      </w:r>
      <w:r w:rsidRPr="007563B5">
        <w:rPr>
          <w:rFonts w:cs="Calibri"/>
          <w:sz w:val="22"/>
          <w:szCs w:val="22"/>
          <w:lang w:val="el-GR"/>
        </w:rPr>
        <w:t xml:space="preserve"> Πράγματι, οι 500 πιο κερδοφόρες εταιρείες παρουσίασαν υπερδιπ</w:t>
      </w:r>
      <w:r>
        <w:rPr>
          <w:rFonts w:cs="Calibri"/>
          <w:sz w:val="22"/>
          <w:szCs w:val="22"/>
          <w:lang w:val="el-GR"/>
        </w:rPr>
        <w:t>λασιασμό στα κέρδη EBITDA (121</w:t>
      </w:r>
      <w:r w:rsidRPr="007563B5">
        <w:rPr>
          <w:rFonts w:cs="Calibri"/>
          <w:sz w:val="22"/>
          <w:szCs w:val="22"/>
          <w:lang w:val="el-GR"/>
        </w:rPr>
        <w:t xml:space="preserve">%), ενώ υπήρξε αναστροφή του τελικού αποτελέσματος, εμφανίζοντας κέρδη προ φόρου  </w:t>
      </w:r>
      <w:r w:rsidRPr="007563B5">
        <w:rPr>
          <w:rFonts w:cs="Calibri"/>
          <w:b/>
          <w:sz w:val="22"/>
          <w:szCs w:val="22"/>
          <w:lang w:val="el-GR"/>
        </w:rPr>
        <w:t>€7,6 δισ</w:t>
      </w:r>
      <w:r w:rsidRPr="007563B5">
        <w:rPr>
          <w:rFonts w:cs="Calibri"/>
          <w:sz w:val="22"/>
          <w:szCs w:val="22"/>
          <w:lang w:val="el-GR"/>
        </w:rPr>
        <w:t>. το 2013, από ζημίες το προηγούμενο έτος. Ακόμη κι αν εξαιρέσουμε τους δύο μεγαλύτερους τραπεζικούς οργανισμούς, οι οποίοι διαμορφώνουν σε μεγάλο βαθμό τα αποτελέσματα, τότε παρατηρείται εντυπωσιακή αύξηση στο τελικό καθαρό αποτ</w:t>
      </w:r>
      <w:r>
        <w:rPr>
          <w:rFonts w:cs="Calibri"/>
          <w:sz w:val="22"/>
          <w:szCs w:val="22"/>
          <w:lang w:val="el-GR"/>
        </w:rPr>
        <w:t>έλεσμα (προ φόρου) κατά 75</w:t>
      </w:r>
      <w:r w:rsidRPr="007563B5">
        <w:rPr>
          <w:rFonts w:cs="Calibri"/>
          <w:sz w:val="22"/>
          <w:szCs w:val="22"/>
          <w:lang w:val="el-GR"/>
        </w:rPr>
        <w:t>%.</w:t>
      </w:r>
    </w:p>
    <w:p w:rsidR="00B345ED" w:rsidRPr="007563B5" w:rsidRDefault="00B345ED" w:rsidP="00B345ED">
      <w:pPr>
        <w:shd w:val="clear" w:color="auto" w:fill="FFFFFF"/>
        <w:jc w:val="both"/>
        <w:rPr>
          <w:rFonts w:cs="Calibri"/>
          <w:sz w:val="22"/>
          <w:szCs w:val="22"/>
          <w:lang w:val="el-GR"/>
        </w:rPr>
      </w:pPr>
    </w:p>
    <w:p w:rsidR="00B345ED" w:rsidRPr="003620FE" w:rsidRDefault="00B345ED" w:rsidP="00B345ED">
      <w:pPr>
        <w:autoSpaceDE w:val="0"/>
        <w:autoSpaceDN w:val="0"/>
        <w:adjustRightInd w:val="0"/>
        <w:jc w:val="both"/>
        <w:rPr>
          <w:rFonts w:cs="Calibri"/>
          <w:sz w:val="22"/>
          <w:szCs w:val="22"/>
          <w:highlight w:val="yellow"/>
          <w:lang w:val="el-GR"/>
        </w:rPr>
      </w:pPr>
      <w:r w:rsidRPr="0053567B">
        <w:rPr>
          <w:rFonts w:cs="Calibri"/>
          <w:sz w:val="22"/>
          <w:szCs w:val="22"/>
          <w:lang w:val="el-GR"/>
        </w:rPr>
        <w:lastRenderedPageBreak/>
        <w:t xml:space="preserve"> Η εξέλιξη της κερδοφορίας των εταιρειών της έκδοσης είναι, λοιπόν, </w:t>
      </w:r>
      <w:r w:rsidRPr="00F52C26">
        <w:rPr>
          <w:rFonts w:cs="Calibri"/>
          <w:b/>
          <w:sz w:val="22"/>
          <w:szCs w:val="22"/>
          <w:lang w:val="el-GR"/>
        </w:rPr>
        <w:t>θετικότερη</w:t>
      </w:r>
      <w:r w:rsidRPr="0053567B">
        <w:rPr>
          <w:rFonts w:cs="Calibri"/>
          <w:sz w:val="22"/>
          <w:szCs w:val="22"/>
          <w:lang w:val="el-GR"/>
        </w:rPr>
        <w:t xml:space="preserve"> σε σύγκριση με τα αποτελέσματα του συνόλου των ελληνικών εταιρειών. Βέβαια </w:t>
      </w:r>
      <w:r w:rsidRPr="005244D5">
        <w:rPr>
          <w:rFonts w:cs="Calibri"/>
          <w:sz w:val="22"/>
          <w:szCs w:val="22"/>
          <w:lang w:val="el-GR"/>
        </w:rPr>
        <w:t>οι συνθήκες ύφεσης</w:t>
      </w:r>
      <w:r>
        <w:rPr>
          <w:rFonts w:cs="Calibri"/>
          <w:sz w:val="22"/>
          <w:szCs w:val="22"/>
          <w:lang w:val="el-GR"/>
        </w:rPr>
        <w:t xml:space="preserve"> που βιώσα</w:t>
      </w:r>
      <w:r w:rsidRPr="005244D5">
        <w:rPr>
          <w:rFonts w:cs="Calibri"/>
          <w:sz w:val="22"/>
          <w:szCs w:val="22"/>
          <w:lang w:val="el-GR"/>
        </w:rPr>
        <w:t>με τα τελευταία χρόνια επηρέασαν αρνητικά</w:t>
      </w:r>
      <w:r>
        <w:rPr>
          <w:rFonts w:cs="Calibri"/>
          <w:sz w:val="22"/>
          <w:szCs w:val="22"/>
          <w:lang w:val="el-GR"/>
        </w:rPr>
        <w:t xml:space="preserve"> και πολλές</w:t>
      </w:r>
      <w:r w:rsidRPr="0053567B">
        <w:rPr>
          <w:rFonts w:cs="Calibri"/>
          <w:sz w:val="22"/>
          <w:szCs w:val="22"/>
          <w:lang w:val="el-GR"/>
        </w:rPr>
        <w:t xml:space="preserve"> κερδοφόρες Εταιρείες και Ομίλους. Αυτό είχε σαν αποτέλεσμα το κατώτατο όριο Κερδών </w:t>
      </w:r>
      <w:r w:rsidRPr="0053567B">
        <w:rPr>
          <w:rFonts w:cs="Calibri"/>
          <w:sz w:val="22"/>
          <w:szCs w:val="22"/>
          <w:lang w:val="en-US"/>
        </w:rPr>
        <w:t>EBITDA</w:t>
      </w:r>
      <w:r w:rsidRPr="0053567B">
        <w:rPr>
          <w:rFonts w:cs="Calibri"/>
          <w:sz w:val="22"/>
          <w:szCs w:val="22"/>
          <w:lang w:val="el-GR"/>
        </w:rPr>
        <w:t xml:space="preserve"> προκειμένου να συμπεριληφθεί μία επιχείρηση στις 500 πιο κερδοφόρες για το 201</w:t>
      </w:r>
      <w:r>
        <w:rPr>
          <w:rFonts w:cs="Calibri"/>
          <w:sz w:val="22"/>
          <w:szCs w:val="22"/>
          <w:lang w:val="el-GR"/>
        </w:rPr>
        <w:t>3</w:t>
      </w:r>
      <w:r w:rsidRPr="0053567B">
        <w:rPr>
          <w:rFonts w:cs="Calibri"/>
          <w:sz w:val="22"/>
          <w:szCs w:val="22"/>
          <w:lang w:val="el-GR"/>
        </w:rPr>
        <w:t xml:space="preserve">, να διαμορφωθεί στα </w:t>
      </w:r>
      <w:r w:rsidRPr="0053567B">
        <w:rPr>
          <w:sz w:val="22"/>
          <w:szCs w:val="22"/>
          <w:lang w:val="el-GR"/>
        </w:rPr>
        <w:t xml:space="preserve">σε </w:t>
      </w:r>
      <w:r>
        <w:rPr>
          <w:b/>
          <w:sz w:val="22"/>
          <w:szCs w:val="22"/>
          <w:lang w:val="el-GR"/>
        </w:rPr>
        <w:t>€3,25</w:t>
      </w:r>
      <w:r w:rsidRPr="0053567B">
        <w:rPr>
          <w:b/>
          <w:sz w:val="22"/>
          <w:szCs w:val="22"/>
          <w:lang w:val="el-GR"/>
        </w:rPr>
        <w:t xml:space="preserve"> εκατ.,</w:t>
      </w:r>
      <w:r w:rsidRPr="0053567B">
        <w:rPr>
          <w:rFonts w:cs="Calibri"/>
          <w:sz w:val="22"/>
          <w:szCs w:val="22"/>
          <w:lang w:val="el-GR"/>
        </w:rPr>
        <w:t xml:space="preserve"> όταν το όριο αυτό ήταν </w:t>
      </w:r>
      <w:r w:rsidRPr="0053567B">
        <w:rPr>
          <w:rFonts w:cs="Calibri"/>
          <w:b/>
          <w:sz w:val="22"/>
          <w:szCs w:val="22"/>
          <w:lang w:val="el-GR"/>
        </w:rPr>
        <w:t>€5,9 εκατ.</w:t>
      </w:r>
      <w:r w:rsidRPr="0053567B">
        <w:rPr>
          <w:rFonts w:cs="Calibri"/>
          <w:sz w:val="22"/>
          <w:szCs w:val="22"/>
          <w:lang w:val="el-GR"/>
        </w:rPr>
        <w:t xml:space="preserve"> το 2007</w:t>
      </w:r>
      <w:r>
        <w:rPr>
          <w:rFonts w:cs="Calibri"/>
          <w:sz w:val="22"/>
          <w:szCs w:val="22"/>
          <w:lang w:val="el-GR"/>
        </w:rPr>
        <w:t>, μέγεθος σαφώς κατώτερο</w:t>
      </w:r>
      <w:r w:rsidRPr="0053567B">
        <w:rPr>
          <w:rFonts w:cs="Calibri"/>
          <w:sz w:val="22"/>
          <w:szCs w:val="22"/>
          <w:lang w:val="el-GR"/>
        </w:rPr>
        <w:t xml:space="preserve">. </w:t>
      </w:r>
    </w:p>
    <w:p w:rsidR="00B345ED" w:rsidRPr="003620FE" w:rsidRDefault="00B345ED" w:rsidP="00B345ED">
      <w:pPr>
        <w:autoSpaceDE w:val="0"/>
        <w:autoSpaceDN w:val="0"/>
        <w:adjustRightInd w:val="0"/>
        <w:jc w:val="both"/>
        <w:rPr>
          <w:rFonts w:cs="Calibri"/>
          <w:sz w:val="22"/>
          <w:szCs w:val="22"/>
          <w:highlight w:val="yellow"/>
          <w:lang w:val="el-GR"/>
        </w:rPr>
      </w:pPr>
    </w:p>
    <w:p w:rsidR="00B345ED" w:rsidRPr="00290147" w:rsidRDefault="00B345ED" w:rsidP="00B345ED">
      <w:pPr>
        <w:autoSpaceDE w:val="0"/>
        <w:autoSpaceDN w:val="0"/>
        <w:adjustRightInd w:val="0"/>
        <w:jc w:val="both"/>
        <w:rPr>
          <w:rFonts w:cs="Calibri"/>
          <w:sz w:val="22"/>
          <w:szCs w:val="22"/>
          <w:lang w:val="el-GR"/>
        </w:rPr>
      </w:pPr>
      <w:r w:rsidRPr="00290147">
        <w:rPr>
          <w:rFonts w:cs="Calibri"/>
          <w:sz w:val="22"/>
          <w:szCs w:val="22"/>
          <w:lang w:val="el-GR"/>
        </w:rPr>
        <w:t xml:space="preserve">Χαρακτηριστικό της μεταβλητικότητας της εποχής είναι ότι </w:t>
      </w:r>
      <w:r w:rsidRPr="00290147">
        <w:rPr>
          <w:rFonts w:cs="Calibri"/>
          <w:b/>
          <w:sz w:val="22"/>
          <w:szCs w:val="22"/>
          <w:lang w:val="el-GR"/>
        </w:rPr>
        <w:t>1</w:t>
      </w:r>
      <w:r>
        <w:rPr>
          <w:rFonts w:cs="Calibri"/>
          <w:b/>
          <w:sz w:val="22"/>
          <w:szCs w:val="22"/>
          <w:lang w:val="el-GR"/>
        </w:rPr>
        <w:t>29</w:t>
      </w:r>
      <w:r w:rsidRPr="00290147">
        <w:rPr>
          <w:rFonts w:cs="Calibri"/>
          <w:b/>
          <w:sz w:val="22"/>
          <w:szCs w:val="22"/>
          <w:lang w:val="el-GR"/>
        </w:rPr>
        <w:t xml:space="preserve"> εταιρείες</w:t>
      </w:r>
      <w:r w:rsidRPr="00290147">
        <w:rPr>
          <w:rFonts w:cs="Calibri"/>
          <w:sz w:val="22"/>
          <w:szCs w:val="22"/>
          <w:lang w:val="el-GR"/>
        </w:rPr>
        <w:t xml:space="preserve"> της αντίστοιχης κατά</w:t>
      </w:r>
      <w:r>
        <w:rPr>
          <w:rFonts w:cs="Calibri"/>
          <w:sz w:val="22"/>
          <w:szCs w:val="22"/>
          <w:lang w:val="el-GR"/>
        </w:rPr>
        <w:t>ταξης</w:t>
      </w:r>
      <w:r w:rsidRPr="00290147">
        <w:rPr>
          <w:rFonts w:cs="Calibri"/>
          <w:sz w:val="22"/>
          <w:szCs w:val="22"/>
          <w:lang w:val="el-GR"/>
        </w:rPr>
        <w:t xml:space="preserve"> του 201</w:t>
      </w:r>
      <w:r>
        <w:rPr>
          <w:rFonts w:cs="Calibri"/>
          <w:sz w:val="22"/>
          <w:szCs w:val="22"/>
          <w:lang w:val="el-GR"/>
        </w:rPr>
        <w:t>2</w:t>
      </w:r>
      <w:r w:rsidRPr="00290147">
        <w:rPr>
          <w:rFonts w:cs="Calibri"/>
          <w:b/>
          <w:sz w:val="22"/>
          <w:szCs w:val="22"/>
          <w:lang w:val="el-GR"/>
        </w:rPr>
        <w:t>δεν περιλαμβάνονται</w:t>
      </w:r>
      <w:r w:rsidRPr="00290147">
        <w:rPr>
          <w:rFonts w:cs="Calibri"/>
          <w:sz w:val="22"/>
          <w:szCs w:val="22"/>
          <w:lang w:val="el-GR"/>
        </w:rPr>
        <w:t xml:space="preserve"> στην κατάταξη του 201</w:t>
      </w:r>
      <w:r>
        <w:rPr>
          <w:rFonts w:cs="Calibri"/>
          <w:sz w:val="22"/>
          <w:szCs w:val="22"/>
          <w:lang w:val="el-GR"/>
        </w:rPr>
        <w:t>3</w:t>
      </w:r>
      <w:r w:rsidRPr="00290147">
        <w:rPr>
          <w:rFonts w:cs="Calibri"/>
          <w:sz w:val="22"/>
          <w:szCs w:val="22"/>
          <w:lang w:val="el-GR"/>
        </w:rPr>
        <w:t xml:space="preserve"> και αντικαθιστώνται από άλλες επιχειρήσεις. Τέλος, το γεγονός ότι από τις 50</w:t>
      </w:r>
      <w:r>
        <w:rPr>
          <w:rFonts w:cs="Calibri"/>
          <w:sz w:val="22"/>
          <w:szCs w:val="22"/>
          <w:lang w:val="el-GR"/>
        </w:rPr>
        <w:t>0 κερδοφόρες εταιρείες του 2012</w:t>
      </w:r>
      <w:r w:rsidRPr="00290147">
        <w:rPr>
          <w:rFonts w:cs="Calibri"/>
          <w:b/>
          <w:sz w:val="22"/>
          <w:szCs w:val="22"/>
          <w:lang w:val="el-GR"/>
        </w:rPr>
        <w:t>μόνον 6</w:t>
      </w:r>
      <w:r>
        <w:rPr>
          <w:rFonts w:cs="Calibri"/>
          <w:b/>
          <w:sz w:val="22"/>
          <w:szCs w:val="22"/>
          <w:lang w:val="el-GR"/>
        </w:rPr>
        <w:t>2</w:t>
      </w:r>
      <w:r w:rsidRPr="00290147">
        <w:rPr>
          <w:rFonts w:cs="Calibri"/>
          <w:b/>
          <w:sz w:val="22"/>
          <w:szCs w:val="22"/>
          <w:lang w:val="el-GR"/>
        </w:rPr>
        <w:t xml:space="preserve"> είναι εισηγμένες</w:t>
      </w:r>
      <w:r w:rsidRPr="00290147">
        <w:rPr>
          <w:rFonts w:cs="Calibri"/>
          <w:sz w:val="22"/>
          <w:szCs w:val="22"/>
          <w:lang w:val="el-GR"/>
        </w:rPr>
        <w:t xml:space="preserve"> στο Χρηματιστήριο Αθηνών, είναι ενδεικτικό της μεγάλης προσπάθειας που απαιτείται ώστε </w:t>
      </w:r>
      <w:r>
        <w:rPr>
          <w:rFonts w:cs="Calibri"/>
          <w:sz w:val="22"/>
          <w:szCs w:val="22"/>
          <w:lang w:val="el-GR"/>
        </w:rPr>
        <w:t xml:space="preserve">αυτό </w:t>
      </w:r>
      <w:r w:rsidRPr="00290147">
        <w:rPr>
          <w:rFonts w:cs="Calibri"/>
          <w:sz w:val="22"/>
          <w:szCs w:val="22"/>
          <w:lang w:val="el-GR"/>
        </w:rPr>
        <w:t>να καταστεί πόλος έλξης των σημαντικότερων Ελληνικών εταιρειών.</w:t>
      </w:r>
    </w:p>
    <w:p w:rsidR="00B345ED" w:rsidRPr="00202BB4" w:rsidRDefault="00B345ED" w:rsidP="00B345ED">
      <w:pPr>
        <w:autoSpaceDE w:val="0"/>
        <w:autoSpaceDN w:val="0"/>
        <w:adjustRightInd w:val="0"/>
        <w:jc w:val="both"/>
        <w:rPr>
          <w:rFonts w:cs="Calibri"/>
          <w:sz w:val="22"/>
          <w:szCs w:val="22"/>
          <w:highlight w:val="yellow"/>
          <w:lang w:val="el-GR"/>
        </w:rPr>
      </w:pPr>
    </w:p>
    <w:p w:rsidR="00B345ED" w:rsidRPr="00B345ED" w:rsidRDefault="00B345ED" w:rsidP="00B345ED">
      <w:pPr>
        <w:pStyle w:val="ae"/>
        <w:ind w:firstLine="0"/>
        <w:jc w:val="both"/>
        <w:rPr>
          <w:rFonts w:ascii="Verdana" w:hAnsi="Verdana" w:cs="Calibri"/>
          <w:szCs w:val="22"/>
        </w:rPr>
      </w:pPr>
      <w:r w:rsidRPr="00B345ED">
        <w:rPr>
          <w:szCs w:val="22"/>
        </w:rPr>
        <w:t xml:space="preserve">Κλείνοντας θα ήθελα να τονίσω ότι οι κορυφαίες αυτές επιχειρήσεις με τις εντυπωσιακές επιδόσεις τους είναι </w:t>
      </w:r>
      <w:r w:rsidRPr="00B345ED">
        <w:rPr>
          <w:b/>
          <w:szCs w:val="22"/>
        </w:rPr>
        <w:t>άξιες συγχαρητηρίων</w:t>
      </w:r>
      <w:r w:rsidRPr="00B345ED">
        <w:rPr>
          <w:szCs w:val="22"/>
        </w:rPr>
        <w:t xml:space="preserve"> και πρέπει να αποτελέσουν το </w:t>
      </w:r>
      <w:r w:rsidRPr="00B345ED">
        <w:rPr>
          <w:b/>
          <w:szCs w:val="22"/>
        </w:rPr>
        <w:t>πρότυπο</w:t>
      </w:r>
      <w:r w:rsidRPr="00B345ED">
        <w:rPr>
          <w:rFonts w:cs="Calibri"/>
          <w:szCs w:val="22"/>
        </w:rPr>
        <w:t>και για τις λοιπές επιχειρήσεις της χώρας. Στις παρούσες συνθήκες, όπου η εμπιστοσύνη στην Ελληνική οικονομία αποκαθίσταται σταδιακά στις διεθνείς αγορές και η δημοσιονομική εξυγίανση προχωρά, είναι θέμα ύψιστης προτεραιότητας η αποκατάσταση των ομαλών συνθηκών λειτουργίας στην «πραγματική» οικονομία και η επάνοδος σε  τροχιά ανάπτυξης. Σε αυτήν την προοπτική, οι κορυφαίες ελληνικές επιχειρήσεις καλούνται να εντείνουν τις προσπάθειες τους, επιδεικνύοντας τόλμη και αποφασιστικότητα.</w:t>
      </w:r>
      <w:r>
        <w:rPr>
          <w:rFonts w:ascii="Verdana" w:hAnsi="Verdana" w:cs="Calibri"/>
          <w:szCs w:val="22"/>
        </w:rPr>
        <w:t>»</w:t>
      </w:r>
    </w:p>
    <w:p w:rsidR="00BD50B4" w:rsidRPr="0096399A" w:rsidRDefault="00BD50B4">
      <w:pPr>
        <w:rPr>
          <w:lang w:val="el-GR"/>
        </w:rPr>
      </w:pPr>
    </w:p>
    <w:sectPr w:rsidR="00BD50B4" w:rsidRPr="0096399A" w:rsidSect="00BD50B4">
      <w:headerReference w:type="default" r:id="rId11"/>
      <w:footerReference w:type="default" r:id="rId12"/>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2B3" w:rsidRDefault="008C42B3" w:rsidP="0096399A">
      <w:r>
        <w:separator/>
      </w:r>
    </w:p>
  </w:endnote>
  <w:endnote w:type="continuationSeparator" w:id="1">
    <w:p w:rsidR="008C42B3" w:rsidRDefault="008C42B3" w:rsidP="00963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WT)">
    <w:altName w:val="Times New Roman"/>
    <w:panose1 w:val="00000000000000000000"/>
    <w:charset w:val="A2"/>
    <w:family w:val="roman"/>
    <w:notTrueType/>
    <w:pitch w:val="variable"/>
    <w:sig w:usb0="00000005" w:usb1="00000000" w:usb2="00000000" w:usb3="00000000" w:csb0="0000001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05" w:rsidRDefault="00A771C2">
    <w:pPr>
      <w:pStyle w:val="af2"/>
      <w:jc w:val="right"/>
    </w:pPr>
    <w:r>
      <w:fldChar w:fldCharType="begin"/>
    </w:r>
    <w:r w:rsidR="008A5D05">
      <w:instrText xml:space="preserve"> PAGE   \* MERGEFORMAT </w:instrText>
    </w:r>
    <w:r>
      <w:fldChar w:fldCharType="separate"/>
    </w:r>
    <w:r w:rsidR="007F62C0">
      <w:rPr>
        <w:noProof/>
      </w:rPr>
      <w:t>13</w:t>
    </w:r>
    <w:r>
      <w:fldChar w:fldCharType="end"/>
    </w:r>
  </w:p>
  <w:p w:rsidR="008A5D05" w:rsidRDefault="008A5D0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2B3" w:rsidRDefault="008C42B3" w:rsidP="0096399A">
      <w:r>
        <w:separator/>
      </w:r>
    </w:p>
  </w:footnote>
  <w:footnote w:type="continuationSeparator" w:id="1">
    <w:p w:rsidR="008C42B3" w:rsidRDefault="008C42B3" w:rsidP="0096399A">
      <w:r>
        <w:continuationSeparator/>
      </w:r>
    </w:p>
  </w:footnote>
  <w:footnote w:id="2">
    <w:p w:rsidR="008A5D05" w:rsidRPr="00FC3CE3" w:rsidRDefault="008A5D05" w:rsidP="0096399A">
      <w:pPr>
        <w:pStyle w:val="aa"/>
        <w:ind w:firstLine="0"/>
        <w:jc w:val="both"/>
        <w:rPr>
          <w:i/>
          <w:sz w:val="18"/>
          <w:szCs w:val="18"/>
          <w:lang w:val="el-GR"/>
        </w:rPr>
      </w:pPr>
      <w:r w:rsidRPr="003B205C">
        <w:rPr>
          <w:rStyle w:val="af3"/>
          <w:b/>
          <w:i/>
          <w:sz w:val="18"/>
          <w:szCs w:val="18"/>
        </w:rPr>
        <w:footnoteRef/>
      </w:r>
      <w:r w:rsidRPr="005A5C55">
        <w:rPr>
          <w:i/>
          <w:sz w:val="18"/>
          <w:szCs w:val="18"/>
          <w:lang w:val="el-GR"/>
        </w:rPr>
        <w:t xml:space="preserve"> Επί συνόλου </w:t>
      </w:r>
      <w:r w:rsidRPr="00114271">
        <w:rPr>
          <w:b/>
          <w:i/>
          <w:sz w:val="18"/>
          <w:szCs w:val="18"/>
          <w:lang w:val="el-GR"/>
        </w:rPr>
        <w:t>1</w:t>
      </w:r>
      <w:r>
        <w:rPr>
          <w:b/>
          <w:i/>
          <w:sz w:val="18"/>
          <w:szCs w:val="18"/>
          <w:lang w:val="el-GR"/>
        </w:rPr>
        <w:t>9.744</w:t>
      </w:r>
      <w:r w:rsidRPr="005A5C55">
        <w:rPr>
          <w:b/>
          <w:i/>
          <w:sz w:val="18"/>
          <w:szCs w:val="18"/>
          <w:lang w:val="el-GR"/>
        </w:rPr>
        <w:t xml:space="preserve"> εταιρειών</w:t>
      </w:r>
      <w:r w:rsidRPr="005A5C55">
        <w:rPr>
          <w:i/>
          <w:sz w:val="18"/>
          <w:szCs w:val="18"/>
          <w:lang w:val="el-GR"/>
        </w:rPr>
        <w:t xml:space="preserve"> των οποίων οι ισολογισμοί</w:t>
      </w:r>
      <w:r>
        <w:rPr>
          <w:i/>
          <w:sz w:val="18"/>
          <w:szCs w:val="18"/>
          <w:lang w:val="el-GR"/>
        </w:rPr>
        <w:t xml:space="preserve"> τόσο για το 2013 όσο  και το</w:t>
      </w:r>
      <w:r w:rsidRPr="005A5C55">
        <w:rPr>
          <w:i/>
          <w:sz w:val="18"/>
          <w:szCs w:val="18"/>
          <w:lang w:val="el-GR"/>
        </w:rPr>
        <w:t xml:space="preserve"> 20</w:t>
      </w:r>
      <w:r>
        <w:rPr>
          <w:i/>
          <w:sz w:val="18"/>
          <w:szCs w:val="18"/>
          <w:lang w:val="el-GR"/>
        </w:rPr>
        <w:t>12</w:t>
      </w:r>
      <w:r w:rsidRPr="005A5C55">
        <w:rPr>
          <w:i/>
          <w:sz w:val="18"/>
          <w:szCs w:val="18"/>
          <w:lang w:val="el-GR"/>
        </w:rPr>
        <w:t xml:space="preserve"> είχαν εισαχθεί στη</w:t>
      </w:r>
      <w:r>
        <w:rPr>
          <w:i/>
          <w:sz w:val="18"/>
          <w:szCs w:val="18"/>
          <w:lang w:val="el-GR"/>
        </w:rPr>
        <w:t xml:space="preserve">ν </w:t>
      </w:r>
      <w:r>
        <w:rPr>
          <w:i/>
          <w:sz w:val="18"/>
          <w:szCs w:val="18"/>
          <w:lang w:val="en-US"/>
        </w:rPr>
        <w:t>ICAPDatabank</w:t>
      </w:r>
      <w:r w:rsidRPr="005A5C55">
        <w:rPr>
          <w:i/>
          <w:sz w:val="18"/>
          <w:szCs w:val="18"/>
          <w:lang w:val="el-GR"/>
        </w:rPr>
        <w:t xml:space="preserve">  μέχρι  τη συγγραφή του κειμένου.</w:t>
      </w:r>
    </w:p>
  </w:footnote>
  <w:footnote w:id="3">
    <w:p w:rsidR="008A5D05" w:rsidRPr="00AD5DDD" w:rsidRDefault="008A5D05" w:rsidP="0096399A">
      <w:pPr>
        <w:pStyle w:val="aa"/>
        <w:ind w:firstLine="0"/>
        <w:rPr>
          <w:lang w:val="el-GR"/>
        </w:rPr>
      </w:pPr>
      <w:r w:rsidRPr="00EA3274">
        <w:rPr>
          <w:rStyle w:val="af3"/>
          <w:b/>
          <w:sz w:val="18"/>
          <w:szCs w:val="18"/>
        </w:rPr>
        <w:footnoteRef/>
      </w:r>
      <w:r w:rsidRPr="00EA3274">
        <w:rPr>
          <w:i/>
          <w:sz w:val="18"/>
          <w:szCs w:val="18"/>
          <w:lang w:val="el-GR"/>
        </w:rPr>
        <w:t xml:space="preserve"> Με βάση τα μεγέθη </w:t>
      </w:r>
      <w:r>
        <w:rPr>
          <w:i/>
          <w:sz w:val="18"/>
          <w:szCs w:val="18"/>
          <w:lang w:val="el-GR"/>
        </w:rPr>
        <w:t>1</w:t>
      </w:r>
      <w:r w:rsidRPr="005341D5">
        <w:rPr>
          <w:i/>
          <w:sz w:val="18"/>
          <w:szCs w:val="18"/>
          <w:lang w:val="el-GR"/>
        </w:rPr>
        <w:t>9</w:t>
      </w:r>
      <w:r>
        <w:rPr>
          <w:i/>
          <w:sz w:val="18"/>
          <w:szCs w:val="18"/>
          <w:lang w:val="el-GR"/>
        </w:rPr>
        <w:t xml:space="preserve">.744 </w:t>
      </w:r>
      <w:r w:rsidRPr="00EA3274">
        <w:rPr>
          <w:i/>
          <w:sz w:val="18"/>
          <w:szCs w:val="18"/>
          <w:lang w:val="el-GR"/>
        </w:rPr>
        <w:t xml:space="preserve"> εταιρειών για τις οποίες υπήρχαν διαθέσιμοι ισολογισμοί κατά τη σύνταξη του κειμένο</w:t>
      </w:r>
      <w:r>
        <w:rPr>
          <w:i/>
          <w:sz w:val="18"/>
          <w:szCs w:val="18"/>
          <w:lang w:val="el-GR"/>
        </w:rPr>
        <w:t>υ</w:t>
      </w:r>
      <w:r w:rsidRPr="00EA3274">
        <w:rPr>
          <w:i/>
          <w:sz w:val="18"/>
          <w:szCs w:val="18"/>
          <w:lang w:val="el-GR"/>
        </w:rPr>
        <w:t xml:space="preserve">, τα </w:t>
      </w:r>
      <w:r>
        <w:rPr>
          <w:i/>
          <w:sz w:val="18"/>
          <w:szCs w:val="18"/>
          <w:lang w:val="el-GR"/>
        </w:rPr>
        <w:t xml:space="preserve">συνολικά </w:t>
      </w:r>
      <w:r w:rsidRPr="00EA3274">
        <w:rPr>
          <w:i/>
          <w:sz w:val="18"/>
          <w:szCs w:val="18"/>
          <w:lang w:val="el-GR"/>
        </w:rPr>
        <w:t xml:space="preserve">κέρδη </w:t>
      </w:r>
      <w:r w:rsidRPr="00EA3274">
        <w:rPr>
          <w:i/>
          <w:sz w:val="18"/>
          <w:szCs w:val="18"/>
          <w:lang w:val="en-US"/>
        </w:rPr>
        <w:t>EBITDA</w:t>
      </w:r>
      <w:r>
        <w:rPr>
          <w:i/>
          <w:sz w:val="18"/>
          <w:szCs w:val="18"/>
          <w:lang w:val="el-GR"/>
        </w:rPr>
        <w:t xml:space="preserve">ανήλθαν σε </w:t>
      </w:r>
      <w:r w:rsidRPr="00D915B9">
        <w:rPr>
          <w:b/>
          <w:i/>
          <w:sz w:val="18"/>
          <w:szCs w:val="18"/>
          <w:lang w:val="el-GR"/>
        </w:rPr>
        <w:t>€</w:t>
      </w:r>
      <w:r>
        <w:rPr>
          <w:b/>
          <w:i/>
          <w:sz w:val="18"/>
          <w:szCs w:val="18"/>
          <w:lang w:val="el-GR"/>
        </w:rPr>
        <w:t>10,2</w:t>
      </w:r>
      <w:r w:rsidRPr="00D915B9">
        <w:rPr>
          <w:b/>
          <w:i/>
          <w:sz w:val="18"/>
          <w:szCs w:val="18"/>
          <w:lang w:val="el-GR"/>
        </w:rPr>
        <w:t xml:space="preserve"> δισ</w:t>
      </w:r>
      <w:r>
        <w:rPr>
          <w:i/>
          <w:sz w:val="18"/>
          <w:szCs w:val="18"/>
          <w:lang w:val="el-GR"/>
        </w:rPr>
        <w:t>. περίπου</w:t>
      </w:r>
      <w:r w:rsidRPr="00A66FCC">
        <w:rPr>
          <w:b/>
          <w:i/>
          <w:sz w:val="18"/>
          <w:szCs w:val="18"/>
          <w:lang w:val="el-GR"/>
        </w:rPr>
        <w:t>,</w:t>
      </w:r>
      <w:r w:rsidRPr="00EA3274">
        <w:rPr>
          <w:i/>
          <w:sz w:val="18"/>
          <w:szCs w:val="18"/>
          <w:lang w:val="el-GR"/>
        </w:rPr>
        <w:t xml:space="preserve"> ενώ </w:t>
      </w:r>
      <w:r>
        <w:rPr>
          <w:i/>
          <w:sz w:val="18"/>
          <w:szCs w:val="18"/>
          <w:lang w:val="el-GR"/>
        </w:rPr>
        <w:t xml:space="preserve">το τελικό αποτέλεσμα ήταν ζημιογόνο, με  </w:t>
      </w:r>
      <w:r w:rsidRPr="00A66FCC">
        <w:rPr>
          <w:b/>
          <w:i/>
          <w:sz w:val="18"/>
          <w:szCs w:val="18"/>
          <w:lang w:val="el-GR"/>
        </w:rPr>
        <w:t>ζημίες</w:t>
      </w:r>
      <w:r>
        <w:rPr>
          <w:b/>
          <w:i/>
          <w:sz w:val="18"/>
          <w:szCs w:val="18"/>
          <w:lang w:val="el-GR"/>
        </w:rPr>
        <w:t xml:space="preserve"> ύψους </w:t>
      </w:r>
      <w:r w:rsidRPr="00A66FCC">
        <w:rPr>
          <w:b/>
          <w:i/>
          <w:sz w:val="18"/>
          <w:szCs w:val="18"/>
          <w:lang w:val="el-GR"/>
        </w:rPr>
        <w:t xml:space="preserve"> €</w:t>
      </w:r>
      <w:r>
        <w:rPr>
          <w:b/>
          <w:i/>
          <w:sz w:val="18"/>
          <w:szCs w:val="18"/>
          <w:lang w:val="el-GR"/>
        </w:rPr>
        <w:t>1,3</w:t>
      </w:r>
      <w:r w:rsidRPr="00A66FCC">
        <w:rPr>
          <w:b/>
          <w:i/>
          <w:sz w:val="18"/>
          <w:szCs w:val="18"/>
          <w:lang w:val="el-GR"/>
        </w:rPr>
        <w:t xml:space="preserve"> δισ.</w:t>
      </w:r>
      <w:r>
        <w:rPr>
          <w:i/>
          <w:sz w:val="18"/>
          <w:szCs w:val="18"/>
          <w:lang w:val="el-GR"/>
        </w:rPr>
        <w:t xml:space="preserve"> το 2013, έναντι αντίστοιχων ζημιών €14,0 δισ. το 2012</w:t>
      </w:r>
      <w:r w:rsidRPr="00EA3274">
        <w:rPr>
          <w:i/>
          <w:sz w:val="18"/>
          <w:szCs w:val="18"/>
          <w:lang w:val="el-GR"/>
        </w:rPr>
        <w:t>.</w:t>
      </w:r>
    </w:p>
  </w:footnote>
  <w:footnote w:id="4">
    <w:p w:rsidR="008A5D05" w:rsidRPr="00D0632B" w:rsidRDefault="008A5D05" w:rsidP="0096399A">
      <w:pPr>
        <w:pStyle w:val="aa"/>
        <w:ind w:firstLine="0"/>
        <w:rPr>
          <w:i/>
          <w:sz w:val="18"/>
          <w:szCs w:val="18"/>
          <w:lang w:val="el-GR"/>
        </w:rPr>
      </w:pPr>
      <w:r>
        <w:rPr>
          <w:rStyle w:val="af3"/>
        </w:rPr>
        <w:footnoteRef/>
      </w:r>
      <w:r w:rsidRPr="00854F89">
        <w:rPr>
          <w:i/>
          <w:sz w:val="18"/>
          <w:szCs w:val="18"/>
          <w:lang w:val="el-GR"/>
        </w:rPr>
        <w:t>Από</w:t>
      </w:r>
      <w:r>
        <w:rPr>
          <w:i/>
          <w:sz w:val="18"/>
          <w:szCs w:val="18"/>
          <w:lang w:val="el-GR"/>
        </w:rPr>
        <w:t xml:space="preserve"> 99</w:t>
      </w:r>
      <w:r w:rsidRPr="00D0632B">
        <w:rPr>
          <w:i/>
          <w:sz w:val="18"/>
          <w:szCs w:val="18"/>
          <w:lang w:val="el-GR"/>
        </w:rPr>
        <w:t xml:space="preserve"> εταιρ</w:t>
      </w:r>
      <w:r>
        <w:rPr>
          <w:i/>
          <w:sz w:val="18"/>
          <w:szCs w:val="18"/>
          <w:lang w:val="el-GR"/>
        </w:rPr>
        <w:t>ίεςστην έκδοση του  2012</w:t>
      </w:r>
      <w:r w:rsidRPr="00D0632B">
        <w:rPr>
          <w:i/>
          <w:sz w:val="18"/>
          <w:szCs w:val="18"/>
          <w:lang w:val="el-G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D" w:rsidRPr="00B345ED" w:rsidRDefault="00B345ED" w:rsidP="00B345ED">
    <w:pPr>
      <w:pStyle w:val="af4"/>
      <w:ind w:firstLine="0"/>
    </w:pPr>
    <w:r>
      <w:rPr>
        <w:noProof/>
      </w:rPr>
      <w:drawing>
        <wp:inline distT="0" distB="0" distL="0" distR="0">
          <wp:extent cx="1246188"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6188" cy="9969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6796"/>
    <w:multiLevelType w:val="hybridMultilevel"/>
    <w:tmpl w:val="525042A8"/>
    <w:lvl w:ilvl="0" w:tplc="512A0948">
      <w:start w:val="1"/>
      <w:numFmt w:val="bullet"/>
      <w:lvlText w:val=""/>
      <w:lvlJc w:val="left"/>
      <w:pPr>
        <w:tabs>
          <w:tab w:val="num" w:pos="785"/>
        </w:tabs>
        <w:ind w:left="785" w:hanging="360"/>
      </w:pPr>
      <w:rPr>
        <w:rFonts w:ascii="Symbol" w:hAnsi="Symbol" w:hint="default"/>
        <w:b/>
        <w:i w:val="0"/>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
    <w:nsid w:val="36285199"/>
    <w:multiLevelType w:val="hybridMultilevel"/>
    <w:tmpl w:val="5B8A25B4"/>
    <w:lvl w:ilvl="0" w:tplc="66D8F108">
      <w:start w:val="6"/>
      <w:numFmt w:val="decimal"/>
      <w:lvlText w:val="%1."/>
      <w:lvlJc w:val="left"/>
      <w:pPr>
        <w:tabs>
          <w:tab w:val="num" w:pos="407"/>
        </w:tabs>
        <w:ind w:left="407" w:hanging="405"/>
      </w:pPr>
      <w:rPr>
        <w:rFonts w:hint="default"/>
      </w:rPr>
    </w:lvl>
    <w:lvl w:ilvl="1" w:tplc="04080019" w:tentative="1">
      <w:start w:val="1"/>
      <w:numFmt w:val="lowerLetter"/>
      <w:lvlText w:val="%2."/>
      <w:lvlJc w:val="left"/>
      <w:pPr>
        <w:tabs>
          <w:tab w:val="num" w:pos="1082"/>
        </w:tabs>
        <w:ind w:left="1082" w:hanging="360"/>
      </w:pPr>
    </w:lvl>
    <w:lvl w:ilvl="2" w:tplc="0408001B" w:tentative="1">
      <w:start w:val="1"/>
      <w:numFmt w:val="lowerRoman"/>
      <w:lvlText w:val="%3."/>
      <w:lvlJc w:val="right"/>
      <w:pPr>
        <w:tabs>
          <w:tab w:val="num" w:pos="1802"/>
        </w:tabs>
        <w:ind w:left="1802" w:hanging="180"/>
      </w:pPr>
    </w:lvl>
    <w:lvl w:ilvl="3" w:tplc="0408000F" w:tentative="1">
      <w:start w:val="1"/>
      <w:numFmt w:val="decimal"/>
      <w:lvlText w:val="%4."/>
      <w:lvlJc w:val="left"/>
      <w:pPr>
        <w:tabs>
          <w:tab w:val="num" w:pos="2522"/>
        </w:tabs>
        <w:ind w:left="2522" w:hanging="360"/>
      </w:pPr>
    </w:lvl>
    <w:lvl w:ilvl="4" w:tplc="04080019" w:tentative="1">
      <w:start w:val="1"/>
      <w:numFmt w:val="lowerLetter"/>
      <w:lvlText w:val="%5."/>
      <w:lvlJc w:val="left"/>
      <w:pPr>
        <w:tabs>
          <w:tab w:val="num" w:pos="3242"/>
        </w:tabs>
        <w:ind w:left="3242" w:hanging="360"/>
      </w:pPr>
    </w:lvl>
    <w:lvl w:ilvl="5" w:tplc="0408001B" w:tentative="1">
      <w:start w:val="1"/>
      <w:numFmt w:val="lowerRoman"/>
      <w:lvlText w:val="%6."/>
      <w:lvlJc w:val="right"/>
      <w:pPr>
        <w:tabs>
          <w:tab w:val="num" w:pos="3962"/>
        </w:tabs>
        <w:ind w:left="3962" w:hanging="180"/>
      </w:pPr>
    </w:lvl>
    <w:lvl w:ilvl="6" w:tplc="0408000F" w:tentative="1">
      <w:start w:val="1"/>
      <w:numFmt w:val="decimal"/>
      <w:lvlText w:val="%7."/>
      <w:lvlJc w:val="left"/>
      <w:pPr>
        <w:tabs>
          <w:tab w:val="num" w:pos="4682"/>
        </w:tabs>
        <w:ind w:left="4682" w:hanging="360"/>
      </w:pPr>
    </w:lvl>
    <w:lvl w:ilvl="7" w:tplc="04080019" w:tentative="1">
      <w:start w:val="1"/>
      <w:numFmt w:val="lowerLetter"/>
      <w:lvlText w:val="%8."/>
      <w:lvlJc w:val="left"/>
      <w:pPr>
        <w:tabs>
          <w:tab w:val="num" w:pos="5402"/>
        </w:tabs>
        <w:ind w:left="5402" w:hanging="360"/>
      </w:pPr>
    </w:lvl>
    <w:lvl w:ilvl="8" w:tplc="0408001B" w:tentative="1">
      <w:start w:val="1"/>
      <w:numFmt w:val="lowerRoman"/>
      <w:lvlText w:val="%9."/>
      <w:lvlJc w:val="right"/>
      <w:pPr>
        <w:tabs>
          <w:tab w:val="num" w:pos="6122"/>
        </w:tabs>
        <w:ind w:left="6122" w:hanging="180"/>
      </w:pPr>
    </w:lvl>
  </w:abstractNum>
  <w:abstractNum w:abstractNumId="2">
    <w:nsid w:val="3DA94AC2"/>
    <w:multiLevelType w:val="hybridMultilevel"/>
    <w:tmpl w:val="80BAC4F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
    <w:nsid w:val="449A7BB1"/>
    <w:multiLevelType w:val="hybridMultilevel"/>
    <w:tmpl w:val="E356DA98"/>
    <w:lvl w:ilvl="0" w:tplc="0409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8DC44D9"/>
    <w:multiLevelType w:val="hybridMultilevel"/>
    <w:tmpl w:val="EBF00548"/>
    <w:lvl w:ilvl="0" w:tplc="0409000F">
      <w:start w:val="1"/>
      <w:numFmt w:val="decimal"/>
      <w:lvlText w:val="%1."/>
      <w:lvlJc w:val="left"/>
      <w:pPr>
        <w:tabs>
          <w:tab w:val="num" w:pos="720"/>
        </w:tabs>
        <w:ind w:left="720" w:hanging="360"/>
      </w:pPr>
    </w:lvl>
    <w:lvl w:ilvl="1" w:tplc="83862C18">
      <w:start w:val="1"/>
      <w:numFmt w:val="bullet"/>
      <w:lvlText w:val=""/>
      <w:lvlJc w:val="left"/>
      <w:pPr>
        <w:tabs>
          <w:tab w:val="num" w:pos="1440"/>
        </w:tabs>
        <w:ind w:left="1440" w:hanging="360"/>
      </w:pPr>
      <w:rPr>
        <w:rFonts w:ascii="Symbol" w:hAnsi="Symbol" w:hint="default"/>
        <w:color w:val="auto"/>
        <w:sz w:val="18"/>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9218"/>
  </w:hdrShapeDefaults>
  <w:footnotePr>
    <w:footnote w:id="0"/>
    <w:footnote w:id="1"/>
  </w:footnotePr>
  <w:endnotePr>
    <w:endnote w:id="0"/>
    <w:endnote w:id="1"/>
  </w:endnotePr>
  <w:compat/>
  <w:rsids>
    <w:rsidRoot w:val="0096399A"/>
    <w:rsid w:val="00025773"/>
    <w:rsid w:val="00054EE0"/>
    <w:rsid w:val="00071CF6"/>
    <w:rsid w:val="00097E31"/>
    <w:rsid w:val="000A14F1"/>
    <w:rsid w:val="000B6A1A"/>
    <w:rsid w:val="001660BE"/>
    <w:rsid w:val="001B0228"/>
    <w:rsid w:val="001F56B7"/>
    <w:rsid w:val="00217339"/>
    <w:rsid w:val="00271CB1"/>
    <w:rsid w:val="002C0B37"/>
    <w:rsid w:val="002F133D"/>
    <w:rsid w:val="00373468"/>
    <w:rsid w:val="004034ED"/>
    <w:rsid w:val="00406462"/>
    <w:rsid w:val="0041399B"/>
    <w:rsid w:val="004146EA"/>
    <w:rsid w:val="004B05AB"/>
    <w:rsid w:val="004D1775"/>
    <w:rsid w:val="005F1F44"/>
    <w:rsid w:val="005F7344"/>
    <w:rsid w:val="00642B94"/>
    <w:rsid w:val="006704F5"/>
    <w:rsid w:val="00697701"/>
    <w:rsid w:val="006B70B9"/>
    <w:rsid w:val="00720A6A"/>
    <w:rsid w:val="00733C5D"/>
    <w:rsid w:val="00736605"/>
    <w:rsid w:val="007E3388"/>
    <w:rsid w:val="007F62C0"/>
    <w:rsid w:val="00827A4F"/>
    <w:rsid w:val="008367C5"/>
    <w:rsid w:val="008A5D05"/>
    <w:rsid w:val="008B3023"/>
    <w:rsid w:val="008C42B3"/>
    <w:rsid w:val="008E2E49"/>
    <w:rsid w:val="008E40CD"/>
    <w:rsid w:val="00915BAF"/>
    <w:rsid w:val="00952FDF"/>
    <w:rsid w:val="00956360"/>
    <w:rsid w:val="0096399A"/>
    <w:rsid w:val="009972CD"/>
    <w:rsid w:val="009E60E3"/>
    <w:rsid w:val="00A771C2"/>
    <w:rsid w:val="00A775EA"/>
    <w:rsid w:val="00A90F4D"/>
    <w:rsid w:val="00B345ED"/>
    <w:rsid w:val="00B50A91"/>
    <w:rsid w:val="00B56D39"/>
    <w:rsid w:val="00B8092C"/>
    <w:rsid w:val="00B963D4"/>
    <w:rsid w:val="00B977FE"/>
    <w:rsid w:val="00BD50B4"/>
    <w:rsid w:val="00C6391C"/>
    <w:rsid w:val="00C717C1"/>
    <w:rsid w:val="00CB476D"/>
    <w:rsid w:val="00CE6561"/>
    <w:rsid w:val="00CF1BE2"/>
    <w:rsid w:val="00D025C5"/>
    <w:rsid w:val="00D14C58"/>
    <w:rsid w:val="00D40987"/>
    <w:rsid w:val="00D6032D"/>
    <w:rsid w:val="00D6385F"/>
    <w:rsid w:val="00D74485"/>
    <w:rsid w:val="00D932F6"/>
    <w:rsid w:val="00D954DD"/>
    <w:rsid w:val="00DF6355"/>
    <w:rsid w:val="00E175EB"/>
    <w:rsid w:val="00E62F0D"/>
    <w:rsid w:val="00EC41B0"/>
    <w:rsid w:val="00ED3C72"/>
    <w:rsid w:val="00F30E74"/>
    <w:rsid w:val="00F751EE"/>
    <w:rsid w:val="00FC6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3D effects 1" w:uiPriority="0"/>
    <w:lsdException w:name="Table Contemporary"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99A"/>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96399A"/>
    <w:pPr>
      <w:keepNext/>
      <w:spacing w:before="240" w:after="60"/>
      <w:ind w:firstLine="425"/>
      <w:outlineLvl w:val="0"/>
    </w:pPr>
    <w:rPr>
      <w:rFonts w:ascii="Arial" w:hAnsi="Arial" w:cs="Arial"/>
      <w:b/>
      <w:bCs/>
      <w:kern w:val="32"/>
      <w:sz w:val="32"/>
      <w:szCs w:val="32"/>
    </w:rPr>
  </w:style>
  <w:style w:type="paragraph" w:styleId="2">
    <w:name w:val="heading 2"/>
    <w:basedOn w:val="a"/>
    <w:next w:val="a"/>
    <w:link w:val="2Char"/>
    <w:qFormat/>
    <w:rsid w:val="0096399A"/>
    <w:pPr>
      <w:keepNext/>
      <w:spacing w:before="240" w:after="60"/>
      <w:ind w:firstLine="425"/>
      <w:outlineLvl w:val="1"/>
    </w:pPr>
    <w:rPr>
      <w:rFonts w:ascii="Arial" w:hAnsi="Arial" w:cs="Arial"/>
      <w:b/>
      <w:bCs/>
      <w:i/>
      <w:iCs/>
      <w:sz w:val="28"/>
      <w:szCs w:val="28"/>
    </w:rPr>
  </w:style>
  <w:style w:type="paragraph" w:styleId="3">
    <w:name w:val="heading 3"/>
    <w:basedOn w:val="a"/>
    <w:next w:val="a"/>
    <w:link w:val="3Char"/>
    <w:qFormat/>
    <w:rsid w:val="0096399A"/>
    <w:pPr>
      <w:keepNext/>
      <w:ind w:firstLine="425"/>
      <w:outlineLvl w:val="2"/>
    </w:pPr>
    <w:rPr>
      <w:b/>
      <w:bCs/>
      <w:sz w:val="18"/>
      <w:lang w:val="el-GR"/>
    </w:rPr>
  </w:style>
  <w:style w:type="paragraph" w:styleId="4">
    <w:name w:val="heading 4"/>
    <w:basedOn w:val="a"/>
    <w:next w:val="a"/>
    <w:link w:val="4Char"/>
    <w:qFormat/>
    <w:rsid w:val="0096399A"/>
    <w:pPr>
      <w:keepNext/>
      <w:ind w:firstLine="425"/>
      <w:jc w:val="center"/>
      <w:outlineLvl w:val="3"/>
    </w:pPr>
    <w:rPr>
      <w:rFonts w:cs="Arial"/>
      <w:b/>
      <w:bCs/>
      <w:sz w:val="18"/>
      <w:szCs w:val="18"/>
      <w:lang w:val="el-GR"/>
    </w:rPr>
  </w:style>
  <w:style w:type="paragraph" w:styleId="5">
    <w:name w:val="heading 5"/>
    <w:basedOn w:val="a"/>
    <w:next w:val="a"/>
    <w:link w:val="5Char"/>
    <w:qFormat/>
    <w:rsid w:val="0096399A"/>
    <w:pPr>
      <w:keepNext/>
      <w:outlineLvl w:val="4"/>
    </w:pPr>
    <w:rPr>
      <w:b/>
      <w:bCs/>
      <w:color w:val="000000"/>
      <w:szCs w:val="20"/>
      <w:lang w:val="el-GR"/>
    </w:rPr>
  </w:style>
  <w:style w:type="paragraph" w:styleId="6">
    <w:name w:val="heading 6"/>
    <w:basedOn w:val="a"/>
    <w:next w:val="a"/>
    <w:link w:val="6Char"/>
    <w:qFormat/>
    <w:rsid w:val="0096399A"/>
    <w:pPr>
      <w:keepNext/>
      <w:ind w:right="248"/>
      <w:outlineLvl w:val="5"/>
    </w:pPr>
    <w:rPr>
      <w:i/>
      <w:snapToGrid w:val="0"/>
      <w:color w:val="000000"/>
      <w:sz w:val="18"/>
      <w:lang w:val="el-GR"/>
    </w:rPr>
  </w:style>
  <w:style w:type="paragraph" w:styleId="7">
    <w:name w:val="heading 7"/>
    <w:basedOn w:val="a"/>
    <w:next w:val="a"/>
    <w:link w:val="7Char"/>
    <w:qFormat/>
    <w:rsid w:val="0096399A"/>
    <w:pPr>
      <w:keepNext/>
      <w:outlineLvl w:val="6"/>
    </w:pPr>
    <w:rPr>
      <w:b/>
      <w:bCs/>
      <w:szCs w:val="20"/>
      <w:lang w:val="el-GR"/>
    </w:rPr>
  </w:style>
  <w:style w:type="paragraph" w:styleId="8">
    <w:name w:val="heading 8"/>
    <w:basedOn w:val="a"/>
    <w:next w:val="a"/>
    <w:link w:val="8Char"/>
    <w:qFormat/>
    <w:rsid w:val="0096399A"/>
    <w:pPr>
      <w:keepNext/>
      <w:jc w:val="center"/>
      <w:outlineLvl w:val="7"/>
    </w:pPr>
    <w:rPr>
      <w:b/>
      <w:bCs/>
      <w:szCs w:val="20"/>
      <w:lang w:val="el-GR"/>
    </w:rPr>
  </w:style>
  <w:style w:type="paragraph" w:styleId="9">
    <w:name w:val="heading 9"/>
    <w:basedOn w:val="a"/>
    <w:next w:val="a"/>
    <w:link w:val="9Char"/>
    <w:qFormat/>
    <w:rsid w:val="0096399A"/>
    <w:pPr>
      <w:keepNext/>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6399A"/>
    <w:rPr>
      <w:rFonts w:ascii="Arial" w:eastAsia="Times New Roman" w:hAnsi="Arial" w:cs="Arial"/>
      <w:b/>
      <w:bCs/>
      <w:kern w:val="32"/>
      <w:sz w:val="32"/>
      <w:szCs w:val="32"/>
      <w:lang w:val="en-GB"/>
    </w:rPr>
  </w:style>
  <w:style w:type="character" w:customStyle="1" w:styleId="2Char">
    <w:name w:val="Επικεφαλίδα 2 Char"/>
    <w:basedOn w:val="a0"/>
    <w:link w:val="2"/>
    <w:rsid w:val="0096399A"/>
    <w:rPr>
      <w:rFonts w:ascii="Arial" w:eastAsia="Times New Roman" w:hAnsi="Arial" w:cs="Arial"/>
      <w:b/>
      <w:bCs/>
      <w:i/>
      <w:iCs/>
      <w:sz w:val="28"/>
      <w:szCs w:val="28"/>
      <w:lang w:val="en-GB"/>
    </w:rPr>
  </w:style>
  <w:style w:type="character" w:customStyle="1" w:styleId="3Char">
    <w:name w:val="Επικεφαλίδα 3 Char"/>
    <w:basedOn w:val="a0"/>
    <w:link w:val="3"/>
    <w:rsid w:val="0096399A"/>
    <w:rPr>
      <w:rFonts w:ascii="Times New Roman" w:eastAsia="Times New Roman" w:hAnsi="Times New Roman" w:cs="Times New Roman"/>
      <w:b/>
      <w:bCs/>
      <w:sz w:val="18"/>
      <w:szCs w:val="24"/>
    </w:rPr>
  </w:style>
  <w:style w:type="character" w:customStyle="1" w:styleId="4Char">
    <w:name w:val="Επικεφαλίδα 4 Char"/>
    <w:basedOn w:val="a0"/>
    <w:link w:val="4"/>
    <w:rsid w:val="0096399A"/>
    <w:rPr>
      <w:rFonts w:ascii="Times New Roman" w:eastAsia="Times New Roman" w:hAnsi="Times New Roman" w:cs="Arial"/>
      <w:b/>
      <w:bCs/>
      <w:sz w:val="18"/>
      <w:szCs w:val="18"/>
    </w:rPr>
  </w:style>
  <w:style w:type="character" w:customStyle="1" w:styleId="5Char">
    <w:name w:val="Επικεφαλίδα 5 Char"/>
    <w:basedOn w:val="a0"/>
    <w:link w:val="5"/>
    <w:rsid w:val="0096399A"/>
    <w:rPr>
      <w:rFonts w:ascii="Times New Roman" w:eastAsia="Times New Roman" w:hAnsi="Times New Roman" w:cs="Times New Roman"/>
      <w:b/>
      <w:bCs/>
      <w:color w:val="000000"/>
      <w:sz w:val="24"/>
      <w:szCs w:val="20"/>
    </w:rPr>
  </w:style>
  <w:style w:type="character" w:customStyle="1" w:styleId="6Char">
    <w:name w:val="Επικεφαλίδα 6 Char"/>
    <w:basedOn w:val="a0"/>
    <w:link w:val="6"/>
    <w:rsid w:val="0096399A"/>
    <w:rPr>
      <w:rFonts w:ascii="Times New Roman" w:eastAsia="Times New Roman" w:hAnsi="Times New Roman" w:cs="Times New Roman"/>
      <w:i/>
      <w:snapToGrid w:val="0"/>
      <w:color w:val="000000"/>
      <w:sz w:val="18"/>
      <w:szCs w:val="24"/>
    </w:rPr>
  </w:style>
  <w:style w:type="character" w:customStyle="1" w:styleId="7Char">
    <w:name w:val="Επικεφαλίδα 7 Char"/>
    <w:basedOn w:val="a0"/>
    <w:link w:val="7"/>
    <w:rsid w:val="0096399A"/>
    <w:rPr>
      <w:rFonts w:ascii="Times New Roman" w:eastAsia="Times New Roman" w:hAnsi="Times New Roman" w:cs="Times New Roman"/>
      <w:b/>
      <w:bCs/>
      <w:sz w:val="24"/>
      <w:szCs w:val="20"/>
    </w:rPr>
  </w:style>
  <w:style w:type="character" w:customStyle="1" w:styleId="8Char">
    <w:name w:val="Επικεφαλίδα 8 Char"/>
    <w:basedOn w:val="a0"/>
    <w:link w:val="8"/>
    <w:rsid w:val="0096399A"/>
    <w:rPr>
      <w:rFonts w:ascii="Times New Roman" w:eastAsia="Times New Roman" w:hAnsi="Times New Roman" w:cs="Times New Roman"/>
      <w:b/>
      <w:bCs/>
      <w:sz w:val="24"/>
      <w:szCs w:val="20"/>
    </w:rPr>
  </w:style>
  <w:style w:type="character" w:customStyle="1" w:styleId="9Char">
    <w:name w:val="Επικεφαλίδα 9 Char"/>
    <w:basedOn w:val="a0"/>
    <w:link w:val="9"/>
    <w:rsid w:val="0096399A"/>
    <w:rPr>
      <w:rFonts w:ascii="Times New Roman" w:eastAsia="Times New Roman" w:hAnsi="Times New Roman" w:cs="Times New Roman"/>
      <w:b/>
      <w:szCs w:val="24"/>
    </w:rPr>
  </w:style>
  <w:style w:type="paragraph" w:customStyle="1" w:styleId="a3">
    <w:name w:val="ΔΙΑΓΡΑΜΜΑΤΑ"/>
    <w:basedOn w:val="Web"/>
    <w:next w:val="Web"/>
    <w:rsid w:val="0096399A"/>
    <w:rPr>
      <w:rFonts w:eastAsia="Times New Roman" w:cs="Times New Roman"/>
      <w:color w:val="auto"/>
      <w:sz w:val="18"/>
    </w:rPr>
  </w:style>
  <w:style w:type="paragraph" w:styleId="Web">
    <w:name w:val="Normal (Web)"/>
    <w:basedOn w:val="a"/>
    <w:rsid w:val="0096399A"/>
    <w:pPr>
      <w:jc w:val="center"/>
    </w:pPr>
    <w:rPr>
      <w:rFonts w:eastAsia="Arial Unicode MS" w:cs="Arial Unicode MS"/>
      <w:b/>
      <w:color w:val="000000"/>
    </w:rPr>
  </w:style>
  <w:style w:type="paragraph" w:customStyle="1" w:styleId="a4">
    <w:name w:val="ΤΙΤΛΟΙ ΥΠΟΚΕΦΑΛΑΙΩΝ"/>
    <w:basedOn w:val="a"/>
    <w:rsid w:val="0096399A"/>
    <w:rPr>
      <w:b/>
      <w:lang w:val="el-GR"/>
    </w:rPr>
  </w:style>
  <w:style w:type="paragraph" w:customStyle="1" w:styleId="-">
    <w:name w:val="ΤΙΤΛΟΙ ΥΠΟ-ΥΠΟΚΕΦΑΛΑΙΩΝ"/>
    <w:basedOn w:val="a4"/>
    <w:rsid w:val="0096399A"/>
    <w:rPr>
      <w:sz w:val="20"/>
    </w:rPr>
  </w:style>
  <w:style w:type="paragraph" w:customStyle="1" w:styleId="a5">
    <w:name w:val="ΤΙΤΛΟΙ ΠΑΡΑΡΤΗΜΑΤΩΝ"/>
    <w:basedOn w:val="-"/>
    <w:rsid w:val="0096399A"/>
    <w:pPr>
      <w:jc w:val="center"/>
    </w:pPr>
    <w:rPr>
      <w:smallCaps/>
      <w:sz w:val="24"/>
    </w:rPr>
  </w:style>
  <w:style w:type="paragraph" w:customStyle="1" w:styleId="a6">
    <w:name w:val="ΚΕΙΜΕΝΟ"/>
    <w:basedOn w:val="a5"/>
    <w:rsid w:val="0096399A"/>
    <w:pPr>
      <w:ind w:firstLine="737"/>
      <w:jc w:val="both"/>
    </w:pPr>
    <w:rPr>
      <w:b w:val="0"/>
      <w:smallCaps w:val="0"/>
      <w:sz w:val="20"/>
    </w:rPr>
  </w:style>
  <w:style w:type="paragraph" w:customStyle="1" w:styleId="a7">
    <w:name w:val="ΠΙΝΑΚΕΣ"/>
    <w:basedOn w:val="a"/>
    <w:rsid w:val="0096399A"/>
    <w:pPr>
      <w:jc w:val="center"/>
    </w:pPr>
    <w:rPr>
      <w:b/>
      <w:sz w:val="18"/>
    </w:rPr>
  </w:style>
  <w:style w:type="paragraph" w:customStyle="1" w:styleId="a8">
    <w:name w:val="ΤΙΤΛΟΙ ΚΕΦΑΛΑΙΩΝ"/>
    <w:basedOn w:val="1"/>
    <w:rsid w:val="0096399A"/>
    <w:pPr>
      <w:spacing w:before="0" w:after="0"/>
      <w:ind w:firstLine="0"/>
    </w:pPr>
    <w:rPr>
      <w:rFonts w:ascii="Verdana" w:hAnsi="Verdana" w:cs="Times New Roman"/>
      <w:bCs w:val="0"/>
      <w:smallCaps/>
      <w:kern w:val="0"/>
      <w:sz w:val="26"/>
      <w:szCs w:val="24"/>
      <w:lang w:val="el-GR"/>
    </w:rPr>
  </w:style>
  <w:style w:type="table" w:customStyle="1" w:styleId="Kladikes07">
    <w:name w:val="Kladikes 07"/>
    <w:basedOn w:val="a1"/>
    <w:rsid w:val="0096399A"/>
    <w:pPr>
      <w:spacing w:after="0" w:line="240" w:lineRule="auto"/>
    </w:pPr>
    <w:rPr>
      <w:rFonts w:ascii="Verdana" w:eastAsia="Times New Roman" w:hAnsi="Verdana" w:cs="Times New Roman"/>
      <w:sz w:val="16"/>
      <w:szCs w:val="20"/>
      <w:lang w:eastAsia="el-GR"/>
    </w:rPr>
    <w:tblPr>
      <w:tblStyleRow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FFFFFF"/>
    </w:tcPr>
    <w:tblStylePr w:type="firstRow">
      <w:pPr>
        <w:jc w:val="right"/>
      </w:pPr>
      <w:rPr>
        <w:rFonts w:ascii="Cambria" w:hAnsi="Cambria"/>
        <w:b/>
        <w:sz w:val="16"/>
      </w:rPr>
      <w:tblPr/>
      <w:tcPr>
        <w:vAlign w:val="center"/>
      </w:tcPr>
    </w:tblStylePr>
    <w:tblStylePr w:type="firstCol">
      <w:pPr>
        <w:jc w:val="left"/>
      </w:pPr>
      <w:tblPr/>
      <w:tcPr>
        <w:vAlign w:val="center"/>
      </w:tcPr>
    </w:tblStylePr>
    <w:tblStylePr w:type="band1Horz">
      <w:pPr>
        <w:jc w:val="right"/>
      </w:pPr>
      <w:tblPr/>
      <w:tcPr>
        <w:shd w:val="clear" w:color="auto" w:fill="CCECFF"/>
        <w:vAlign w:val="center"/>
      </w:tcPr>
    </w:tblStylePr>
    <w:tblStylePr w:type="band2Horz">
      <w:pPr>
        <w:jc w:val="right"/>
      </w:pPr>
      <w:tblPr/>
      <w:tcPr>
        <w:vAlign w:val="center"/>
      </w:tcPr>
    </w:tblStylePr>
    <w:tblStylePr w:type="neCell">
      <w:pPr>
        <w:jc w:val="left"/>
      </w:pPr>
      <w:rPr>
        <w:b/>
      </w:rPr>
    </w:tblStylePr>
    <w:tblStylePr w:type="nwCell">
      <w:pPr>
        <w:jc w:val="left"/>
      </w:pPr>
      <w:rPr>
        <w:rFonts w:ascii="Cambria" w:hAnsi="Cambria"/>
        <w:b/>
        <w:sz w:val="16"/>
      </w:rPr>
    </w:tblStylePr>
  </w:style>
  <w:style w:type="table" w:customStyle="1" w:styleId="kladikes070">
    <w:name w:val="kladikes07"/>
    <w:basedOn w:val="a1"/>
    <w:semiHidden/>
    <w:rsid w:val="0096399A"/>
    <w:pPr>
      <w:spacing w:after="0" w:line="240" w:lineRule="auto"/>
    </w:pPr>
    <w:rPr>
      <w:rFonts w:ascii="Verdana" w:eastAsia="Times New Roman" w:hAnsi="Verdana" w:cs="Times New Roman"/>
      <w:sz w:val="16"/>
      <w:szCs w:val="20"/>
      <w:lang w:eastAsia="el-GR"/>
    </w:rPr>
    <w:tblPr>
      <w:tblStyleRow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jc w:val="right"/>
      </w:pPr>
      <w:rPr>
        <w:b/>
      </w:rPr>
      <w:tblPr/>
      <w:tcPr>
        <w:vAlign w:val="center"/>
      </w:tcPr>
    </w:tblStylePr>
    <w:tblStylePr w:type="firstCol">
      <w:pPr>
        <w:jc w:val="left"/>
      </w:pPr>
      <w:tblPr/>
      <w:tcPr>
        <w:vAlign w:val="center"/>
      </w:tcPr>
    </w:tblStylePr>
    <w:tblStylePr w:type="lastCol">
      <w:pPr>
        <w:jc w:val="right"/>
      </w:pPr>
      <w:tblPr/>
      <w:tcPr>
        <w:vAlign w:val="center"/>
      </w:tcPr>
    </w:tblStylePr>
    <w:tblStylePr w:type="band1Horz">
      <w:tblPr/>
      <w:tcPr>
        <w:shd w:val="clear" w:color="auto" w:fill="CCECFF"/>
      </w:tcPr>
    </w:tblStylePr>
    <w:tblStylePr w:type="band2Horz">
      <w:tblPr/>
      <w:tcPr>
        <w:shd w:val="clear" w:color="auto" w:fill="FFFFFF"/>
      </w:tcPr>
    </w:tblStylePr>
  </w:style>
  <w:style w:type="table" w:styleId="a9">
    <w:name w:val="Table Theme"/>
    <w:basedOn w:val="a1"/>
    <w:semiHidden/>
    <w:rsid w:val="0096399A"/>
    <w:pPr>
      <w:spacing w:after="0" w:line="360" w:lineRule="auto"/>
      <w:ind w:firstLine="737"/>
      <w:jc w:val="both"/>
    </w:pPr>
    <w:rPr>
      <w:rFonts w:ascii="Verdana" w:eastAsia="Times New Roman" w:hAnsi="Verdana" w:cs="Times New Roman"/>
      <w:sz w:val="16"/>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3D effects 1"/>
    <w:basedOn w:val="a1"/>
    <w:semiHidden/>
    <w:rsid w:val="0096399A"/>
    <w:pPr>
      <w:spacing w:after="0" w:line="360" w:lineRule="auto"/>
      <w:ind w:firstLine="737"/>
      <w:jc w:val="both"/>
    </w:pPr>
    <w:rPr>
      <w:rFonts w:ascii="Verdana" w:eastAsia="Times New Roman" w:hAnsi="Verdana" w:cs="Times New Roman"/>
      <w:sz w:val="16"/>
      <w:szCs w:val="20"/>
      <w:lang w:eastAsia="el-G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10">
    <w:name w:val="toc 1"/>
    <w:basedOn w:val="a"/>
    <w:next w:val="a"/>
    <w:autoRedefine/>
    <w:semiHidden/>
    <w:rsid w:val="0096399A"/>
  </w:style>
  <w:style w:type="paragraph" w:styleId="20">
    <w:name w:val="toc 2"/>
    <w:basedOn w:val="a"/>
    <w:next w:val="a"/>
    <w:autoRedefine/>
    <w:semiHidden/>
    <w:rsid w:val="0096399A"/>
    <w:pPr>
      <w:ind w:left="221"/>
    </w:pPr>
  </w:style>
  <w:style w:type="paragraph" w:styleId="30">
    <w:name w:val="toc 3"/>
    <w:basedOn w:val="a"/>
    <w:next w:val="a"/>
    <w:autoRedefine/>
    <w:semiHidden/>
    <w:rsid w:val="0096399A"/>
    <w:pPr>
      <w:ind w:left="442"/>
    </w:pPr>
  </w:style>
  <w:style w:type="paragraph" w:styleId="aa">
    <w:name w:val="footnote text"/>
    <w:basedOn w:val="a"/>
    <w:link w:val="Char"/>
    <w:semiHidden/>
    <w:rsid w:val="0096399A"/>
    <w:pPr>
      <w:ind w:firstLine="425"/>
    </w:pPr>
    <w:rPr>
      <w:sz w:val="22"/>
      <w:szCs w:val="20"/>
    </w:rPr>
  </w:style>
  <w:style w:type="character" w:customStyle="1" w:styleId="Char">
    <w:name w:val="Κείμενο υποσημείωσης Char"/>
    <w:basedOn w:val="a0"/>
    <w:link w:val="aa"/>
    <w:semiHidden/>
    <w:rsid w:val="0096399A"/>
    <w:rPr>
      <w:rFonts w:ascii="Times New Roman" w:eastAsia="Times New Roman" w:hAnsi="Times New Roman" w:cs="Times New Roman"/>
      <w:szCs w:val="20"/>
      <w:lang w:val="en-GB"/>
    </w:rPr>
  </w:style>
  <w:style w:type="table" w:styleId="ab">
    <w:name w:val="Table Elegant"/>
    <w:basedOn w:val="a1"/>
    <w:semiHidden/>
    <w:rsid w:val="0096399A"/>
    <w:pPr>
      <w:spacing w:after="0" w:line="240" w:lineRule="auto"/>
    </w:pPr>
    <w:rPr>
      <w:rFonts w:ascii="Times New Roman" w:eastAsia="Times New Roman" w:hAnsi="Times New Roman"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Block Text"/>
    <w:basedOn w:val="a"/>
    <w:semiHidden/>
    <w:rsid w:val="0096399A"/>
    <w:pPr>
      <w:ind w:left="113" w:right="113"/>
      <w:jc w:val="center"/>
    </w:pPr>
    <w:rPr>
      <w:b/>
      <w:bCs/>
      <w:szCs w:val="20"/>
      <w:lang w:val="el-GR"/>
    </w:rPr>
  </w:style>
  <w:style w:type="paragraph" w:styleId="ad">
    <w:name w:val="Body Text"/>
    <w:basedOn w:val="a"/>
    <w:link w:val="Char0"/>
    <w:semiHidden/>
    <w:rsid w:val="0096399A"/>
    <w:rPr>
      <w:rFonts w:ascii="Arial" w:hAnsi="Arial"/>
      <w:sz w:val="22"/>
      <w:szCs w:val="20"/>
      <w:lang w:val="el-GR"/>
    </w:rPr>
  </w:style>
  <w:style w:type="character" w:customStyle="1" w:styleId="Char0">
    <w:name w:val="Σώμα κειμένου Char"/>
    <w:basedOn w:val="a0"/>
    <w:link w:val="ad"/>
    <w:semiHidden/>
    <w:rsid w:val="0096399A"/>
    <w:rPr>
      <w:rFonts w:ascii="Arial" w:eastAsia="Times New Roman" w:hAnsi="Arial" w:cs="Times New Roman"/>
      <w:szCs w:val="20"/>
    </w:rPr>
  </w:style>
  <w:style w:type="paragraph" w:styleId="21">
    <w:name w:val="Body Text 2"/>
    <w:basedOn w:val="a"/>
    <w:link w:val="2Char0"/>
    <w:semiHidden/>
    <w:rsid w:val="0096399A"/>
    <w:rPr>
      <w:rFonts w:ascii="Arial" w:hAnsi="Arial"/>
      <w:sz w:val="22"/>
      <w:szCs w:val="20"/>
      <w:lang w:val="el-GR"/>
    </w:rPr>
  </w:style>
  <w:style w:type="character" w:customStyle="1" w:styleId="2Char0">
    <w:name w:val="Σώμα κείμενου 2 Char"/>
    <w:basedOn w:val="a0"/>
    <w:link w:val="21"/>
    <w:semiHidden/>
    <w:rsid w:val="0096399A"/>
    <w:rPr>
      <w:rFonts w:ascii="Arial" w:eastAsia="Times New Roman" w:hAnsi="Arial" w:cs="Times New Roman"/>
      <w:szCs w:val="20"/>
    </w:rPr>
  </w:style>
  <w:style w:type="paragraph" w:styleId="31">
    <w:name w:val="Body Text 3"/>
    <w:basedOn w:val="a"/>
    <w:link w:val="3Char0"/>
    <w:semiHidden/>
    <w:rsid w:val="0096399A"/>
    <w:rPr>
      <w:szCs w:val="20"/>
      <w:lang w:val="el-GR"/>
    </w:rPr>
  </w:style>
  <w:style w:type="character" w:customStyle="1" w:styleId="3Char0">
    <w:name w:val="Σώμα κείμενου 3 Char"/>
    <w:basedOn w:val="a0"/>
    <w:link w:val="31"/>
    <w:semiHidden/>
    <w:rsid w:val="0096399A"/>
    <w:rPr>
      <w:rFonts w:ascii="Times New Roman" w:eastAsia="Times New Roman" w:hAnsi="Times New Roman" w:cs="Times New Roman"/>
      <w:sz w:val="24"/>
      <w:szCs w:val="20"/>
    </w:rPr>
  </w:style>
  <w:style w:type="paragraph" w:styleId="ae">
    <w:name w:val="Body Text Indent"/>
    <w:basedOn w:val="a"/>
    <w:link w:val="Char1"/>
    <w:rsid w:val="0096399A"/>
    <w:pPr>
      <w:ind w:firstLine="425"/>
    </w:pPr>
    <w:rPr>
      <w:sz w:val="22"/>
      <w:szCs w:val="20"/>
      <w:lang w:val="el-GR"/>
    </w:rPr>
  </w:style>
  <w:style w:type="character" w:customStyle="1" w:styleId="Char1">
    <w:name w:val="Σώμα κείμενου με εσοχή Char"/>
    <w:basedOn w:val="a0"/>
    <w:link w:val="ae"/>
    <w:rsid w:val="0096399A"/>
    <w:rPr>
      <w:rFonts w:ascii="Times New Roman" w:eastAsia="Times New Roman" w:hAnsi="Times New Roman" w:cs="Times New Roman"/>
      <w:szCs w:val="20"/>
    </w:rPr>
  </w:style>
  <w:style w:type="paragraph" w:styleId="22">
    <w:name w:val="Body Text Indent 2"/>
    <w:basedOn w:val="a"/>
    <w:link w:val="2Char1"/>
    <w:semiHidden/>
    <w:rsid w:val="0096399A"/>
    <w:pPr>
      <w:ind w:left="158" w:hanging="158"/>
    </w:pPr>
    <w:rPr>
      <w:i/>
      <w:iCs/>
      <w:sz w:val="18"/>
      <w:szCs w:val="20"/>
      <w:lang w:val="el-GR"/>
    </w:rPr>
  </w:style>
  <w:style w:type="character" w:customStyle="1" w:styleId="2Char1">
    <w:name w:val="Σώμα κείμενου με εσοχή 2 Char"/>
    <w:basedOn w:val="a0"/>
    <w:link w:val="22"/>
    <w:semiHidden/>
    <w:rsid w:val="0096399A"/>
    <w:rPr>
      <w:rFonts w:ascii="Times New Roman" w:eastAsia="Times New Roman" w:hAnsi="Times New Roman" w:cs="Times New Roman"/>
      <w:i/>
      <w:iCs/>
      <w:sz w:val="18"/>
      <w:szCs w:val="20"/>
    </w:rPr>
  </w:style>
  <w:style w:type="paragraph" w:styleId="32">
    <w:name w:val="Body Text Indent 3"/>
    <w:basedOn w:val="a"/>
    <w:link w:val="3Char1"/>
    <w:semiHidden/>
    <w:rsid w:val="0096399A"/>
    <w:pPr>
      <w:ind w:firstLine="720"/>
    </w:pPr>
    <w:rPr>
      <w:sz w:val="22"/>
      <w:szCs w:val="20"/>
      <w:lang w:val="el-GR"/>
    </w:rPr>
  </w:style>
  <w:style w:type="character" w:customStyle="1" w:styleId="3Char1">
    <w:name w:val="Σώμα κείμενου με εσοχή 3 Char"/>
    <w:basedOn w:val="a0"/>
    <w:link w:val="32"/>
    <w:semiHidden/>
    <w:rsid w:val="0096399A"/>
    <w:rPr>
      <w:rFonts w:ascii="Times New Roman" w:eastAsia="Times New Roman" w:hAnsi="Times New Roman" w:cs="Times New Roman"/>
      <w:szCs w:val="20"/>
    </w:rPr>
  </w:style>
  <w:style w:type="paragraph" w:styleId="af">
    <w:name w:val="caption"/>
    <w:basedOn w:val="a"/>
    <w:next w:val="a"/>
    <w:qFormat/>
    <w:rsid w:val="0096399A"/>
    <w:rPr>
      <w:b/>
      <w:bCs/>
      <w:lang w:val="el-GR"/>
    </w:rPr>
  </w:style>
  <w:style w:type="character" w:styleId="af0">
    <w:name w:val="annotation reference"/>
    <w:semiHidden/>
    <w:rsid w:val="0096399A"/>
    <w:rPr>
      <w:sz w:val="16"/>
      <w:szCs w:val="16"/>
    </w:rPr>
  </w:style>
  <w:style w:type="paragraph" w:styleId="af1">
    <w:name w:val="annotation text"/>
    <w:basedOn w:val="a"/>
    <w:link w:val="Char2"/>
    <w:semiHidden/>
    <w:rsid w:val="0096399A"/>
    <w:pPr>
      <w:ind w:firstLine="425"/>
    </w:pPr>
    <w:rPr>
      <w:szCs w:val="20"/>
    </w:rPr>
  </w:style>
  <w:style w:type="character" w:customStyle="1" w:styleId="Char2">
    <w:name w:val="Κείμενο σχολίου Char"/>
    <w:basedOn w:val="a0"/>
    <w:link w:val="af1"/>
    <w:semiHidden/>
    <w:rsid w:val="0096399A"/>
    <w:rPr>
      <w:rFonts w:ascii="Times New Roman" w:eastAsia="Times New Roman" w:hAnsi="Times New Roman" w:cs="Times New Roman"/>
      <w:sz w:val="24"/>
      <w:szCs w:val="20"/>
      <w:lang w:val="en-GB"/>
    </w:rPr>
  </w:style>
  <w:style w:type="character" w:styleId="-0">
    <w:name w:val="FollowedHyperlink"/>
    <w:semiHidden/>
    <w:rsid w:val="0096399A"/>
    <w:rPr>
      <w:color w:val="800080"/>
      <w:u w:val="single"/>
    </w:rPr>
  </w:style>
  <w:style w:type="paragraph" w:customStyle="1" w:styleId="font5">
    <w:name w:val="font5"/>
    <w:basedOn w:val="a"/>
    <w:semiHidden/>
    <w:rsid w:val="0096399A"/>
    <w:pPr>
      <w:spacing w:before="100" w:beforeAutospacing="1" w:after="100" w:afterAutospacing="1"/>
    </w:pPr>
    <w:rPr>
      <w:rFonts w:eastAsia="Arial Unicode MS"/>
      <w:sz w:val="22"/>
      <w:szCs w:val="22"/>
    </w:rPr>
  </w:style>
  <w:style w:type="paragraph" w:styleId="af2">
    <w:name w:val="footer"/>
    <w:basedOn w:val="a"/>
    <w:link w:val="Char3"/>
    <w:uiPriority w:val="99"/>
    <w:rsid w:val="0096399A"/>
    <w:pPr>
      <w:tabs>
        <w:tab w:val="center" w:pos="4153"/>
        <w:tab w:val="right" w:pos="8306"/>
      </w:tabs>
      <w:ind w:firstLine="425"/>
    </w:pPr>
    <w:rPr>
      <w:sz w:val="22"/>
    </w:rPr>
  </w:style>
  <w:style w:type="character" w:customStyle="1" w:styleId="Char3">
    <w:name w:val="Υποσέλιδο Char"/>
    <w:basedOn w:val="a0"/>
    <w:link w:val="af2"/>
    <w:uiPriority w:val="99"/>
    <w:rsid w:val="0096399A"/>
    <w:rPr>
      <w:rFonts w:ascii="Times New Roman" w:eastAsia="Times New Roman" w:hAnsi="Times New Roman" w:cs="Times New Roman"/>
      <w:szCs w:val="24"/>
      <w:lang w:val="en-GB"/>
    </w:rPr>
  </w:style>
  <w:style w:type="character" w:styleId="af3">
    <w:name w:val="footnote reference"/>
    <w:rsid w:val="0096399A"/>
    <w:rPr>
      <w:vertAlign w:val="superscript"/>
    </w:rPr>
  </w:style>
  <w:style w:type="paragraph" w:styleId="af4">
    <w:name w:val="header"/>
    <w:basedOn w:val="a"/>
    <w:link w:val="Char4"/>
    <w:semiHidden/>
    <w:rsid w:val="0096399A"/>
    <w:pPr>
      <w:tabs>
        <w:tab w:val="center" w:pos="4153"/>
        <w:tab w:val="right" w:pos="8306"/>
      </w:tabs>
      <w:ind w:firstLine="425"/>
    </w:pPr>
    <w:rPr>
      <w:i/>
      <w:iCs/>
      <w:sz w:val="22"/>
      <w:lang w:val="en-US"/>
    </w:rPr>
  </w:style>
  <w:style w:type="character" w:customStyle="1" w:styleId="Char4">
    <w:name w:val="Κεφαλίδα Char"/>
    <w:basedOn w:val="a0"/>
    <w:link w:val="af4"/>
    <w:semiHidden/>
    <w:rsid w:val="0096399A"/>
    <w:rPr>
      <w:rFonts w:ascii="Times New Roman" w:eastAsia="Times New Roman" w:hAnsi="Times New Roman" w:cs="Times New Roman"/>
      <w:i/>
      <w:iCs/>
      <w:szCs w:val="24"/>
      <w:lang w:val="en-US"/>
    </w:rPr>
  </w:style>
  <w:style w:type="character" w:styleId="-1">
    <w:name w:val="Hyperlink"/>
    <w:semiHidden/>
    <w:rsid w:val="0096399A"/>
    <w:rPr>
      <w:color w:val="0000FF"/>
      <w:u w:val="single"/>
    </w:rPr>
  </w:style>
  <w:style w:type="character" w:styleId="af5">
    <w:name w:val="page number"/>
    <w:basedOn w:val="a0"/>
    <w:semiHidden/>
    <w:rsid w:val="0096399A"/>
  </w:style>
  <w:style w:type="paragraph" w:styleId="af6">
    <w:name w:val="Title"/>
    <w:basedOn w:val="a"/>
    <w:link w:val="Char5"/>
    <w:qFormat/>
    <w:rsid w:val="0096399A"/>
    <w:pPr>
      <w:jc w:val="center"/>
    </w:pPr>
    <w:rPr>
      <w:rFonts w:ascii="Arial" w:hAnsi="Arial"/>
      <w:b/>
      <w:szCs w:val="20"/>
      <w:lang w:val="el-GR"/>
    </w:rPr>
  </w:style>
  <w:style w:type="character" w:customStyle="1" w:styleId="Char5">
    <w:name w:val="Τίτλος Char"/>
    <w:basedOn w:val="a0"/>
    <w:link w:val="af6"/>
    <w:rsid w:val="0096399A"/>
    <w:rPr>
      <w:rFonts w:ascii="Arial" w:eastAsia="Times New Roman" w:hAnsi="Arial" w:cs="Times New Roman"/>
      <w:b/>
      <w:sz w:val="24"/>
      <w:szCs w:val="20"/>
    </w:rPr>
  </w:style>
  <w:style w:type="paragraph" w:styleId="40">
    <w:name w:val="toc 4"/>
    <w:basedOn w:val="a"/>
    <w:next w:val="a"/>
    <w:autoRedefine/>
    <w:semiHidden/>
    <w:rsid w:val="0096399A"/>
    <w:pPr>
      <w:ind w:left="660"/>
    </w:pPr>
  </w:style>
  <w:style w:type="paragraph" w:styleId="50">
    <w:name w:val="toc 5"/>
    <w:basedOn w:val="a"/>
    <w:next w:val="a"/>
    <w:autoRedefine/>
    <w:semiHidden/>
    <w:rsid w:val="0096399A"/>
    <w:pPr>
      <w:ind w:left="880"/>
    </w:pPr>
  </w:style>
  <w:style w:type="paragraph" w:styleId="60">
    <w:name w:val="toc 6"/>
    <w:basedOn w:val="a"/>
    <w:next w:val="a"/>
    <w:autoRedefine/>
    <w:semiHidden/>
    <w:rsid w:val="0096399A"/>
    <w:pPr>
      <w:ind w:left="1100"/>
    </w:pPr>
  </w:style>
  <w:style w:type="paragraph" w:styleId="70">
    <w:name w:val="toc 7"/>
    <w:basedOn w:val="a"/>
    <w:next w:val="a"/>
    <w:autoRedefine/>
    <w:semiHidden/>
    <w:rsid w:val="0096399A"/>
    <w:pPr>
      <w:ind w:left="1320"/>
    </w:pPr>
  </w:style>
  <w:style w:type="paragraph" w:styleId="80">
    <w:name w:val="toc 8"/>
    <w:basedOn w:val="a"/>
    <w:next w:val="a"/>
    <w:autoRedefine/>
    <w:semiHidden/>
    <w:rsid w:val="0096399A"/>
    <w:pPr>
      <w:ind w:left="1540"/>
    </w:pPr>
  </w:style>
  <w:style w:type="paragraph" w:styleId="90">
    <w:name w:val="toc 9"/>
    <w:basedOn w:val="a"/>
    <w:next w:val="a"/>
    <w:autoRedefine/>
    <w:semiHidden/>
    <w:rsid w:val="0096399A"/>
    <w:pPr>
      <w:ind w:left="1760"/>
    </w:pPr>
  </w:style>
  <w:style w:type="paragraph" w:customStyle="1" w:styleId="xl22">
    <w:name w:val="xl22"/>
    <w:basedOn w:val="a"/>
    <w:semiHidden/>
    <w:rsid w:val="0096399A"/>
    <w:pPr>
      <w:spacing w:before="100" w:beforeAutospacing="1" w:after="100" w:afterAutospacing="1"/>
    </w:pPr>
    <w:rPr>
      <w:rFonts w:eastAsia="Arial Unicode MS"/>
    </w:rPr>
  </w:style>
  <w:style w:type="paragraph" w:customStyle="1" w:styleId="xl23">
    <w:name w:val="xl23"/>
    <w:basedOn w:val="a"/>
    <w:semiHidden/>
    <w:rsid w:val="0096399A"/>
    <w:pPr>
      <w:spacing w:before="100" w:beforeAutospacing="1" w:after="100" w:afterAutospacing="1"/>
    </w:pPr>
    <w:rPr>
      <w:rFonts w:eastAsia="Arial Unicode MS"/>
      <w:b/>
      <w:bCs/>
    </w:rPr>
  </w:style>
  <w:style w:type="paragraph" w:customStyle="1" w:styleId="xl24">
    <w:name w:val="xl24"/>
    <w:basedOn w:val="a"/>
    <w:semiHidden/>
    <w:rsid w:val="0096399A"/>
    <w:pPr>
      <w:spacing w:before="100" w:beforeAutospacing="1" w:after="100" w:afterAutospacing="1"/>
    </w:pPr>
    <w:rPr>
      <w:rFonts w:eastAsia="Arial Unicode MS"/>
    </w:rPr>
  </w:style>
  <w:style w:type="paragraph" w:customStyle="1" w:styleId="xl25">
    <w:name w:val="xl25"/>
    <w:basedOn w:val="a"/>
    <w:semiHidden/>
    <w:rsid w:val="0096399A"/>
    <w:pPr>
      <w:spacing w:before="100" w:beforeAutospacing="1" w:after="100" w:afterAutospacing="1"/>
    </w:pPr>
    <w:rPr>
      <w:rFonts w:eastAsia="Arial Unicode MS"/>
      <w:b/>
      <w:bCs/>
    </w:rPr>
  </w:style>
  <w:style w:type="paragraph" w:customStyle="1" w:styleId="xl26">
    <w:name w:val="xl26"/>
    <w:basedOn w:val="a"/>
    <w:semiHidden/>
    <w:rsid w:val="0096399A"/>
    <w:pPr>
      <w:spacing w:before="100" w:beforeAutospacing="1" w:after="100" w:afterAutospacing="1"/>
      <w:jc w:val="center"/>
    </w:pPr>
    <w:rPr>
      <w:rFonts w:eastAsia="Arial Unicode MS"/>
      <w:b/>
      <w:bCs/>
      <w:i/>
      <w:iCs/>
    </w:rPr>
  </w:style>
  <w:style w:type="paragraph" w:customStyle="1" w:styleId="xl27">
    <w:name w:val="xl27"/>
    <w:basedOn w:val="a"/>
    <w:semiHidden/>
    <w:rsid w:val="0096399A"/>
    <w:pPr>
      <w:spacing w:before="100" w:beforeAutospacing="1" w:after="100" w:afterAutospacing="1"/>
      <w:jc w:val="center"/>
    </w:pPr>
    <w:rPr>
      <w:rFonts w:ascii="Times New (WT)" w:eastAsia="Arial Unicode MS" w:hAnsi="Times New (WT)" w:cs="Arial Unicode MS"/>
      <w:b/>
      <w:bCs/>
      <w:i/>
      <w:iCs/>
    </w:rPr>
  </w:style>
  <w:style w:type="paragraph" w:customStyle="1" w:styleId="xl28">
    <w:name w:val="xl28"/>
    <w:basedOn w:val="a"/>
    <w:semiHidden/>
    <w:rsid w:val="0096399A"/>
    <w:pPr>
      <w:spacing w:before="100" w:beforeAutospacing="1" w:after="100" w:afterAutospacing="1"/>
      <w:jc w:val="center"/>
    </w:pPr>
    <w:rPr>
      <w:rFonts w:eastAsia="Arial Unicode MS"/>
    </w:rPr>
  </w:style>
  <w:style w:type="paragraph" w:customStyle="1" w:styleId="xl29">
    <w:name w:val="xl29"/>
    <w:basedOn w:val="a"/>
    <w:semiHidden/>
    <w:rsid w:val="0096399A"/>
    <w:pPr>
      <w:spacing w:before="100" w:beforeAutospacing="1" w:after="100" w:afterAutospacing="1"/>
      <w:jc w:val="center"/>
    </w:pPr>
    <w:rPr>
      <w:rFonts w:ascii="Times New (WT)" w:eastAsia="Arial Unicode MS" w:hAnsi="Times New (WT)" w:cs="Arial Unicode MS"/>
      <w:b/>
      <w:bCs/>
      <w:i/>
      <w:iCs/>
    </w:rPr>
  </w:style>
  <w:style w:type="paragraph" w:customStyle="1" w:styleId="xl30">
    <w:name w:val="xl30"/>
    <w:basedOn w:val="a"/>
    <w:semiHidden/>
    <w:rsid w:val="0096399A"/>
    <w:pPr>
      <w:spacing w:before="100" w:beforeAutospacing="1" w:after="100" w:afterAutospacing="1"/>
      <w:jc w:val="center"/>
    </w:pPr>
    <w:rPr>
      <w:rFonts w:eastAsia="Arial Unicode MS"/>
    </w:rPr>
  </w:style>
  <w:style w:type="paragraph" w:customStyle="1" w:styleId="xl31">
    <w:name w:val="xl31"/>
    <w:basedOn w:val="a"/>
    <w:semiHidden/>
    <w:rsid w:val="0096399A"/>
    <w:pPr>
      <w:spacing w:before="100" w:beforeAutospacing="1" w:after="100" w:afterAutospacing="1"/>
    </w:pPr>
    <w:rPr>
      <w:rFonts w:eastAsia="Arial Unicode MS"/>
      <w:b/>
      <w:bCs/>
    </w:rPr>
  </w:style>
  <w:style w:type="paragraph" w:customStyle="1" w:styleId="xl32">
    <w:name w:val="xl32"/>
    <w:basedOn w:val="a"/>
    <w:semiHidden/>
    <w:rsid w:val="0096399A"/>
    <w:pPr>
      <w:spacing w:before="100" w:beforeAutospacing="1" w:after="100" w:afterAutospacing="1"/>
    </w:pPr>
    <w:rPr>
      <w:rFonts w:eastAsia="Arial Unicode MS"/>
      <w:b/>
      <w:bCs/>
    </w:rPr>
  </w:style>
  <w:style w:type="paragraph" w:customStyle="1" w:styleId="xl33">
    <w:name w:val="xl33"/>
    <w:basedOn w:val="a"/>
    <w:semiHidden/>
    <w:rsid w:val="0096399A"/>
    <w:pPr>
      <w:spacing w:before="100" w:beforeAutospacing="1" w:after="100" w:afterAutospacing="1"/>
    </w:pPr>
    <w:rPr>
      <w:rFonts w:eastAsia="Arial Unicode MS"/>
    </w:rPr>
  </w:style>
  <w:style w:type="paragraph" w:customStyle="1" w:styleId="xl34">
    <w:name w:val="xl34"/>
    <w:basedOn w:val="a"/>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5">
    <w:name w:val="xl35"/>
    <w:basedOn w:val="a"/>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6">
    <w:name w:val="xl36"/>
    <w:basedOn w:val="a"/>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7">
    <w:name w:val="xl37"/>
    <w:basedOn w:val="a"/>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8">
    <w:name w:val="xl38"/>
    <w:basedOn w:val="a"/>
    <w:semiHidden/>
    <w:rsid w:val="0096399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i/>
      <w:iCs/>
      <w:sz w:val="18"/>
      <w:szCs w:val="18"/>
    </w:rPr>
  </w:style>
  <w:style w:type="paragraph" w:customStyle="1" w:styleId="xl39">
    <w:name w:val="xl39"/>
    <w:basedOn w:val="a"/>
    <w:semiHidden/>
    <w:rsid w:val="0096399A"/>
    <w:pPr>
      <w:pBdr>
        <w:top w:val="single" w:sz="4" w:space="0" w:color="auto"/>
        <w:bottom w:val="single" w:sz="4" w:space="0" w:color="auto"/>
      </w:pBdr>
      <w:spacing w:before="100" w:beforeAutospacing="1" w:after="100" w:afterAutospacing="1"/>
      <w:textAlignment w:val="top"/>
    </w:pPr>
    <w:rPr>
      <w:rFonts w:eastAsia="Arial Unicode MS"/>
      <w:i/>
      <w:iCs/>
      <w:sz w:val="18"/>
      <w:szCs w:val="18"/>
    </w:rPr>
  </w:style>
  <w:style w:type="paragraph" w:customStyle="1" w:styleId="xl40">
    <w:name w:val="xl40"/>
    <w:basedOn w:val="a"/>
    <w:semiHidden/>
    <w:rsid w:val="0096399A"/>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1">
    <w:name w:val="xl41"/>
    <w:basedOn w:val="a"/>
    <w:semiHidden/>
    <w:rsid w:val="0096399A"/>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2">
    <w:name w:val="xl42"/>
    <w:basedOn w:val="a"/>
    <w:semiHidden/>
    <w:rsid w:val="0096399A"/>
    <w:pPr>
      <w:pBdr>
        <w:top w:val="single" w:sz="4" w:space="0" w:color="auto"/>
        <w:left w:val="single" w:sz="4" w:space="0" w:color="auto"/>
        <w:bottom w:val="single" w:sz="4" w:space="0" w:color="auto"/>
      </w:pBdr>
      <w:spacing w:before="100" w:beforeAutospacing="1" w:after="100" w:afterAutospacing="1"/>
      <w:jc w:val="right"/>
      <w:textAlignment w:val="top"/>
    </w:pPr>
    <w:rPr>
      <w:rFonts w:eastAsia="Arial Unicode MS"/>
      <w:i/>
      <w:iCs/>
      <w:sz w:val="18"/>
      <w:szCs w:val="18"/>
    </w:rPr>
  </w:style>
  <w:style w:type="paragraph" w:customStyle="1" w:styleId="xl43">
    <w:name w:val="xl43"/>
    <w:basedOn w:val="a"/>
    <w:semiHidden/>
    <w:rsid w:val="0096399A"/>
    <w:pPr>
      <w:pBdr>
        <w:top w:val="single" w:sz="4" w:space="0" w:color="auto"/>
        <w:bottom w:val="single" w:sz="4" w:space="0" w:color="auto"/>
      </w:pBdr>
      <w:spacing w:before="100" w:beforeAutospacing="1" w:after="100" w:afterAutospacing="1"/>
      <w:jc w:val="right"/>
      <w:textAlignment w:val="top"/>
    </w:pPr>
    <w:rPr>
      <w:rFonts w:eastAsia="Arial Unicode MS"/>
      <w:i/>
      <w:iCs/>
      <w:sz w:val="18"/>
      <w:szCs w:val="18"/>
    </w:rPr>
  </w:style>
  <w:style w:type="paragraph" w:customStyle="1" w:styleId="xl44">
    <w:name w:val="xl44"/>
    <w:basedOn w:val="a"/>
    <w:semiHidden/>
    <w:rsid w:val="0096399A"/>
    <w:pPr>
      <w:pBdr>
        <w:top w:val="single" w:sz="4"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a"/>
    <w:semiHidden/>
    <w:rsid w:val="0096399A"/>
    <w:pPr>
      <w:pBdr>
        <w:top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6">
    <w:name w:val="xl46"/>
    <w:basedOn w:val="a"/>
    <w:semiHidden/>
    <w:rsid w:val="0096399A"/>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Cs w:val="22"/>
    </w:rPr>
  </w:style>
  <w:style w:type="paragraph" w:customStyle="1" w:styleId="xl47">
    <w:name w:val="xl47"/>
    <w:basedOn w:val="a"/>
    <w:semiHidden/>
    <w:rsid w:val="0096399A"/>
    <w:pPr>
      <w:pBdr>
        <w:top w:val="single" w:sz="4" w:space="0" w:color="auto"/>
        <w:bottom w:val="single" w:sz="4" w:space="0" w:color="auto"/>
      </w:pBdr>
      <w:spacing w:before="100" w:beforeAutospacing="1" w:after="100" w:afterAutospacing="1"/>
      <w:jc w:val="center"/>
    </w:pPr>
    <w:rPr>
      <w:rFonts w:eastAsia="Arial Unicode MS"/>
      <w:b/>
      <w:bCs/>
      <w:szCs w:val="22"/>
    </w:rPr>
  </w:style>
  <w:style w:type="paragraph" w:customStyle="1" w:styleId="xl48">
    <w:name w:val="xl48"/>
    <w:basedOn w:val="a"/>
    <w:semiHidden/>
    <w:rsid w:val="0096399A"/>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Cs w:val="22"/>
    </w:rPr>
  </w:style>
  <w:style w:type="paragraph" w:customStyle="1" w:styleId="xl49">
    <w:name w:val="xl49"/>
    <w:basedOn w:val="a"/>
    <w:semiHidden/>
    <w:rsid w:val="0096399A"/>
    <w:pPr>
      <w:spacing w:before="100" w:beforeAutospacing="1" w:after="100" w:afterAutospacing="1"/>
    </w:pPr>
    <w:rPr>
      <w:rFonts w:eastAsia="Arial Unicode MS"/>
    </w:rPr>
  </w:style>
  <w:style w:type="paragraph" w:customStyle="1" w:styleId="xl52">
    <w:name w:val="xl52"/>
    <w:basedOn w:val="a"/>
    <w:semiHidden/>
    <w:rsid w:val="0096399A"/>
    <w:pPr>
      <w:pBdr>
        <w:left w:val="single" w:sz="4" w:space="0" w:color="auto"/>
        <w:bottom w:val="single" w:sz="4" w:space="0" w:color="auto"/>
        <w:right w:val="double" w:sz="6" w:space="0" w:color="auto"/>
      </w:pBdr>
      <w:spacing w:before="100" w:beforeAutospacing="1" w:after="100" w:afterAutospacing="1"/>
    </w:pPr>
    <w:rPr>
      <w:rFonts w:eastAsia="Arial Unicode MS"/>
    </w:rPr>
  </w:style>
  <w:style w:type="paragraph" w:customStyle="1" w:styleId="xl62">
    <w:name w:val="xl62"/>
    <w:basedOn w:val="a"/>
    <w:semiHidden/>
    <w:rsid w:val="0096399A"/>
    <w:pPr>
      <w:pBdr>
        <w:bottom w:val="double" w:sz="6" w:space="0" w:color="auto"/>
      </w:pBdr>
      <w:spacing w:before="100" w:beforeAutospacing="1" w:after="100" w:afterAutospacing="1"/>
      <w:jc w:val="center"/>
      <w:textAlignment w:val="center"/>
    </w:pPr>
    <w:rPr>
      <w:rFonts w:eastAsia="Arial Unicode MS"/>
      <w:b/>
      <w:bCs/>
      <w:sz w:val="16"/>
      <w:szCs w:val="16"/>
    </w:rPr>
  </w:style>
  <w:style w:type="paragraph" w:customStyle="1" w:styleId="af7">
    <w:name w:val="Κείμενο"/>
    <w:basedOn w:val="a"/>
    <w:semiHidden/>
    <w:rsid w:val="0096399A"/>
    <w:rPr>
      <w:lang w:val="en-US"/>
    </w:rPr>
  </w:style>
  <w:style w:type="paragraph" w:customStyle="1" w:styleId="11">
    <w:name w:val="Κουκίδες 1"/>
    <w:basedOn w:val="a"/>
    <w:semiHidden/>
    <w:rsid w:val="0096399A"/>
  </w:style>
  <w:style w:type="paragraph" w:customStyle="1" w:styleId="af8">
    <w:name w:val="Πινακας Εσωτερικό"/>
    <w:basedOn w:val="a6"/>
    <w:semiHidden/>
    <w:rsid w:val="0096399A"/>
    <w:pPr>
      <w:ind w:firstLine="0"/>
    </w:pPr>
  </w:style>
  <w:style w:type="table" w:styleId="af9">
    <w:name w:val="Table Grid"/>
    <w:basedOn w:val="a1"/>
    <w:rsid w:val="0096399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Contemporary"/>
    <w:basedOn w:val="a1"/>
    <w:rsid w:val="0096399A"/>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b">
    <w:name w:val="Balloon Text"/>
    <w:basedOn w:val="a"/>
    <w:link w:val="Char6"/>
    <w:semiHidden/>
    <w:rsid w:val="0096399A"/>
    <w:rPr>
      <w:rFonts w:ascii="Tahoma" w:hAnsi="Tahoma" w:cs="Tahoma"/>
      <w:sz w:val="16"/>
      <w:szCs w:val="16"/>
    </w:rPr>
  </w:style>
  <w:style w:type="character" w:customStyle="1" w:styleId="Char6">
    <w:name w:val="Κείμενο πλαισίου Char"/>
    <w:basedOn w:val="a0"/>
    <w:link w:val="afb"/>
    <w:semiHidden/>
    <w:rsid w:val="0096399A"/>
    <w:rPr>
      <w:rFonts w:ascii="Tahoma" w:eastAsia="Times New Roman" w:hAnsi="Tahoma" w:cs="Tahoma"/>
      <w:sz w:val="16"/>
      <w:szCs w:val="16"/>
      <w:lang w:val="en-GB"/>
    </w:rPr>
  </w:style>
  <w:style w:type="character" w:customStyle="1" w:styleId="bog-bodytext1">
    <w:name w:val="bog-bodytext1"/>
    <w:rsid w:val="0096399A"/>
    <w:rPr>
      <w:rFonts w:ascii="Tahoma" w:hAnsi="Tahoma" w:cs="Tahoma"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3D effects 1" w:uiPriority="0"/>
    <w:lsdException w:name="Table Contemporary"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9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6399A"/>
    <w:pPr>
      <w:keepNext/>
      <w:spacing w:before="240" w:after="60"/>
      <w:ind w:firstLine="425"/>
      <w:outlineLvl w:val="0"/>
    </w:pPr>
    <w:rPr>
      <w:rFonts w:ascii="Arial" w:hAnsi="Arial" w:cs="Arial"/>
      <w:b/>
      <w:bCs/>
      <w:kern w:val="32"/>
      <w:sz w:val="32"/>
      <w:szCs w:val="32"/>
    </w:rPr>
  </w:style>
  <w:style w:type="paragraph" w:styleId="Heading2">
    <w:name w:val="heading 2"/>
    <w:basedOn w:val="Normal"/>
    <w:next w:val="Normal"/>
    <w:link w:val="Heading2Char"/>
    <w:qFormat/>
    <w:rsid w:val="0096399A"/>
    <w:pPr>
      <w:keepNext/>
      <w:spacing w:before="240" w:after="60"/>
      <w:ind w:firstLine="425"/>
      <w:outlineLvl w:val="1"/>
    </w:pPr>
    <w:rPr>
      <w:rFonts w:ascii="Arial" w:hAnsi="Arial" w:cs="Arial"/>
      <w:b/>
      <w:bCs/>
      <w:i/>
      <w:iCs/>
      <w:sz w:val="28"/>
      <w:szCs w:val="28"/>
    </w:rPr>
  </w:style>
  <w:style w:type="paragraph" w:styleId="Heading3">
    <w:name w:val="heading 3"/>
    <w:basedOn w:val="Normal"/>
    <w:next w:val="Normal"/>
    <w:link w:val="Heading3Char"/>
    <w:qFormat/>
    <w:rsid w:val="0096399A"/>
    <w:pPr>
      <w:keepNext/>
      <w:ind w:firstLine="425"/>
      <w:outlineLvl w:val="2"/>
    </w:pPr>
    <w:rPr>
      <w:b/>
      <w:bCs/>
      <w:sz w:val="18"/>
      <w:lang w:val="el-GR"/>
    </w:rPr>
  </w:style>
  <w:style w:type="paragraph" w:styleId="Heading4">
    <w:name w:val="heading 4"/>
    <w:basedOn w:val="Normal"/>
    <w:next w:val="Normal"/>
    <w:link w:val="Heading4Char"/>
    <w:qFormat/>
    <w:rsid w:val="0096399A"/>
    <w:pPr>
      <w:keepNext/>
      <w:ind w:firstLine="425"/>
      <w:jc w:val="center"/>
      <w:outlineLvl w:val="3"/>
    </w:pPr>
    <w:rPr>
      <w:rFonts w:cs="Arial"/>
      <w:b/>
      <w:bCs/>
      <w:sz w:val="18"/>
      <w:szCs w:val="18"/>
      <w:lang w:val="el-GR"/>
    </w:rPr>
  </w:style>
  <w:style w:type="paragraph" w:styleId="Heading5">
    <w:name w:val="heading 5"/>
    <w:basedOn w:val="Normal"/>
    <w:next w:val="Normal"/>
    <w:link w:val="Heading5Char"/>
    <w:qFormat/>
    <w:rsid w:val="0096399A"/>
    <w:pPr>
      <w:keepNext/>
      <w:outlineLvl w:val="4"/>
    </w:pPr>
    <w:rPr>
      <w:b/>
      <w:bCs/>
      <w:color w:val="000000"/>
      <w:szCs w:val="20"/>
      <w:lang w:val="el-GR"/>
    </w:rPr>
  </w:style>
  <w:style w:type="paragraph" w:styleId="Heading6">
    <w:name w:val="heading 6"/>
    <w:basedOn w:val="Normal"/>
    <w:next w:val="Normal"/>
    <w:link w:val="Heading6Char"/>
    <w:qFormat/>
    <w:rsid w:val="0096399A"/>
    <w:pPr>
      <w:keepNext/>
      <w:ind w:right="248"/>
      <w:outlineLvl w:val="5"/>
    </w:pPr>
    <w:rPr>
      <w:i/>
      <w:snapToGrid w:val="0"/>
      <w:color w:val="000000"/>
      <w:sz w:val="18"/>
      <w:lang w:val="el-GR"/>
    </w:rPr>
  </w:style>
  <w:style w:type="paragraph" w:styleId="Heading7">
    <w:name w:val="heading 7"/>
    <w:basedOn w:val="Normal"/>
    <w:next w:val="Normal"/>
    <w:link w:val="Heading7Char"/>
    <w:qFormat/>
    <w:rsid w:val="0096399A"/>
    <w:pPr>
      <w:keepNext/>
      <w:outlineLvl w:val="6"/>
    </w:pPr>
    <w:rPr>
      <w:b/>
      <w:bCs/>
      <w:szCs w:val="20"/>
      <w:lang w:val="el-GR"/>
    </w:rPr>
  </w:style>
  <w:style w:type="paragraph" w:styleId="Heading8">
    <w:name w:val="heading 8"/>
    <w:basedOn w:val="Normal"/>
    <w:next w:val="Normal"/>
    <w:link w:val="Heading8Char"/>
    <w:qFormat/>
    <w:rsid w:val="0096399A"/>
    <w:pPr>
      <w:keepNext/>
      <w:jc w:val="center"/>
      <w:outlineLvl w:val="7"/>
    </w:pPr>
    <w:rPr>
      <w:b/>
      <w:bCs/>
      <w:szCs w:val="20"/>
      <w:lang w:val="el-GR"/>
    </w:rPr>
  </w:style>
  <w:style w:type="paragraph" w:styleId="Heading9">
    <w:name w:val="heading 9"/>
    <w:basedOn w:val="Normal"/>
    <w:next w:val="Normal"/>
    <w:link w:val="Heading9Char"/>
    <w:qFormat/>
    <w:rsid w:val="0096399A"/>
    <w:pPr>
      <w:keepNext/>
      <w:outlineLvl w:val="8"/>
    </w:pPr>
    <w:rPr>
      <w:b/>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99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6399A"/>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6399A"/>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96399A"/>
    <w:rPr>
      <w:rFonts w:ascii="Times New Roman" w:eastAsia="Times New Roman" w:hAnsi="Times New Roman" w:cs="Arial"/>
      <w:b/>
      <w:bCs/>
      <w:sz w:val="18"/>
      <w:szCs w:val="18"/>
    </w:rPr>
  </w:style>
  <w:style w:type="character" w:customStyle="1" w:styleId="Heading5Char">
    <w:name w:val="Heading 5 Char"/>
    <w:basedOn w:val="DefaultParagraphFont"/>
    <w:link w:val="Heading5"/>
    <w:rsid w:val="0096399A"/>
    <w:rPr>
      <w:rFonts w:ascii="Times New Roman" w:eastAsia="Times New Roman" w:hAnsi="Times New Roman" w:cs="Times New Roman"/>
      <w:b/>
      <w:bCs/>
      <w:color w:val="000000"/>
      <w:sz w:val="24"/>
      <w:szCs w:val="20"/>
    </w:rPr>
  </w:style>
  <w:style w:type="character" w:customStyle="1" w:styleId="Heading6Char">
    <w:name w:val="Heading 6 Char"/>
    <w:basedOn w:val="DefaultParagraphFont"/>
    <w:link w:val="Heading6"/>
    <w:rsid w:val="0096399A"/>
    <w:rPr>
      <w:rFonts w:ascii="Times New Roman" w:eastAsia="Times New Roman" w:hAnsi="Times New Roman" w:cs="Times New Roman"/>
      <w:i/>
      <w:snapToGrid w:val="0"/>
      <w:color w:val="000000"/>
      <w:sz w:val="18"/>
      <w:szCs w:val="24"/>
    </w:rPr>
  </w:style>
  <w:style w:type="character" w:customStyle="1" w:styleId="Heading7Char">
    <w:name w:val="Heading 7 Char"/>
    <w:basedOn w:val="DefaultParagraphFont"/>
    <w:link w:val="Heading7"/>
    <w:rsid w:val="0096399A"/>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96399A"/>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96399A"/>
    <w:rPr>
      <w:rFonts w:ascii="Times New Roman" w:eastAsia="Times New Roman" w:hAnsi="Times New Roman" w:cs="Times New Roman"/>
      <w:b/>
      <w:szCs w:val="24"/>
    </w:rPr>
  </w:style>
  <w:style w:type="paragraph" w:customStyle="1" w:styleId="a">
    <w:name w:val="ΔΙΑΓΡΑΜΜΑΤΑ"/>
    <w:basedOn w:val="NormalWeb"/>
    <w:next w:val="NormalWeb"/>
    <w:rsid w:val="0096399A"/>
    <w:rPr>
      <w:rFonts w:eastAsia="Times New Roman" w:cs="Times New Roman"/>
      <w:color w:val="auto"/>
      <w:sz w:val="18"/>
    </w:rPr>
  </w:style>
  <w:style w:type="paragraph" w:styleId="NormalWeb">
    <w:name w:val="Normal (Web)"/>
    <w:basedOn w:val="Normal"/>
    <w:rsid w:val="0096399A"/>
    <w:pPr>
      <w:jc w:val="center"/>
    </w:pPr>
    <w:rPr>
      <w:rFonts w:eastAsia="Arial Unicode MS" w:cs="Arial Unicode MS"/>
      <w:b/>
      <w:color w:val="000000"/>
    </w:rPr>
  </w:style>
  <w:style w:type="paragraph" w:customStyle="1" w:styleId="a0">
    <w:name w:val="ΤΙΤΛΟΙ ΥΠΟΚΕΦΑΛΑΙΩΝ"/>
    <w:basedOn w:val="Normal"/>
    <w:rsid w:val="0096399A"/>
    <w:rPr>
      <w:b/>
      <w:lang w:val="el-GR"/>
    </w:rPr>
  </w:style>
  <w:style w:type="paragraph" w:customStyle="1" w:styleId="-">
    <w:name w:val="ΤΙΤΛΟΙ ΥΠΟ-ΥΠΟΚΕΦΑΛΑΙΩΝ"/>
    <w:basedOn w:val="a0"/>
    <w:rsid w:val="0096399A"/>
    <w:rPr>
      <w:sz w:val="20"/>
    </w:rPr>
  </w:style>
  <w:style w:type="paragraph" w:customStyle="1" w:styleId="a1">
    <w:name w:val="ΤΙΤΛΟΙ ΠΑΡΑΡΤΗΜΑΤΩΝ"/>
    <w:basedOn w:val="-"/>
    <w:rsid w:val="0096399A"/>
    <w:pPr>
      <w:jc w:val="center"/>
    </w:pPr>
    <w:rPr>
      <w:smallCaps/>
      <w:sz w:val="24"/>
    </w:rPr>
  </w:style>
  <w:style w:type="paragraph" w:customStyle="1" w:styleId="a2">
    <w:name w:val="ΚΕΙΜΕΝΟ"/>
    <w:basedOn w:val="a1"/>
    <w:rsid w:val="0096399A"/>
    <w:pPr>
      <w:ind w:firstLine="737"/>
      <w:jc w:val="both"/>
    </w:pPr>
    <w:rPr>
      <w:b w:val="0"/>
      <w:smallCaps w:val="0"/>
      <w:sz w:val="20"/>
    </w:rPr>
  </w:style>
  <w:style w:type="paragraph" w:customStyle="1" w:styleId="a3">
    <w:name w:val="ΠΙΝΑΚΕΣ"/>
    <w:basedOn w:val="Normal"/>
    <w:rsid w:val="0096399A"/>
    <w:pPr>
      <w:jc w:val="center"/>
    </w:pPr>
    <w:rPr>
      <w:b/>
      <w:sz w:val="18"/>
    </w:rPr>
  </w:style>
  <w:style w:type="paragraph" w:customStyle="1" w:styleId="a4">
    <w:name w:val="ΤΙΤΛΟΙ ΚΕΦΑΛΑΙΩΝ"/>
    <w:basedOn w:val="Heading1"/>
    <w:rsid w:val="0096399A"/>
    <w:pPr>
      <w:spacing w:before="0" w:after="0"/>
      <w:ind w:firstLine="0"/>
    </w:pPr>
    <w:rPr>
      <w:rFonts w:ascii="Verdana" w:hAnsi="Verdana" w:cs="Times New Roman"/>
      <w:bCs w:val="0"/>
      <w:smallCaps/>
      <w:kern w:val="0"/>
      <w:sz w:val="26"/>
      <w:szCs w:val="24"/>
      <w:lang w:val="el-GR"/>
    </w:rPr>
  </w:style>
  <w:style w:type="table" w:customStyle="1" w:styleId="Kladikes07">
    <w:name w:val="Kladikes 07"/>
    <w:basedOn w:val="TableNormal"/>
    <w:rsid w:val="0096399A"/>
    <w:pPr>
      <w:spacing w:after="0" w:line="240" w:lineRule="auto"/>
    </w:pPr>
    <w:rPr>
      <w:rFonts w:ascii="Verdana" w:eastAsia="Times New Roman" w:hAnsi="Verdana" w:cs="Times New Roman"/>
      <w:sz w:val="16"/>
      <w:szCs w:val="20"/>
      <w:lang w:eastAsia="el-GR"/>
    </w:rPr>
    <w:tblPr>
      <w:tblStyleRow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cPr>
      <w:shd w:val="clear" w:color="auto" w:fill="FFFFFF"/>
    </w:tcPr>
    <w:tblStylePr w:type="firstRow">
      <w:pPr>
        <w:jc w:val="right"/>
      </w:pPr>
      <w:rPr>
        <w:rFonts w:ascii="Cambria" w:hAnsi="Cambria"/>
        <w:b/>
        <w:sz w:val="16"/>
      </w:rPr>
      <w:tblPr/>
      <w:tcPr>
        <w:vAlign w:val="center"/>
      </w:tcPr>
    </w:tblStylePr>
    <w:tblStylePr w:type="firstCol">
      <w:pPr>
        <w:jc w:val="left"/>
      </w:pPr>
      <w:tblPr/>
      <w:tcPr>
        <w:vAlign w:val="center"/>
      </w:tcPr>
    </w:tblStylePr>
    <w:tblStylePr w:type="band1Horz">
      <w:pPr>
        <w:jc w:val="right"/>
      </w:pPr>
      <w:tblPr/>
      <w:tcPr>
        <w:shd w:val="clear" w:color="auto" w:fill="CCECFF"/>
        <w:vAlign w:val="center"/>
      </w:tcPr>
    </w:tblStylePr>
    <w:tblStylePr w:type="band2Horz">
      <w:pPr>
        <w:jc w:val="right"/>
      </w:pPr>
      <w:tblPr/>
      <w:tcPr>
        <w:vAlign w:val="center"/>
      </w:tcPr>
    </w:tblStylePr>
    <w:tblStylePr w:type="neCell">
      <w:pPr>
        <w:jc w:val="left"/>
      </w:pPr>
      <w:rPr>
        <w:b/>
      </w:rPr>
    </w:tblStylePr>
    <w:tblStylePr w:type="nwCell">
      <w:pPr>
        <w:jc w:val="left"/>
      </w:pPr>
      <w:rPr>
        <w:rFonts w:ascii="Cambria" w:hAnsi="Cambria"/>
        <w:b/>
        <w:sz w:val="16"/>
      </w:rPr>
    </w:tblStylePr>
  </w:style>
  <w:style w:type="table" w:customStyle="1" w:styleId="kladikes070">
    <w:name w:val="kladikes07"/>
    <w:basedOn w:val="TableNormal"/>
    <w:semiHidden/>
    <w:rsid w:val="0096399A"/>
    <w:pPr>
      <w:spacing w:after="0" w:line="240" w:lineRule="auto"/>
    </w:pPr>
    <w:rPr>
      <w:rFonts w:ascii="Verdana" w:eastAsia="Times New Roman" w:hAnsi="Verdana" w:cs="Times New Roman"/>
      <w:sz w:val="16"/>
      <w:szCs w:val="20"/>
      <w:lang w:eastAsia="el-GR"/>
    </w:rPr>
    <w:tblPr>
      <w:tblStyleRowBandSize w:val="1"/>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jc w:val="right"/>
      </w:pPr>
      <w:rPr>
        <w:b/>
      </w:rPr>
      <w:tblPr/>
      <w:tcPr>
        <w:vAlign w:val="center"/>
      </w:tcPr>
    </w:tblStylePr>
    <w:tblStylePr w:type="firstCol">
      <w:pPr>
        <w:jc w:val="left"/>
      </w:pPr>
      <w:tblPr/>
      <w:tcPr>
        <w:vAlign w:val="center"/>
      </w:tcPr>
    </w:tblStylePr>
    <w:tblStylePr w:type="lastCol">
      <w:pPr>
        <w:jc w:val="right"/>
      </w:pPr>
      <w:tblPr/>
      <w:tcPr>
        <w:vAlign w:val="center"/>
      </w:tcPr>
    </w:tblStylePr>
    <w:tblStylePr w:type="band1Horz">
      <w:tblPr/>
      <w:tcPr>
        <w:shd w:val="clear" w:color="auto" w:fill="CCECFF"/>
      </w:tcPr>
    </w:tblStylePr>
    <w:tblStylePr w:type="band2Horz">
      <w:tblPr/>
      <w:tcPr>
        <w:shd w:val="clear" w:color="auto" w:fill="FFFFFF"/>
      </w:tcPr>
    </w:tblStylePr>
  </w:style>
  <w:style w:type="table" w:styleId="TableTheme">
    <w:name w:val="Table Theme"/>
    <w:basedOn w:val="TableNormal"/>
    <w:semiHidden/>
    <w:rsid w:val="0096399A"/>
    <w:pPr>
      <w:spacing w:after="0" w:line="360" w:lineRule="auto"/>
      <w:ind w:firstLine="737"/>
      <w:jc w:val="both"/>
    </w:pPr>
    <w:rPr>
      <w:rFonts w:ascii="Verdana" w:eastAsia="Times New Roman" w:hAnsi="Verdana" w:cs="Times New Roman"/>
      <w:sz w:val="16"/>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semiHidden/>
    <w:rsid w:val="0096399A"/>
    <w:pPr>
      <w:spacing w:after="0" w:line="360" w:lineRule="auto"/>
      <w:ind w:firstLine="737"/>
      <w:jc w:val="both"/>
    </w:pPr>
    <w:rPr>
      <w:rFonts w:ascii="Verdana" w:eastAsia="Times New Roman" w:hAnsi="Verdana" w:cs="Times New Roman"/>
      <w:sz w:val="16"/>
      <w:szCs w:val="20"/>
      <w:lang w:eastAsia="el-G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OC1">
    <w:name w:val="toc 1"/>
    <w:basedOn w:val="Normal"/>
    <w:next w:val="Normal"/>
    <w:autoRedefine/>
    <w:semiHidden/>
    <w:rsid w:val="0096399A"/>
  </w:style>
  <w:style w:type="paragraph" w:styleId="TOC2">
    <w:name w:val="toc 2"/>
    <w:basedOn w:val="Normal"/>
    <w:next w:val="Normal"/>
    <w:autoRedefine/>
    <w:semiHidden/>
    <w:rsid w:val="0096399A"/>
    <w:pPr>
      <w:ind w:left="221"/>
    </w:pPr>
  </w:style>
  <w:style w:type="paragraph" w:styleId="TOC3">
    <w:name w:val="toc 3"/>
    <w:basedOn w:val="Normal"/>
    <w:next w:val="Normal"/>
    <w:autoRedefine/>
    <w:semiHidden/>
    <w:rsid w:val="0096399A"/>
    <w:pPr>
      <w:ind w:left="442"/>
    </w:pPr>
  </w:style>
  <w:style w:type="paragraph" w:styleId="FootnoteText">
    <w:name w:val="footnote text"/>
    <w:basedOn w:val="Normal"/>
    <w:link w:val="FootnoteTextChar"/>
    <w:semiHidden/>
    <w:rsid w:val="0096399A"/>
    <w:pPr>
      <w:ind w:firstLine="425"/>
    </w:pPr>
    <w:rPr>
      <w:sz w:val="22"/>
      <w:szCs w:val="20"/>
    </w:rPr>
  </w:style>
  <w:style w:type="character" w:customStyle="1" w:styleId="FootnoteTextChar">
    <w:name w:val="Footnote Text Char"/>
    <w:basedOn w:val="DefaultParagraphFont"/>
    <w:link w:val="FootnoteText"/>
    <w:semiHidden/>
    <w:rsid w:val="0096399A"/>
    <w:rPr>
      <w:rFonts w:ascii="Times New Roman" w:eastAsia="Times New Roman" w:hAnsi="Times New Roman" w:cs="Times New Roman"/>
      <w:szCs w:val="20"/>
      <w:lang w:val="en-GB"/>
    </w:rPr>
  </w:style>
  <w:style w:type="table" w:styleId="TableElegant">
    <w:name w:val="Table Elegant"/>
    <w:basedOn w:val="TableNormal"/>
    <w:semiHidden/>
    <w:rsid w:val="0096399A"/>
    <w:pPr>
      <w:spacing w:after="0" w:line="240" w:lineRule="auto"/>
    </w:pPr>
    <w:rPr>
      <w:rFonts w:ascii="Times New Roman" w:eastAsia="Times New Roman" w:hAnsi="Times New Roman" w:cs="Times New Roman"/>
      <w:sz w:val="20"/>
      <w:szCs w:val="20"/>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lockText">
    <w:name w:val="Block Text"/>
    <w:basedOn w:val="Normal"/>
    <w:semiHidden/>
    <w:rsid w:val="0096399A"/>
    <w:pPr>
      <w:ind w:left="113" w:right="113"/>
      <w:jc w:val="center"/>
    </w:pPr>
    <w:rPr>
      <w:b/>
      <w:bCs/>
      <w:szCs w:val="20"/>
      <w:lang w:val="el-GR"/>
    </w:rPr>
  </w:style>
  <w:style w:type="paragraph" w:styleId="BodyText">
    <w:name w:val="Body Text"/>
    <w:basedOn w:val="Normal"/>
    <w:link w:val="BodyTextChar"/>
    <w:semiHidden/>
    <w:rsid w:val="0096399A"/>
    <w:rPr>
      <w:rFonts w:ascii="Arial" w:hAnsi="Arial"/>
      <w:sz w:val="22"/>
      <w:szCs w:val="20"/>
      <w:lang w:val="el-GR"/>
    </w:rPr>
  </w:style>
  <w:style w:type="character" w:customStyle="1" w:styleId="BodyTextChar">
    <w:name w:val="Body Text Char"/>
    <w:basedOn w:val="DefaultParagraphFont"/>
    <w:link w:val="BodyText"/>
    <w:semiHidden/>
    <w:rsid w:val="0096399A"/>
    <w:rPr>
      <w:rFonts w:ascii="Arial" w:eastAsia="Times New Roman" w:hAnsi="Arial" w:cs="Times New Roman"/>
      <w:szCs w:val="20"/>
    </w:rPr>
  </w:style>
  <w:style w:type="paragraph" w:styleId="BodyText2">
    <w:name w:val="Body Text 2"/>
    <w:basedOn w:val="Normal"/>
    <w:link w:val="BodyText2Char"/>
    <w:semiHidden/>
    <w:rsid w:val="0096399A"/>
    <w:rPr>
      <w:rFonts w:ascii="Arial" w:hAnsi="Arial"/>
      <w:sz w:val="22"/>
      <w:szCs w:val="20"/>
      <w:lang w:val="el-GR"/>
    </w:rPr>
  </w:style>
  <w:style w:type="character" w:customStyle="1" w:styleId="BodyText2Char">
    <w:name w:val="Body Text 2 Char"/>
    <w:basedOn w:val="DefaultParagraphFont"/>
    <w:link w:val="BodyText2"/>
    <w:semiHidden/>
    <w:rsid w:val="0096399A"/>
    <w:rPr>
      <w:rFonts w:ascii="Arial" w:eastAsia="Times New Roman" w:hAnsi="Arial" w:cs="Times New Roman"/>
      <w:szCs w:val="20"/>
    </w:rPr>
  </w:style>
  <w:style w:type="paragraph" w:styleId="BodyText3">
    <w:name w:val="Body Text 3"/>
    <w:basedOn w:val="Normal"/>
    <w:link w:val="BodyText3Char"/>
    <w:semiHidden/>
    <w:rsid w:val="0096399A"/>
    <w:rPr>
      <w:szCs w:val="20"/>
      <w:lang w:val="el-GR"/>
    </w:rPr>
  </w:style>
  <w:style w:type="character" w:customStyle="1" w:styleId="BodyText3Char">
    <w:name w:val="Body Text 3 Char"/>
    <w:basedOn w:val="DefaultParagraphFont"/>
    <w:link w:val="BodyText3"/>
    <w:semiHidden/>
    <w:rsid w:val="0096399A"/>
    <w:rPr>
      <w:rFonts w:ascii="Times New Roman" w:eastAsia="Times New Roman" w:hAnsi="Times New Roman" w:cs="Times New Roman"/>
      <w:sz w:val="24"/>
      <w:szCs w:val="20"/>
    </w:rPr>
  </w:style>
  <w:style w:type="paragraph" w:styleId="BodyTextIndent">
    <w:name w:val="Body Text Indent"/>
    <w:basedOn w:val="Normal"/>
    <w:link w:val="BodyTextIndentChar"/>
    <w:rsid w:val="0096399A"/>
    <w:pPr>
      <w:ind w:firstLine="425"/>
    </w:pPr>
    <w:rPr>
      <w:sz w:val="22"/>
      <w:szCs w:val="20"/>
      <w:lang w:val="el-GR"/>
    </w:rPr>
  </w:style>
  <w:style w:type="character" w:customStyle="1" w:styleId="BodyTextIndentChar">
    <w:name w:val="Body Text Indent Char"/>
    <w:basedOn w:val="DefaultParagraphFont"/>
    <w:link w:val="BodyTextIndent"/>
    <w:rsid w:val="0096399A"/>
    <w:rPr>
      <w:rFonts w:ascii="Times New Roman" w:eastAsia="Times New Roman" w:hAnsi="Times New Roman" w:cs="Times New Roman"/>
      <w:szCs w:val="20"/>
    </w:rPr>
  </w:style>
  <w:style w:type="paragraph" w:styleId="BodyTextIndent2">
    <w:name w:val="Body Text Indent 2"/>
    <w:basedOn w:val="Normal"/>
    <w:link w:val="BodyTextIndent2Char"/>
    <w:semiHidden/>
    <w:rsid w:val="0096399A"/>
    <w:pPr>
      <w:ind w:left="158" w:hanging="158"/>
    </w:pPr>
    <w:rPr>
      <w:i/>
      <w:iCs/>
      <w:sz w:val="18"/>
      <w:szCs w:val="20"/>
      <w:lang w:val="el-GR"/>
    </w:rPr>
  </w:style>
  <w:style w:type="character" w:customStyle="1" w:styleId="BodyTextIndent2Char">
    <w:name w:val="Body Text Indent 2 Char"/>
    <w:basedOn w:val="DefaultParagraphFont"/>
    <w:link w:val="BodyTextIndent2"/>
    <w:semiHidden/>
    <w:rsid w:val="0096399A"/>
    <w:rPr>
      <w:rFonts w:ascii="Times New Roman" w:eastAsia="Times New Roman" w:hAnsi="Times New Roman" w:cs="Times New Roman"/>
      <w:i/>
      <w:iCs/>
      <w:sz w:val="18"/>
      <w:szCs w:val="20"/>
    </w:rPr>
  </w:style>
  <w:style w:type="paragraph" w:styleId="BodyTextIndent3">
    <w:name w:val="Body Text Indent 3"/>
    <w:basedOn w:val="Normal"/>
    <w:link w:val="BodyTextIndent3Char"/>
    <w:semiHidden/>
    <w:rsid w:val="0096399A"/>
    <w:pPr>
      <w:ind w:firstLine="720"/>
    </w:pPr>
    <w:rPr>
      <w:sz w:val="22"/>
      <w:szCs w:val="20"/>
      <w:lang w:val="el-GR"/>
    </w:rPr>
  </w:style>
  <w:style w:type="character" w:customStyle="1" w:styleId="BodyTextIndent3Char">
    <w:name w:val="Body Text Indent 3 Char"/>
    <w:basedOn w:val="DefaultParagraphFont"/>
    <w:link w:val="BodyTextIndent3"/>
    <w:semiHidden/>
    <w:rsid w:val="0096399A"/>
    <w:rPr>
      <w:rFonts w:ascii="Times New Roman" w:eastAsia="Times New Roman" w:hAnsi="Times New Roman" w:cs="Times New Roman"/>
      <w:szCs w:val="20"/>
    </w:rPr>
  </w:style>
  <w:style w:type="paragraph" w:styleId="Caption">
    <w:name w:val="caption"/>
    <w:basedOn w:val="Normal"/>
    <w:next w:val="Normal"/>
    <w:qFormat/>
    <w:rsid w:val="0096399A"/>
    <w:rPr>
      <w:b/>
      <w:bCs/>
      <w:lang w:val="el-GR"/>
    </w:rPr>
  </w:style>
  <w:style w:type="character" w:styleId="CommentReference">
    <w:name w:val="annotation reference"/>
    <w:semiHidden/>
    <w:rsid w:val="0096399A"/>
    <w:rPr>
      <w:sz w:val="16"/>
      <w:szCs w:val="16"/>
    </w:rPr>
  </w:style>
  <w:style w:type="paragraph" w:styleId="CommentText">
    <w:name w:val="annotation text"/>
    <w:basedOn w:val="Normal"/>
    <w:link w:val="CommentTextChar"/>
    <w:semiHidden/>
    <w:rsid w:val="0096399A"/>
    <w:pPr>
      <w:ind w:firstLine="425"/>
    </w:pPr>
    <w:rPr>
      <w:szCs w:val="20"/>
    </w:rPr>
  </w:style>
  <w:style w:type="character" w:customStyle="1" w:styleId="CommentTextChar">
    <w:name w:val="Comment Text Char"/>
    <w:basedOn w:val="DefaultParagraphFont"/>
    <w:link w:val="CommentText"/>
    <w:semiHidden/>
    <w:rsid w:val="0096399A"/>
    <w:rPr>
      <w:rFonts w:ascii="Times New Roman" w:eastAsia="Times New Roman" w:hAnsi="Times New Roman" w:cs="Times New Roman"/>
      <w:sz w:val="24"/>
      <w:szCs w:val="20"/>
      <w:lang w:val="en-GB"/>
    </w:rPr>
  </w:style>
  <w:style w:type="character" w:styleId="FollowedHyperlink">
    <w:name w:val="FollowedHyperlink"/>
    <w:semiHidden/>
    <w:rsid w:val="0096399A"/>
    <w:rPr>
      <w:color w:val="800080"/>
      <w:u w:val="single"/>
    </w:rPr>
  </w:style>
  <w:style w:type="paragraph" w:customStyle="1" w:styleId="font5">
    <w:name w:val="font5"/>
    <w:basedOn w:val="Normal"/>
    <w:semiHidden/>
    <w:rsid w:val="0096399A"/>
    <w:pPr>
      <w:spacing w:before="100" w:beforeAutospacing="1" w:after="100" w:afterAutospacing="1"/>
    </w:pPr>
    <w:rPr>
      <w:rFonts w:eastAsia="Arial Unicode MS"/>
      <w:sz w:val="22"/>
      <w:szCs w:val="22"/>
    </w:rPr>
  </w:style>
  <w:style w:type="paragraph" w:styleId="Footer">
    <w:name w:val="footer"/>
    <w:basedOn w:val="Normal"/>
    <w:link w:val="FooterChar"/>
    <w:uiPriority w:val="99"/>
    <w:rsid w:val="0096399A"/>
    <w:pPr>
      <w:tabs>
        <w:tab w:val="center" w:pos="4153"/>
        <w:tab w:val="right" w:pos="8306"/>
      </w:tabs>
      <w:ind w:firstLine="425"/>
    </w:pPr>
    <w:rPr>
      <w:sz w:val="22"/>
    </w:rPr>
  </w:style>
  <w:style w:type="character" w:customStyle="1" w:styleId="FooterChar">
    <w:name w:val="Footer Char"/>
    <w:basedOn w:val="DefaultParagraphFont"/>
    <w:link w:val="Footer"/>
    <w:uiPriority w:val="99"/>
    <w:rsid w:val="0096399A"/>
    <w:rPr>
      <w:rFonts w:ascii="Times New Roman" w:eastAsia="Times New Roman" w:hAnsi="Times New Roman" w:cs="Times New Roman"/>
      <w:szCs w:val="24"/>
      <w:lang w:val="en-GB"/>
    </w:rPr>
  </w:style>
  <w:style w:type="character" w:styleId="FootnoteReference">
    <w:name w:val="footnote reference"/>
    <w:rsid w:val="0096399A"/>
    <w:rPr>
      <w:vertAlign w:val="superscript"/>
    </w:rPr>
  </w:style>
  <w:style w:type="paragraph" w:styleId="Header">
    <w:name w:val="header"/>
    <w:basedOn w:val="Normal"/>
    <w:link w:val="HeaderChar"/>
    <w:semiHidden/>
    <w:rsid w:val="0096399A"/>
    <w:pPr>
      <w:tabs>
        <w:tab w:val="center" w:pos="4153"/>
        <w:tab w:val="right" w:pos="8306"/>
      </w:tabs>
      <w:ind w:firstLine="425"/>
    </w:pPr>
    <w:rPr>
      <w:i/>
      <w:iCs/>
      <w:sz w:val="22"/>
      <w:lang w:val="en-US"/>
    </w:rPr>
  </w:style>
  <w:style w:type="character" w:customStyle="1" w:styleId="HeaderChar">
    <w:name w:val="Header Char"/>
    <w:basedOn w:val="DefaultParagraphFont"/>
    <w:link w:val="Header"/>
    <w:semiHidden/>
    <w:rsid w:val="0096399A"/>
    <w:rPr>
      <w:rFonts w:ascii="Times New Roman" w:eastAsia="Times New Roman" w:hAnsi="Times New Roman" w:cs="Times New Roman"/>
      <w:i/>
      <w:iCs/>
      <w:szCs w:val="24"/>
      <w:lang w:val="en-US"/>
    </w:rPr>
  </w:style>
  <w:style w:type="character" w:styleId="Hyperlink">
    <w:name w:val="Hyperlink"/>
    <w:semiHidden/>
    <w:rsid w:val="0096399A"/>
    <w:rPr>
      <w:color w:val="0000FF"/>
      <w:u w:val="single"/>
    </w:rPr>
  </w:style>
  <w:style w:type="character" w:styleId="PageNumber">
    <w:name w:val="page number"/>
    <w:basedOn w:val="DefaultParagraphFont"/>
    <w:semiHidden/>
    <w:rsid w:val="0096399A"/>
  </w:style>
  <w:style w:type="paragraph" w:styleId="Title">
    <w:name w:val="Title"/>
    <w:basedOn w:val="Normal"/>
    <w:link w:val="TitleChar"/>
    <w:qFormat/>
    <w:rsid w:val="0096399A"/>
    <w:pPr>
      <w:jc w:val="center"/>
    </w:pPr>
    <w:rPr>
      <w:rFonts w:ascii="Arial" w:hAnsi="Arial"/>
      <w:b/>
      <w:szCs w:val="20"/>
      <w:lang w:val="el-GR"/>
    </w:rPr>
  </w:style>
  <w:style w:type="character" w:customStyle="1" w:styleId="TitleChar">
    <w:name w:val="Title Char"/>
    <w:basedOn w:val="DefaultParagraphFont"/>
    <w:link w:val="Title"/>
    <w:rsid w:val="0096399A"/>
    <w:rPr>
      <w:rFonts w:ascii="Arial" w:eastAsia="Times New Roman" w:hAnsi="Arial" w:cs="Times New Roman"/>
      <w:b/>
      <w:sz w:val="24"/>
      <w:szCs w:val="20"/>
    </w:rPr>
  </w:style>
  <w:style w:type="paragraph" w:styleId="TOC4">
    <w:name w:val="toc 4"/>
    <w:basedOn w:val="Normal"/>
    <w:next w:val="Normal"/>
    <w:autoRedefine/>
    <w:semiHidden/>
    <w:rsid w:val="0096399A"/>
    <w:pPr>
      <w:ind w:left="660"/>
    </w:pPr>
  </w:style>
  <w:style w:type="paragraph" w:styleId="TOC5">
    <w:name w:val="toc 5"/>
    <w:basedOn w:val="Normal"/>
    <w:next w:val="Normal"/>
    <w:autoRedefine/>
    <w:semiHidden/>
    <w:rsid w:val="0096399A"/>
    <w:pPr>
      <w:ind w:left="880"/>
    </w:pPr>
  </w:style>
  <w:style w:type="paragraph" w:styleId="TOC6">
    <w:name w:val="toc 6"/>
    <w:basedOn w:val="Normal"/>
    <w:next w:val="Normal"/>
    <w:autoRedefine/>
    <w:semiHidden/>
    <w:rsid w:val="0096399A"/>
    <w:pPr>
      <w:ind w:left="1100"/>
    </w:pPr>
  </w:style>
  <w:style w:type="paragraph" w:styleId="TOC7">
    <w:name w:val="toc 7"/>
    <w:basedOn w:val="Normal"/>
    <w:next w:val="Normal"/>
    <w:autoRedefine/>
    <w:semiHidden/>
    <w:rsid w:val="0096399A"/>
    <w:pPr>
      <w:ind w:left="1320"/>
    </w:pPr>
  </w:style>
  <w:style w:type="paragraph" w:styleId="TOC8">
    <w:name w:val="toc 8"/>
    <w:basedOn w:val="Normal"/>
    <w:next w:val="Normal"/>
    <w:autoRedefine/>
    <w:semiHidden/>
    <w:rsid w:val="0096399A"/>
    <w:pPr>
      <w:ind w:left="1540"/>
    </w:pPr>
  </w:style>
  <w:style w:type="paragraph" w:styleId="TOC9">
    <w:name w:val="toc 9"/>
    <w:basedOn w:val="Normal"/>
    <w:next w:val="Normal"/>
    <w:autoRedefine/>
    <w:semiHidden/>
    <w:rsid w:val="0096399A"/>
    <w:pPr>
      <w:ind w:left="1760"/>
    </w:pPr>
  </w:style>
  <w:style w:type="paragraph" w:customStyle="1" w:styleId="xl22">
    <w:name w:val="xl22"/>
    <w:basedOn w:val="Normal"/>
    <w:semiHidden/>
    <w:rsid w:val="0096399A"/>
    <w:pPr>
      <w:spacing w:before="100" w:beforeAutospacing="1" w:after="100" w:afterAutospacing="1"/>
    </w:pPr>
    <w:rPr>
      <w:rFonts w:eastAsia="Arial Unicode MS"/>
    </w:rPr>
  </w:style>
  <w:style w:type="paragraph" w:customStyle="1" w:styleId="xl23">
    <w:name w:val="xl23"/>
    <w:basedOn w:val="Normal"/>
    <w:semiHidden/>
    <w:rsid w:val="0096399A"/>
    <w:pPr>
      <w:spacing w:before="100" w:beforeAutospacing="1" w:after="100" w:afterAutospacing="1"/>
    </w:pPr>
    <w:rPr>
      <w:rFonts w:eastAsia="Arial Unicode MS"/>
      <w:b/>
      <w:bCs/>
    </w:rPr>
  </w:style>
  <w:style w:type="paragraph" w:customStyle="1" w:styleId="xl24">
    <w:name w:val="xl24"/>
    <w:basedOn w:val="Normal"/>
    <w:semiHidden/>
    <w:rsid w:val="0096399A"/>
    <w:pPr>
      <w:spacing w:before="100" w:beforeAutospacing="1" w:after="100" w:afterAutospacing="1"/>
    </w:pPr>
    <w:rPr>
      <w:rFonts w:eastAsia="Arial Unicode MS"/>
    </w:rPr>
  </w:style>
  <w:style w:type="paragraph" w:customStyle="1" w:styleId="xl25">
    <w:name w:val="xl25"/>
    <w:basedOn w:val="Normal"/>
    <w:semiHidden/>
    <w:rsid w:val="0096399A"/>
    <w:pPr>
      <w:spacing w:before="100" w:beforeAutospacing="1" w:after="100" w:afterAutospacing="1"/>
    </w:pPr>
    <w:rPr>
      <w:rFonts w:eastAsia="Arial Unicode MS"/>
      <w:b/>
      <w:bCs/>
    </w:rPr>
  </w:style>
  <w:style w:type="paragraph" w:customStyle="1" w:styleId="xl26">
    <w:name w:val="xl26"/>
    <w:basedOn w:val="Normal"/>
    <w:semiHidden/>
    <w:rsid w:val="0096399A"/>
    <w:pPr>
      <w:spacing w:before="100" w:beforeAutospacing="1" w:after="100" w:afterAutospacing="1"/>
      <w:jc w:val="center"/>
    </w:pPr>
    <w:rPr>
      <w:rFonts w:eastAsia="Arial Unicode MS"/>
      <w:b/>
      <w:bCs/>
      <w:i/>
      <w:iCs/>
    </w:rPr>
  </w:style>
  <w:style w:type="paragraph" w:customStyle="1" w:styleId="xl27">
    <w:name w:val="xl27"/>
    <w:basedOn w:val="Normal"/>
    <w:semiHidden/>
    <w:rsid w:val="0096399A"/>
    <w:pPr>
      <w:spacing w:before="100" w:beforeAutospacing="1" w:after="100" w:afterAutospacing="1"/>
      <w:jc w:val="center"/>
    </w:pPr>
    <w:rPr>
      <w:rFonts w:ascii="Times New (WT)" w:eastAsia="Arial Unicode MS" w:hAnsi="Times New (WT)" w:cs="Arial Unicode MS"/>
      <w:b/>
      <w:bCs/>
      <w:i/>
      <w:iCs/>
    </w:rPr>
  </w:style>
  <w:style w:type="paragraph" w:customStyle="1" w:styleId="xl28">
    <w:name w:val="xl28"/>
    <w:basedOn w:val="Normal"/>
    <w:semiHidden/>
    <w:rsid w:val="0096399A"/>
    <w:pPr>
      <w:spacing w:before="100" w:beforeAutospacing="1" w:after="100" w:afterAutospacing="1"/>
      <w:jc w:val="center"/>
    </w:pPr>
    <w:rPr>
      <w:rFonts w:eastAsia="Arial Unicode MS"/>
    </w:rPr>
  </w:style>
  <w:style w:type="paragraph" w:customStyle="1" w:styleId="xl29">
    <w:name w:val="xl29"/>
    <w:basedOn w:val="Normal"/>
    <w:semiHidden/>
    <w:rsid w:val="0096399A"/>
    <w:pPr>
      <w:spacing w:before="100" w:beforeAutospacing="1" w:after="100" w:afterAutospacing="1"/>
      <w:jc w:val="center"/>
    </w:pPr>
    <w:rPr>
      <w:rFonts w:ascii="Times New (WT)" w:eastAsia="Arial Unicode MS" w:hAnsi="Times New (WT)" w:cs="Arial Unicode MS"/>
      <w:b/>
      <w:bCs/>
      <w:i/>
      <w:iCs/>
    </w:rPr>
  </w:style>
  <w:style w:type="paragraph" w:customStyle="1" w:styleId="xl30">
    <w:name w:val="xl30"/>
    <w:basedOn w:val="Normal"/>
    <w:semiHidden/>
    <w:rsid w:val="0096399A"/>
    <w:pPr>
      <w:spacing w:before="100" w:beforeAutospacing="1" w:after="100" w:afterAutospacing="1"/>
      <w:jc w:val="center"/>
    </w:pPr>
    <w:rPr>
      <w:rFonts w:eastAsia="Arial Unicode MS"/>
    </w:rPr>
  </w:style>
  <w:style w:type="paragraph" w:customStyle="1" w:styleId="xl31">
    <w:name w:val="xl31"/>
    <w:basedOn w:val="Normal"/>
    <w:semiHidden/>
    <w:rsid w:val="0096399A"/>
    <w:pPr>
      <w:spacing w:before="100" w:beforeAutospacing="1" w:after="100" w:afterAutospacing="1"/>
    </w:pPr>
    <w:rPr>
      <w:rFonts w:eastAsia="Arial Unicode MS"/>
      <w:b/>
      <w:bCs/>
    </w:rPr>
  </w:style>
  <w:style w:type="paragraph" w:customStyle="1" w:styleId="xl32">
    <w:name w:val="xl32"/>
    <w:basedOn w:val="Normal"/>
    <w:semiHidden/>
    <w:rsid w:val="0096399A"/>
    <w:pPr>
      <w:spacing w:before="100" w:beforeAutospacing="1" w:after="100" w:afterAutospacing="1"/>
    </w:pPr>
    <w:rPr>
      <w:rFonts w:eastAsia="Arial Unicode MS"/>
      <w:b/>
      <w:bCs/>
    </w:rPr>
  </w:style>
  <w:style w:type="paragraph" w:customStyle="1" w:styleId="xl33">
    <w:name w:val="xl33"/>
    <w:basedOn w:val="Normal"/>
    <w:semiHidden/>
    <w:rsid w:val="0096399A"/>
    <w:pPr>
      <w:spacing w:before="100" w:beforeAutospacing="1" w:after="100" w:afterAutospacing="1"/>
    </w:pPr>
    <w:rPr>
      <w:rFonts w:eastAsia="Arial Unicode MS"/>
    </w:rPr>
  </w:style>
  <w:style w:type="paragraph" w:customStyle="1" w:styleId="xl34">
    <w:name w:val="xl34"/>
    <w:basedOn w:val="Normal"/>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5">
    <w:name w:val="xl35"/>
    <w:basedOn w:val="Normal"/>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6">
    <w:name w:val="xl36"/>
    <w:basedOn w:val="Normal"/>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7">
    <w:name w:val="xl37"/>
    <w:basedOn w:val="Normal"/>
    <w:semiHidden/>
    <w:rsid w:val="009639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8">
    <w:name w:val="xl38"/>
    <w:basedOn w:val="Normal"/>
    <w:semiHidden/>
    <w:rsid w:val="0096399A"/>
    <w:pPr>
      <w:pBdr>
        <w:top w:val="single" w:sz="4" w:space="0" w:color="auto"/>
        <w:left w:val="single" w:sz="4" w:space="0" w:color="auto"/>
        <w:bottom w:val="single" w:sz="4" w:space="0" w:color="auto"/>
      </w:pBdr>
      <w:spacing w:before="100" w:beforeAutospacing="1" w:after="100" w:afterAutospacing="1"/>
      <w:textAlignment w:val="top"/>
    </w:pPr>
    <w:rPr>
      <w:rFonts w:eastAsia="Arial Unicode MS"/>
      <w:i/>
      <w:iCs/>
      <w:sz w:val="18"/>
      <w:szCs w:val="18"/>
    </w:rPr>
  </w:style>
  <w:style w:type="paragraph" w:customStyle="1" w:styleId="xl39">
    <w:name w:val="xl39"/>
    <w:basedOn w:val="Normal"/>
    <w:semiHidden/>
    <w:rsid w:val="0096399A"/>
    <w:pPr>
      <w:pBdr>
        <w:top w:val="single" w:sz="4" w:space="0" w:color="auto"/>
        <w:bottom w:val="single" w:sz="4" w:space="0" w:color="auto"/>
      </w:pBdr>
      <w:spacing w:before="100" w:beforeAutospacing="1" w:after="100" w:afterAutospacing="1"/>
      <w:textAlignment w:val="top"/>
    </w:pPr>
    <w:rPr>
      <w:rFonts w:eastAsia="Arial Unicode MS"/>
      <w:i/>
      <w:iCs/>
      <w:sz w:val="18"/>
      <w:szCs w:val="18"/>
    </w:rPr>
  </w:style>
  <w:style w:type="paragraph" w:customStyle="1" w:styleId="xl40">
    <w:name w:val="xl40"/>
    <w:basedOn w:val="Normal"/>
    <w:semiHidden/>
    <w:rsid w:val="0096399A"/>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1">
    <w:name w:val="xl41"/>
    <w:basedOn w:val="Normal"/>
    <w:semiHidden/>
    <w:rsid w:val="0096399A"/>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2">
    <w:name w:val="xl42"/>
    <w:basedOn w:val="Normal"/>
    <w:semiHidden/>
    <w:rsid w:val="0096399A"/>
    <w:pPr>
      <w:pBdr>
        <w:top w:val="single" w:sz="4" w:space="0" w:color="auto"/>
        <w:left w:val="single" w:sz="4" w:space="0" w:color="auto"/>
        <w:bottom w:val="single" w:sz="4" w:space="0" w:color="auto"/>
      </w:pBdr>
      <w:spacing w:before="100" w:beforeAutospacing="1" w:after="100" w:afterAutospacing="1"/>
      <w:jc w:val="right"/>
      <w:textAlignment w:val="top"/>
    </w:pPr>
    <w:rPr>
      <w:rFonts w:eastAsia="Arial Unicode MS"/>
      <w:i/>
      <w:iCs/>
      <w:sz w:val="18"/>
      <w:szCs w:val="18"/>
    </w:rPr>
  </w:style>
  <w:style w:type="paragraph" w:customStyle="1" w:styleId="xl43">
    <w:name w:val="xl43"/>
    <w:basedOn w:val="Normal"/>
    <w:semiHidden/>
    <w:rsid w:val="0096399A"/>
    <w:pPr>
      <w:pBdr>
        <w:top w:val="single" w:sz="4" w:space="0" w:color="auto"/>
        <w:bottom w:val="single" w:sz="4" w:space="0" w:color="auto"/>
      </w:pBdr>
      <w:spacing w:before="100" w:beforeAutospacing="1" w:after="100" w:afterAutospacing="1"/>
      <w:jc w:val="right"/>
      <w:textAlignment w:val="top"/>
    </w:pPr>
    <w:rPr>
      <w:rFonts w:eastAsia="Arial Unicode MS"/>
      <w:i/>
      <w:iCs/>
      <w:sz w:val="18"/>
      <w:szCs w:val="18"/>
    </w:rPr>
  </w:style>
  <w:style w:type="paragraph" w:customStyle="1" w:styleId="xl44">
    <w:name w:val="xl44"/>
    <w:basedOn w:val="Normal"/>
    <w:semiHidden/>
    <w:rsid w:val="0096399A"/>
    <w:pPr>
      <w:pBdr>
        <w:top w:val="single" w:sz="4"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semiHidden/>
    <w:rsid w:val="0096399A"/>
    <w:pPr>
      <w:pBdr>
        <w:top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6">
    <w:name w:val="xl46"/>
    <w:basedOn w:val="Normal"/>
    <w:semiHidden/>
    <w:rsid w:val="0096399A"/>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Cs w:val="22"/>
    </w:rPr>
  </w:style>
  <w:style w:type="paragraph" w:customStyle="1" w:styleId="xl47">
    <w:name w:val="xl47"/>
    <w:basedOn w:val="Normal"/>
    <w:semiHidden/>
    <w:rsid w:val="0096399A"/>
    <w:pPr>
      <w:pBdr>
        <w:top w:val="single" w:sz="4" w:space="0" w:color="auto"/>
        <w:bottom w:val="single" w:sz="4" w:space="0" w:color="auto"/>
      </w:pBdr>
      <w:spacing w:before="100" w:beforeAutospacing="1" w:after="100" w:afterAutospacing="1"/>
      <w:jc w:val="center"/>
    </w:pPr>
    <w:rPr>
      <w:rFonts w:eastAsia="Arial Unicode MS"/>
      <w:b/>
      <w:bCs/>
      <w:szCs w:val="22"/>
    </w:rPr>
  </w:style>
  <w:style w:type="paragraph" w:customStyle="1" w:styleId="xl48">
    <w:name w:val="xl48"/>
    <w:basedOn w:val="Normal"/>
    <w:semiHidden/>
    <w:rsid w:val="0096399A"/>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Cs w:val="22"/>
    </w:rPr>
  </w:style>
  <w:style w:type="paragraph" w:customStyle="1" w:styleId="xl49">
    <w:name w:val="xl49"/>
    <w:basedOn w:val="Normal"/>
    <w:semiHidden/>
    <w:rsid w:val="0096399A"/>
    <w:pPr>
      <w:spacing w:before="100" w:beforeAutospacing="1" w:after="100" w:afterAutospacing="1"/>
    </w:pPr>
    <w:rPr>
      <w:rFonts w:eastAsia="Arial Unicode MS"/>
    </w:rPr>
  </w:style>
  <w:style w:type="paragraph" w:customStyle="1" w:styleId="xl52">
    <w:name w:val="xl52"/>
    <w:basedOn w:val="Normal"/>
    <w:semiHidden/>
    <w:rsid w:val="0096399A"/>
    <w:pPr>
      <w:pBdr>
        <w:left w:val="single" w:sz="4" w:space="0" w:color="auto"/>
        <w:bottom w:val="single" w:sz="4" w:space="0" w:color="auto"/>
        <w:right w:val="double" w:sz="6" w:space="0" w:color="auto"/>
      </w:pBdr>
      <w:spacing w:before="100" w:beforeAutospacing="1" w:after="100" w:afterAutospacing="1"/>
    </w:pPr>
    <w:rPr>
      <w:rFonts w:eastAsia="Arial Unicode MS"/>
    </w:rPr>
  </w:style>
  <w:style w:type="paragraph" w:customStyle="1" w:styleId="xl62">
    <w:name w:val="xl62"/>
    <w:basedOn w:val="Normal"/>
    <w:semiHidden/>
    <w:rsid w:val="0096399A"/>
    <w:pPr>
      <w:pBdr>
        <w:bottom w:val="double" w:sz="6" w:space="0" w:color="auto"/>
      </w:pBdr>
      <w:spacing w:before="100" w:beforeAutospacing="1" w:after="100" w:afterAutospacing="1"/>
      <w:jc w:val="center"/>
      <w:textAlignment w:val="center"/>
    </w:pPr>
    <w:rPr>
      <w:rFonts w:eastAsia="Arial Unicode MS"/>
      <w:b/>
      <w:bCs/>
      <w:sz w:val="16"/>
      <w:szCs w:val="16"/>
    </w:rPr>
  </w:style>
  <w:style w:type="paragraph" w:customStyle="1" w:styleId="a5">
    <w:name w:val="Κείμενο"/>
    <w:basedOn w:val="Normal"/>
    <w:semiHidden/>
    <w:rsid w:val="0096399A"/>
    <w:rPr>
      <w:lang w:val="en-US"/>
    </w:rPr>
  </w:style>
  <w:style w:type="paragraph" w:customStyle="1" w:styleId="1">
    <w:name w:val="Κουκίδες 1"/>
    <w:basedOn w:val="Normal"/>
    <w:semiHidden/>
    <w:rsid w:val="0096399A"/>
  </w:style>
  <w:style w:type="paragraph" w:customStyle="1" w:styleId="a6">
    <w:name w:val="Πινακας Εσωτερικό"/>
    <w:basedOn w:val="a2"/>
    <w:semiHidden/>
    <w:rsid w:val="0096399A"/>
    <w:pPr>
      <w:ind w:firstLine="0"/>
    </w:pPr>
  </w:style>
  <w:style w:type="table" w:styleId="TableGrid">
    <w:name w:val="Table Grid"/>
    <w:basedOn w:val="TableNormal"/>
    <w:rsid w:val="0096399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96399A"/>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semiHidden/>
    <w:rsid w:val="0096399A"/>
    <w:rPr>
      <w:rFonts w:ascii="Tahoma" w:hAnsi="Tahoma" w:cs="Tahoma"/>
      <w:sz w:val="16"/>
      <w:szCs w:val="16"/>
    </w:rPr>
  </w:style>
  <w:style w:type="character" w:customStyle="1" w:styleId="BalloonTextChar">
    <w:name w:val="Balloon Text Char"/>
    <w:basedOn w:val="DefaultParagraphFont"/>
    <w:link w:val="BalloonText"/>
    <w:semiHidden/>
    <w:rsid w:val="0096399A"/>
    <w:rPr>
      <w:rFonts w:ascii="Tahoma" w:eastAsia="Times New Roman" w:hAnsi="Tahoma" w:cs="Tahoma"/>
      <w:sz w:val="16"/>
      <w:szCs w:val="16"/>
      <w:lang w:val="en-GB"/>
    </w:rPr>
  </w:style>
  <w:style w:type="character" w:customStyle="1" w:styleId="bog-bodytext1">
    <w:name w:val="bog-bodytext1"/>
    <w:rsid w:val="0096399A"/>
    <w:rPr>
      <w:rFonts w:ascii="Tahoma" w:hAnsi="Tahoma" w:cs="Tahoma"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p.gr/Documents/e-book_BLiG2014/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ICAP GROUP</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User</cp:lastModifiedBy>
  <cp:revision>2</cp:revision>
  <dcterms:created xsi:type="dcterms:W3CDTF">2015-08-21T08:57:00Z</dcterms:created>
  <dcterms:modified xsi:type="dcterms:W3CDTF">2015-08-21T08:57:00Z</dcterms:modified>
</cp:coreProperties>
</file>