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emf" ContentType="image/x-emf"/>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2E1" w:rsidRPr="00CD2E41" w:rsidRDefault="009D3FB1" w:rsidP="00F44F98">
      <w:pPr>
        <w:ind w:right="-143"/>
        <w:rPr>
          <w:rFonts w:cs="Calibri"/>
          <w:color w:val="FF0000"/>
          <w:lang w:val="en-US"/>
        </w:rPr>
      </w:pPr>
      <w:r w:rsidRPr="009D3FB1">
        <w:rPr>
          <w:rFonts w:eastAsia="Times New Roman" w:cs="Calibri"/>
          <w:noProof/>
          <w:color w:val="FF0000"/>
          <w:sz w:val="24"/>
          <w:szCs w:val="24"/>
          <w:lang w:eastAsia="el-GR"/>
        </w:rPr>
        <w:pict>
          <v:rect id="Rectangle 30" o:spid="_x0000_s1026" style="position:absolute;margin-left:82.75pt;margin-top:-23.8pt;width:478.15pt;height:65.65pt;z-index:25173094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" filled="f" stroked="f">
            <v:path arrowok="t"/>
            <o:lock v:ext="edit" aspectratio="t"/>
            <v:textbox>
              <w:txbxContent>
                <w:p w:rsidR="002F1E93" w:rsidRDefault="002F1E93" w:rsidP="00793848">
                  <w:pPr>
                    <w:shd w:val="clear" w:color="auto" w:fill="FFFFFF" w:themeFill="background1"/>
                    <w:tabs>
                      <w:tab w:val="left" w:pos="9214"/>
                    </w:tabs>
                    <w:spacing w:after="40" w:line="300" w:lineRule="exact"/>
                    <w:ind w:left="-142" w:right="284"/>
                    <w:jc w:val="right"/>
                    <w:rPr>
                      <w:rFonts w:eastAsia="Times New Roman" w:cs="Calibri"/>
                      <w:b/>
                      <w:i/>
                      <w:color w:val="6691AB"/>
                      <w:sz w:val="27"/>
                      <w:szCs w:val="27"/>
                    </w:rPr>
                  </w:pPr>
                  <w:r>
                    <w:rPr>
                      <w:rFonts w:eastAsia="Times New Roman" w:cs="Calibri"/>
                      <w:b/>
                      <w:i/>
                      <w:color w:val="6691AB"/>
                      <w:sz w:val="27"/>
                      <w:szCs w:val="27"/>
                    </w:rPr>
                    <w:t>Κέρδη Προ Φόρων €125 εκατ. το</w:t>
                  </w:r>
                  <w:r w:rsidRPr="00C90021">
                    <w:rPr>
                      <w:rFonts w:eastAsia="Times New Roman" w:cs="Calibri"/>
                      <w:b/>
                      <w:i/>
                      <w:color w:val="6691AB"/>
                      <w:sz w:val="27"/>
                      <w:szCs w:val="27"/>
                    </w:rPr>
                    <w:t>2</w:t>
                  </w:r>
                  <w:r>
                    <w:rPr>
                      <w:rFonts w:eastAsia="Times New Roman" w:cs="Calibri"/>
                      <w:b/>
                      <w:i/>
                      <w:color w:val="6691AB"/>
                      <w:sz w:val="27"/>
                      <w:szCs w:val="27"/>
                      <w:lang w:val="en-US"/>
                    </w:rPr>
                    <w:t>o</w:t>
                  </w:r>
                  <w:r>
                    <w:rPr>
                      <w:rFonts w:eastAsia="Times New Roman" w:cs="Calibri"/>
                      <w:b/>
                      <w:i/>
                      <w:color w:val="6691AB"/>
                      <w:sz w:val="27"/>
                      <w:szCs w:val="27"/>
                    </w:rPr>
                    <w:t>Τρίμηνο 2020</w:t>
                  </w:r>
                </w:p>
                <w:p w:rsidR="002F1E93" w:rsidRPr="00A154A6" w:rsidRDefault="002F1E93" w:rsidP="00793848">
                  <w:pPr>
                    <w:shd w:val="clear" w:color="auto" w:fill="FFFFFF" w:themeFill="background1"/>
                    <w:tabs>
                      <w:tab w:val="left" w:pos="9214"/>
                    </w:tabs>
                    <w:spacing w:after="40" w:line="300" w:lineRule="exact"/>
                    <w:ind w:left="-142" w:right="284"/>
                    <w:jc w:val="right"/>
                    <w:rPr>
                      <w:rFonts w:eastAsia="Times New Roman" w:cs="Calibri"/>
                      <w:b/>
                      <w:i/>
                      <w:color w:val="6691AB"/>
                      <w:sz w:val="27"/>
                      <w:szCs w:val="27"/>
                    </w:rPr>
                  </w:pPr>
                  <w:r w:rsidRPr="00A154A6">
                    <w:rPr>
                      <w:rFonts w:eastAsia="Times New Roman" w:cs="Calibri"/>
                      <w:b/>
                      <w:i/>
                      <w:color w:val="6691AB"/>
                      <w:sz w:val="27"/>
                      <w:szCs w:val="27"/>
                    </w:rPr>
                    <w:t>κ</w:t>
                  </w:r>
                  <w:r>
                    <w:rPr>
                      <w:rFonts w:eastAsia="Times New Roman" w:cs="Calibri"/>
                      <w:b/>
                      <w:i/>
                      <w:color w:val="6691AB"/>
                      <w:sz w:val="27"/>
                      <w:szCs w:val="27"/>
                    </w:rPr>
                    <w:t>αι Συνεχής Πρόοδος στα Θεμελιώδη</w:t>
                  </w:r>
                </w:p>
                <w:p w:rsidR="002F1E93" w:rsidRPr="00A154A6" w:rsidRDefault="002F1E93" w:rsidP="00F63A60">
                  <w:pPr>
                    <w:shd w:val="clear" w:color="auto" w:fill="FFFFFF" w:themeFill="background1"/>
                    <w:tabs>
                      <w:tab w:val="left" w:pos="9214"/>
                    </w:tabs>
                    <w:spacing w:after="40" w:line="300" w:lineRule="exact"/>
                    <w:ind w:left="-142" w:right="284"/>
                    <w:jc w:val="right"/>
                    <w:rPr>
                      <w:rFonts w:eastAsia="Times New Roman" w:cs="Calibri"/>
                      <w:b/>
                      <w:i/>
                      <w:color w:val="003C96" w:themeColor="text2"/>
                      <w:sz w:val="27"/>
                      <w:szCs w:val="27"/>
                    </w:rPr>
                  </w:pPr>
                </w:p>
                <w:p w:rsidR="002F1E93" w:rsidRPr="00A154A6" w:rsidRDefault="002F1E93" w:rsidP="00315F9D">
                  <w:pPr>
                    <w:shd w:val="clear" w:color="auto" w:fill="FFFFFF" w:themeFill="background1"/>
                    <w:tabs>
                      <w:tab w:val="left" w:pos="9214"/>
                    </w:tabs>
                    <w:spacing w:after="40" w:line="300" w:lineRule="exact"/>
                    <w:ind w:left="-142" w:right="284"/>
                    <w:jc w:val="right"/>
                    <w:rPr>
                      <w:rFonts w:eastAsia="Times New Roman" w:cs="Calibri"/>
                      <w:b/>
                      <w:i/>
                      <w:color w:val="003C96" w:themeColor="text2"/>
                      <w:sz w:val="27"/>
                      <w:szCs w:val="27"/>
                    </w:rPr>
                  </w:pPr>
                </w:p>
              </w:txbxContent>
            </v:textbox>
            <w10:wrap anchorx="page"/>
          </v:rect>
        </w:pict>
      </w:r>
      <w:r w:rsidRPr="009D3FB1">
        <w:rPr>
          <w:rFonts w:eastAsia="Times New Roman" w:cs="Calibri"/>
          <w:b/>
          <w:noProof/>
          <w:color w:val="FF0000"/>
          <w:sz w:val="28"/>
          <w:szCs w:val="28"/>
          <w:lang w:eastAsia="el-GR"/>
        </w:rPr>
        <w:pict>
          <v:rect id="Rectangle 37" o:spid="_x0000_s1027" style="position:absolute;margin-left:.6pt;margin-top:37.9pt;width:552.4pt;height:592pt;z-index:-2515394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" fillcolor="#e6e6e1" stroked="f">
            <o:lock v:ext="edit" aspectratio="t"/>
            <v:textbox>
              <w:txbxContent>
                <w:p w:rsidR="002F1E93" w:rsidRDefault="002F1E93" w:rsidP="00CF7901">
                  <w:pPr>
                    <w:jc w:val="center"/>
                    <w:rPr>
                      <w:lang w:val="en-US"/>
                    </w:rPr>
                  </w:pPr>
                </w:p>
                <w:p w:rsidR="002F1E93" w:rsidRPr="00DC3F41" w:rsidRDefault="002F1E93" w:rsidP="002E13A5">
                  <w:pPr>
                    <w:pStyle w:val="a6"/>
                    <w:spacing w:line="300" w:lineRule="exact"/>
                    <w:ind w:left="578"/>
                    <w:contextualSpacing w:val="0"/>
                  </w:pPr>
                </w:p>
                <w:p w:rsidR="002F1E93" w:rsidRDefault="002F1E93" w:rsidP="00FA0F02">
                  <w:pPr>
                    <w:pStyle w:val="05PLAINTEXT"/>
                  </w:pPr>
                </w:p>
              </w:txbxContent>
            </v:textbox>
            <w10:wrap anchorx="page"/>
          </v:rect>
        </w:pict>
      </w:r>
      <w:r w:rsidRPr="009D3FB1">
        <w:rPr>
          <w:rFonts w:eastAsia="Times New Roman" w:cs="Calibri"/>
          <w:noProof/>
          <w:color w:val="FF0000"/>
          <w:sz w:val="24"/>
          <w:szCs w:val="24"/>
          <w:lang w:eastAsia="el-GR"/>
        </w:rPr>
        <w:pict>
          <v:roundrect id="Rounded Rectangle 1" o:spid="_x0000_s1035" style="position:absolute;margin-left:106.9pt;margin-top:-99.95pt;width:300.15pt;height:40.7pt;z-index:25175961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" filled="f" stroked="f" strokeweight="2pt"/>
        </w:pict>
      </w:r>
    </w:p>
    <w:p w:rsidR="002F30A0" w:rsidRPr="00CD2E41" w:rsidRDefault="002F30A0" w:rsidP="002F30A0">
      <w:pPr>
        <w:spacing w:line="300" w:lineRule="exact"/>
        <w:rPr>
          <w:rFonts w:cs="Calibri"/>
          <w:b/>
          <w:color w:val="FF0000"/>
          <w:sz w:val="21"/>
          <w:szCs w:val="21"/>
          <w:lang w:val="en-US"/>
        </w:rPr>
      </w:pPr>
    </w:p>
    <w:p w:rsidR="00804B14" w:rsidRDefault="00A744EC" w:rsidP="00767952">
      <w:pPr>
        <w:spacing w:after="0" w:line="260" w:lineRule="exact"/>
        <w:ind w:left="-426"/>
        <w:rPr>
          <w:rFonts w:eastAsia="Times New Roman" w:cs="Calibri"/>
          <w:b/>
          <w:color w:val="6691AB"/>
          <w:spacing w:val="-4"/>
        </w:rPr>
      </w:pPr>
      <w:r>
        <w:rPr>
          <w:rFonts w:eastAsia="Times New Roman" w:cs="Calibri"/>
          <w:b/>
          <w:color w:val="6691AB"/>
          <w:spacing w:val="-4"/>
        </w:rPr>
        <w:t xml:space="preserve">Άμεση Ανταπόκριση για τη Στήριξη Πελατών και Εργαζομένων έναντι </w:t>
      </w:r>
      <w:r w:rsidR="00CA54C2">
        <w:rPr>
          <w:rFonts w:eastAsia="Times New Roman" w:cs="Calibri"/>
          <w:b/>
          <w:color w:val="6691AB"/>
          <w:spacing w:val="-4"/>
        </w:rPr>
        <w:t>των Επιπτώσεω</w:t>
      </w:r>
      <w:r w:rsidR="00804B14" w:rsidRPr="00372B41">
        <w:rPr>
          <w:rFonts w:eastAsia="Times New Roman" w:cs="Calibri"/>
          <w:b/>
          <w:color w:val="6691AB"/>
          <w:spacing w:val="-4"/>
        </w:rPr>
        <w:t xml:space="preserve">ν του </w:t>
      </w:r>
      <w:r>
        <w:rPr>
          <w:rFonts w:eastAsia="Times New Roman" w:cs="Calibri"/>
          <w:b/>
          <w:color w:val="6691AB"/>
          <w:spacing w:val="-4"/>
          <w:lang w:val="en-US"/>
        </w:rPr>
        <w:t>Covid</w:t>
      </w:r>
      <w:r w:rsidR="00804B14" w:rsidRPr="00372B41">
        <w:rPr>
          <w:rFonts w:eastAsia="Times New Roman" w:cs="Calibri"/>
          <w:b/>
          <w:color w:val="6691AB"/>
          <w:spacing w:val="-4"/>
        </w:rPr>
        <w:t>-19</w:t>
      </w:r>
    </w:p>
    <w:p w:rsidR="00A744EC" w:rsidRDefault="00A744EC" w:rsidP="00767952">
      <w:pPr>
        <w:spacing w:after="0" w:line="260" w:lineRule="exact"/>
        <w:ind w:left="-426"/>
        <w:rPr>
          <w:rFonts w:eastAsia="Times New Roman" w:cs="Calibri"/>
          <w:b/>
          <w:color w:val="6691AB"/>
          <w:spacing w:val="-4"/>
        </w:rPr>
      </w:pPr>
    </w:p>
    <w:p w:rsidR="00EC560B" w:rsidRDefault="0019195B" w:rsidP="00FA0F02">
      <w:pPr>
        <w:pStyle w:val="a6"/>
        <w:numPr>
          <w:ilvl w:val="0"/>
          <w:numId w:val="15"/>
        </w:numPr>
        <w:spacing w:before="60" w:line="260" w:lineRule="exact"/>
        <w:ind w:left="-142" w:right="567" w:hanging="284"/>
        <w:contextualSpacing w:val="0"/>
        <w:jc w:val="both"/>
        <w:rPr>
          <w:rFonts w:cs="Calibri"/>
          <w:sz w:val="18"/>
          <w:szCs w:val="18"/>
          <w:lang w:val="el-GR"/>
        </w:rPr>
      </w:pPr>
      <w:r>
        <w:rPr>
          <w:rFonts w:cs="Calibri"/>
          <w:sz w:val="18"/>
          <w:szCs w:val="18"/>
          <w:lang w:val="el-GR"/>
        </w:rPr>
        <w:t>Χορήγηση ν</w:t>
      </w:r>
      <w:r w:rsidR="00EC560B">
        <w:rPr>
          <w:rFonts w:cs="Calibri"/>
          <w:sz w:val="18"/>
          <w:szCs w:val="18"/>
          <w:lang w:val="el-GR"/>
        </w:rPr>
        <w:t>έ</w:t>
      </w:r>
      <w:r>
        <w:rPr>
          <w:rFonts w:cs="Calibri"/>
          <w:sz w:val="18"/>
          <w:szCs w:val="18"/>
          <w:lang w:val="el-GR"/>
        </w:rPr>
        <w:t xml:space="preserve">ωνδανείων </w:t>
      </w:r>
      <w:r w:rsidR="00EC560B">
        <w:rPr>
          <w:rFonts w:cs="Calibri"/>
          <w:sz w:val="18"/>
          <w:szCs w:val="18"/>
          <w:lang w:val="el-GR"/>
        </w:rPr>
        <w:t>ύψους €</w:t>
      </w:r>
      <w:r w:rsidR="00EC560B" w:rsidRPr="00EC560B">
        <w:rPr>
          <w:rFonts w:cs="Calibri"/>
          <w:sz w:val="18"/>
          <w:szCs w:val="18"/>
          <w:lang w:val="el-GR"/>
        </w:rPr>
        <w:t>3,5</w:t>
      </w:r>
      <w:r w:rsidR="00EC560B">
        <w:rPr>
          <w:rFonts w:cs="Calibri"/>
          <w:sz w:val="18"/>
          <w:szCs w:val="18"/>
          <w:lang w:val="el-GR"/>
        </w:rPr>
        <w:t>δι</w:t>
      </w:r>
      <w:r w:rsidR="00F43416">
        <w:rPr>
          <w:rFonts w:cs="Calibri"/>
          <w:sz w:val="18"/>
          <w:szCs w:val="18"/>
          <w:lang w:val="el-GR"/>
        </w:rPr>
        <w:t>σ</w:t>
      </w:r>
      <w:r w:rsidR="00D1304B">
        <w:rPr>
          <w:rFonts w:cs="Calibri"/>
          <w:sz w:val="18"/>
          <w:szCs w:val="18"/>
          <w:lang w:val="el-GR"/>
        </w:rPr>
        <w:t>.</w:t>
      </w:r>
      <w:r w:rsidR="00EC560B">
        <w:rPr>
          <w:rFonts w:cs="Calibri"/>
          <w:sz w:val="18"/>
          <w:szCs w:val="18"/>
          <w:lang w:val="el-GR"/>
        </w:rPr>
        <w:t xml:space="preserve"> από την αρχή του έτους</w:t>
      </w:r>
      <w:r>
        <w:rPr>
          <w:rFonts w:cs="Calibri"/>
          <w:sz w:val="18"/>
          <w:szCs w:val="18"/>
          <w:lang w:val="el-GR"/>
        </w:rPr>
        <w:t xml:space="preserve"> ως τα τέλη Ιουλίου 2020</w:t>
      </w:r>
      <w:r w:rsidR="00EC560B">
        <w:rPr>
          <w:rFonts w:cs="Calibri"/>
          <w:sz w:val="18"/>
          <w:szCs w:val="18"/>
          <w:lang w:val="el-GR"/>
        </w:rPr>
        <w:t>, καλύπτοντας την αυξημένη ζήτηση πιστώσεων</w:t>
      </w:r>
    </w:p>
    <w:p w:rsidR="00FA0F02" w:rsidRDefault="0019195B" w:rsidP="00FA0F02">
      <w:pPr>
        <w:pStyle w:val="a6"/>
        <w:numPr>
          <w:ilvl w:val="0"/>
          <w:numId w:val="15"/>
        </w:numPr>
        <w:spacing w:before="60" w:line="260" w:lineRule="exact"/>
        <w:ind w:left="-142" w:right="567" w:hanging="284"/>
        <w:contextualSpacing w:val="0"/>
        <w:jc w:val="both"/>
        <w:rPr>
          <w:rFonts w:cs="Calibri"/>
          <w:sz w:val="18"/>
          <w:szCs w:val="18"/>
          <w:lang w:val="el-GR"/>
        </w:rPr>
      </w:pPr>
      <w:r>
        <w:rPr>
          <w:rFonts w:cs="Calibri"/>
          <w:sz w:val="18"/>
          <w:szCs w:val="18"/>
          <w:lang w:val="el-GR"/>
        </w:rPr>
        <w:t xml:space="preserve">Ενίσχυση των επιχειρήσεων που έχουν επηρεαστεί από την κρίση μέσω της </w:t>
      </w:r>
      <w:r w:rsidR="00EA2568">
        <w:rPr>
          <w:rFonts w:cs="Calibri"/>
          <w:sz w:val="18"/>
          <w:szCs w:val="18"/>
          <w:lang w:val="el-GR"/>
        </w:rPr>
        <w:t>συμμετοχή</w:t>
      </w:r>
      <w:r>
        <w:rPr>
          <w:rFonts w:cs="Calibri"/>
          <w:sz w:val="18"/>
          <w:szCs w:val="18"/>
          <w:lang w:val="el-GR"/>
        </w:rPr>
        <w:t>ς</w:t>
      </w:r>
      <w:r w:rsidR="00EA2568">
        <w:rPr>
          <w:rFonts w:cs="Calibri"/>
          <w:sz w:val="18"/>
          <w:szCs w:val="18"/>
          <w:lang w:val="el-GR"/>
        </w:rPr>
        <w:t xml:space="preserve"> της </w:t>
      </w:r>
      <w:r w:rsidR="00A744EC">
        <w:rPr>
          <w:rFonts w:cs="Calibri"/>
          <w:sz w:val="18"/>
          <w:szCs w:val="18"/>
          <w:lang w:val="el-GR"/>
        </w:rPr>
        <w:t xml:space="preserve">Τράπεζας </w:t>
      </w:r>
      <w:r w:rsidR="00EA2568">
        <w:rPr>
          <w:rFonts w:cs="Calibri"/>
          <w:sz w:val="18"/>
          <w:szCs w:val="18"/>
          <w:lang w:val="el-GR"/>
        </w:rPr>
        <w:t>Πειραιώς</w:t>
      </w:r>
      <w:r>
        <w:rPr>
          <w:rFonts w:cs="Calibri"/>
          <w:sz w:val="18"/>
          <w:szCs w:val="18"/>
          <w:lang w:val="el-GR"/>
        </w:rPr>
        <w:t>σ</w:t>
      </w:r>
      <w:r w:rsidR="00FA0F02">
        <w:rPr>
          <w:rFonts w:cs="Calibri"/>
          <w:sz w:val="18"/>
          <w:szCs w:val="18"/>
          <w:lang w:val="el-GR"/>
        </w:rPr>
        <w:t>το «</w:t>
      </w:r>
      <w:r w:rsidR="00A744EC">
        <w:rPr>
          <w:rFonts w:cs="Calibri"/>
          <w:sz w:val="18"/>
          <w:szCs w:val="18"/>
          <w:lang w:val="el-GR"/>
        </w:rPr>
        <w:t>Εγγυοδοτικό</w:t>
      </w:r>
      <w:r w:rsidR="00FA0F02">
        <w:rPr>
          <w:rFonts w:cs="Calibri"/>
          <w:sz w:val="18"/>
          <w:szCs w:val="18"/>
          <w:lang w:val="el-GR"/>
        </w:rPr>
        <w:t>Ταμείο</w:t>
      </w:r>
      <w:r w:rsidR="00FA0F02" w:rsidRPr="00CA54C2">
        <w:rPr>
          <w:rFonts w:cs="Calibri"/>
          <w:sz w:val="18"/>
          <w:szCs w:val="18"/>
          <w:lang w:val="el-GR"/>
        </w:rPr>
        <w:t xml:space="preserve"> για το Covid</w:t>
      </w:r>
      <w:r w:rsidR="00FA0F02">
        <w:rPr>
          <w:rFonts w:cs="Calibri"/>
          <w:sz w:val="18"/>
          <w:szCs w:val="18"/>
          <w:lang w:val="el-GR"/>
        </w:rPr>
        <w:t xml:space="preserve">-19» </w:t>
      </w:r>
      <w:r w:rsidR="00A744EC">
        <w:rPr>
          <w:rFonts w:cs="Calibri"/>
          <w:sz w:val="18"/>
          <w:szCs w:val="18"/>
          <w:lang w:val="el-GR"/>
        </w:rPr>
        <w:t>με</w:t>
      </w:r>
      <w:r w:rsidR="00FA0F02">
        <w:rPr>
          <w:rFonts w:cs="Calibri"/>
          <w:sz w:val="18"/>
          <w:szCs w:val="18"/>
          <w:lang w:val="el-GR"/>
        </w:rPr>
        <w:t xml:space="preserve"> €1,</w:t>
      </w:r>
      <w:r w:rsidR="00D07C6F">
        <w:rPr>
          <w:rFonts w:cs="Calibri"/>
          <w:sz w:val="18"/>
          <w:szCs w:val="18"/>
          <w:lang w:val="el-GR"/>
        </w:rPr>
        <w:t>0</w:t>
      </w:r>
      <w:r w:rsidR="00FA0F02">
        <w:rPr>
          <w:rFonts w:cs="Calibri"/>
          <w:sz w:val="18"/>
          <w:szCs w:val="18"/>
          <w:lang w:val="el-GR"/>
        </w:rPr>
        <w:t>δ</w:t>
      </w:r>
      <w:r w:rsidR="00F43416">
        <w:rPr>
          <w:rFonts w:cs="Calibri"/>
          <w:sz w:val="18"/>
          <w:szCs w:val="18"/>
          <w:lang w:val="el-GR"/>
        </w:rPr>
        <w:t xml:space="preserve">ισ. </w:t>
      </w:r>
      <w:r w:rsidR="00A744EC">
        <w:rPr>
          <w:rFonts w:cs="Calibri"/>
          <w:sz w:val="18"/>
          <w:szCs w:val="18"/>
          <w:lang w:val="el-GR"/>
        </w:rPr>
        <w:t xml:space="preserve">και </w:t>
      </w:r>
      <w:r w:rsidR="00F43416">
        <w:rPr>
          <w:rFonts w:cs="Calibri"/>
          <w:sz w:val="18"/>
          <w:szCs w:val="18"/>
          <w:lang w:val="el-GR"/>
        </w:rPr>
        <w:t>με επιπλέον €0,4</w:t>
      </w:r>
      <w:r w:rsidR="00FA0F02">
        <w:rPr>
          <w:rFonts w:cs="Calibri"/>
          <w:sz w:val="18"/>
          <w:szCs w:val="18"/>
          <w:lang w:val="el-GR"/>
        </w:rPr>
        <w:t>δι</w:t>
      </w:r>
      <w:r w:rsidR="00F43416">
        <w:rPr>
          <w:rFonts w:cs="Calibri"/>
          <w:sz w:val="18"/>
          <w:szCs w:val="18"/>
          <w:lang w:val="el-GR"/>
        </w:rPr>
        <w:t>σ.</w:t>
      </w:r>
      <w:r w:rsidR="00FA0F02">
        <w:rPr>
          <w:rFonts w:cs="Calibri"/>
          <w:sz w:val="18"/>
          <w:szCs w:val="18"/>
          <w:lang w:val="el-GR"/>
        </w:rPr>
        <w:t xml:space="preserve"> χρηματοδότηση μέσω του προγράμματος «ΤΕΠΙΧ ΙΙ»</w:t>
      </w:r>
    </w:p>
    <w:p w:rsidR="00FA0F02" w:rsidRPr="00CA54C2" w:rsidRDefault="00FA0F02" w:rsidP="00FA0F02">
      <w:pPr>
        <w:pStyle w:val="a6"/>
        <w:numPr>
          <w:ilvl w:val="0"/>
          <w:numId w:val="15"/>
        </w:numPr>
        <w:spacing w:before="60" w:line="260" w:lineRule="exact"/>
        <w:ind w:left="-142" w:right="567" w:hanging="284"/>
        <w:contextualSpacing w:val="0"/>
        <w:jc w:val="both"/>
        <w:rPr>
          <w:rFonts w:cs="Calibri"/>
          <w:sz w:val="18"/>
          <w:szCs w:val="18"/>
          <w:lang w:val="el-GR"/>
        </w:rPr>
      </w:pPr>
      <w:r>
        <w:rPr>
          <w:rFonts w:cs="Calibri"/>
          <w:sz w:val="18"/>
          <w:szCs w:val="18"/>
          <w:lang w:val="el-GR"/>
        </w:rPr>
        <w:t>Αναστολή καταβολής οφειλών ύψους €4</w:t>
      </w:r>
      <w:r w:rsidR="00F43416">
        <w:rPr>
          <w:rFonts w:cs="Calibri"/>
          <w:sz w:val="18"/>
          <w:szCs w:val="18"/>
          <w:lang w:val="el-GR"/>
        </w:rPr>
        <w:t>δισ.</w:t>
      </w:r>
      <w:r>
        <w:rPr>
          <w:rFonts w:cs="Calibri"/>
          <w:sz w:val="18"/>
          <w:szCs w:val="18"/>
          <w:lang w:val="el-GR"/>
        </w:rPr>
        <w:t xml:space="preserve"> σε ενήμερους πελάτες, στηρίζοντάς </w:t>
      </w:r>
      <w:r w:rsidR="00A744EC">
        <w:rPr>
          <w:rFonts w:cs="Calibri"/>
          <w:sz w:val="18"/>
          <w:szCs w:val="18"/>
          <w:lang w:val="el-GR"/>
        </w:rPr>
        <w:t xml:space="preserve">τους,ώστε να </w:t>
      </w:r>
      <w:r>
        <w:rPr>
          <w:rFonts w:cs="Calibri"/>
          <w:sz w:val="18"/>
          <w:szCs w:val="18"/>
          <w:lang w:val="el-GR"/>
        </w:rPr>
        <w:t xml:space="preserve">αντιμετωπίσουν ζητήματα ρευστότητας εξαιτίας του </w:t>
      </w:r>
      <w:r>
        <w:rPr>
          <w:rFonts w:cs="Calibri"/>
          <w:sz w:val="18"/>
          <w:szCs w:val="18"/>
        </w:rPr>
        <w:t>Covid</w:t>
      </w:r>
      <w:r>
        <w:rPr>
          <w:rFonts w:cs="Calibri"/>
          <w:sz w:val="18"/>
          <w:szCs w:val="18"/>
          <w:lang w:val="el-GR"/>
        </w:rPr>
        <w:t>-19</w:t>
      </w:r>
    </w:p>
    <w:p w:rsidR="00FA0F02" w:rsidRPr="006B14EA" w:rsidRDefault="0019195B" w:rsidP="00FA0F02">
      <w:pPr>
        <w:pStyle w:val="a6"/>
        <w:numPr>
          <w:ilvl w:val="0"/>
          <w:numId w:val="15"/>
        </w:numPr>
        <w:spacing w:before="60" w:line="260" w:lineRule="exact"/>
        <w:ind w:left="-142" w:right="567" w:hanging="284"/>
        <w:contextualSpacing w:val="0"/>
        <w:jc w:val="both"/>
        <w:rPr>
          <w:rFonts w:cs="Calibri"/>
          <w:sz w:val="18"/>
          <w:szCs w:val="18"/>
          <w:lang w:val="el-GR"/>
        </w:rPr>
      </w:pPr>
      <w:r>
        <w:rPr>
          <w:rFonts w:cs="Calibri"/>
          <w:sz w:val="18"/>
          <w:szCs w:val="18"/>
          <w:lang w:val="el-GR"/>
        </w:rPr>
        <w:t>Αύξηση καταθέσεων</w:t>
      </w:r>
      <w:r w:rsidR="00FA0F02" w:rsidRPr="006B14EA">
        <w:rPr>
          <w:rFonts w:cs="Calibri"/>
          <w:sz w:val="18"/>
          <w:szCs w:val="18"/>
          <w:lang w:val="el-GR"/>
        </w:rPr>
        <w:t xml:space="preserve"> ιδιωτικού τομέα κατά €0,8</w:t>
      </w:r>
      <w:r w:rsidR="00F43416">
        <w:rPr>
          <w:rFonts w:cs="Calibri"/>
          <w:sz w:val="18"/>
          <w:szCs w:val="18"/>
          <w:lang w:val="el-GR"/>
        </w:rPr>
        <w:t>δισ.</w:t>
      </w:r>
      <w:r>
        <w:rPr>
          <w:rFonts w:cs="Calibri"/>
          <w:sz w:val="18"/>
          <w:szCs w:val="18"/>
          <w:lang w:val="el-GR"/>
        </w:rPr>
        <w:t>το πρώτο εξάμηνο του έτους</w:t>
      </w:r>
    </w:p>
    <w:p w:rsidR="00FA0F02" w:rsidRPr="00A17FD4" w:rsidRDefault="0019195B" w:rsidP="00FA0F02">
      <w:pPr>
        <w:pStyle w:val="a6"/>
        <w:numPr>
          <w:ilvl w:val="0"/>
          <w:numId w:val="15"/>
        </w:numPr>
        <w:spacing w:before="60" w:line="260" w:lineRule="exact"/>
        <w:ind w:left="-142" w:right="567" w:hanging="284"/>
        <w:contextualSpacing w:val="0"/>
        <w:jc w:val="both"/>
        <w:rPr>
          <w:rFonts w:cs="Calibri"/>
          <w:sz w:val="18"/>
          <w:szCs w:val="18"/>
          <w:lang w:val="el-GR"/>
        </w:rPr>
      </w:pPr>
      <w:r>
        <w:rPr>
          <w:rFonts w:cs="Calibri"/>
          <w:sz w:val="18"/>
          <w:szCs w:val="18"/>
          <w:lang w:val="el-GR"/>
        </w:rPr>
        <w:t xml:space="preserve">Επιτάχυνση της </w:t>
      </w:r>
      <w:r w:rsidR="00FA0F02" w:rsidRPr="00A17FD4">
        <w:rPr>
          <w:rFonts w:cs="Calibri"/>
          <w:sz w:val="18"/>
          <w:szCs w:val="18"/>
          <w:lang w:val="el-GR"/>
        </w:rPr>
        <w:t>ψηφιακή</w:t>
      </w:r>
      <w:r>
        <w:rPr>
          <w:rFonts w:cs="Calibri"/>
          <w:sz w:val="18"/>
          <w:szCs w:val="18"/>
          <w:lang w:val="el-GR"/>
        </w:rPr>
        <w:t>ς</w:t>
      </w:r>
      <w:r w:rsidR="00FA0F02" w:rsidRPr="00A17FD4">
        <w:rPr>
          <w:rFonts w:cs="Calibri"/>
          <w:sz w:val="18"/>
          <w:szCs w:val="18"/>
          <w:lang w:val="el-GR"/>
        </w:rPr>
        <w:t xml:space="preserve"> διείσδυση</w:t>
      </w:r>
      <w:r>
        <w:rPr>
          <w:rFonts w:cs="Calibri"/>
          <w:sz w:val="18"/>
          <w:szCs w:val="18"/>
          <w:lang w:val="el-GR"/>
        </w:rPr>
        <w:t>ς</w:t>
      </w:r>
      <w:r w:rsidR="00FA0F02" w:rsidRPr="00A17FD4">
        <w:rPr>
          <w:rFonts w:cs="Calibri"/>
          <w:sz w:val="18"/>
          <w:szCs w:val="18"/>
          <w:lang w:val="el-GR"/>
        </w:rPr>
        <w:t xml:space="preserve">, με </w:t>
      </w:r>
      <w:r w:rsidR="00A744EC">
        <w:rPr>
          <w:rFonts w:cs="Calibri"/>
          <w:sz w:val="18"/>
          <w:szCs w:val="18"/>
          <w:lang w:val="el-GR"/>
        </w:rPr>
        <w:t xml:space="preserve">τετραπλασιασμό </w:t>
      </w:r>
      <w:r w:rsidR="00FA0F02" w:rsidRPr="00A17FD4">
        <w:rPr>
          <w:rFonts w:cs="Calibri"/>
          <w:sz w:val="18"/>
          <w:szCs w:val="18"/>
          <w:lang w:val="el-GR"/>
        </w:rPr>
        <w:t xml:space="preserve">των </w:t>
      </w:r>
      <w:r w:rsidR="00FA0F02">
        <w:rPr>
          <w:rFonts w:cs="Calibri"/>
          <w:sz w:val="18"/>
          <w:szCs w:val="18"/>
          <w:lang w:val="el-GR"/>
        </w:rPr>
        <w:t xml:space="preserve">εβδομαδιαίων </w:t>
      </w:r>
      <w:r w:rsidR="00FA0F02" w:rsidRPr="00A17FD4">
        <w:rPr>
          <w:rFonts w:cs="Calibri"/>
          <w:sz w:val="18"/>
          <w:szCs w:val="18"/>
          <w:lang w:val="el-GR"/>
        </w:rPr>
        <w:t xml:space="preserve">εγγραφών στη </w:t>
      </w:r>
      <w:r w:rsidR="00FA0F02" w:rsidRPr="006338D5">
        <w:rPr>
          <w:rFonts w:cs="Calibri"/>
          <w:sz w:val="18"/>
          <w:szCs w:val="18"/>
          <w:lang w:val="el-GR"/>
        </w:rPr>
        <w:t>winbank</w:t>
      </w:r>
      <w:r w:rsidR="00FA0F02">
        <w:rPr>
          <w:rFonts w:cs="Calibri"/>
          <w:sz w:val="18"/>
          <w:szCs w:val="18"/>
          <w:lang w:val="el-GR"/>
        </w:rPr>
        <w:t xml:space="preserve">από τις </w:t>
      </w:r>
      <w:r w:rsidR="00A744EC">
        <w:rPr>
          <w:rFonts w:cs="Calibri"/>
          <w:sz w:val="18"/>
          <w:szCs w:val="18"/>
          <w:lang w:val="el-GR"/>
        </w:rPr>
        <w:t>α</w:t>
      </w:r>
      <w:r w:rsidR="00FA0F02">
        <w:rPr>
          <w:rFonts w:cs="Calibri"/>
          <w:sz w:val="18"/>
          <w:szCs w:val="18"/>
          <w:lang w:val="el-GR"/>
        </w:rPr>
        <w:t>ρχές Μαρτίου 2020 έναντι</w:t>
      </w:r>
      <w:r w:rsidR="00FA0F02" w:rsidRPr="00A17FD4">
        <w:rPr>
          <w:rFonts w:cs="Calibri"/>
          <w:sz w:val="18"/>
          <w:szCs w:val="18"/>
          <w:lang w:val="el-GR"/>
        </w:rPr>
        <w:t xml:space="preserve"> το</w:t>
      </w:r>
      <w:r w:rsidR="00FA0F02">
        <w:rPr>
          <w:rFonts w:cs="Calibri"/>
          <w:sz w:val="18"/>
          <w:szCs w:val="18"/>
          <w:lang w:val="el-GR"/>
        </w:rPr>
        <w:t>υ</w:t>
      </w:r>
      <w:r w:rsidR="00FA0F02" w:rsidRPr="00A17FD4">
        <w:rPr>
          <w:rFonts w:cs="Calibri"/>
          <w:sz w:val="18"/>
          <w:szCs w:val="18"/>
          <w:lang w:val="el-GR"/>
        </w:rPr>
        <w:t xml:space="preserve"> προηγούμενο</w:t>
      </w:r>
      <w:r w:rsidR="00FA0F02">
        <w:rPr>
          <w:rFonts w:cs="Calibri"/>
          <w:sz w:val="18"/>
          <w:szCs w:val="18"/>
          <w:lang w:val="el-GR"/>
        </w:rPr>
        <w:t>υ</w:t>
      </w:r>
      <w:r w:rsidR="00FA0F02" w:rsidRPr="00A17FD4">
        <w:rPr>
          <w:rFonts w:cs="Calibri"/>
          <w:sz w:val="18"/>
          <w:szCs w:val="18"/>
          <w:lang w:val="el-GR"/>
        </w:rPr>
        <w:t xml:space="preserve"> έτο</w:t>
      </w:r>
      <w:r w:rsidR="00FA0F02">
        <w:rPr>
          <w:rFonts w:cs="Calibri"/>
          <w:sz w:val="18"/>
          <w:szCs w:val="18"/>
          <w:lang w:val="el-GR"/>
        </w:rPr>
        <w:t>υς,</w:t>
      </w:r>
      <w:r w:rsidR="00A744EC">
        <w:rPr>
          <w:rFonts w:cs="Calibri"/>
          <w:sz w:val="18"/>
          <w:szCs w:val="18"/>
          <w:lang w:val="el-GR"/>
        </w:rPr>
        <w:t xml:space="preserve">και με το </w:t>
      </w:r>
      <w:r w:rsidR="00FA0F02" w:rsidRPr="00A17FD4">
        <w:rPr>
          <w:rFonts w:cs="Calibri"/>
          <w:sz w:val="18"/>
          <w:szCs w:val="18"/>
          <w:lang w:val="el-GR"/>
        </w:rPr>
        <w:t xml:space="preserve">94% των </w:t>
      </w:r>
      <w:r w:rsidR="00FA0F02">
        <w:rPr>
          <w:rFonts w:cs="Calibri"/>
          <w:sz w:val="18"/>
          <w:szCs w:val="18"/>
          <w:lang w:val="el-GR"/>
        </w:rPr>
        <w:t>συνολικών συναλλαγών</w:t>
      </w:r>
      <w:r w:rsidR="00A744EC">
        <w:rPr>
          <w:rFonts w:cs="Calibri"/>
          <w:sz w:val="18"/>
          <w:szCs w:val="18"/>
          <w:lang w:val="el-GR"/>
        </w:rPr>
        <w:t xml:space="preserve">να διεκπεραιώνονται </w:t>
      </w:r>
      <w:r w:rsidR="00FA0F02" w:rsidRPr="00A17FD4">
        <w:rPr>
          <w:rFonts w:cs="Calibri"/>
          <w:sz w:val="18"/>
          <w:szCs w:val="18"/>
          <w:lang w:val="el-GR"/>
        </w:rPr>
        <w:t xml:space="preserve">μέσω </w:t>
      </w:r>
      <w:r w:rsidR="00FA0F02" w:rsidRPr="006338D5">
        <w:rPr>
          <w:rFonts w:cs="Calibri"/>
          <w:sz w:val="18"/>
          <w:szCs w:val="18"/>
          <w:lang w:val="el-GR"/>
        </w:rPr>
        <w:t>winbank</w:t>
      </w:r>
      <w:r w:rsidR="00FA0F02" w:rsidRPr="00A17FD4">
        <w:rPr>
          <w:rFonts w:cs="Calibri"/>
          <w:sz w:val="18"/>
          <w:szCs w:val="18"/>
          <w:lang w:val="el-GR"/>
        </w:rPr>
        <w:t xml:space="preserve"> σε σχέση με 89% το προηγούμενο έτος</w:t>
      </w:r>
    </w:p>
    <w:p w:rsidR="00FA0F02" w:rsidRDefault="0019195B" w:rsidP="00FA0F02">
      <w:pPr>
        <w:pStyle w:val="a6"/>
        <w:numPr>
          <w:ilvl w:val="0"/>
          <w:numId w:val="15"/>
        </w:numPr>
        <w:spacing w:before="60" w:line="260" w:lineRule="exact"/>
        <w:ind w:left="-142" w:right="567" w:hanging="284"/>
        <w:contextualSpacing w:val="0"/>
        <w:jc w:val="both"/>
        <w:rPr>
          <w:rFonts w:cs="Calibri"/>
          <w:sz w:val="18"/>
          <w:szCs w:val="18"/>
          <w:lang w:val="el-GR"/>
        </w:rPr>
      </w:pPr>
      <w:r>
        <w:rPr>
          <w:rFonts w:cs="Calibri"/>
          <w:sz w:val="18"/>
          <w:szCs w:val="18"/>
          <w:lang w:val="el-GR"/>
        </w:rPr>
        <w:t>Αναγνώριση της</w:t>
      </w:r>
      <w:r w:rsidR="00FA0F02">
        <w:rPr>
          <w:rFonts w:cs="Calibri"/>
          <w:sz w:val="18"/>
          <w:szCs w:val="18"/>
          <w:lang w:val="el-GR"/>
        </w:rPr>
        <w:t xml:space="preserve"> αποφασιστικότητα</w:t>
      </w:r>
      <w:r>
        <w:rPr>
          <w:rFonts w:cs="Calibri"/>
          <w:sz w:val="18"/>
          <w:szCs w:val="18"/>
          <w:lang w:val="el-GR"/>
        </w:rPr>
        <w:t>ς</w:t>
      </w:r>
      <w:r w:rsidR="00FA0F02">
        <w:rPr>
          <w:rFonts w:cs="Calibri"/>
          <w:sz w:val="18"/>
          <w:szCs w:val="18"/>
          <w:lang w:val="el-GR"/>
        </w:rPr>
        <w:t xml:space="preserve"> της Τράπεζας στην αντιμετώπιση </w:t>
      </w:r>
      <w:r>
        <w:rPr>
          <w:rFonts w:cs="Calibri"/>
          <w:sz w:val="18"/>
          <w:szCs w:val="18"/>
          <w:lang w:val="el-GR"/>
        </w:rPr>
        <w:t xml:space="preserve">της κρίσης λόγω του </w:t>
      </w:r>
      <w:r w:rsidR="00FA0F02">
        <w:rPr>
          <w:rFonts w:cs="Calibri"/>
          <w:sz w:val="18"/>
          <w:szCs w:val="18"/>
        </w:rPr>
        <w:t>Covid</w:t>
      </w:r>
      <w:r w:rsidR="00FA0F02" w:rsidRPr="00083E77">
        <w:rPr>
          <w:rFonts w:cs="Calibri"/>
          <w:sz w:val="18"/>
          <w:szCs w:val="18"/>
          <w:lang w:val="el-GR"/>
        </w:rPr>
        <w:t xml:space="preserve">-19 </w:t>
      </w:r>
      <w:r w:rsidR="00FA0F02">
        <w:rPr>
          <w:rFonts w:cs="Calibri"/>
          <w:sz w:val="18"/>
          <w:szCs w:val="18"/>
          <w:lang w:val="el-GR"/>
        </w:rPr>
        <w:t xml:space="preserve">από πελάτες και εργαζόμενους: </w:t>
      </w:r>
    </w:p>
    <w:p w:rsidR="00FA0F02" w:rsidRDefault="0019195B" w:rsidP="00FA0F02">
      <w:pPr>
        <w:pStyle w:val="a6"/>
        <w:numPr>
          <w:ilvl w:val="0"/>
          <w:numId w:val="28"/>
        </w:numPr>
        <w:spacing w:before="60" w:line="260" w:lineRule="exact"/>
        <w:ind w:right="567"/>
        <w:contextualSpacing w:val="0"/>
        <w:jc w:val="both"/>
        <w:rPr>
          <w:rFonts w:cs="Calibri"/>
          <w:sz w:val="18"/>
          <w:szCs w:val="18"/>
          <w:lang w:val="el-GR"/>
        </w:rPr>
      </w:pPr>
      <w:r>
        <w:rPr>
          <w:rFonts w:cs="Calibri"/>
          <w:sz w:val="18"/>
          <w:szCs w:val="18"/>
          <w:lang w:val="el-GR"/>
        </w:rPr>
        <w:t xml:space="preserve">η Τράπεζα Πειραιώς κατατάχθηκε στο υψηλότερο 10% του Ευρωπαϊκού ανταγωνισμού </w:t>
      </w:r>
      <w:r w:rsidR="0093417B">
        <w:rPr>
          <w:rFonts w:cs="Calibri"/>
          <w:sz w:val="18"/>
          <w:szCs w:val="18"/>
          <w:lang w:val="el-GR"/>
        </w:rPr>
        <w:t>σ</w:t>
      </w:r>
      <w:r w:rsidR="00FA0F02">
        <w:rPr>
          <w:rFonts w:cs="Calibri"/>
          <w:sz w:val="18"/>
          <w:szCs w:val="18"/>
          <w:lang w:val="el-GR"/>
        </w:rPr>
        <w:t>ε πρόσφατη έρευνα ικανοποίησης πελατών (Τ</w:t>
      </w:r>
      <w:r w:rsidR="00FA0F02">
        <w:rPr>
          <w:rFonts w:cs="Calibri"/>
          <w:sz w:val="18"/>
          <w:szCs w:val="18"/>
        </w:rPr>
        <w:t>RI</w:t>
      </w:r>
      <w:r w:rsidR="00FA0F02" w:rsidRPr="00083E77">
        <w:rPr>
          <w:rFonts w:cs="Calibri"/>
          <w:sz w:val="18"/>
          <w:szCs w:val="18"/>
          <w:lang w:val="el-GR"/>
        </w:rPr>
        <w:t>*</w:t>
      </w:r>
      <w:r w:rsidR="00FA0F02">
        <w:rPr>
          <w:rFonts w:cs="Calibri"/>
          <w:sz w:val="18"/>
          <w:szCs w:val="18"/>
        </w:rPr>
        <w:t>M</w:t>
      </w:r>
      <w:r>
        <w:rPr>
          <w:rFonts w:cs="Calibri"/>
          <w:sz w:val="18"/>
          <w:szCs w:val="18"/>
          <w:lang w:val="el-GR"/>
        </w:rPr>
        <w:t>)</w:t>
      </w:r>
    </w:p>
    <w:p w:rsidR="00FA0F02" w:rsidRPr="00A17FD4" w:rsidRDefault="0093417B" w:rsidP="00FA0F02">
      <w:pPr>
        <w:pStyle w:val="a6"/>
        <w:numPr>
          <w:ilvl w:val="0"/>
          <w:numId w:val="28"/>
        </w:numPr>
        <w:spacing w:before="60" w:line="260" w:lineRule="exact"/>
        <w:ind w:right="567"/>
        <w:contextualSpacing w:val="0"/>
        <w:jc w:val="both"/>
        <w:rPr>
          <w:rFonts w:cs="Calibri"/>
          <w:sz w:val="18"/>
          <w:szCs w:val="18"/>
          <w:lang w:val="el-GR"/>
        </w:rPr>
      </w:pPr>
      <w:r>
        <w:rPr>
          <w:rFonts w:cs="Calibri"/>
          <w:sz w:val="18"/>
          <w:szCs w:val="18"/>
          <w:lang w:val="el-GR"/>
        </w:rPr>
        <w:t xml:space="preserve">το </w:t>
      </w:r>
      <w:r w:rsidR="00FA0F02">
        <w:rPr>
          <w:rFonts w:cs="Calibri"/>
          <w:sz w:val="18"/>
          <w:szCs w:val="18"/>
          <w:lang w:val="el-GR"/>
        </w:rPr>
        <w:t xml:space="preserve">81% των εργαζομένων είναι απόλυτα ικανοποιημένοι από τον τρόπο με τον οποίο η Τράπεζα αντιμετώπισε την κρίση πανδημίας του </w:t>
      </w:r>
      <w:r w:rsidR="00FA0F02">
        <w:rPr>
          <w:rFonts w:cs="Calibri"/>
          <w:sz w:val="18"/>
          <w:szCs w:val="18"/>
        </w:rPr>
        <w:t>Covid</w:t>
      </w:r>
      <w:r w:rsidR="00F43416">
        <w:rPr>
          <w:rFonts w:cs="Calibri"/>
          <w:sz w:val="18"/>
          <w:szCs w:val="18"/>
          <w:lang w:val="el-GR"/>
        </w:rPr>
        <w:t>-19</w:t>
      </w:r>
    </w:p>
    <w:p w:rsidR="00742184" w:rsidRPr="00A17FD4" w:rsidRDefault="00742184" w:rsidP="00FA0F02">
      <w:pPr>
        <w:pStyle w:val="a6"/>
        <w:spacing w:line="300" w:lineRule="exact"/>
        <w:ind w:left="578" w:right="567"/>
        <w:contextualSpacing w:val="0"/>
        <w:rPr>
          <w:rFonts w:cs="Calibri"/>
          <w:color w:val="FF0000"/>
          <w:sz w:val="18"/>
          <w:szCs w:val="18"/>
          <w:lang w:val="el-GR"/>
        </w:rPr>
      </w:pPr>
    </w:p>
    <w:p w:rsidR="00DD5E19" w:rsidRPr="006338D5" w:rsidRDefault="00C575BF" w:rsidP="00FA0F02">
      <w:pPr>
        <w:spacing w:after="0" w:line="260" w:lineRule="exact"/>
        <w:ind w:left="-426" w:right="567"/>
        <w:rPr>
          <w:rFonts w:eastAsia="Times New Roman" w:cs="Calibri"/>
          <w:b/>
          <w:color w:val="6691AB"/>
          <w:spacing w:val="-4"/>
        </w:rPr>
      </w:pPr>
      <w:r>
        <w:rPr>
          <w:rFonts w:eastAsia="Times New Roman" w:cs="Calibri"/>
          <w:b/>
          <w:color w:val="6691AB"/>
          <w:spacing w:val="-4"/>
        </w:rPr>
        <w:t xml:space="preserve">Τα Οικονομικά Αποτελέσματα του </w:t>
      </w:r>
      <w:r w:rsidR="00D10902" w:rsidRPr="00D10902">
        <w:rPr>
          <w:rFonts w:eastAsia="Times New Roman" w:cs="Calibri"/>
          <w:b/>
          <w:color w:val="6691AB"/>
          <w:spacing w:val="-4"/>
        </w:rPr>
        <w:t>1</w:t>
      </w:r>
      <w:r>
        <w:rPr>
          <w:rFonts w:eastAsia="Times New Roman" w:cs="Calibri"/>
          <w:b/>
          <w:color w:val="6691AB"/>
          <w:spacing w:val="-4"/>
        </w:rPr>
        <w:t>ου</w:t>
      </w:r>
      <w:r w:rsidR="006338D5">
        <w:rPr>
          <w:rFonts w:eastAsia="Times New Roman" w:cs="Calibri"/>
          <w:b/>
          <w:color w:val="6691AB"/>
          <w:spacing w:val="-4"/>
        </w:rPr>
        <w:t>6</w:t>
      </w:r>
      <w:r w:rsidR="00102FC6" w:rsidRPr="006338D5">
        <w:rPr>
          <w:rFonts w:eastAsia="Times New Roman" w:cs="Calibri"/>
          <w:b/>
          <w:color w:val="6691AB"/>
          <w:spacing w:val="-4"/>
        </w:rPr>
        <w:t>μ</w:t>
      </w:r>
      <w:r w:rsidR="00D10902">
        <w:rPr>
          <w:rFonts w:eastAsia="Times New Roman" w:cs="Calibri"/>
          <w:b/>
          <w:color w:val="6691AB"/>
          <w:spacing w:val="-4"/>
        </w:rPr>
        <w:t xml:space="preserve">ήνου </w:t>
      </w:r>
      <w:r w:rsidR="00DD5E19" w:rsidRPr="006338D5">
        <w:rPr>
          <w:rFonts w:eastAsia="Times New Roman" w:cs="Calibri"/>
          <w:b/>
          <w:color w:val="6691AB"/>
          <w:spacing w:val="-4"/>
        </w:rPr>
        <w:t>2020</w:t>
      </w:r>
      <w:r>
        <w:rPr>
          <w:rFonts w:eastAsia="Times New Roman" w:cs="Calibri"/>
          <w:b/>
          <w:color w:val="6691AB"/>
          <w:spacing w:val="-4"/>
        </w:rPr>
        <w:t xml:space="preserve">Επιδεικνύουν </w:t>
      </w:r>
      <w:r w:rsidR="006338D5">
        <w:rPr>
          <w:rFonts w:eastAsia="Times New Roman" w:cs="Calibri"/>
          <w:b/>
          <w:color w:val="6691AB"/>
          <w:spacing w:val="-4"/>
        </w:rPr>
        <w:t>Ισχυρ</w:t>
      </w:r>
      <w:r w:rsidR="00951488">
        <w:rPr>
          <w:rFonts w:eastAsia="Times New Roman" w:cs="Calibri"/>
          <w:b/>
          <w:color w:val="6691AB"/>
          <w:spacing w:val="-4"/>
        </w:rPr>
        <w:t>ές Λειτουργικές Επιδόσεις</w:t>
      </w:r>
    </w:p>
    <w:p w:rsidR="00FA0F02" w:rsidRPr="00061FE1" w:rsidRDefault="00FA0F02" w:rsidP="00FA0F02">
      <w:pPr>
        <w:pStyle w:val="a6"/>
        <w:numPr>
          <w:ilvl w:val="0"/>
          <w:numId w:val="15"/>
        </w:numPr>
        <w:spacing w:before="60" w:line="260" w:lineRule="exact"/>
        <w:ind w:left="-142" w:right="567" w:hanging="284"/>
        <w:contextualSpacing w:val="0"/>
        <w:jc w:val="both"/>
        <w:rPr>
          <w:rFonts w:cs="Calibri"/>
          <w:sz w:val="18"/>
          <w:szCs w:val="18"/>
          <w:lang w:val="el-GR"/>
        </w:rPr>
      </w:pPr>
      <w:r>
        <w:rPr>
          <w:rFonts w:cs="Calibri"/>
          <w:sz w:val="18"/>
          <w:szCs w:val="18"/>
          <w:lang w:val="el-GR"/>
        </w:rPr>
        <w:t>Καθαράέσοδααπότόκους €727 εκατ.</w:t>
      </w:r>
      <w:r w:rsidRPr="00061FE1">
        <w:rPr>
          <w:rFonts w:cs="Calibri"/>
          <w:sz w:val="18"/>
          <w:szCs w:val="18"/>
          <w:lang w:val="el-GR"/>
        </w:rPr>
        <w:t xml:space="preserve">, </w:t>
      </w:r>
      <w:r>
        <w:rPr>
          <w:rFonts w:cs="Calibri"/>
          <w:sz w:val="18"/>
          <w:szCs w:val="18"/>
          <w:lang w:val="el-GR"/>
        </w:rPr>
        <w:t>+1% σε ετήσια βάση</w:t>
      </w:r>
    </w:p>
    <w:p w:rsidR="00FA0F02" w:rsidRDefault="00FA0F02" w:rsidP="00FA0F02">
      <w:pPr>
        <w:pStyle w:val="a6"/>
        <w:numPr>
          <w:ilvl w:val="0"/>
          <w:numId w:val="15"/>
        </w:numPr>
        <w:spacing w:before="60" w:line="260" w:lineRule="exact"/>
        <w:ind w:left="-142" w:right="567" w:hanging="284"/>
        <w:contextualSpacing w:val="0"/>
        <w:jc w:val="both"/>
        <w:rPr>
          <w:rFonts w:cs="Calibri"/>
          <w:sz w:val="18"/>
          <w:szCs w:val="18"/>
          <w:lang w:val="el-GR"/>
        </w:rPr>
      </w:pPr>
      <w:r>
        <w:rPr>
          <w:rFonts w:cs="Calibri"/>
          <w:sz w:val="18"/>
          <w:szCs w:val="18"/>
          <w:lang w:val="el-GR"/>
        </w:rPr>
        <w:t>Καθαρά έσοδα από προμήθειες €151 εκατ., +3</w:t>
      </w:r>
      <w:r w:rsidRPr="00061FE1">
        <w:rPr>
          <w:rFonts w:cs="Calibri"/>
          <w:sz w:val="18"/>
          <w:szCs w:val="18"/>
          <w:lang w:val="el-GR"/>
        </w:rPr>
        <w:t xml:space="preserve">% </w:t>
      </w:r>
      <w:r>
        <w:rPr>
          <w:rFonts w:cs="Calibri"/>
          <w:sz w:val="18"/>
          <w:szCs w:val="18"/>
          <w:lang w:val="el-GR"/>
        </w:rPr>
        <w:t>σε ετήσια βάση</w:t>
      </w:r>
    </w:p>
    <w:p w:rsidR="00FA0F02" w:rsidRPr="00951488" w:rsidRDefault="00FA0F02" w:rsidP="00FA0F02">
      <w:pPr>
        <w:pStyle w:val="a6"/>
        <w:numPr>
          <w:ilvl w:val="0"/>
          <w:numId w:val="15"/>
        </w:numPr>
        <w:spacing w:before="60" w:line="260" w:lineRule="exact"/>
        <w:ind w:left="-142" w:right="567" w:hanging="284"/>
        <w:contextualSpacing w:val="0"/>
        <w:jc w:val="both"/>
        <w:rPr>
          <w:rFonts w:cs="Calibri"/>
          <w:sz w:val="18"/>
          <w:szCs w:val="18"/>
          <w:lang w:val="el-GR"/>
        </w:rPr>
      </w:pPr>
      <w:r w:rsidRPr="006338D5">
        <w:rPr>
          <w:rFonts w:cs="Calibri"/>
          <w:sz w:val="18"/>
          <w:szCs w:val="18"/>
          <w:lang w:val="el-GR"/>
        </w:rPr>
        <w:t xml:space="preserve">Λειτουργικά έξοδα </w:t>
      </w:r>
      <w:r>
        <w:rPr>
          <w:rFonts w:cs="Calibri"/>
          <w:sz w:val="18"/>
          <w:szCs w:val="18"/>
          <w:lang w:val="el-GR"/>
        </w:rPr>
        <w:t>μειωμένα κατά 10</w:t>
      </w:r>
      <w:r w:rsidRPr="006338D5">
        <w:rPr>
          <w:rFonts w:cs="Calibri"/>
          <w:sz w:val="18"/>
          <w:szCs w:val="18"/>
          <w:lang w:val="el-GR"/>
        </w:rPr>
        <w:t>% σ</w:t>
      </w:r>
      <w:r>
        <w:rPr>
          <w:rFonts w:cs="Calibri"/>
          <w:sz w:val="18"/>
          <w:szCs w:val="18"/>
          <w:lang w:val="el-GR"/>
        </w:rPr>
        <w:t>ε ετήσια συγκρίσιμη βάση, στα €4</w:t>
      </w:r>
      <w:r w:rsidRPr="006338D5">
        <w:rPr>
          <w:rFonts w:cs="Calibri"/>
          <w:sz w:val="18"/>
          <w:szCs w:val="18"/>
          <w:lang w:val="el-GR"/>
        </w:rPr>
        <w:t>2</w:t>
      </w:r>
      <w:r>
        <w:rPr>
          <w:rFonts w:cs="Calibri"/>
          <w:sz w:val="18"/>
          <w:szCs w:val="18"/>
          <w:lang w:val="el-GR"/>
        </w:rPr>
        <w:t>8</w:t>
      </w:r>
      <w:r w:rsidRPr="006338D5">
        <w:rPr>
          <w:rFonts w:cs="Calibri"/>
          <w:sz w:val="18"/>
          <w:szCs w:val="18"/>
          <w:lang w:val="el-GR"/>
        </w:rPr>
        <w:t>εκατ.</w:t>
      </w:r>
    </w:p>
    <w:p w:rsidR="00FA0F02" w:rsidRPr="006338D5" w:rsidRDefault="00FA0F02" w:rsidP="00FA0F02">
      <w:pPr>
        <w:pStyle w:val="a6"/>
        <w:numPr>
          <w:ilvl w:val="0"/>
          <w:numId w:val="15"/>
        </w:numPr>
        <w:spacing w:before="60" w:line="260" w:lineRule="exact"/>
        <w:ind w:left="-142" w:right="567" w:hanging="284"/>
        <w:contextualSpacing w:val="0"/>
        <w:jc w:val="both"/>
        <w:rPr>
          <w:rFonts w:cs="Calibri"/>
          <w:sz w:val="18"/>
          <w:szCs w:val="18"/>
          <w:lang w:val="el-GR"/>
        </w:rPr>
      </w:pPr>
      <w:r>
        <w:rPr>
          <w:rFonts w:cs="Calibri"/>
          <w:sz w:val="18"/>
          <w:szCs w:val="18"/>
          <w:lang w:val="el-GR"/>
        </w:rPr>
        <w:t>Α</w:t>
      </w:r>
      <w:r w:rsidRPr="006338D5">
        <w:rPr>
          <w:rFonts w:cs="Calibri"/>
          <w:sz w:val="18"/>
          <w:szCs w:val="18"/>
          <w:lang w:val="el-GR"/>
        </w:rPr>
        <w:t xml:space="preserve">ποτέλεσμα προ προβλέψεων και φόρων </w:t>
      </w:r>
      <w:r>
        <w:rPr>
          <w:rFonts w:cs="Calibri"/>
          <w:sz w:val="18"/>
          <w:szCs w:val="18"/>
          <w:lang w:val="el-GR"/>
        </w:rPr>
        <w:t xml:space="preserve">στα €470 </w:t>
      </w:r>
      <w:r w:rsidRPr="006338D5">
        <w:rPr>
          <w:rFonts w:cs="Calibri"/>
          <w:sz w:val="18"/>
          <w:szCs w:val="18"/>
          <w:lang w:val="el-GR"/>
        </w:rPr>
        <w:t xml:space="preserve">εκατ., </w:t>
      </w:r>
      <w:r>
        <w:rPr>
          <w:rFonts w:cs="Calibri"/>
          <w:sz w:val="18"/>
          <w:szCs w:val="18"/>
          <w:lang w:val="el-GR"/>
        </w:rPr>
        <w:t>+17</w:t>
      </w:r>
      <w:r w:rsidRPr="006338D5">
        <w:rPr>
          <w:rFonts w:cs="Calibri"/>
          <w:sz w:val="18"/>
          <w:szCs w:val="18"/>
          <w:lang w:val="el-GR"/>
        </w:rPr>
        <w:t>% σε ετήσια βάση</w:t>
      </w:r>
    </w:p>
    <w:p w:rsidR="00FA0F02" w:rsidRPr="00314406" w:rsidRDefault="00FA0F02" w:rsidP="00FA0F02">
      <w:pPr>
        <w:pStyle w:val="a6"/>
        <w:numPr>
          <w:ilvl w:val="0"/>
          <w:numId w:val="15"/>
        </w:numPr>
        <w:spacing w:before="60" w:line="260" w:lineRule="exact"/>
        <w:ind w:left="-142" w:right="567" w:hanging="284"/>
        <w:contextualSpacing w:val="0"/>
        <w:jc w:val="both"/>
        <w:rPr>
          <w:rFonts w:cs="Calibri"/>
          <w:sz w:val="18"/>
          <w:szCs w:val="18"/>
          <w:lang w:val="el-GR"/>
        </w:rPr>
      </w:pPr>
      <w:r>
        <w:rPr>
          <w:rFonts w:cs="Calibri"/>
          <w:sz w:val="18"/>
          <w:szCs w:val="18"/>
          <w:lang w:val="el-GR"/>
        </w:rPr>
        <w:t xml:space="preserve">Αυξημένες προβλέψεις στα €670 </w:t>
      </w:r>
      <w:r w:rsidRPr="00314406">
        <w:rPr>
          <w:rFonts w:cs="Calibri"/>
          <w:sz w:val="18"/>
          <w:szCs w:val="18"/>
          <w:lang w:val="el-GR"/>
        </w:rPr>
        <w:t>εκατ.</w:t>
      </w:r>
      <w:r>
        <w:rPr>
          <w:rFonts w:cs="Calibri"/>
          <w:sz w:val="18"/>
          <w:szCs w:val="18"/>
          <w:lang w:val="el-GR"/>
        </w:rPr>
        <w:t xml:space="preserve">, με €341 εκατ. σχετιζόμενες μετο </w:t>
      </w:r>
      <w:r>
        <w:rPr>
          <w:rFonts w:cs="Calibri"/>
          <w:sz w:val="18"/>
          <w:szCs w:val="18"/>
        </w:rPr>
        <w:t>Covid</w:t>
      </w:r>
      <w:r w:rsidRPr="003320EB">
        <w:rPr>
          <w:rFonts w:cs="Calibri"/>
          <w:sz w:val="18"/>
          <w:szCs w:val="18"/>
          <w:lang w:val="el-GR"/>
        </w:rPr>
        <w:t>-19</w:t>
      </w:r>
      <w:r w:rsidR="00C575BF">
        <w:rPr>
          <w:rFonts w:cs="Calibri"/>
          <w:sz w:val="18"/>
          <w:szCs w:val="18"/>
          <w:lang w:val="el-GR"/>
        </w:rPr>
        <w:t>,</w:t>
      </w:r>
      <w:r>
        <w:rPr>
          <w:rFonts w:cs="Calibri"/>
          <w:sz w:val="18"/>
          <w:szCs w:val="18"/>
          <w:lang w:val="el-GR"/>
        </w:rPr>
        <w:t xml:space="preserve"> ενσωματώ</w:t>
      </w:r>
      <w:r w:rsidR="00C575BF">
        <w:rPr>
          <w:rFonts w:cs="Calibri"/>
          <w:sz w:val="18"/>
          <w:szCs w:val="18"/>
          <w:lang w:val="el-GR"/>
        </w:rPr>
        <w:t>νοντας</w:t>
      </w:r>
      <w:r>
        <w:rPr>
          <w:rFonts w:cs="Calibri"/>
          <w:sz w:val="18"/>
          <w:szCs w:val="18"/>
          <w:lang w:val="el-GR"/>
        </w:rPr>
        <w:t xml:space="preserve"> τις </w:t>
      </w:r>
      <w:r w:rsidR="00C575BF">
        <w:rPr>
          <w:rFonts w:cs="Calibri"/>
          <w:sz w:val="18"/>
          <w:szCs w:val="18"/>
          <w:lang w:val="el-GR"/>
        </w:rPr>
        <w:t xml:space="preserve">εκτιμήσεις για το </w:t>
      </w:r>
      <w:r>
        <w:rPr>
          <w:rFonts w:cs="Calibri"/>
          <w:sz w:val="18"/>
          <w:szCs w:val="18"/>
          <w:lang w:val="el-GR"/>
        </w:rPr>
        <w:t>νέο</w:t>
      </w:r>
      <w:r w:rsidR="00C575BF">
        <w:rPr>
          <w:rFonts w:cs="Calibri"/>
          <w:sz w:val="18"/>
          <w:szCs w:val="18"/>
          <w:lang w:val="el-GR"/>
        </w:rPr>
        <w:t xml:space="preserve"> μακροοικονομικό</w:t>
      </w:r>
      <w:r>
        <w:rPr>
          <w:rFonts w:cs="Calibri"/>
          <w:sz w:val="18"/>
          <w:szCs w:val="18"/>
          <w:lang w:val="el-GR"/>
        </w:rPr>
        <w:t xml:space="preserve"> περιβάλλον</w:t>
      </w:r>
      <w:r w:rsidR="00C575BF">
        <w:rPr>
          <w:rFonts w:cs="Calibri"/>
          <w:sz w:val="18"/>
          <w:szCs w:val="18"/>
          <w:lang w:val="el-GR"/>
        </w:rPr>
        <w:t xml:space="preserve"> στο χαρτοφυλάκιο της Τράπεζας </w:t>
      </w:r>
    </w:p>
    <w:p w:rsidR="00FA0F02" w:rsidRDefault="00FA0F02" w:rsidP="00FA0F02">
      <w:pPr>
        <w:pStyle w:val="a6"/>
        <w:numPr>
          <w:ilvl w:val="0"/>
          <w:numId w:val="15"/>
        </w:numPr>
        <w:spacing w:before="60" w:line="260" w:lineRule="exact"/>
        <w:ind w:left="-142" w:right="567" w:hanging="284"/>
        <w:contextualSpacing w:val="0"/>
        <w:jc w:val="both"/>
        <w:rPr>
          <w:rFonts w:cs="Calibri"/>
          <w:sz w:val="18"/>
          <w:szCs w:val="18"/>
          <w:lang w:val="el-GR"/>
        </w:rPr>
      </w:pPr>
      <w:r>
        <w:rPr>
          <w:rFonts w:cs="Calibri"/>
          <w:sz w:val="18"/>
          <w:szCs w:val="18"/>
          <w:lang w:val="el-GR"/>
        </w:rPr>
        <w:t xml:space="preserve">Κέρδη προφόρων εξαιρουμένων των επιπτώσεων του </w:t>
      </w:r>
      <w:r>
        <w:rPr>
          <w:rFonts w:cs="Calibri"/>
          <w:sz w:val="18"/>
          <w:szCs w:val="18"/>
        </w:rPr>
        <w:t>Covid</w:t>
      </w:r>
      <w:r w:rsidRPr="003320EB">
        <w:rPr>
          <w:rFonts w:cs="Calibri"/>
          <w:sz w:val="18"/>
          <w:szCs w:val="18"/>
          <w:lang w:val="el-GR"/>
        </w:rPr>
        <w:t>-19</w:t>
      </w:r>
      <w:r>
        <w:rPr>
          <w:rFonts w:cs="Calibri"/>
          <w:sz w:val="18"/>
          <w:szCs w:val="18"/>
          <w:lang w:val="el-GR"/>
        </w:rPr>
        <w:t xml:space="preserve"> στα €126 εκατ. το 6μηνο 2020έναντι €5</w:t>
      </w:r>
      <w:r w:rsidR="001B3C38">
        <w:rPr>
          <w:rFonts w:cs="Calibri"/>
          <w:sz w:val="18"/>
          <w:szCs w:val="18"/>
          <w:lang w:val="el-GR"/>
        </w:rPr>
        <w:t>7 εκατ. την ίδια περίοδο πέρυσι</w:t>
      </w:r>
    </w:p>
    <w:p w:rsidR="003320EB" w:rsidRDefault="003320EB" w:rsidP="00FA0F02">
      <w:pPr>
        <w:spacing w:after="20" w:line="240" w:lineRule="auto"/>
        <w:ind w:right="567"/>
        <w:rPr>
          <w:rFonts w:eastAsia="Times New Roman" w:cs="Calibri"/>
          <w:b/>
          <w:color w:val="6691AB"/>
        </w:rPr>
      </w:pPr>
    </w:p>
    <w:p w:rsidR="002F5C0D" w:rsidRPr="00CA1243" w:rsidRDefault="00CA1243" w:rsidP="00FA0F02">
      <w:pPr>
        <w:spacing w:after="20" w:line="240" w:lineRule="auto"/>
        <w:ind w:left="-426" w:right="567"/>
        <w:rPr>
          <w:rFonts w:eastAsia="Times New Roman" w:cs="Calibri"/>
          <w:b/>
          <w:color w:val="6691AB"/>
        </w:rPr>
      </w:pPr>
      <w:r>
        <w:rPr>
          <w:rFonts w:eastAsia="Times New Roman" w:cs="Calibri"/>
          <w:b/>
          <w:color w:val="6691AB"/>
        </w:rPr>
        <w:t>ΚεφαλαιακήΘέση</w:t>
      </w:r>
      <w:r w:rsidRPr="005C747D">
        <w:rPr>
          <w:rFonts w:eastAsia="Times New Roman" w:cs="Calibri"/>
          <w:b/>
          <w:color w:val="6691AB"/>
        </w:rPr>
        <w:t>&amp;</w:t>
      </w:r>
      <w:r>
        <w:rPr>
          <w:rFonts w:eastAsia="Times New Roman" w:cs="Calibri"/>
          <w:b/>
          <w:color w:val="6691AB"/>
        </w:rPr>
        <w:t>ΠροφίλΡευστότητας</w:t>
      </w:r>
      <w:r w:rsidRPr="00CC35AB">
        <w:rPr>
          <w:rFonts w:eastAsia="Times New Roman" w:cs="Calibri"/>
          <w:b/>
          <w:color w:val="6691AB"/>
        </w:rPr>
        <w:t xml:space="preserve">, </w:t>
      </w:r>
      <w:r>
        <w:rPr>
          <w:rFonts w:eastAsia="Times New Roman" w:cs="Calibri"/>
          <w:b/>
          <w:color w:val="6691AB"/>
        </w:rPr>
        <w:t>Εξελίξεις Χαρτοφυλακίου Μ</w:t>
      </w:r>
      <w:r w:rsidR="00181CCF">
        <w:rPr>
          <w:rFonts w:eastAsia="Times New Roman" w:cs="Calibri"/>
          <w:b/>
          <w:color w:val="6691AB"/>
        </w:rPr>
        <w:t xml:space="preserve">η </w:t>
      </w:r>
      <w:r>
        <w:rPr>
          <w:rFonts w:eastAsia="Times New Roman" w:cs="Calibri"/>
          <w:b/>
          <w:color w:val="6691AB"/>
        </w:rPr>
        <w:t>Ε</w:t>
      </w:r>
      <w:r w:rsidR="00181CCF">
        <w:rPr>
          <w:rFonts w:eastAsia="Times New Roman" w:cs="Calibri"/>
          <w:b/>
          <w:color w:val="6691AB"/>
        </w:rPr>
        <w:t xml:space="preserve">ξυπηρετούμενων </w:t>
      </w:r>
      <w:r>
        <w:rPr>
          <w:rFonts w:eastAsia="Times New Roman" w:cs="Calibri"/>
          <w:b/>
          <w:color w:val="6691AB"/>
        </w:rPr>
        <w:t>Α</w:t>
      </w:r>
      <w:r w:rsidR="00181CCF">
        <w:rPr>
          <w:rFonts w:eastAsia="Times New Roman" w:cs="Calibri"/>
          <w:b/>
          <w:color w:val="6691AB"/>
        </w:rPr>
        <w:t>νοιγμάτων (ΜΕΑ)</w:t>
      </w:r>
    </w:p>
    <w:p w:rsidR="00FA0F02" w:rsidRPr="001B3C38" w:rsidRDefault="00FA0F02" w:rsidP="001B3C38">
      <w:pPr>
        <w:pStyle w:val="a6"/>
        <w:numPr>
          <w:ilvl w:val="0"/>
          <w:numId w:val="15"/>
        </w:numPr>
        <w:spacing w:before="60" w:line="260" w:lineRule="exact"/>
        <w:ind w:left="-142" w:right="567" w:hanging="284"/>
        <w:contextualSpacing w:val="0"/>
        <w:jc w:val="both"/>
        <w:rPr>
          <w:rFonts w:cs="Calibri"/>
          <w:sz w:val="18"/>
          <w:szCs w:val="18"/>
          <w:lang w:val="el-GR"/>
        </w:rPr>
      </w:pPr>
      <w:r w:rsidRPr="001B3C38">
        <w:rPr>
          <w:rFonts w:cs="Calibri"/>
          <w:sz w:val="18"/>
          <w:szCs w:val="18"/>
          <w:lang w:val="el-GR"/>
        </w:rPr>
        <w:t>Συνολικός δείκτης κεφαλαιακής επάρκειας στο 16,0%, δείκτης CET-1 στο 14,0%</w:t>
      </w:r>
    </w:p>
    <w:p w:rsidR="00FA0F02" w:rsidRPr="001B3C38" w:rsidRDefault="00FA0F02" w:rsidP="001B3C38">
      <w:pPr>
        <w:pStyle w:val="a6"/>
        <w:numPr>
          <w:ilvl w:val="0"/>
          <w:numId w:val="15"/>
        </w:numPr>
        <w:spacing w:before="60" w:line="260" w:lineRule="exact"/>
        <w:ind w:left="-142" w:right="567" w:hanging="284"/>
        <w:contextualSpacing w:val="0"/>
        <w:jc w:val="both"/>
        <w:rPr>
          <w:rFonts w:cs="Calibri"/>
          <w:sz w:val="18"/>
          <w:szCs w:val="18"/>
          <w:lang w:val="el-GR"/>
        </w:rPr>
      </w:pPr>
      <w:r>
        <w:rPr>
          <w:rFonts w:cs="Calibri"/>
          <w:sz w:val="18"/>
          <w:szCs w:val="18"/>
          <w:lang w:val="el-GR"/>
        </w:rPr>
        <w:t>Ισχυρός δ</w:t>
      </w:r>
      <w:r w:rsidRPr="008D2070">
        <w:rPr>
          <w:rFonts w:cs="Calibri"/>
          <w:sz w:val="18"/>
          <w:szCs w:val="18"/>
          <w:lang w:val="el-GR"/>
        </w:rPr>
        <w:t>είκτης</w:t>
      </w:r>
      <w:r>
        <w:rPr>
          <w:rFonts w:cs="Calibri"/>
          <w:sz w:val="18"/>
          <w:szCs w:val="18"/>
          <w:lang w:val="el-GR"/>
        </w:rPr>
        <w:t>κ</w:t>
      </w:r>
      <w:r w:rsidRPr="008D2070">
        <w:rPr>
          <w:rFonts w:cs="Calibri"/>
          <w:sz w:val="18"/>
          <w:szCs w:val="18"/>
          <w:lang w:val="el-GR"/>
        </w:rPr>
        <w:t>άλυψης</w:t>
      </w:r>
      <w:r>
        <w:rPr>
          <w:rFonts w:cs="Calibri"/>
          <w:sz w:val="18"/>
          <w:szCs w:val="18"/>
          <w:lang w:val="el-GR"/>
        </w:rPr>
        <w:t>ρ</w:t>
      </w:r>
      <w:r w:rsidRPr="008D2070">
        <w:rPr>
          <w:rFonts w:cs="Calibri"/>
          <w:sz w:val="18"/>
          <w:szCs w:val="18"/>
          <w:lang w:val="el-GR"/>
        </w:rPr>
        <w:t>ευστότητας</w:t>
      </w:r>
      <w:r w:rsidRPr="001B3C38">
        <w:rPr>
          <w:rFonts w:cs="Calibri"/>
          <w:sz w:val="18"/>
          <w:szCs w:val="18"/>
          <w:lang w:val="el-GR"/>
        </w:rPr>
        <w:t>στο 169%, δ</w:t>
      </w:r>
      <w:r w:rsidRPr="008D2070">
        <w:rPr>
          <w:rFonts w:cs="Calibri"/>
          <w:sz w:val="18"/>
          <w:szCs w:val="18"/>
          <w:lang w:val="el-GR"/>
        </w:rPr>
        <w:t xml:space="preserve">είκτης δανείων προς καταθέσεις </w:t>
      </w:r>
      <w:r>
        <w:rPr>
          <w:rFonts w:cs="Calibri"/>
          <w:sz w:val="18"/>
          <w:szCs w:val="18"/>
          <w:lang w:val="el-GR"/>
        </w:rPr>
        <w:t xml:space="preserve">στο </w:t>
      </w:r>
      <w:r w:rsidRPr="001B3C38">
        <w:rPr>
          <w:rFonts w:cs="Calibri"/>
          <w:sz w:val="18"/>
          <w:szCs w:val="18"/>
          <w:lang w:val="el-GR"/>
        </w:rPr>
        <w:t>83%</w:t>
      </w:r>
    </w:p>
    <w:p w:rsidR="00FA0F02" w:rsidRDefault="00FA0F02" w:rsidP="001B3C38">
      <w:pPr>
        <w:pStyle w:val="a6"/>
        <w:numPr>
          <w:ilvl w:val="0"/>
          <w:numId w:val="15"/>
        </w:numPr>
        <w:spacing w:before="60" w:line="260" w:lineRule="exact"/>
        <w:ind w:left="-142" w:right="567" w:hanging="284"/>
        <w:contextualSpacing w:val="0"/>
        <w:jc w:val="both"/>
        <w:rPr>
          <w:rFonts w:cs="Calibri"/>
          <w:sz w:val="18"/>
          <w:szCs w:val="18"/>
          <w:lang w:val="el-GR"/>
        </w:rPr>
      </w:pPr>
      <w:r>
        <w:rPr>
          <w:rFonts w:cs="Calibri"/>
          <w:sz w:val="18"/>
          <w:szCs w:val="18"/>
          <w:lang w:val="el-GR"/>
        </w:rPr>
        <w:t>Η οργανική μείωση των ΜΕΑ συνεχίστηκε με αμείωτη ένταση €1,1δι</w:t>
      </w:r>
      <w:r w:rsidR="00F43416">
        <w:rPr>
          <w:rFonts w:cs="Calibri"/>
          <w:sz w:val="18"/>
          <w:szCs w:val="18"/>
          <w:lang w:val="el-GR"/>
        </w:rPr>
        <w:t>σ.</w:t>
      </w:r>
      <w:r w:rsidR="006A606F">
        <w:rPr>
          <w:rFonts w:cs="Calibri"/>
          <w:sz w:val="18"/>
          <w:szCs w:val="18"/>
          <w:lang w:val="el-GR"/>
        </w:rPr>
        <w:t xml:space="preserve"> από  την αρχή του έτους</w:t>
      </w:r>
    </w:p>
    <w:p w:rsidR="00FA0F02" w:rsidRDefault="001B3C38" w:rsidP="001B3C38">
      <w:pPr>
        <w:pStyle w:val="a6"/>
        <w:numPr>
          <w:ilvl w:val="0"/>
          <w:numId w:val="15"/>
        </w:numPr>
        <w:spacing w:before="60" w:line="260" w:lineRule="exact"/>
        <w:ind w:left="-142" w:right="567" w:hanging="284"/>
        <w:contextualSpacing w:val="0"/>
        <w:jc w:val="both"/>
        <w:rPr>
          <w:rFonts w:cs="Calibri"/>
          <w:sz w:val="18"/>
          <w:szCs w:val="18"/>
          <w:lang w:val="el-GR"/>
        </w:rPr>
      </w:pPr>
      <w:r>
        <w:rPr>
          <w:rFonts w:cs="Calibri"/>
          <w:sz w:val="18"/>
          <w:szCs w:val="18"/>
          <w:lang w:val="el-GR"/>
        </w:rPr>
        <w:t>Δ</w:t>
      </w:r>
      <w:r w:rsidR="00FA0F02">
        <w:rPr>
          <w:rFonts w:cs="Calibri"/>
          <w:sz w:val="18"/>
          <w:szCs w:val="18"/>
          <w:lang w:val="el-GR"/>
        </w:rPr>
        <w:t>εσμευτική προσφορά για €0</w:t>
      </w:r>
      <w:r w:rsidR="00F43416">
        <w:rPr>
          <w:rFonts w:cs="Calibri"/>
          <w:sz w:val="18"/>
          <w:szCs w:val="18"/>
          <w:lang w:val="el-GR"/>
        </w:rPr>
        <w:t>,</w:t>
      </w:r>
      <w:r w:rsidR="00FA0F02">
        <w:rPr>
          <w:rFonts w:cs="Calibri"/>
          <w:sz w:val="18"/>
          <w:szCs w:val="18"/>
          <w:lang w:val="el-GR"/>
        </w:rPr>
        <w:t>6</w:t>
      </w:r>
      <w:r w:rsidR="00F43416">
        <w:rPr>
          <w:rFonts w:cs="Calibri"/>
          <w:sz w:val="18"/>
          <w:szCs w:val="18"/>
          <w:lang w:val="el-GR"/>
        </w:rPr>
        <w:t>δισ.</w:t>
      </w:r>
      <w:r w:rsidR="002F1E93">
        <w:rPr>
          <w:rFonts w:cs="Calibri"/>
          <w:sz w:val="18"/>
          <w:szCs w:val="18"/>
          <w:lang w:val="el-GR"/>
        </w:rPr>
        <w:t>χαρτοφυλάκιο</w:t>
      </w:r>
      <w:r w:rsidR="00FA0F02">
        <w:rPr>
          <w:rFonts w:cs="Calibri"/>
          <w:sz w:val="18"/>
          <w:szCs w:val="18"/>
          <w:lang w:val="el-GR"/>
        </w:rPr>
        <w:t xml:space="preserve"> ΜΕΑ </w:t>
      </w:r>
      <w:r>
        <w:rPr>
          <w:rFonts w:cs="Calibri"/>
          <w:sz w:val="18"/>
          <w:szCs w:val="18"/>
          <w:lang w:val="el-GR"/>
        </w:rPr>
        <w:t>άνευ εξασφαλίσεων (</w:t>
      </w:r>
      <w:r w:rsidR="00FA0F02" w:rsidRPr="001B3C38">
        <w:rPr>
          <w:rFonts w:cs="Calibri"/>
          <w:sz w:val="18"/>
          <w:szCs w:val="18"/>
          <w:lang w:val="el-GR"/>
        </w:rPr>
        <w:t>Iris</w:t>
      </w:r>
      <w:r>
        <w:rPr>
          <w:rFonts w:cs="Calibri"/>
          <w:sz w:val="18"/>
          <w:szCs w:val="18"/>
          <w:lang w:val="el-GR"/>
        </w:rPr>
        <w:t>)</w:t>
      </w:r>
    </w:p>
    <w:p w:rsidR="00CF7901" w:rsidRPr="00D728DC" w:rsidRDefault="00CF7901" w:rsidP="000F50B5">
      <w:pPr>
        <w:pStyle w:val="a6"/>
        <w:spacing w:before="60" w:line="260" w:lineRule="exact"/>
        <w:ind w:left="-142" w:right="425"/>
        <w:contextualSpacing w:val="0"/>
        <w:rPr>
          <w:rFonts w:eastAsia="Times New Roman" w:cs="Calibri"/>
          <w:b/>
          <w:color w:val="FF0000"/>
          <w:sz w:val="28"/>
          <w:szCs w:val="28"/>
          <w:lang w:val="el-GR"/>
        </w:rPr>
      </w:pPr>
      <w:r w:rsidRPr="00D728DC">
        <w:rPr>
          <w:rFonts w:eastAsia="Times New Roman" w:cs="Calibri"/>
          <w:color w:val="FF0000"/>
          <w:sz w:val="28"/>
          <w:szCs w:val="28"/>
          <w:lang w:val="el-GR"/>
        </w:rPr>
        <w:br w:type="page"/>
      </w:r>
      <w:r w:rsidR="009042C1" w:rsidRPr="00D728DC">
        <w:rPr>
          <w:rFonts w:eastAsia="Times New Roman" w:cs="Calibri"/>
          <w:b/>
          <w:color w:val="6691AB"/>
          <w:sz w:val="28"/>
          <w:szCs w:val="28"/>
          <w:lang w:val="el-GR"/>
        </w:rPr>
        <w:lastRenderedPageBreak/>
        <w:t xml:space="preserve">Δήλωση Διοίκησης </w:t>
      </w:r>
    </w:p>
    <w:p w:rsidR="00B413BA" w:rsidRPr="004745C0" w:rsidRDefault="009D3FB1" w:rsidP="008609A9">
      <w:pPr>
        <w:spacing w:after="120" w:line="260" w:lineRule="exact"/>
        <w:jc w:val="both"/>
        <w:rPr>
          <w:rFonts w:ascii="Calibri" w:hAnsi="Calibri" w:cs="Calibri"/>
          <w:i/>
          <w:color w:val="FF0000"/>
          <w:sz w:val="18"/>
          <w:szCs w:val="18"/>
        </w:rPr>
      </w:pPr>
      <w:r w:rsidRPr="009D3FB1">
        <w:rPr>
          <w:rFonts w:eastAsia="Times New Roman" w:cs="Calibri"/>
          <w:b/>
          <w:noProof/>
          <w:color w:val="FF0000"/>
          <w:sz w:val="28"/>
          <w:szCs w:val="28"/>
          <w:lang w:eastAsia="el-GR"/>
        </w:rPr>
        <w:pict>
          <v:rect id="_x0000_s1028" style="position:absolute;left:0;text-align:left;margin-left:0;margin-top:26.25pt;width:569.4pt;height:609pt;z-index:-2515865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" fillcolor="#e6e6e1" stroked="f">
            <o:lock v:ext="edit" aspectratio="t"/>
            <v:textbox>
              <w:txbxContent>
                <w:p w:rsidR="002F1E93" w:rsidRDefault="002F1E93" w:rsidP="00C462AC"/>
              </w:txbxContent>
            </v:textbox>
            <w10:wrap anchorx="page"/>
          </v:rect>
        </w:pict>
      </w:r>
    </w:p>
    <w:p w:rsidR="00667D6E" w:rsidRPr="004745C0" w:rsidRDefault="00667D6E" w:rsidP="00B933AD">
      <w:pPr>
        <w:spacing w:line="260" w:lineRule="exact"/>
        <w:jc w:val="both"/>
        <w:rPr>
          <w:rFonts w:ascii="Calibri" w:hAnsi="Calibri" w:cs="Calibri"/>
          <w:i/>
          <w:color w:val="FF0000"/>
          <w:sz w:val="20"/>
          <w:szCs w:val="20"/>
        </w:rPr>
      </w:pPr>
    </w:p>
    <w:p w:rsidR="00FA0F02" w:rsidRDefault="00FA0F02" w:rsidP="00FA0F02">
      <w:pPr>
        <w:spacing w:after="40" w:line="240" w:lineRule="exact"/>
        <w:jc w:val="both"/>
        <w:rPr>
          <w:i/>
          <w:iCs/>
          <w:sz w:val="18"/>
          <w:szCs w:val="18"/>
        </w:rPr>
      </w:pPr>
      <w:r w:rsidRPr="0050573F">
        <w:rPr>
          <w:i/>
          <w:iCs/>
          <w:sz w:val="18"/>
          <w:szCs w:val="18"/>
        </w:rPr>
        <w:t xml:space="preserve">«Στο δεύτερο τρίμηνο του έτους, αντιμετωπίσαμε </w:t>
      </w:r>
      <w:r w:rsidR="00CE6D49">
        <w:rPr>
          <w:i/>
          <w:iCs/>
          <w:sz w:val="18"/>
          <w:szCs w:val="18"/>
        </w:rPr>
        <w:t xml:space="preserve">αυτό που ελπίζουμε να ήταν </w:t>
      </w:r>
      <w:r w:rsidRPr="0050573F">
        <w:rPr>
          <w:i/>
          <w:iCs/>
          <w:sz w:val="18"/>
          <w:szCs w:val="18"/>
        </w:rPr>
        <w:t>η κορύφωση της πανδημικής κρίσης</w:t>
      </w:r>
      <w:r w:rsidR="00CE6D49">
        <w:rPr>
          <w:i/>
          <w:iCs/>
          <w:sz w:val="18"/>
          <w:szCs w:val="18"/>
        </w:rPr>
        <w:t>,</w:t>
      </w:r>
      <w:r w:rsidRPr="0050573F">
        <w:rPr>
          <w:i/>
          <w:iCs/>
          <w:sz w:val="18"/>
          <w:szCs w:val="18"/>
        </w:rPr>
        <w:t xml:space="preserve"> όσο και τη σταδιακή άρση των περιοριστικών μέτρων, ενώ τον Ιούνιο επιταχύνθηκε η επανεκκίνηση </w:t>
      </w:r>
      <w:r w:rsidR="008C0A65">
        <w:rPr>
          <w:i/>
          <w:iCs/>
          <w:sz w:val="18"/>
          <w:szCs w:val="18"/>
        </w:rPr>
        <w:t xml:space="preserve">των περισσότερων από τους τομείς </w:t>
      </w:r>
      <w:r w:rsidRPr="0050573F">
        <w:rPr>
          <w:i/>
          <w:iCs/>
          <w:sz w:val="18"/>
          <w:szCs w:val="18"/>
        </w:rPr>
        <w:t>της οικονομίας. Στη διάρκεια αυτής της περιόδου, συνεχίσαμε να δίνουμε τη μέγιστη έμφαση στην ασφάλεια των εργαζομένων και των πελατών μας.</w:t>
      </w:r>
    </w:p>
    <w:p w:rsidR="00FA0F02" w:rsidRPr="0050573F" w:rsidRDefault="00FA0F02" w:rsidP="00FA0F02">
      <w:pPr>
        <w:spacing w:after="40" w:line="240" w:lineRule="exact"/>
        <w:jc w:val="both"/>
        <w:rPr>
          <w:i/>
          <w:iCs/>
          <w:sz w:val="18"/>
          <w:szCs w:val="18"/>
        </w:rPr>
      </w:pPr>
    </w:p>
    <w:p w:rsidR="00FA0F02" w:rsidRDefault="008C0A65" w:rsidP="00FA0F02">
      <w:pPr>
        <w:spacing w:after="40" w:line="240" w:lineRule="exact"/>
        <w:jc w:val="both"/>
        <w:rPr>
          <w:i/>
          <w:iCs/>
          <w:sz w:val="18"/>
          <w:szCs w:val="18"/>
        </w:rPr>
      </w:pPr>
      <w:r>
        <w:rPr>
          <w:i/>
          <w:iCs/>
          <w:sz w:val="18"/>
          <w:szCs w:val="18"/>
        </w:rPr>
        <w:t>Η</w:t>
      </w:r>
      <w:r w:rsidR="00FA0F02" w:rsidRPr="0050573F">
        <w:rPr>
          <w:i/>
          <w:iCs/>
          <w:sz w:val="18"/>
          <w:szCs w:val="18"/>
        </w:rPr>
        <w:t xml:space="preserve"> Τράπεζα Πειραιώς παρείχε στήριξη στους πελάτες </w:t>
      </w:r>
      <w:r>
        <w:rPr>
          <w:i/>
          <w:iCs/>
          <w:sz w:val="18"/>
          <w:szCs w:val="18"/>
        </w:rPr>
        <w:t>της,</w:t>
      </w:r>
      <w:r w:rsidR="00FA0F02" w:rsidRPr="0050573F">
        <w:rPr>
          <w:i/>
          <w:iCs/>
          <w:sz w:val="18"/>
          <w:szCs w:val="18"/>
        </w:rPr>
        <w:t xml:space="preserve"> χορηγώντας νέα δάνεια ύψους €3</w:t>
      </w:r>
      <w:r w:rsidR="00F43416">
        <w:rPr>
          <w:i/>
          <w:iCs/>
          <w:sz w:val="18"/>
          <w:szCs w:val="18"/>
        </w:rPr>
        <w:t>,</w:t>
      </w:r>
      <w:r>
        <w:rPr>
          <w:i/>
          <w:iCs/>
          <w:sz w:val="18"/>
          <w:szCs w:val="18"/>
        </w:rPr>
        <w:t>5</w:t>
      </w:r>
      <w:r w:rsidR="00FA0F02" w:rsidRPr="0050573F">
        <w:rPr>
          <w:i/>
          <w:iCs/>
          <w:sz w:val="18"/>
          <w:szCs w:val="18"/>
        </w:rPr>
        <w:t>δι</w:t>
      </w:r>
      <w:r w:rsidR="00F43416">
        <w:rPr>
          <w:i/>
          <w:iCs/>
          <w:sz w:val="18"/>
          <w:szCs w:val="18"/>
        </w:rPr>
        <w:t>σ.</w:t>
      </w:r>
      <w:r w:rsidR="00FA0F02" w:rsidRPr="0050573F">
        <w:rPr>
          <w:i/>
          <w:iCs/>
          <w:sz w:val="18"/>
          <w:szCs w:val="18"/>
        </w:rPr>
        <w:t xml:space="preserve"> από την αρχή του έτους, καλύπτοντας την αυξημένη ζήτηση πιστώσεων. Σε συνεργασία με την Ελληνική Αναπτυξιακή Τράπεζα, η Τράπεζα </w:t>
      </w:r>
      <w:r>
        <w:rPr>
          <w:i/>
          <w:iCs/>
          <w:sz w:val="18"/>
          <w:szCs w:val="18"/>
        </w:rPr>
        <w:t xml:space="preserve">Πειραιώς </w:t>
      </w:r>
      <w:r w:rsidR="00FA0F02" w:rsidRPr="0050573F">
        <w:rPr>
          <w:i/>
          <w:iCs/>
          <w:sz w:val="18"/>
          <w:szCs w:val="18"/>
        </w:rPr>
        <w:t>συμμετείχε στο «</w:t>
      </w:r>
      <w:r>
        <w:rPr>
          <w:i/>
          <w:iCs/>
          <w:sz w:val="18"/>
          <w:szCs w:val="18"/>
        </w:rPr>
        <w:t xml:space="preserve">Εγγυοδοτικό Ταμείο </w:t>
      </w:r>
      <w:r w:rsidR="00FA0F02" w:rsidRPr="0050573F">
        <w:rPr>
          <w:i/>
          <w:iCs/>
          <w:sz w:val="18"/>
          <w:szCs w:val="18"/>
        </w:rPr>
        <w:t xml:space="preserve">για το Covid-19», στοχεύοντας στην ενίσχυση </w:t>
      </w:r>
      <w:r>
        <w:rPr>
          <w:i/>
          <w:iCs/>
          <w:sz w:val="18"/>
          <w:szCs w:val="18"/>
        </w:rPr>
        <w:t xml:space="preserve">μικρών, μεσαίων </w:t>
      </w:r>
      <w:r w:rsidR="00FA0F02" w:rsidRPr="0050573F">
        <w:rPr>
          <w:i/>
          <w:iCs/>
          <w:sz w:val="18"/>
          <w:szCs w:val="18"/>
        </w:rPr>
        <w:t xml:space="preserve">και </w:t>
      </w:r>
      <w:r>
        <w:rPr>
          <w:i/>
          <w:iCs/>
          <w:sz w:val="18"/>
          <w:szCs w:val="18"/>
        </w:rPr>
        <w:t>μ</w:t>
      </w:r>
      <w:r w:rsidR="00FA0F02" w:rsidRPr="0050573F">
        <w:rPr>
          <w:i/>
          <w:iCs/>
          <w:sz w:val="18"/>
          <w:szCs w:val="18"/>
        </w:rPr>
        <w:t xml:space="preserve">εγάλων </w:t>
      </w:r>
      <w:r>
        <w:rPr>
          <w:i/>
          <w:iCs/>
          <w:sz w:val="18"/>
          <w:szCs w:val="18"/>
        </w:rPr>
        <w:t>ε</w:t>
      </w:r>
      <w:r w:rsidR="00FA0F02" w:rsidRPr="0050573F">
        <w:rPr>
          <w:i/>
          <w:iCs/>
          <w:sz w:val="18"/>
          <w:szCs w:val="18"/>
        </w:rPr>
        <w:t>πιχειρήσεων, παρέχοντας δάνεια κεφαλαίου κίνησης ύψους €1,0δι</w:t>
      </w:r>
      <w:r w:rsidR="00F43416">
        <w:rPr>
          <w:i/>
          <w:iCs/>
          <w:sz w:val="18"/>
          <w:szCs w:val="18"/>
        </w:rPr>
        <w:t>σ.</w:t>
      </w:r>
      <w:r w:rsidR="00FA0F02" w:rsidRPr="0050573F">
        <w:rPr>
          <w:i/>
          <w:iCs/>
          <w:sz w:val="18"/>
          <w:szCs w:val="18"/>
        </w:rPr>
        <w:t>, καθώς και στο πρόγραμμα χρηματοδότησης «Ταμείο Επιχειρηματικότητας ΙΙ», παρέχοντας χρηματοδότηση ύψους €0,4δι</w:t>
      </w:r>
      <w:r w:rsidR="00F43416">
        <w:rPr>
          <w:i/>
          <w:iCs/>
          <w:sz w:val="18"/>
          <w:szCs w:val="18"/>
        </w:rPr>
        <w:t>σ</w:t>
      </w:r>
      <w:r w:rsidR="00FA0F02" w:rsidRPr="0050573F">
        <w:rPr>
          <w:i/>
          <w:iCs/>
          <w:sz w:val="18"/>
          <w:szCs w:val="18"/>
        </w:rPr>
        <w:t xml:space="preserve">. Επιπλέον, η Τράπεζα </w:t>
      </w:r>
      <w:r w:rsidR="00024A56">
        <w:rPr>
          <w:i/>
          <w:iCs/>
          <w:sz w:val="18"/>
          <w:szCs w:val="18"/>
        </w:rPr>
        <w:t xml:space="preserve">έχει προετοιμαστεί </w:t>
      </w:r>
      <w:r w:rsidR="00FA0F02" w:rsidRPr="0050573F">
        <w:rPr>
          <w:i/>
          <w:iCs/>
          <w:sz w:val="18"/>
          <w:szCs w:val="18"/>
        </w:rPr>
        <w:t xml:space="preserve">για το νέο πρόγραμμα επιδότησης δόσεων στεγαστικών δανείων πρώτης κατοικίας για δανειολήπτες που έχουν επηρεαστεί από την πανδημία. Δάνεια </w:t>
      </w:r>
      <w:r>
        <w:rPr>
          <w:i/>
          <w:iCs/>
          <w:sz w:val="18"/>
          <w:szCs w:val="18"/>
        </w:rPr>
        <w:t xml:space="preserve">ενήμερων </w:t>
      </w:r>
      <w:r w:rsidR="00FA0F02" w:rsidRPr="0050573F">
        <w:rPr>
          <w:i/>
          <w:iCs/>
          <w:sz w:val="18"/>
          <w:szCs w:val="18"/>
        </w:rPr>
        <w:t>πελατών ύψους €4 δι</w:t>
      </w:r>
      <w:r w:rsidR="00F43416">
        <w:rPr>
          <w:i/>
          <w:iCs/>
          <w:sz w:val="18"/>
          <w:szCs w:val="18"/>
        </w:rPr>
        <w:t>σ.</w:t>
      </w:r>
      <w:r>
        <w:rPr>
          <w:i/>
          <w:iCs/>
          <w:sz w:val="18"/>
          <w:szCs w:val="18"/>
        </w:rPr>
        <w:t xml:space="preserve">έχουν ενταχθεί σε </w:t>
      </w:r>
      <w:r w:rsidR="00FA0F02" w:rsidRPr="0050573F">
        <w:rPr>
          <w:i/>
          <w:iCs/>
          <w:sz w:val="18"/>
          <w:szCs w:val="18"/>
        </w:rPr>
        <w:t xml:space="preserve">προγράμματα αναστολής καταβολής οφειλών. </w:t>
      </w:r>
      <w:r>
        <w:rPr>
          <w:i/>
          <w:iCs/>
          <w:sz w:val="18"/>
          <w:szCs w:val="18"/>
        </w:rPr>
        <w:t xml:space="preserve">Η </w:t>
      </w:r>
      <w:r w:rsidR="00FA0F02" w:rsidRPr="0050573F">
        <w:rPr>
          <w:i/>
          <w:iCs/>
          <w:sz w:val="18"/>
          <w:szCs w:val="18"/>
        </w:rPr>
        <w:t xml:space="preserve">ζήτηση για αναστολή καταβολής οφειλών σταδιακά περιορίζεται, λαμβάνοντας υπόψη </w:t>
      </w:r>
      <w:r>
        <w:rPr>
          <w:i/>
          <w:iCs/>
          <w:sz w:val="18"/>
          <w:szCs w:val="18"/>
        </w:rPr>
        <w:t xml:space="preserve">και </w:t>
      </w:r>
      <w:r w:rsidR="00FA0F02" w:rsidRPr="0050573F">
        <w:rPr>
          <w:i/>
          <w:iCs/>
          <w:sz w:val="18"/>
          <w:szCs w:val="18"/>
        </w:rPr>
        <w:t xml:space="preserve">τις </w:t>
      </w:r>
      <w:r>
        <w:rPr>
          <w:i/>
          <w:iCs/>
          <w:sz w:val="18"/>
          <w:szCs w:val="18"/>
        </w:rPr>
        <w:t xml:space="preserve">εναλλακτικές δυνατότητες </w:t>
      </w:r>
      <w:r w:rsidR="00FA0F02" w:rsidRPr="0050573F">
        <w:rPr>
          <w:i/>
          <w:iCs/>
          <w:sz w:val="18"/>
          <w:szCs w:val="18"/>
        </w:rPr>
        <w:t xml:space="preserve">που </w:t>
      </w:r>
      <w:r>
        <w:rPr>
          <w:i/>
          <w:iCs/>
          <w:sz w:val="18"/>
          <w:szCs w:val="18"/>
        </w:rPr>
        <w:t>διατίθενται μέσω των κρατικών προγραμμάτων στήριξης</w:t>
      </w:r>
      <w:r w:rsidR="00FA0F02" w:rsidRPr="0050573F">
        <w:rPr>
          <w:i/>
          <w:iCs/>
          <w:sz w:val="18"/>
          <w:szCs w:val="18"/>
        </w:rPr>
        <w:t xml:space="preserve">. </w:t>
      </w:r>
    </w:p>
    <w:p w:rsidR="00FA0F02" w:rsidRPr="0050573F" w:rsidRDefault="00FA0F02" w:rsidP="00FA0F02">
      <w:pPr>
        <w:spacing w:after="40" w:line="240" w:lineRule="exact"/>
        <w:jc w:val="both"/>
        <w:rPr>
          <w:i/>
          <w:iCs/>
          <w:sz w:val="18"/>
          <w:szCs w:val="18"/>
        </w:rPr>
      </w:pPr>
    </w:p>
    <w:p w:rsidR="00FA0F02" w:rsidRDefault="00FA0F02" w:rsidP="00FA0F02">
      <w:pPr>
        <w:spacing w:after="40" w:line="240" w:lineRule="exact"/>
        <w:jc w:val="both"/>
        <w:rPr>
          <w:i/>
          <w:iCs/>
          <w:sz w:val="18"/>
          <w:szCs w:val="18"/>
        </w:rPr>
      </w:pPr>
      <w:r w:rsidRPr="0050573F">
        <w:rPr>
          <w:i/>
          <w:iCs/>
          <w:sz w:val="18"/>
          <w:szCs w:val="18"/>
        </w:rPr>
        <w:t>H ποιότητα του</w:t>
      </w:r>
      <w:r>
        <w:rPr>
          <w:i/>
          <w:iCs/>
          <w:sz w:val="18"/>
          <w:szCs w:val="18"/>
        </w:rPr>
        <w:t xml:space="preserve"> ενεργητικού διατηρήθηκε σε ικανοποιητικό επίπεδο</w:t>
      </w:r>
      <w:r w:rsidRPr="0050573F">
        <w:rPr>
          <w:i/>
          <w:iCs/>
          <w:sz w:val="18"/>
          <w:szCs w:val="18"/>
        </w:rPr>
        <w:t>, χάρις στα</w:t>
      </w:r>
      <w:r w:rsidR="00FA05E7">
        <w:rPr>
          <w:i/>
          <w:iCs/>
          <w:sz w:val="18"/>
          <w:szCs w:val="18"/>
        </w:rPr>
        <w:t xml:space="preserve"> προληπτικά μέτρα που ελήφθησαν</w:t>
      </w:r>
      <w:r w:rsidRPr="0050573F">
        <w:rPr>
          <w:i/>
          <w:iCs/>
          <w:sz w:val="18"/>
          <w:szCs w:val="18"/>
        </w:rPr>
        <w:t>. Κατά τη διάρκεια του δεύτερου τριμήνου του έτους</w:t>
      </w:r>
      <w:r w:rsidR="00181CCF">
        <w:rPr>
          <w:i/>
          <w:iCs/>
          <w:sz w:val="18"/>
          <w:szCs w:val="18"/>
        </w:rPr>
        <w:t>,</w:t>
      </w:r>
      <w:r w:rsidRPr="0050573F">
        <w:rPr>
          <w:i/>
          <w:iCs/>
          <w:sz w:val="18"/>
          <w:szCs w:val="18"/>
        </w:rPr>
        <w:t xml:space="preserve"> μειώσαμε το απόθεμα ΜΕΑ κατά €0,8</w:t>
      </w:r>
      <w:r w:rsidR="00F43416" w:rsidRPr="0050573F">
        <w:rPr>
          <w:i/>
          <w:iCs/>
          <w:sz w:val="18"/>
          <w:szCs w:val="18"/>
        </w:rPr>
        <w:t>δι</w:t>
      </w:r>
      <w:r w:rsidR="00F43416">
        <w:rPr>
          <w:i/>
          <w:iCs/>
          <w:sz w:val="18"/>
          <w:szCs w:val="18"/>
        </w:rPr>
        <w:t>σ.</w:t>
      </w:r>
      <w:r w:rsidRPr="0050573F">
        <w:rPr>
          <w:i/>
          <w:iCs/>
          <w:sz w:val="18"/>
          <w:szCs w:val="18"/>
        </w:rPr>
        <w:t xml:space="preserve"> Επιπλέον, συνεχίζουμε να εργαζόμαστε για το μη οργανικό τμήμα </w:t>
      </w:r>
      <w:r w:rsidR="00181CCF">
        <w:rPr>
          <w:i/>
          <w:iCs/>
          <w:sz w:val="18"/>
          <w:szCs w:val="18"/>
        </w:rPr>
        <w:t xml:space="preserve">της στρατηγικής μας για τη μείωση των </w:t>
      </w:r>
      <w:r w:rsidRPr="0050573F">
        <w:rPr>
          <w:i/>
          <w:iCs/>
          <w:sz w:val="18"/>
          <w:szCs w:val="18"/>
        </w:rPr>
        <w:t xml:space="preserve">ΜΕΑ. </w:t>
      </w:r>
      <w:r w:rsidR="00EF7D05">
        <w:rPr>
          <w:i/>
          <w:iCs/>
          <w:sz w:val="18"/>
          <w:szCs w:val="18"/>
        </w:rPr>
        <w:t>Αναφορικά</w:t>
      </w:r>
      <w:r w:rsidRPr="0050573F">
        <w:rPr>
          <w:i/>
          <w:iCs/>
          <w:sz w:val="18"/>
          <w:szCs w:val="18"/>
        </w:rPr>
        <w:t xml:space="preserve"> με την τιτλοποίηση </w:t>
      </w:r>
      <w:r>
        <w:rPr>
          <w:i/>
          <w:iCs/>
          <w:sz w:val="18"/>
          <w:szCs w:val="18"/>
        </w:rPr>
        <w:t xml:space="preserve">των </w:t>
      </w:r>
      <w:r w:rsidRPr="0050573F">
        <w:rPr>
          <w:i/>
          <w:iCs/>
          <w:sz w:val="18"/>
          <w:szCs w:val="18"/>
        </w:rPr>
        <w:t>στεγαστικών ΜΕΑ Phoenix (€2δι</w:t>
      </w:r>
      <w:r w:rsidR="00F43416">
        <w:rPr>
          <w:i/>
          <w:iCs/>
          <w:sz w:val="18"/>
          <w:szCs w:val="18"/>
        </w:rPr>
        <w:t>σ.</w:t>
      </w:r>
      <w:r w:rsidRPr="0050573F">
        <w:rPr>
          <w:i/>
          <w:iCs/>
          <w:sz w:val="18"/>
          <w:szCs w:val="18"/>
        </w:rPr>
        <w:t>),</w:t>
      </w:r>
      <w:r w:rsidR="00217D5F">
        <w:rPr>
          <w:i/>
          <w:iCs/>
          <w:sz w:val="18"/>
          <w:szCs w:val="18"/>
        </w:rPr>
        <w:t xml:space="preserve"> η </w:t>
      </w:r>
      <w:r w:rsidR="00FA05E7">
        <w:rPr>
          <w:i/>
          <w:iCs/>
          <w:sz w:val="18"/>
          <w:szCs w:val="18"/>
        </w:rPr>
        <w:t>προ</w:t>
      </w:r>
      <w:r w:rsidR="00181CCF">
        <w:rPr>
          <w:i/>
          <w:iCs/>
          <w:sz w:val="18"/>
          <w:szCs w:val="18"/>
        </w:rPr>
        <w:t>καταρκτική</w:t>
      </w:r>
      <w:r w:rsidR="00FA05E7">
        <w:rPr>
          <w:i/>
          <w:iCs/>
          <w:sz w:val="18"/>
          <w:szCs w:val="18"/>
        </w:rPr>
        <w:t xml:space="preserve"> αξιολόγηση </w:t>
      </w:r>
      <w:r w:rsidR="00181CCF">
        <w:rPr>
          <w:i/>
          <w:iCs/>
          <w:sz w:val="18"/>
          <w:szCs w:val="18"/>
        </w:rPr>
        <w:t xml:space="preserve">από οίκο πιστοληπτικής διαβάθμισης </w:t>
      </w:r>
      <w:r w:rsidR="00FA05E7">
        <w:rPr>
          <w:i/>
          <w:iCs/>
          <w:sz w:val="18"/>
          <w:szCs w:val="18"/>
        </w:rPr>
        <w:t xml:space="preserve">έχει </w:t>
      </w:r>
      <w:r w:rsidR="00181CCF">
        <w:rPr>
          <w:i/>
          <w:iCs/>
          <w:sz w:val="18"/>
          <w:szCs w:val="18"/>
        </w:rPr>
        <w:t xml:space="preserve">ολοκληρωθεί, </w:t>
      </w:r>
      <w:r w:rsidR="00FA05E7">
        <w:rPr>
          <w:i/>
          <w:iCs/>
          <w:sz w:val="18"/>
          <w:szCs w:val="18"/>
        </w:rPr>
        <w:t xml:space="preserve">επιβεβαιώνοντας </w:t>
      </w:r>
      <w:r w:rsidR="00217D5F">
        <w:rPr>
          <w:i/>
          <w:iCs/>
          <w:sz w:val="18"/>
          <w:szCs w:val="18"/>
        </w:rPr>
        <w:t xml:space="preserve">το </w:t>
      </w:r>
      <w:r w:rsidR="00181CCF">
        <w:rPr>
          <w:i/>
          <w:iCs/>
          <w:sz w:val="18"/>
          <w:szCs w:val="18"/>
        </w:rPr>
        <w:t xml:space="preserve">ύψος των </w:t>
      </w:r>
      <w:r w:rsidR="00181CCF" w:rsidRPr="003E2EED">
        <w:rPr>
          <w:i/>
          <w:iCs/>
          <w:sz w:val="18"/>
          <w:szCs w:val="18"/>
        </w:rPr>
        <w:t>senior</w:t>
      </w:r>
      <w:r w:rsidR="00181CCF">
        <w:rPr>
          <w:i/>
          <w:iCs/>
          <w:sz w:val="18"/>
          <w:szCs w:val="18"/>
        </w:rPr>
        <w:t>ομολογιών</w:t>
      </w:r>
      <w:r w:rsidR="00217D5F">
        <w:rPr>
          <w:i/>
          <w:iCs/>
          <w:sz w:val="18"/>
          <w:szCs w:val="18"/>
        </w:rPr>
        <w:t xml:space="preserve">, ενώ στη συναλλαγή </w:t>
      </w:r>
      <w:r w:rsidR="00217D5F" w:rsidRPr="003E2EED">
        <w:rPr>
          <w:i/>
          <w:iCs/>
          <w:sz w:val="18"/>
          <w:szCs w:val="18"/>
        </w:rPr>
        <w:t>Vega</w:t>
      </w:r>
      <w:r w:rsidR="00181CCF">
        <w:rPr>
          <w:i/>
          <w:iCs/>
          <w:sz w:val="18"/>
          <w:szCs w:val="18"/>
        </w:rPr>
        <w:t xml:space="preserve">ύψους </w:t>
      </w:r>
      <w:r w:rsidR="00217D5F">
        <w:rPr>
          <w:i/>
          <w:iCs/>
          <w:sz w:val="18"/>
          <w:szCs w:val="18"/>
        </w:rPr>
        <w:t>€5</w:t>
      </w:r>
      <w:r w:rsidR="00F43416" w:rsidRPr="0050573F">
        <w:rPr>
          <w:i/>
          <w:iCs/>
          <w:sz w:val="18"/>
          <w:szCs w:val="18"/>
        </w:rPr>
        <w:t>δι</w:t>
      </w:r>
      <w:r w:rsidR="00F43416">
        <w:rPr>
          <w:i/>
          <w:iCs/>
          <w:sz w:val="18"/>
          <w:szCs w:val="18"/>
        </w:rPr>
        <w:t>σ.</w:t>
      </w:r>
      <w:r w:rsidR="00217D5F">
        <w:rPr>
          <w:i/>
          <w:iCs/>
          <w:sz w:val="18"/>
          <w:szCs w:val="18"/>
        </w:rPr>
        <w:t xml:space="preserve">, το </w:t>
      </w:r>
      <w:r w:rsidR="00181CCF">
        <w:rPr>
          <w:i/>
          <w:iCs/>
          <w:sz w:val="18"/>
          <w:szCs w:val="18"/>
        </w:rPr>
        <w:t xml:space="preserve">απαιτούμενο </w:t>
      </w:r>
      <w:r w:rsidR="00217D5F">
        <w:rPr>
          <w:i/>
          <w:iCs/>
          <w:sz w:val="18"/>
          <w:szCs w:val="18"/>
        </w:rPr>
        <w:t>επιχειρηματικό σχέδιο και το στάδιο της προ</w:t>
      </w:r>
      <w:r w:rsidR="00181CCF">
        <w:rPr>
          <w:i/>
          <w:iCs/>
          <w:sz w:val="18"/>
          <w:szCs w:val="18"/>
        </w:rPr>
        <w:t xml:space="preserve">καταρκτικήςπιστοληπτικής </w:t>
      </w:r>
      <w:r w:rsidR="00217D5F">
        <w:rPr>
          <w:i/>
          <w:iCs/>
          <w:sz w:val="18"/>
          <w:szCs w:val="18"/>
        </w:rPr>
        <w:t xml:space="preserve">αξιολόγησης </w:t>
      </w:r>
      <w:r w:rsidR="00181CCF">
        <w:rPr>
          <w:i/>
          <w:iCs/>
          <w:sz w:val="18"/>
          <w:szCs w:val="18"/>
        </w:rPr>
        <w:t xml:space="preserve">βρίσκονται </w:t>
      </w:r>
      <w:r w:rsidR="00EF7D05">
        <w:rPr>
          <w:i/>
          <w:iCs/>
          <w:sz w:val="18"/>
          <w:szCs w:val="18"/>
        </w:rPr>
        <w:t>σε</w:t>
      </w:r>
      <w:r w:rsidR="00217D5F">
        <w:rPr>
          <w:i/>
          <w:iCs/>
          <w:sz w:val="18"/>
          <w:szCs w:val="18"/>
        </w:rPr>
        <w:t xml:space="preserve"> εξέλιξη.</w:t>
      </w:r>
      <w:r w:rsidR="00181CCF">
        <w:rPr>
          <w:i/>
          <w:iCs/>
          <w:sz w:val="18"/>
          <w:szCs w:val="18"/>
        </w:rPr>
        <w:t>Επιπλέον</w:t>
      </w:r>
      <w:r w:rsidRPr="0050573F">
        <w:rPr>
          <w:i/>
          <w:iCs/>
          <w:sz w:val="18"/>
          <w:szCs w:val="18"/>
        </w:rPr>
        <w:t xml:space="preserve">, </w:t>
      </w:r>
      <w:r w:rsidR="00217D5F">
        <w:rPr>
          <w:i/>
          <w:iCs/>
          <w:sz w:val="18"/>
          <w:szCs w:val="18"/>
        </w:rPr>
        <w:t xml:space="preserve">στο τέλος Ιουλίου </w:t>
      </w:r>
      <w:r w:rsidR="00181CCF">
        <w:rPr>
          <w:i/>
          <w:iCs/>
          <w:sz w:val="18"/>
          <w:szCs w:val="18"/>
        </w:rPr>
        <w:t xml:space="preserve">λάβαμε </w:t>
      </w:r>
      <w:r w:rsidRPr="0050573F">
        <w:rPr>
          <w:i/>
          <w:iCs/>
          <w:sz w:val="18"/>
          <w:szCs w:val="18"/>
        </w:rPr>
        <w:t>δεσμευτική προσφορά για το χωρίς εξασφαλίσεις χαρτοφυλάκιο ΜΕΑ Iris</w:t>
      </w:r>
      <w:r>
        <w:rPr>
          <w:i/>
          <w:iCs/>
          <w:sz w:val="18"/>
          <w:szCs w:val="18"/>
        </w:rPr>
        <w:t>,</w:t>
      </w:r>
      <w:r w:rsidRPr="0050573F">
        <w:rPr>
          <w:i/>
          <w:iCs/>
          <w:sz w:val="18"/>
          <w:szCs w:val="18"/>
        </w:rPr>
        <w:t xml:space="preserve"> ύψους €0</w:t>
      </w:r>
      <w:r w:rsidR="00F43416">
        <w:rPr>
          <w:i/>
          <w:iCs/>
          <w:sz w:val="18"/>
          <w:szCs w:val="18"/>
        </w:rPr>
        <w:t>,</w:t>
      </w:r>
      <w:r w:rsidRPr="0050573F">
        <w:rPr>
          <w:i/>
          <w:iCs/>
          <w:sz w:val="18"/>
          <w:szCs w:val="18"/>
        </w:rPr>
        <w:t>6</w:t>
      </w:r>
      <w:r w:rsidR="00F43416" w:rsidRPr="0050573F">
        <w:rPr>
          <w:i/>
          <w:iCs/>
          <w:sz w:val="18"/>
          <w:szCs w:val="18"/>
        </w:rPr>
        <w:t>δι</w:t>
      </w:r>
      <w:r w:rsidR="00F43416">
        <w:rPr>
          <w:i/>
          <w:iCs/>
          <w:sz w:val="18"/>
          <w:szCs w:val="18"/>
        </w:rPr>
        <w:t>σ.</w:t>
      </w:r>
    </w:p>
    <w:p w:rsidR="00FA0F02" w:rsidRPr="0050573F" w:rsidRDefault="00FA0F02" w:rsidP="00FA0F02">
      <w:pPr>
        <w:spacing w:after="40" w:line="240" w:lineRule="exact"/>
        <w:jc w:val="both"/>
        <w:rPr>
          <w:i/>
          <w:iCs/>
          <w:sz w:val="18"/>
          <w:szCs w:val="18"/>
        </w:rPr>
      </w:pPr>
    </w:p>
    <w:p w:rsidR="00FA0F02" w:rsidRDefault="00FA0F02" w:rsidP="00FA0F02">
      <w:pPr>
        <w:spacing w:after="40" w:line="240" w:lineRule="exact"/>
        <w:jc w:val="both"/>
        <w:rPr>
          <w:i/>
          <w:iCs/>
          <w:sz w:val="18"/>
          <w:szCs w:val="18"/>
        </w:rPr>
      </w:pPr>
      <w:r w:rsidRPr="0050573F">
        <w:rPr>
          <w:i/>
          <w:iCs/>
          <w:sz w:val="18"/>
          <w:szCs w:val="18"/>
        </w:rPr>
        <w:t>Η κεφαλαιακή μας θέση βελτιώθηκε το 2ο τρίμηνο του 2020. Στα τέλη Ιουνίου 2020, ο συνολικός δείκτης κεφαλαιακής επάρκε</w:t>
      </w:r>
      <w:r>
        <w:rPr>
          <w:i/>
          <w:iCs/>
          <w:sz w:val="18"/>
          <w:szCs w:val="18"/>
        </w:rPr>
        <w:t>ιας του Ομίλου</w:t>
      </w:r>
      <w:r w:rsidR="009630D1">
        <w:rPr>
          <w:i/>
          <w:iCs/>
          <w:sz w:val="18"/>
          <w:szCs w:val="18"/>
        </w:rPr>
        <w:t xml:space="preserve">διαμορφώθηκε στο </w:t>
      </w:r>
      <w:r w:rsidRPr="0050573F">
        <w:rPr>
          <w:i/>
          <w:iCs/>
          <w:sz w:val="18"/>
          <w:szCs w:val="18"/>
        </w:rPr>
        <w:t xml:space="preserve">16,0%  με την εφαρμογή </w:t>
      </w:r>
      <w:r w:rsidR="009630D1">
        <w:rPr>
          <w:i/>
          <w:iCs/>
          <w:sz w:val="18"/>
          <w:szCs w:val="18"/>
        </w:rPr>
        <w:t xml:space="preserve">των </w:t>
      </w:r>
      <w:r w:rsidRPr="0050573F">
        <w:rPr>
          <w:i/>
          <w:iCs/>
          <w:sz w:val="18"/>
          <w:szCs w:val="18"/>
        </w:rPr>
        <w:t>μεταβατικών διατάξεων για την επίπτωση της πρώτης εφαρμογής του ΔΠΧΠ  9, έναντι 15,1% τον Μάρτιο του 2020, με τον δείκτη CET1 στο 14,0% έναντι 13,1% το προηγούμενο τρίμηνο.</w:t>
      </w:r>
    </w:p>
    <w:p w:rsidR="00FA0F02" w:rsidRPr="0050573F" w:rsidRDefault="00FA0F02" w:rsidP="00FA0F02">
      <w:pPr>
        <w:spacing w:after="40" w:line="240" w:lineRule="exact"/>
        <w:jc w:val="both"/>
        <w:rPr>
          <w:i/>
          <w:iCs/>
          <w:sz w:val="18"/>
          <w:szCs w:val="18"/>
        </w:rPr>
      </w:pPr>
    </w:p>
    <w:p w:rsidR="00FA0F02" w:rsidRPr="0050573F" w:rsidRDefault="00FA0F02" w:rsidP="003E2EED">
      <w:pPr>
        <w:spacing w:after="40" w:line="240" w:lineRule="exact"/>
        <w:jc w:val="both"/>
        <w:rPr>
          <w:i/>
          <w:iCs/>
          <w:sz w:val="18"/>
          <w:szCs w:val="18"/>
        </w:rPr>
      </w:pPr>
      <w:r w:rsidRPr="0050573F">
        <w:rPr>
          <w:i/>
          <w:iCs/>
          <w:sz w:val="18"/>
          <w:szCs w:val="18"/>
        </w:rPr>
        <w:t>H Τράπεζα σημείωσε ικανοποιητικά οικονομικά αποτελέσματα κατά το 1ο εξάμηνο 2020. Τα καθαρά έσοδα τόκων και προμηθειών αυξήθηκαν σε ετήσια βάση κατά +1% και + 3% αντίστοιχα, ενώ το λειτουργικό κόστος μειώθηκε περαιτέρω κατά 10% ετησίως σε συγκρίσιμη βάση. Τ</w:t>
      </w:r>
      <w:r w:rsidR="003F5CAF">
        <w:rPr>
          <w:i/>
          <w:iCs/>
          <w:sz w:val="18"/>
          <w:szCs w:val="18"/>
        </w:rPr>
        <w:t>α</w:t>
      </w:r>
      <w:r w:rsidRPr="0050573F">
        <w:rPr>
          <w:i/>
          <w:iCs/>
          <w:sz w:val="18"/>
          <w:szCs w:val="18"/>
        </w:rPr>
        <w:t xml:space="preserve"> αποτ</w:t>
      </w:r>
      <w:r w:rsidR="003F5CAF">
        <w:rPr>
          <w:i/>
          <w:iCs/>
          <w:sz w:val="18"/>
          <w:szCs w:val="18"/>
        </w:rPr>
        <w:t>ε</w:t>
      </w:r>
      <w:r w:rsidRPr="0050573F">
        <w:rPr>
          <w:i/>
          <w:iCs/>
          <w:sz w:val="18"/>
          <w:szCs w:val="18"/>
        </w:rPr>
        <w:t>λ</w:t>
      </w:r>
      <w:r w:rsidR="003F5CAF">
        <w:rPr>
          <w:i/>
          <w:iCs/>
          <w:sz w:val="18"/>
          <w:szCs w:val="18"/>
        </w:rPr>
        <w:t>έσματα</w:t>
      </w:r>
      <w:r w:rsidRPr="0050573F">
        <w:rPr>
          <w:i/>
          <w:iCs/>
          <w:sz w:val="18"/>
          <w:szCs w:val="18"/>
        </w:rPr>
        <w:t xml:space="preserve"> προ προβλέψεων και φόρων ανήλθ</w:t>
      </w:r>
      <w:r w:rsidR="003F5CAF">
        <w:rPr>
          <w:i/>
          <w:iCs/>
          <w:sz w:val="18"/>
          <w:szCs w:val="18"/>
        </w:rPr>
        <w:t>αν</w:t>
      </w:r>
      <w:r w:rsidRPr="0050573F">
        <w:rPr>
          <w:i/>
          <w:iCs/>
          <w:sz w:val="18"/>
          <w:szCs w:val="18"/>
        </w:rPr>
        <w:t xml:space="preserve"> στα €470 εκατ., κατά 17% υψηλότερ</w:t>
      </w:r>
      <w:r w:rsidR="003F5CAF">
        <w:rPr>
          <w:i/>
          <w:iCs/>
          <w:sz w:val="18"/>
          <w:szCs w:val="18"/>
        </w:rPr>
        <w:t>α</w:t>
      </w:r>
      <w:r w:rsidRPr="0050573F">
        <w:rPr>
          <w:i/>
          <w:iCs/>
          <w:sz w:val="18"/>
          <w:szCs w:val="18"/>
        </w:rPr>
        <w:t xml:space="preserve"> σε σύγκριση με την ίδια περίοδο πέρυσι. Οι προβλέψεις αυξήθηκαν στα €670 εκατ., με €341 εκατ. από αυτές  να σχετίζονται με το Covid-19. Τα αποτελέσματα προφόρων ήταν </w:t>
      </w:r>
      <w:r w:rsidR="009630D1">
        <w:rPr>
          <w:i/>
          <w:iCs/>
          <w:sz w:val="18"/>
          <w:szCs w:val="18"/>
        </w:rPr>
        <w:t xml:space="preserve">ζημιογόνα κατά </w:t>
      </w:r>
      <w:r w:rsidRPr="0050573F">
        <w:rPr>
          <w:i/>
          <w:iCs/>
          <w:sz w:val="18"/>
          <w:szCs w:val="18"/>
        </w:rPr>
        <w:t xml:space="preserve">€215 εκατ. </w:t>
      </w:r>
      <w:r w:rsidR="00BB66C1">
        <w:rPr>
          <w:i/>
          <w:iCs/>
          <w:sz w:val="18"/>
          <w:szCs w:val="18"/>
        </w:rPr>
        <w:t xml:space="preserve">έχοντας ενσωματώσει την επίπτωση της πανδημίας </w:t>
      </w:r>
      <w:r w:rsidRPr="0050573F">
        <w:rPr>
          <w:i/>
          <w:iCs/>
          <w:sz w:val="18"/>
          <w:szCs w:val="18"/>
        </w:rPr>
        <w:t xml:space="preserve">κατά το πρώτο εξάμηνο του 2020, ενώ εξαιρουμένων των επιπτώσεων ανήλθαν </w:t>
      </w:r>
      <w:r>
        <w:rPr>
          <w:i/>
          <w:iCs/>
          <w:sz w:val="18"/>
          <w:szCs w:val="18"/>
        </w:rPr>
        <w:t>σε</w:t>
      </w:r>
      <w:r w:rsidR="00DC3F0D">
        <w:rPr>
          <w:i/>
          <w:iCs/>
          <w:sz w:val="18"/>
          <w:szCs w:val="18"/>
        </w:rPr>
        <w:t xml:space="preserve">κέρδη προ φόρων </w:t>
      </w:r>
      <w:r w:rsidRPr="0050573F">
        <w:rPr>
          <w:i/>
          <w:iCs/>
          <w:sz w:val="18"/>
          <w:szCs w:val="18"/>
        </w:rPr>
        <w:t xml:space="preserve">€126 εκατ.   </w:t>
      </w:r>
    </w:p>
    <w:p w:rsidR="00FA0F02" w:rsidRPr="009110D8" w:rsidRDefault="00FA0F02" w:rsidP="00FA0F02">
      <w:pPr>
        <w:spacing w:after="40" w:line="240" w:lineRule="exact"/>
        <w:jc w:val="both"/>
        <w:rPr>
          <w:i/>
          <w:iCs/>
          <w:color w:val="FF0000"/>
          <w:sz w:val="18"/>
          <w:szCs w:val="18"/>
        </w:rPr>
      </w:pPr>
      <w:r>
        <w:rPr>
          <w:i/>
          <w:iCs/>
          <w:sz w:val="18"/>
          <w:szCs w:val="18"/>
        </w:rPr>
        <w:t>Σ</w:t>
      </w:r>
      <w:r w:rsidRPr="004745C0">
        <w:rPr>
          <w:i/>
          <w:iCs/>
          <w:sz w:val="18"/>
          <w:szCs w:val="18"/>
        </w:rPr>
        <w:t>υνεχίζουμε επιμελώς το σχέδιο μετασχηματισμού</w:t>
      </w:r>
      <w:r w:rsidR="00DC3F0D">
        <w:rPr>
          <w:i/>
          <w:iCs/>
          <w:sz w:val="18"/>
          <w:szCs w:val="18"/>
        </w:rPr>
        <w:t xml:space="preserve"> της Τράπεζας</w:t>
      </w:r>
      <w:r w:rsidRPr="004745C0">
        <w:rPr>
          <w:i/>
          <w:iCs/>
          <w:sz w:val="18"/>
          <w:szCs w:val="18"/>
        </w:rPr>
        <w:t xml:space="preserve">, </w:t>
      </w:r>
      <w:r w:rsidR="00DC3F0D">
        <w:rPr>
          <w:i/>
          <w:iCs/>
          <w:sz w:val="18"/>
          <w:szCs w:val="18"/>
        </w:rPr>
        <w:t xml:space="preserve">με στόχο αυτό να </w:t>
      </w:r>
      <w:r>
        <w:rPr>
          <w:i/>
          <w:iCs/>
          <w:sz w:val="18"/>
          <w:szCs w:val="18"/>
        </w:rPr>
        <w:t>έχει οριστικοποιηθεί</w:t>
      </w:r>
      <w:r w:rsidRPr="004745C0">
        <w:rPr>
          <w:i/>
          <w:iCs/>
          <w:sz w:val="18"/>
          <w:szCs w:val="18"/>
        </w:rPr>
        <w:t xml:space="preserve"> πλήρως μέχρι το τέλος του έτους. </w:t>
      </w:r>
      <w:r w:rsidR="00DC3F0D">
        <w:rPr>
          <w:i/>
          <w:iCs/>
          <w:sz w:val="18"/>
          <w:szCs w:val="18"/>
        </w:rPr>
        <w:t xml:space="preserve">Στρατηγική </w:t>
      </w:r>
      <w:r w:rsidRPr="004745C0">
        <w:rPr>
          <w:i/>
          <w:iCs/>
          <w:sz w:val="18"/>
          <w:szCs w:val="18"/>
        </w:rPr>
        <w:t xml:space="preserve">μας </w:t>
      </w:r>
      <w:r w:rsidR="00DC3F0D">
        <w:rPr>
          <w:i/>
          <w:iCs/>
          <w:sz w:val="18"/>
          <w:szCs w:val="18"/>
        </w:rPr>
        <w:t xml:space="preserve">στόχευση </w:t>
      </w:r>
      <w:r w:rsidRPr="004745C0">
        <w:rPr>
          <w:i/>
          <w:iCs/>
          <w:sz w:val="18"/>
          <w:szCs w:val="18"/>
        </w:rPr>
        <w:t xml:space="preserve">παραμένει μια αποτελεσματική, με υγιή στοιχεία ενεργητικού, κερδοφόρα τράπεζα, προς όφελος των μετόχων, των εργαζομένων και της </w:t>
      </w:r>
      <w:r w:rsidR="00DC3F0D">
        <w:rPr>
          <w:i/>
          <w:iCs/>
          <w:sz w:val="18"/>
          <w:szCs w:val="18"/>
        </w:rPr>
        <w:t>ε</w:t>
      </w:r>
      <w:r w:rsidRPr="004745C0">
        <w:rPr>
          <w:i/>
          <w:iCs/>
          <w:sz w:val="18"/>
          <w:szCs w:val="18"/>
        </w:rPr>
        <w:t>λληνικής οικονομίας</w:t>
      </w:r>
      <w:r>
        <w:rPr>
          <w:i/>
          <w:iCs/>
          <w:sz w:val="18"/>
          <w:szCs w:val="18"/>
        </w:rPr>
        <w:t xml:space="preserve">, και </w:t>
      </w:r>
      <w:r w:rsidR="00DC3F0D">
        <w:rPr>
          <w:i/>
          <w:iCs/>
          <w:sz w:val="18"/>
          <w:szCs w:val="18"/>
        </w:rPr>
        <w:t xml:space="preserve">είμαστε δεσμευμένοι </w:t>
      </w:r>
      <w:r>
        <w:rPr>
          <w:i/>
          <w:iCs/>
          <w:sz w:val="18"/>
          <w:szCs w:val="18"/>
        </w:rPr>
        <w:t>σε αυτ</w:t>
      </w:r>
      <w:r w:rsidR="00DC3F0D">
        <w:rPr>
          <w:i/>
          <w:iCs/>
          <w:sz w:val="18"/>
          <w:szCs w:val="18"/>
        </w:rPr>
        <w:t>ήν</w:t>
      </w:r>
      <w:r w:rsidRPr="004745C0">
        <w:rPr>
          <w:i/>
          <w:iCs/>
          <w:sz w:val="18"/>
          <w:szCs w:val="18"/>
        </w:rPr>
        <w:t>».</w:t>
      </w:r>
    </w:p>
    <w:p w:rsidR="00FA0F02" w:rsidRDefault="00FA0F02" w:rsidP="00FA0F02">
      <w:pPr>
        <w:spacing w:after="0" w:line="260" w:lineRule="exact"/>
        <w:rPr>
          <w:rFonts w:eastAsia="Times New Roman" w:cstheme="minorHAnsi"/>
          <w:b/>
          <w:color w:val="FF0000"/>
          <w:sz w:val="19"/>
          <w:szCs w:val="19"/>
        </w:rPr>
      </w:pPr>
    </w:p>
    <w:p w:rsidR="00FA0F02" w:rsidRPr="00FA0F02" w:rsidRDefault="00FA0F02" w:rsidP="00FA0F02">
      <w:pPr>
        <w:spacing w:after="0" w:line="260" w:lineRule="exact"/>
        <w:rPr>
          <w:rFonts w:eastAsia="Times New Roman" w:cstheme="minorHAnsi"/>
          <w:b/>
          <w:color w:val="FF0000"/>
          <w:sz w:val="19"/>
          <w:szCs w:val="19"/>
        </w:rPr>
      </w:pPr>
    </w:p>
    <w:p w:rsidR="00A43E20" w:rsidRPr="00656E2E" w:rsidRDefault="009042C1" w:rsidP="00656E2E">
      <w:pPr>
        <w:spacing w:after="80" w:line="240" w:lineRule="auto"/>
        <w:jc w:val="right"/>
        <w:rPr>
          <w:i/>
          <w:iCs/>
          <w:sz w:val="18"/>
          <w:szCs w:val="17"/>
        </w:rPr>
      </w:pPr>
      <w:r w:rsidRPr="00D02B02">
        <w:rPr>
          <w:rFonts w:eastAsia="Times New Roman" w:cstheme="minorHAnsi"/>
          <w:sz w:val="18"/>
          <w:szCs w:val="17"/>
        </w:rPr>
        <w:t>Χρήστος Μεγάλου</w:t>
      </w:r>
      <w:r w:rsidRPr="00FA0F02">
        <w:rPr>
          <w:rFonts w:eastAsia="Times New Roman" w:cstheme="minorHAnsi"/>
          <w:sz w:val="18"/>
          <w:szCs w:val="17"/>
        </w:rPr>
        <w:t xml:space="preserve">, </w:t>
      </w:r>
      <w:r w:rsidRPr="00D02B02">
        <w:rPr>
          <w:rFonts w:eastAsia="Times New Roman" w:cstheme="minorHAnsi"/>
          <w:sz w:val="18"/>
          <w:szCs w:val="17"/>
        </w:rPr>
        <w:t>Διευθύνων Σύμβουλος</w:t>
      </w:r>
    </w:p>
    <w:p w:rsidR="0091390A" w:rsidRPr="00FA0F02" w:rsidRDefault="0091390A" w:rsidP="000C7F54">
      <w:pPr>
        <w:spacing w:after="0" w:line="260" w:lineRule="exact"/>
        <w:rPr>
          <w:rFonts w:eastAsia="Times New Roman" w:cstheme="minorHAnsi"/>
          <w:b/>
          <w:color w:val="FF0000"/>
          <w:sz w:val="19"/>
          <w:szCs w:val="19"/>
        </w:rPr>
      </w:pPr>
    </w:p>
    <w:tbl>
      <w:tblPr>
        <w:tblStyle w:val="TableGrid1"/>
        <w:tblpPr w:leftFromText="180" w:rightFromText="180" w:vertAnchor="text" w:horzAnchor="page" w:tblpX="2191" w:tblpY="722"/>
        <w:tblW w:w="9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1"/>
        <w:gridCol w:w="7287"/>
        <w:gridCol w:w="37"/>
      </w:tblGrid>
      <w:tr w:rsidR="00CD2E41" w:rsidRPr="009042C1" w:rsidTr="00CC796E">
        <w:trPr>
          <w:gridAfter w:val="1"/>
          <w:wAfter w:w="37" w:type="dxa"/>
          <w:trHeight w:val="2495"/>
        </w:trPr>
        <w:tc>
          <w:tcPr>
            <w:tcW w:w="1701" w:type="dxa"/>
            <w:tcMar>
              <w:top w:w="57" w:type="dxa"/>
              <w:bottom w:w="57" w:type="dxa"/>
            </w:tcMar>
          </w:tcPr>
          <w:p w:rsidR="004B4545" w:rsidRPr="00167481" w:rsidRDefault="00CC796E" w:rsidP="00D31973">
            <w:pPr>
              <w:tabs>
                <w:tab w:val="left" w:pos="8262"/>
              </w:tabs>
              <w:spacing w:after="60"/>
              <w:ind w:left="32" w:right="74"/>
              <w:contextualSpacing/>
              <w:rPr>
                <w:rFonts w:cs="Calibri"/>
                <w:b/>
                <w:i/>
                <w:color w:val="FF0000"/>
                <w:sz w:val="21"/>
                <w:szCs w:val="21"/>
              </w:rPr>
            </w:pPr>
            <w:r w:rsidRPr="00167481">
              <w:rPr>
                <w:rFonts w:eastAsiaTheme="minorEastAsia" w:cs="Calibri"/>
                <w:i/>
                <w:color w:val="6691AB"/>
                <w:sz w:val="21"/>
                <w:szCs w:val="21"/>
              </w:rPr>
              <w:lastRenderedPageBreak/>
              <w:t>Ανθεκτικ</w:t>
            </w:r>
            <w:r w:rsidR="00D8145A">
              <w:rPr>
                <w:rFonts w:eastAsiaTheme="minorEastAsia" w:cs="Calibri"/>
                <w:i/>
                <w:color w:val="6691AB"/>
                <w:sz w:val="21"/>
                <w:szCs w:val="21"/>
              </w:rPr>
              <w:t>ότητα</w:t>
            </w:r>
            <w:r w:rsidRPr="00167481">
              <w:rPr>
                <w:rFonts w:eastAsiaTheme="minorEastAsia" w:cs="Calibri"/>
                <w:i/>
                <w:color w:val="6691AB"/>
                <w:sz w:val="21"/>
                <w:szCs w:val="21"/>
              </w:rPr>
              <w:t xml:space="preserve"> καθαρ</w:t>
            </w:r>
            <w:r w:rsidR="00D8145A">
              <w:rPr>
                <w:rFonts w:eastAsiaTheme="minorEastAsia" w:cs="Calibri"/>
                <w:i/>
                <w:color w:val="6691AB"/>
                <w:sz w:val="21"/>
                <w:szCs w:val="21"/>
              </w:rPr>
              <w:t xml:space="preserve">ών εσόδων από </w:t>
            </w:r>
            <w:r w:rsidRPr="00167481">
              <w:rPr>
                <w:rFonts w:eastAsiaTheme="minorEastAsia" w:cs="Calibri"/>
                <w:i/>
                <w:color w:val="6691AB"/>
                <w:sz w:val="21"/>
                <w:szCs w:val="21"/>
              </w:rPr>
              <w:t xml:space="preserve"> τόκ</w:t>
            </w:r>
            <w:r w:rsidR="00D8145A">
              <w:rPr>
                <w:rFonts w:eastAsiaTheme="minorEastAsia" w:cs="Calibri"/>
                <w:i/>
                <w:color w:val="6691AB"/>
                <w:sz w:val="21"/>
                <w:szCs w:val="21"/>
              </w:rPr>
              <w:t xml:space="preserve">ουςλόγω </w:t>
            </w:r>
            <w:r w:rsidR="00D31973">
              <w:rPr>
                <w:rFonts w:eastAsiaTheme="minorEastAsia" w:cs="Calibri"/>
                <w:i/>
                <w:color w:val="6691AB"/>
                <w:sz w:val="21"/>
                <w:szCs w:val="21"/>
              </w:rPr>
              <w:t>μειωμένου</w:t>
            </w:r>
            <w:r w:rsidR="00D8145A">
              <w:rPr>
                <w:rFonts w:eastAsiaTheme="minorEastAsia" w:cs="Calibri"/>
                <w:i/>
                <w:color w:val="6691AB"/>
                <w:sz w:val="21"/>
                <w:szCs w:val="21"/>
              </w:rPr>
              <w:t xml:space="preserve"> κόστους χρηματοδότη-σης</w:t>
            </w:r>
          </w:p>
        </w:tc>
        <w:tc>
          <w:tcPr>
            <w:tcW w:w="7287" w:type="dxa"/>
            <w:tcMar>
              <w:top w:w="57" w:type="dxa"/>
              <w:bottom w:w="57" w:type="dxa"/>
            </w:tcMar>
          </w:tcPr>
          <w:p w:rsidR="009042C1" w:rsidRPr="00D31973" w:rsidRDefault="00CC796E" w:rsidP="008F274E">
            <w:pPr>
              <w:spacing w:after="80" w:line="240" w:lineRule="exact"/>
              <w:ind w:right="74"/>
              <w:jc w:val="both"/>
              <w:rPr>
                <w:sz w:val="18"/>
                <w:szCs w:val="18"/>
              </w:rPr>
            </w:pPr>
            <w:r w:rsidRPr="00710445">
              <w:rPr>
                <w:rFonts w:cs="Calibri"/>
                <w:sz w:val="18"/>
                <w:szCs w:val="18"/>
              </w:rPr>
              <w:t>Τα καθαρά έσοδα τόκων ανήλθαν σε €367εκατ. το 2</w:t>
            </w:r>
            <w:r w:rsidRPr="00710445">
              <w:rPr>
                <w:rFonts w:cs="Calibri"/>
                <w:sz w:val="18"/>
                <w:szCs w:val="18"/>
                <w:vertAlign w:val="superscript"/>
              </w:rPr>
              <w:t>ο</w:t>
            </w:r>
            <w:r w:rsidRPr="00710445">
              <w:rPr>
                <w:rFonts w:cs="Calibri"/>
                <w:sz w:val="18"/>
                <w:szCs w:val="18"/>
              </w:rPr>
              <w:t xml:space="preserve"> 3μηνο 2020, αυξημένα κατά 2% σε ετήσια και τριμηνιαία βάση. Το </w:t>
            </w:r>
            <w:r w:rsidR="00A8644A">
              <w:rPr>
                <w:rFonts w:cs="Calibri"/>
                <w:sz w:val="18"/>
                <w:szCs w:val="18"/>
              </w:rPr>
              <w:t xml:space="preserve">αντίστοιχο κόστος των  </w:t>
            </w:r>
            <w:r w:rsidR="008F274E">
              <w:rPr>
                <w:rFonts w:cs="Calibri"/>
                <w:sz w:val="18"/>
                <w:szCs w:val="18"/>
              </w:rPr>
              <w:t>έ</w:t>
            </w:r>
            <w:r w:rsidR="00A8644A">
              <w:rPr>
                <w:rFonts w:cs="Calibri"/>
                <w:sz w:val="18"/>
                <w:szCs w:val="18"/>
              </w:rPr>
              <w:t>ντ</w:t>
            </w:r>
            <w:r w:rsidR="008F274E">
              <w:rPr>
                <w:rFonts w:cs="Calibri"/>
                <w:sz w:val="18"/>
                <w:szCs w:val="18"/>
              </w:rPr>
              <w:t>ο</w:t>
            </w:r>
            <w:r w:rsidR="00A8644A">
              <w:rPr>
                <w:rFonts w:cs="Calibri"/>
                <w:sz w:val="18"/>
                <w:szCs w:val="18"/>
              </w:rPr>
              <w:t>κων ε</w:t>
            </w:r>
            <w:r w:rsidR="008F274E">
              <w:rPr>
                <w:rFonts w:cs="Calibri"/>
                <w:sz w:val="18"/>
                <w:szCs w:val="18"/>
              </w:rPr>
              <w:t>ξ</w:t>
            </w:r>
            <w:r w:rsidR="00A8644A">
              <w:rPr>
                <w:rFonts w:cs="Calibri"/>
                <w:sz w:val="18"/>
                <w:szCs w:val="18"/>
              </w:rPr>
              <w:t>όδων</w:t>
            </w:r>
            <w:r w:rsidRPr="00710445">
              <w:rPr>
                <w:rFonts w:cs="Calibri"/>
                <w:sz w:val="18"/>
                <w:szCs w:val="18"/>
              </w:rPr>
              <w:t xml:space="preserve"> ήταν ιδιαίτερα υποστηρικτικό, σημειώνοντας 17% μείωση </w:t>
            </w:r>
            <w:r w:rsidR="00D8145A">
              <w:rPr>
                <w:rFonts w:cs="Calibri"/>
                <w:sz w:val="18"/>
                <w:szCs w:val="18"/>
              </w:rPr>
              <w:t>ετησίως</w:t>
            </w:r>
            <w:r w:rsidRPr="00710445">
              <w:rPr>
                <w:rFonts w:cs="Calibri"/>
                <w:sz w:val="18"/>
                <w:szCs w:val="18"/>
              </w:rPr>
              <w:t xml:space="preserve"> και </w:t>
            </w:r>
            <w:r>
              <w:rPr>
                <w:rFonts w:cs="Calibri"/>
                <w:sz w:val="18"/>
                <w:szCs w:val="18"/>
              </w:rPr>
              <w:t>7</w:t>
            </w:r>
            <w:r w:rsidRPr="00710445">
              <w:rPr>
                <w:rFonts w:cs="Calibri"/>
                <w:sz w:val="18"/>
                <w:szCs w:val="18"/>
              </w:rPr>
              <w:t>% σε τριμηνιαία βάση</w:t>
            </w:r>
            <w:r>
              <w:rPr>
                <w:rFonts w:cs="Calibri"/>
                <w:sz w:val="18"/>
                <w:szCs w:val="18"/>
              </w:rPr>
              <w:t>.</w:t>
            </w:r>
            <w:r w:rsidRPr="00710445">
              <w:rPr>
                <w:rFonts w:cs="Calibri"/>
                <w:sz w:val="18"/>
                <w:szCs w:val="18"/>
              </w:rPr>
              <w:t xml:space="preserve"> Ακολούθως, η σημαντική συγκράτηση του κόστους καταθέσεων και η </w:t>
            </w:r>
            <w:r w:rsidR="00871AF0">
              <w:rPr>
                <w:rFonts w:cs="Calibri"/>
                <w:sz w:val="18"/>
                <w:szCs w:val="18"/>
              </w:rPr>
              <w:t>αξιοποίηση</w:t>
            </w:r>
            <w:r w:rsidRPr="00710445">
              <w:rPr>
                <w:rFonts w:cs="Calibri"/>
                <w:sz w:val="18"/>
                <w:szCs w:val="18"/>
              </w:rPr>
              <w:t xml:space="preserve"> του μηχανισμού LTRO</w:t>
            </w:r>
            <w:r>
              <w:rPr>
                <w:rFonts w:cs="Calibri"/>
                <w:sz w:val="18"/>
                <w:szCs w:val="18"/>
              </w:rPr>
              <w:t>/</w:t>
            </w:r>
            <w:r>
              <w:rPr>
                <w:rFonts w:cs="Calibri"/>
                <w:sz w:val="18"/>
                <w:szCs w:val="18"/>
                <w:lang w:val="en-US"/>
              </w:rPr>
              <w:t>TLTRO</w:t>
            </w:r>
            <w:r w:rsidRPr="00710445">
              <w:rPr>
                <w:rFonts w:cs="Calibri"/>
                <w:sz w:val="18"/>
                <w:szCs w:val="18"/>
              </w:rPr>
              <w:t xml:space="preserve"> της ΕΚΤ απορρόφησε το κόστος τ</w:t>
            </w:r>
            <w:r>
              <w:rPr>
                <w:rFonts w:cs="Calibri"/>
                <w:sz w:val="18"/>
                <w:szCs w:val="18"/>
              </w:rPr>
              <w:t>ων δύο εκδόσεων</w:t>
            </w:r>
            <w:r w:rsidRPr="00710445">
              <w:rPr>
                <w:rFonts w:cs="Calibri"/>
                <w:sz w:val="18"/>
                <w:szCs w:val="18"/>
              </w:rPr>
              <w:t xml:space="preserve">Tier 2. Επιπλέον, το επιτόκιο </w:t>
            </w:r>
            <w:r>
              <w:rPr>
                <w:rFonts w:cs="Calibri"/>
                <w:sz w:val="18"/>
                <w:szCs w:val="18"/>
              </w:rPr>
              <w:t xml:space="preserve">των </w:t>
            </w:r>
            <w:r w:rsidRPr="00710445">
              <w:rPr>
                <w:rFonts w:cs="Calibri"/>
                <w:sz w:val="18"/>
                <w:szCs w:val="18"/>
              </w:rPr>
              <w:t xml:space="preserve">νέων προθεσμιακών καταθέσεων </w:t>
            </w:r>
            <w:r w:rsidR="00A8644A">
              <w:rPr>
                <w:rFonts w:cs="Calibri"/>
                <w:sz w:val="18"/>
                <w:szCs w:val="18"/>
              </w:rPr>
              <w:t>μειώθηκε</w:t>
            </w:r>
            <w:r w:rsidRPr="00710445">
              <w:rPr>
                <w:rFonts w:cs="Calibri"/>
                <w:sz w:val="18"/>
                <w:szCs w:val="18"/>
              </w:rPr>
              <w:t xml:space="preserve"> σε </w:t>
            </w:r>
            <w:r>
              <w:rPr>
                <w:rFonts w:cs="Calibri"/>
                <w:sz w:val="18"/>
                <w:szCs w:val="18"/>
              </w:rPr>
              <w:t>20</w:t>
            </w:r>
            <w:r w:rsidRPr="00710445">
              <w:rPr>
                <w:rFonts w:cs="Calibri"/>
                <w:sz w:val="18"/>
                <w:szCs w:val="18"/>
              </w:rPr>
              <w:t>μ.β. το 2</w:t>
            </w:r>
            <w:r w:rsidRPr="00710445">
              <w:rPr>
                <w:rFonts w:cs="Calibri"/>
                <w:sz w:val="18"/>
                <w:szCs w:val="18"/>
                <w:vertAlign w:val="superscript"/>
              </w:rPr>
              <w:t>ο</w:t>
            </w:r>
            <w:r w:rsidRPr="00710445">
              <w:rPr>
                <w:rFonts w:cs="Calibri"/>
                <w:sz w:val="18"/>
                <w:szCs w:val="18"/>
              </w:rPr>
              <w:t xml:space="preserve"> 3μηνο 2020 από 2</w:t>
            </w:r>
            <w:r>
              <w:rPr>
                <w:rFonts w:cs="Calibri"/>
                <w:sz w:val="18"/>
                <w:szCs w:val="18"/>
              </w:rPr>
              <w:t>6</w:t>
            </w:r>
            <w:r w:rsidRPr="00710445">
              <w:rPr>
                <w:rFonts w:cs="Calibri"/>
                <w:sz w:val="18"/>
                <w:szCs w:val="18"/>
              </w:rPr>
              <w:t>μ.β. το 1</w:t>
            </w:r>
            <w:r w:rsidRPr="00710445">
              <w:rPr>
                <w:rFonts w:cs="Calibri"/>
                <w:sz w:val="18"/>
                <w:szCs w:val="18"/>
                <w:vertAlign w:val="superscript"/>
              </w:rPr>
              <w:t>ο</w:t>
            </w:r>
            <w:r w:rsidRPr="00710445">
              <w:rPr>
                <w:rFonts w:cs="Calibri"/>
                <w:sz w:val="18"/>
                <w:szCs w:val="18"/>
              </w:rPr>
              <w:t xml:space="preserve"> 3μηνο 2020. </w:t>
            </w:r>
            <w:r w:rsidR="00A8644A">
              <w:rPr>
                <w:rFonts w:cs="Calibri"/>
                <w:sz w:val="18"/>
                <w:szCs w:val="18"/>
              </w:rPr>
              <w:t>Επιπρόσθετα, ο</w:t>
            </w:r>
            <w:r>
              <w:rPr>
                <w:rFonts w:cs="Calibri"/>
                <w:sz w:val="18"/>
                <w:szCs w:val="18"/>
              </w:rPr>
              <w:t>ι νέες εκταμιεύσεις</w:t>
            </w:r>
            <w:r w:rsidR="008F274E">
              <w:rPr>
                <w:rFonts w:cs="Calibri"/>
                <w:sz w:val="18"/>
                <w:szCs w:val="18"/>
              </w:rPr>
              <w:t>,</w:t>
            </w:r>
            <w:r>
              <w:rPr>
                <w:rFonts w:cs="Calibri"/>
                <w:sz w:val="18"/>
                <w:szCs w:val="18"/>
              </w:rPr>
              <w:t xml:space="preserve"> καθώς και η αύξηση του χαρτοφυλακίου </w:t>
            </w:r>
            <w:r w:rsidR="008F274E">
              <w:rPr>
                <w:rFonts w:cs="Calibri"/>
                <w:sz w:val="18"/>
                <w:szCs w:val="18"/>
              </w:rPr>
              <w:t xml:space="preserve">ομολόγων </w:t>
            </w:r>
            <w:r>
              <w:rPr>
                <w:rFonts w:cs="Calibri"/>
                <w:sz w:val="18"/>
                <w:szCs w:val="18"/>
              </w:rPr>
              <w:t xml:space="preserve">συνετέλεσαν στην ανθεκτικότητα των εσόδων </w:t>
            </w:r>
            <w:r w:rsidR="00A8644A">
              <w:rPr>
                <w:rFonts w:cs="Calibri"/>
                <w:sz w:val="18"/>
                <w:szCs w:val="18"/>
              </w:rPr>
              <w:t xml:space="preserve">από </w:t>
            </w:r>
            <w:r>
              <w:rPr>
                <w:rFonts w:cs="Calibri"/>
                <w:sz w:val="18"/>
                <w:szCs w:val="18"/>
              </w:rPr>
              <w:t>τόκ</w:t>
            </w:r>
            <w:r w:rsidR="00A8644A">
              <w:rPr>
                <w:rFonts w:cs="Calibri"/>
                <w:sz w:val="18"/>
                <w:szCs w:val="18"/>
              </w:rPr>
              <w:t>ους</w:t>
            </w:r>
            <w:r>
              <w:rPr>
                <w:rFonts w:cs="Calibri"/>
                <w:sz w:val="18"/>
                <w:szCs w:val="18"/>
              </w:rPr>
              <w:t>.</w:t>
            </w:r>
            <w:r w:rsidRPr="00710445">
              <w:rPr>
                <w:rFonts w:cs="Calibri"/>
                <w:sz w:val="18"/>
                <w:szCs w:val="18"/>
              </w:rPr>
              <w:t>Το καθαρό επιτοκιακό περιθώριο (ΝΙΜ) κατά το 2</w:t>
            </w:r>
            <w:r w:rsidRPr="00710445">
              <w:rPr>
                <w:rFonts w:cs="Calibri"/>
                <w:sz w:val="18"/>
                <w:szCs w:val="18"/>
                <w:vertAlign w:val="superscript"/>
              </w:rPr>
              <w:t>ο</w:t>
            </w:r>
            <w:r w:rsidRPr="00710445">
              <w:rPr>
                <w:rFonts w:cs="Calibri"/>
                <w:sz w:val="18"/>
                <w:szCs w:val="18"/>
              </w:rPr>
              <w:t xml:space="preserve"> 3μηνο 2020 διαμορφώθηκε σε </w:t>
            </w:r>
            <w:r w:rsidR="00C01731">
              <w:rPr>
                <w:rFonts w:cs="Calibri"/>
                <w:sz w:val="18"/>
                <w:szCs w:val="18"/>
              </w:rPr>
              <w:t>2</w:t>
            </w:r>
            <w:r w:rsidR="008F274E">
              <w:rPr>
                <w:rFonts w:cs="Calibri"/>
                <w:sz w:val="18"/>
                <w:szCs w:val="18"/>
              </w:rPr>
              <w:t>,</w:t>
            </w:r>
            <w:r w:rsidR="00C01731">
              <w:rPr>
                <w:rFonts w:cs="Calibri"/>
                <w:sz w:val="18"/>
                <w:szCs w:val="18"/>
              </w:rPr>
              <w:t>3%</w:t>
            </w:r>
            <w:r w:rsidRPr="00710445">
              <w:rPr>
                <w:rFonts w:cs="Calibri"/>
                <w:sz w:val="18"/>
                <w:szCs w:val="18"/>
              </w:rPr>
              <w:t xml:space="preserve">. από </w:t>
            </w:r>
            <w:r w:rsidR="00C01731">
              <w:rPr>
                <w:rFonts w:cs="Calibri"/>
                <w:sz w:val="18"/>
                <w:szCs w:val="18"/>
              </w:rPr>
              <w:t>2</w:t>
            </w:r>
            <w:r w:rsidR="008F274E">
              <w:rPr>
                <w:rFonts w:cs="Calibri"/>
                <w:sz w:val="18"/>
                <w:szCs w:val="18"/>
              </w:rPr>
              <w:t>,</w:t>
            </w:r>
            <w:r w:rsidR="00C01731">
              <w:rPr>
                <w:rFonts w:cs="Calibri"/>
                <w:sz w:val="18"/>
                <w:szCs w:val="18"/>
              </w:rPr>
              <w:t>4%</w:t>
            </w:r>
            <w:r>
              <w:rPr>
                <w:rFonts w:cs="Calibri"/>
                <w:sz w:val="18"/>
                <w:szCs w:val="18"/>
              </w:rPr>
              <w:t>.</w:t>
            </w:r>
            <w:r w:rsidRPr="00710445">
              <w:rPr>
                <w:rFonts w:cs="Calibri"/>
                <w:sz w:val="18"/>
                <w:szCs w:val="18"/>
              </w:rPr>
              <w:t xml:space="preserve"> το 1</w:t>
            </w:r>
            <w:r w:rsidRPr="00710445">
              <w:rPr>
                <w:rFonts w:cs="Calibri"/>
                <w:sz w:val="18"/>
                <w:szCs w:val="18"/>
                <w:vertAlign w:val="superscript"/>
              </w:rPr>
              <w:t>ο</w:t>
            </w:r>
            <w:r w:rsidRPr="00710445">
              <w:rPr>
                <w:rFonts w:cs="Calibri"/>
                <w:sz w:val="18"/>
                <w:szCs w:val="18"/>
              </w:rPr>
              <w:t xml:space="preserve"> 3μηνο 2020, </w:t>
            </w:r>
            <w:r w:rsidR="008F274E">
              <w:rPr>
                <w:rFonts w:cs="Calibri"/>
                <w:sz w:val="18"/>
                <w:szCs w:val="18"/>
              </w:rPr>
              <w:t xml:space="preserve">κίνηση που αντανακλά </w:t>
            </w:r>
            <w:r w:rsidRPr="00710445">
              <w:rPr>
                <w:rFonts w:cs="Calibri"/>
                <w:sz w:val="18"/>
                <w:szCs w:val="18"/>
              </w:rPr>
              <w:t xml:space="preserve">την </w:t>
            </w:r>
            <w:r w:rsidR="00C01731">
              <w:rPr>
                <w:rFonts w:cs="Calibri"/>
                <w:sz w:val="18"/>
                <w:szCs w:val="18"/>
              </w:rPr>
              <w:t>αύξηση του ενεργητικού</w:t>
            </w:r>
            <w:r w:rsidRPr="00710445">
              <w:rPr>
                <w:rFonts w:cs="Calibri"/>
                <w:sz w:val="18"/>
                <w:szCs w:val="18"/>
              </w:rPr>
              <w:t xml:space="preserve"> της Τράπεζας</w:t>
            </w:r>
            <w:r>
              <w:rPr>
                <w:rFonts w:cs="Calibri"/>
                <w:sz w:val="18"/>
                <w:szCs w:val="18"/>
              </w:rPr>
              <w:t>.</w:t>
            </w:r>
          </w:p>
        </w:tc>
      </w:tr>
      <w:tr w:rsidR="00CC796E" w:rsidRPr="001A5048" w:rsidTr="005828D6">
        <w:trPr>
          <w:gridAfter w:val="1"/>
          <w:wAfter w:w="37" w:type="dxa"/>
          <w:trHeight w:val="1011"/>
        </w:trPr>
        <w:tc>
          <w:tcPr>
            <w:tcW w:w="1701" w:type="dxa"/>
            <w:tcMar>
              <w:top w:w="57" w:type="dxa"/>
              <w:bottom w:w="57" w:type="dxa"/>
            </w:tcMar>
          </w:tcPr>
          <w:p w:rsidR="00CC796E" w:rsidRPr="00167481" w:rsidRDefault="00A8644A" w:rsidP="00FC30B2">
            <w:pPr>
              <w:tabs>
                <w:tab w:val="left" w:pos="8262"/>
              </w:tabs>
              <w:spacing w:after="60"/>
              <w:ind w:left="32" w:right="74"/>
              <w:contextualSpacing/>
              <w:rPr>
                <w:rFonts w:cs="Calibri"/>
                <w:b/>
                <w:color w:val="FF0000"/>
                <w:sz w:val="21"/>
                <w:szCs w:val="21"/>
              </w:rPr>
            </w:pPr>
            <w:r>
              <w:rPr>
                <w:rFonts w:eastAsiaTheme="minorEastAsia" w:cs="Calibri"/>
                <w:i/>
                <w:color w:val="6691AB"/>
                <w:spacing w:val="-6"/>
                <w:sz w:val="21"/>
                <w:szCs w:val="21"/>
              </w:rPr>
              <w:t>Τ</w:t>
            </w:r>
            <w:r w:rsidR="00D8145A">
              <w:rPr>
                <w:rFonts w:eastAsiaTheme="minorEastAsia" w:cs="Calibri"/>
                <w:i/>
                <w:color w:val="6691AB"/>
                <w:spacing w:val="-6"/>
                <w:sz w:val="21"/>
                <w:szCs w:val="21"/>
              </w:rPr>
              <w:t>α έσοδα προμηθειών &amp;</w:t>
            </w:r>
            <w:r w:rsidR="00FC30B2">
              <w:rPr>
                <w:rFonts w:eastAsiaTheme="minorEastAsia" w:cs="Calibri"/>
                <w:i/>
                <w:color w:val="6691AB"/>
                <w:spacing w:val="-6"/>
                <w:sz w:val="21"/>
                <w:szCs w:val="21"/>
              </w:rPr>
              <w:t>τα</w:t>
            </w:r>
            <w:r w:rsidR="00D8145A">
              <w:rPr>
                <w:rFonts w:eastAsiaTheme="minorEastAsia" w:cs="Calibri"/>
                <w:i/>
                <w:color w:val="6691AB"/>
                <w:spacing w:val="-6"/>
                <w:sz w:val="21"/>
                <w:szCs w:val="21"/>
              </w:rPr>
              <w:t>χρηματο</w:t>
            </w:r>
            <w:r w:rsidR="00FC30B2">
              <w:rPr>
                <w:rFonts w:eastAsiaTheme="minorEastAsia" w:cs="Calibri"/>
                <w:i/>
                <w:color w:val="6691AB"/>
                <w:spacing w:val="-6"/>
                <w:sz w:val="21"/>
                <w:szCs w:val="21"/>
              </w:rPr>
              <w:t>-</w:t>
            </w:r>
            <w:r w:rsidR="00D8145A">
              <w:rPr>
                <w:rFonts w:eastAsiaTheme="minorEastAsia" w:cs="Calibri"/>
                <w:i/>
                <w:color w:val="6691AB"/>
                <w:spacing w:val="-6"/>
                <w:sz w:val="21"/>
                <w:szCs w:val="21"/>
              </w:rPr>
              <w:t>οικο</w:t>
            </w:r>
            <w:r w:rsidR="00654A05">
              <w:rPr>
                <w:rFonts w:eastAsiaTheme="minorEastAsia" w:cs="Calibri"/>
                <w:i/>
                <w:color w:val="6691AB"/>
                <w:spacing w:val="-6"/>
                <w:sz w:val="21"/>
                <w:szCs w:val="21"/>
              </w:rPr>
              <w:t>νο</w:t>
            </w:r>
            <w:r w:rsidR="00D8145A">
              <w:rPr>
                <w:rFonts w:eastAsiaTheme="minorEastAsia" w:cs="Calibri"/>
                <w:i/>
                <w:color w:val="6691AB"/>
                <w:spacing w:val="-6"/>
                <w:sz w:val="21"/>
                <w:szCs w:val="21"/>
              </w:rPr>
              <w:t>μικ</w:t>
            </w:r>
            <w:r w:rsidR="00FC30B2">
              <w:rPr>
                <w:rFonts w:eastAsiaTheme="minorEastAsia" w:cs="Calibri"/>
                <w:i/>
                <w:color w:val="6691AB"/>
                <w:spacing w:val="-6"/>
                <w:sz w:val="21"/>
                <w:szCs w:val="21"/>
              </w:rPr>
              <w:t>ά αποτελέσματα ενισχύθηκαν</w:t>
            </w:r>
          </w:p>
        </w:tc>
        <w:tc>
          <w:tcPr>
            <w:tcW w:w="7287" w:type="dxa"/>
            <w:tcMar>
              <w:top w:w="57" w:type="dxa"/>
              <w:bottom w:w="57" w:type="dxa"/>
            </w:tcMar>
          </w:tcPr>
          <w:p w:rsidR="00CC796E" w:rsidRPr="00710445" w:rsidRDefault="00CC796E" w:rsidP="00FC30B2">
            <w:pPr>
              <w:spacing w:after="80" w:line="240" w:lineRule="exact"/>
              <w:ind w:right="74"/>
              <w:jc w:val="both"/>
              <w:rPr>
                <w:sz w:val="18"/>
                <w:szCs w:val="18"/>
              </w:rPr>
            </w:pPr>
            <w:r w:rsidRPr="00710445">
              <w:rPr>
                <w:sz w:val="18"/>
                <w:szCs w:val="18"/>
              </w:rPr>
              <w:t>Τα καθαρά έσοδα προμηθειών αυξήθηκαν στα €80εκατ. το 2</w:t>
            </w:r>
            <w:r w:rsidRPr="00710445">
              <w:rPr>
                <w:sz w:val="18"/>
                <w:szCs w:val="18"/>
                <w:vertAlign w:val="superscript"/>
              </w:rPr>
              <w:t>ο</w:t>
            </w:r>
            <w:r w:rsidRPr="00710445">
              <w:rPr>
                <w:sz w:val="18"/>
                <w:szCs w:val="18"/>
              </w:rPr>
              <w:t xml:space="preserve"> 3μηνο 2020</w:t>
            </w:r>
            <w:r>
              <w:rPr>
                <w:sz w:val="18"/>
                <w:szCs w:val="18"/>
              </w:rPr>
              <w:t>, +3</w:t>
            </w:r>
            <w:r w:rsidRPr="00710445">
              <w:rPr>
                <w:sz w:val="18"/>
                <w:szCs w:val="18"/>
              </w:rPr>
              <w:t xml:space="preserve">% σε ετήσια και </w:t>
            </w:r>
            <w:r>
              <w:rPr>
                <w:sz w:val="18"/>
                <w:szCs w:val="18"/>
              </w:rPr>
              <w:t>+</w:t>
            </w:r>
            <w:r w:rsidRPr="00710445">
              <w:rPr>
                <w:sz w:val="18"/>
                <w:szCs w:val="18"/>
              </w:rPr>
              <w:t xml:space="preserve">12% σε τριμηνιαία βάση. Κύριοι συντελεστές </w:t>
            </w:r>
            <w:r>
              <w:rPr>
                <w:sz w:val="18"/>
                <w:szCs w:val="18"/>
              </w:rPr>
              <w:t>της</w:t>
            </w:r>
            <w:r w:rsidRPr="00710445">
              <w:rPr>
                <w:sz w:val="18"/>
                <w:szCs w:val="18"/>
              </w:rPr>
              <w:t xml:space="preserve"> αύξηση</w:t>
            </w:r>
            <w:r>
              <w:rPr>
                <w:sz w:val="18"/>
                <w:szCs w:val="18"/>
              </w:rPr>
              <w:t>ς</w:t>
            </w:r>
            <w:r w:rsidRPr="00710445">
              <w:rPr>
                <w:sz w:val="18"/>
                <w:szCs w:val="18"/>
              </w:rPr>
              <w:t xml:space="preserve"> των προμηθειών ήταν η </w:t>
            </w:r>
            <w:r>
              <w:rPr>
                <w:sz w:val="18"/>
                <w:szCs w:val="18"/>
              </w:rPr>
              <w:t>εκταμίευση</w:t>
            </w:r>
            <w:r w:rsidRPr="00710445">
              <w:rPr>
                <w:sz w:val="18"/>
                <w:szCs w:val="18"/>
              </w:rPr>
              <w:t xml:space="preserve"> νέων δανείων, </w:t>
            </w:r>
            <w:r w:rsidR="00D31973">
              <w:rPr>
                <w:sz w:val="18"/>
                <w:szCs w:val="18"/>
              </w:rPr>
              <w:t>η διαχείριση περιουσίας</w:t>
            </w:r>
            <w:r w:rsidR="00FC30B2">
              <w:rPr>
                <w:sz w:val="18"/>
                <w:szCs w:val="18"/>
              </w:rPr>
              <w:t>,</w:t>
            </w:r>
            <w:r w:rsidRPr="00710445">
              <w:rPr>
                <w:sz w:val="18"/>
                <w:szCs w:val="18"/>
              </w:rPr>
              <w:t xml:space="preserve">καθώς και </w:t>
            </w:r>
            <w:r>
              <w:rPr>
                <w:sz w:val="18"/>
                <w:szCs w:val="18"/>
              </w:rPr>
              <w:t>η</w:t>
            </w:r>
            <w:r w:rsidRPr="00710445">
              <w:rPr>
                <w:sz w:val="18"/>
                <w:szCs w:val="18"/>
              </w:rPr>
              <w:t xml:space="preserve"> επενδυτικ</w:t>
            </w:r>
            <w:r>
              <w:rPr>
                <w:sz w:val="18"/>
                <w:szCs w:val="18"/>
              </w:rPr>
              <w:t>ή</w:t>
            </w:r>
            <w:r w:rsidRPr="00710445">
              <w:rPr>
                <w:sz w:val="18"/>
                <w:szCs w:val="18"/>
              </w:rPr>
              <w:t xml:space="preserve"> τραπεζικ</w:t>
            </w:r>
            <w:r>
              <w:rPr>
                <w:sz w:val="18"/>
                <w:szCs w:val="18"/>
              </w:rPr>
              <w:t>ή</w:t>
            </w:r>
            <w:r w:rsidRPr="00710445">
              <w:rPr>
                <w:sz w:val="18"/>
                <w:szCs w:val="18"/>
              </w:rPr>
              <w:t>.</w:t>
            </w:r>
            <w:r>
              <w:rPr>
                <w:sz w:val="18"/>
                <w:szCs w:val="18"/>
              </w:rPr>
              <w:t xml:space="preserve"> Τα καθαρά έσοδα προμηθειών </w:t>
            </w:r>
            <w:r w:rsidR="00A8644A">
              <w:rPr>
                <w:sz w:val="18"/>
                <w:szCs w:val="18"/>
              </w:rPr>
              <w:t xml:space="preserve">ως ποσοστό του ενεργητικού </w:t>
            </w:r>
            <w:r>
              <w:rPr>
                <w:sz w:val="18"/>
                <w:szCs w:val="18"/>
              </w:rPr>
              <w:t>διαμορφώθηκαν σε 0</w:t>
            </w:r>
            <w:r w:rsidR="00FC30B2">
              <w:rPr>
                <w:sz w:val="18"/>
                <w:szCs w:val="18"/>
              </w:rPr>
              <w:t>,</w:t>
            </w:r>
            <w:r>
              <w:rPr>
                <w:sz w:val="18"/>
                <w:szCs w:val="18"/>
              </w:rPr>
              <w:t xml:space="preserve">5% </w:t>
            </w:r>
            <w:r w:rsidRPr="00710445">
              <w:rPr>
                <w:sz w:val="18"/>
                <w:szCs w:val="18"/>
              </w:rPr>
              <w:t>το 2</w:t>
            </w:r>
            <w:r w:rsidRPr="00710445">
              <w:rPr>
                <w:sz w:val="18"/>
                <w:szCs w:val="18"/>
                <w:vertAlign w:val="superscript"/>
              </w:rPr>
              <w:t>ο</w:t>
            </w:r>
            <w:r w:rsidRPr="00710445">
              <w:rPr>
                <w:sz w:val="18"/>
                <w:szCs w:val="18"/>
              </w:rPr>
              <w:t xml:space="preserve"> 3μηνο 2020</w:t>
            </w:r>
            <w:r w:rsidR="00FC30B2">
              <w:rPr>
                <w:sz w:val="18"/>
                <w:szCs w:val="18"/>
              </w:rPr>
              <w:t>,</w:t>
            </w:r>
            <w:r>
              <w:rPr>
                <w:sz w:val="18"/>
                <w:szCs w:val="18"/>
              </w:rPr>
              <w:t xml:space="preserve"> αυξημένα κατά 3μ.β. συγκρινόμενα με </w:t>
            </w:r>
            <w:r w:rsidRPr="00710445">
              <w:rPr>
                <w:rFonts w:cs="Calibri"/>
                <w:sz w:val="18"/>
                <w:szCs w:val="18"/>
              </w:rPr>
              <w:t>το 1</w:t>
            </w:r>
            <w:r w:rsidRPr="00710445">
              <w:rPr>
                <w:rFonts w:cs="Calibri"/>
                <w:sz w:val="18"/>
                <w:szCs w:val="18"/>
                <w:vertAlign w:val="superscript"/>
              </w:rPr>
              <w:t>ο</w:t>
            </w:r>
            <w:r w:rsidRPr="00710445">
              <w:rPr>
                <w:rFonts w:cs="Calibri"/>
                <w:sz w:val="18"/>
                <w:szCs w:val="18"/>
              </w:rPr>
              <w:t xml:space="preserve"> 3μηνο 2020</w:t>
            </w:r>
            <w:r>
              <w:rPr>
                <w:rFonts w:cs="Calibri"/>
                <w:sz w:val="18"/>
                <w:szCs w:val="18"/>
              </w:rPr>
              <w:t xml:space="preserve">. </w:t>
            </w:r>
            <w:r w:rsidRPr="00710445">
              <w:rPr>
                <w:sz w:val="18"/>
                <w:szCs w:val="18"/>
              </w:rPr>
              <w:t xml:space="preserve"> Η Τράπεζα </w:t>
            </w:r>
            <w:r w:rsidR="00C01731">
              <w:rPr>
                <w:sz w:val="18"/>
                <w:szCs w:val="18"/>
              </w:rPr>
              <w:t>κατάφερε να ανακτήσει</w:t>
            </w:r>
            <w:r w:rsidRPr="00710445">
              <w:rPr>
                <w:sz w:val="18"/>
                <w:szCs w:val="18"/>
              </w:rPr>
              <w:t xml:space="preserve"> τις απώλειες </w:t>
            </w:r>
            <w:r>
              <w:rPr>
                <w:sz w:val="18"/>
                <w:szCs w:val="18"/>
              </w:rPr>
              <w:t>του</w:t>
            </w:r>
            <w:r w:rsidRPr="00710445">
              <w:rPr>
                <w:sz w:val="18"/>
                <w:szCs w:val="18"/>
              </w:rPr>
              <w:t xml:space="preserve"> 1</w:t>
            </w:r>
            <w:r w:rsidRPr="00710445">
              <w:rPr>
                <w:sz w:val="18"/>
                <w:szCs w:val="18"/>
                <w:vertAlign w:val="superscript"/>
              </w:rPr>
              <w:t>ο</w:t>
            </w:r>
            <w:r>
              <w:rPr>
                <w:sz w:val="18"/>
                <w:szCs w:val="18"/>
                <w:vertAlign w:val="superscript"/>
              </w:rPr>
              <w:t>υ</w:t>
            </w:r>
            <w:r w:rsidRPr="00710445">
              <w:rPr>
                <w:sz w:val="18"/>
                <w:szCs w:val="18"/>
              </w:rPr>
              <w:t xml:space="preserve"> 3μ</w:t>
            </w:r>
            <w:r>
              <w:rPr>
                <w:sz w:val="18"/>
                <w:szCs w:val="18"/>
              </w:rPr>
              <w:t>ή</w:t>
            </w:r>
            <w:r w:rsidRPr="00710445">
              <w:rPr>
                <w:sz w:val="18"/>
                <w:szCs w:val="18"/>
              </w:rPr>
              <w:t>νο</w:t>
            </w:r>
            <w:r>
              <w:rPr>
                <w:sz w:val="18"/>
                <w:szCs w:val="18"/>
              </w:rPr>
              <w:t>υ</w:t>
            </w:r>
            <w:r w:rsidRPr="00710445">
              <w:rPr>
                <w:sz w:val="18"/>
                <w:szCs w:val="18"/>
              </w:rPr>
              <w:t xml:space="preserve"> 2020 </w:t>
            </w:r>
            <w:r w:rsidR="00FC30B2" w:rsidRPr="00710445">
              <w:rPr>
                <w:sz w:val="18"/>
                <w:szCs w:val="18"/>
              </w:rPr>
              <w:t xml:space="preserve"> λόγω της </w:t>
            </w:r>
            <w:r w:rsidR="00FC30B2">
              <w:rPr>
                <w:sz w:val="18"/>
                <w:szCs w:val="18"/>
              </w:rPr>
              <w:t>μεταβλητότητας της αγοράς</w:t>
            </w:r>
            <w:r w:rsidRPr="00710445">
              <w:rPr>
                <w:sz w:val="18"/>
                <w:szCs w:val="18"/>
              </w:rPr>
              <w:t>στο εμπορικό της χαρτοφυλάκιο.</w:t>
            </w:r>
          </w:p>
        </w:tc>
      </w:tr>
      <w:tr w:rsidR="00CC796E" w:rsidRPr="00040D15" w:rsidTr="005D0E06">
        <w:trPr>
          <w:gridAfter w:val="1"/>
          <w:wAfter w:w="37" w:type="dxa"/>
          <w:trHeight w:val="2448"/>
        </w:trPr>
        <w:tc>
          <w:tcPr>
            <w:tcW w:w="1701" w:type="dxa"/>
            <w:tcMar>
              <w:top w:w="57" w:type="dxa"/>
              <w:bottom w:w="57" w:type="dxa"/>
            </w:tcMar>
          </w:tcPr>
          <w:p w:rsidR="00CC796E" w:rsidRPr="00167481" w:rsidRDefault="00CC796E" w:rsidP="00CC796E">
            <w:pPr>
              <w:tabs>
                <w:tab w:val="left" w:pos="8262"/>
              </w:tabs>
              <w:spacing w:after="60"/>
              <w:ind w:left="32" w:right="74"/>
              <w:contextualSpacing/>
              <w:rPr>
                <w:rFonts w:cs="Calibri"/>
                <w:b/>
                <w:i/>
                <w:color w:val="FF0000"/>
                <w:sz w:val="21"/>
                <w:szCs w:val="21"/>
              </w:rPr>
            </w:pPr>
            <w:r w:rsidRPr="00167481">
              <w:rPr>
                <w:rFonts w:eastAsiaTheme="minorEastAsia" w:cs="Calibri"/>
                <w:i/>
                <w:color w:val="6691AB"/>
                <w:spacing w:val="-6"/>
                <w:sz w:val="21"/>
                <w:szCs w:val="21"/>
              </w:rPr>
              <w:t>Τα λειτουργικά έξοδα μειώθηκαν περαιτέρω</w:t>
            </w:r>
          </w:p>
        </w:tc>
        <w:tc>
          <w:tcPr>
            <w:tcW w:w="7287" w:type="dxa"/>
            <w:tcMar>
              <w:top w:w="57" w:type="dxa"/>
              <w:bottom w:w="57" w:type="dxa"/>
            </w:tcMar>
          </w:tcPr>
          <w:p w:rsidR="00CC796E" w:rsidRPr="00710445" w:rsidRDefault="00CC796E" w:rsidP="00FC30B2">
            <w:pPr>
              <w:spacing w:after="80" w:line="240" w:lineRule="exact"/>
              <w:ind w:right="74"/>
              <w:jc w:val="both"/>
              <w:rPr>
                <w:sz w:val="18"/>
                <w:szCs w:val="18"/>
              </w:rPr>
            </w:pPr>
            <w:r w:rsidRPr="00710445">
              <w:rPr>
                <w:sz w:val="18"/>
                <w:szCs w:val="18"/>
              </w:rPr>
              <w:t>Τα λειτουργικά έξοδα το 2</w:t>
            </w:r>
            <w:r w:rsidRPr="00710445">
              <w:rPr>
                <w:sz w:val="18"/>
                <w:szCs w:val="18"/>
                <w:vertAlign w:val="superscript"/>
              </w:rPr>
              <w:t>ο</w:t>
            </w:r>
            <w:r w:rsidRPr="00710445">
              <w:rPr>
                <w:sz w:val="18"/>
                <w:szCs w:val="18"/>
              </w:rPr>
              <w:t xml:space="preserve"> 3μηνο 2020 ανήλθαν σε €225εκατ. (-14% </w:t>
            </w:r>
            <w:r w:rsidR="00C01731">
              <w:rPr>
                <w:sz w:val="18"/>
                <w:szCs w:val="18"/>
              </w:rPr>
              <w:t>ετησίως</w:t>
            </w:r>
            <w:r w:rsidRPr="00710445">
              <w:rPr>
                <w:sz w:val="18"/>
                <w:szCs w:val="18"/>
              </w:rPr>
              <w:t xml:space="preserve"> και -1% </w:t>
            </w:r>
            <w:r w:rsidR="00C01731">
              <w:rPr>
                <w:sz w:val="18"/>
                <w:szCs w:val="18"/>
              </w:rPr>
              <w:t>τριμηνιαίως</w:t>
            </w:r>
            <w:r w:rsidRPr="00710445">
              <w:rPr>
                <w:sz w:val="18"/>
                <w:szCs w:val="18"/>
              </w:rPr>
              <w:t xml:space="preserve">), περιλαμβάνοντας την προμήθεια </w:t>
            </w:r>
            <w:r w:rsidR="00C01731">
              <w:rPr>
                <w:sz w:val="18"/>
                <w:szCs w:val="18"/>
              </w:rPr>
              <w:t xml:space="preserve">που καταβλήθηκε </w:t>
            </w:r>
            <w:r w:rsidRPr="00710445">
              <w:rPr>
                <w:sz w:val="18"/>
                <w:szCs w:val="18"/>
              </w:rPr>
              <w:t xml:space="preserve"> προς τον διαχειριστή των ΜΕΑ. Αν εξαιρεθεί αυτή η προμήθεια</w:t>
            </w:r>
            <w:r w:rsidR="00FC30B2">
              <w:rPr>
                <w:sz w:val="18"/>
                <w:szCs w:val="18"/>
              </w:rPr>
              <w:t>,</w:t>
            </w:r>
            <w:r>
              <w:rPr>
                <w:sz w:val="18"/>
                <w:szCs w:val="18"/>
              </w:rPr>
              <w:t xml:space="preserve"> κα</w:t>
            </w:r>
            <w:r w:rsidR="00A8644A">
              <w:rPr>
                <w:sz w:val="18"/>
                <w:szCs w:val="18"/>
              </w:rPr>
              <w:t>θώς και</w:t>
            </w:r>
            <w:r>
              <w:rPr>
                <w:sz w:val="18"/>
                <w:szCs w:val="18"/>
              </w:rPr>
              <w:t xml:space="preserve"> το κόστος εθελούσιας εξόδου το </w:t>
            </w:r>
            <w:r w:rsidRPr="00710445">
              <w:rPr>
                <w:sz w:val="18"/>
                <w:szCs w:val="18"/>
              </w:rPr>
              <w:t>2</w:t>
            </w:r>
            <w:r w:rsidRPr="00710445">
              <w:rPr>
                <w:sz w:val="18"/>
                <w:szCs w:val="18"/>
                <w:vertAlign w:val="superscript"/>
              </w:rPr>
              <w:t>ο</w:t>
            </w:r>
            <w:r w:rsidRPr="00710445">
              <w:rPr>
                <w:sz w:val="18"/>
                <w:szCs w:val="18"/>
              </w:rPr>
              <w:t xml:space="preserve"> 3μηνο 20</w:t>
            </w:r>
            <w:r>
              <w:rPr>
                <w:sz w:val="18"/>
                <w:szCs w:val="18"/>
              </w:rPr>
              <w:t>19</w:t>
            </w:r>
            <w:r w:rsidRPr="00710445">
              <w:rPr>
                <w:sz w:val="18"/>
                <w:szCs w:val="18"/>
              </w:rPr>
              <w:t xml:space="preserve">, τα λειτουργικά έξοδα </w:t>
            </w:r>
            <w:r w:rsidR="00FC30B2" w:rsidRPr="00710445">
              <w:rPr>
                <w:sz w:val="18"/>
                <w:szCs w:val="18"/>
              </w:rPr>
              <w:t xml:space="preserve"> το 2</w:t>
            </w:r>
            <w:r w:rsidR="00FC30B2" w:rsidRPr="00710445">
              <w:rPr>
                <w:sz w:val="18"/>
                <w:szCs w:val="18"/>
                <w:vertAlign w:val="superscript"/>
              </w:rPr>
              <w:t>ο</w:t>
            </w:r>
            <w:r w:rsidR="00FC30B2" w:rsidRPr="00710445">
              <w:rPr>
                <w:sz w:val="18"/>
                <w:szCs w:val="18"/>
              </w:rPr>
              <w:t xml:space="preserve"> 3μηνο 2020 </w:t>
            </w:r>
            <w:r w:rsidRPr="00710445">
              <w:rPr>
                <w:sz w:val="18"/>
                <w:szCs w:val="18"/>
              </w:rPr>
              <w:t>είναι μειωμένα κατά 13% σε ετήσια και 1% σε τριμηνιαία βάση. Ο δείκτης  κόστους προς έσοδα διαμορφώθηκε στο 4</w:t>
            </w:r>
            <w:r>
              <w:rPr>
                <w:sz w:val="18"/>
                <w:szCs w:val="18"/>
              </w:rPr>
              <w:t>4</w:t>
            </w:r>
            <w:r w:rsidRPr="00710445">
              <w:rPr>
                <w:sz w:val="18"/>
                <w:szCs w:val="18"/>
              </w:rPr>
              <w:t>% το 2</w:t>
            </w:r>
            <w:r w:rsidRPr="00710445">
              <w:rPr>
                <w:sz w:val="18"/>
                <w:szCs w:val="18"/>
                <w:vertAlign w:val="superscript"/>
              </w:rPr>
              <w:t>ο</w:t>
            </w:r>
            <w:r w:rsidRPr="00710445">
              <w:rPr>
                <w:sz w:val="18"/>
                <w:szCs w:val="18"/>
              </w:rPr>
              <w:t xml:space="preserve"> 3μηνο 2020 έναντι 5</w:t>
            </w:r>
            <w:r w:rsidR="00871AF0">
              <w:rPr>
                <w:sz w:val="18"/>
                <w:szCs w:val="18"/>
              </w:rPr>
              <w:t>5</w:t>
            </w:r>
            <w:r w:rsidRPr="00710445">
              <w:rPr>
                <w:sz w:val="18"/>
                <w:szCs w:val="18"/>
              </w:rPr>
              <w:t>% το 1</w:t>
            </w:r>
            <w:r w:rsidRPr="00710445">
              <w:rPr>
                <w:sz w:val="18"/>
                <w:szCs w:val="18"/>
                <w:vertAlign w:val="superscript"/>
              </w:rPr>
              <w:t>ο</w:t>
            </w:r>
            <w:r w:rsidRPr="00710445">
              <w:rPr>
                <w:sz w:val="18"/>
                <w:szCs w:val="18"/>
              </w:rPr>
              <w:t xml:space="preserve"> 3μηνο 2020. Οι δαπάνες προσωπικού μειώθηκαν κατ</w:t>
            </w:r>
            <w:r w:rsidR="002D753A">
              <w:rPr>
                <w:sz w:val="18"/>
                <w:szCs w:val="18"/>
              </w:rPr>
              <w:t>ά 24% ετησίως, καθώς η Τράπεζα επωμίσθηκε</w:t>
            </w:r>
            <w:r w:rsidRPr="00710445">
              <w:rPr>
                <w:sz w:val="18"/>
                <w:szCs w:val="18"/>
              </w:rPr>
              <w:t xml:space="preserve"> το όφελος της απόσχισης της πλατφόρμας διαχείρισης ΜΕΑ και </w:t>
            </w:r>
            <w:r w:rsidR="00A8644A">
              <w:rPr>
                <w:sz w:val="18"/>
                <w:szCs w:val="18"/>
              </w:rPr>
              <w:t xml:space="preserve">το πρόγραμμα </w:t>
            </w:r>
            <w:r w:rsidRPr="00710445">
              <w:rPr>
                <w:sz w:val="18"/>
                <w:szCs w:val="18"/>
              </w:rPr>
              <w:t xml:space="preserve">της εθελουσίας εξόδου </w:t>
            </w:r>
            <w:r w:rsidR="00A8644A">
              <w:rPr>
                <w:sz w:val="18"/>
                <w:szCs w:val="18"/>
              </w:rPr>
              <w:t>το</w:t>
            </w:r>
            <w:r w:rsidRPr="00710445">
              <w:rPr>
                <w:sz w:val="18"/>
                <w:szCs w:val="18"/>
              </w:rPr>
              <w:t xml:space="preserve"> 2019. </w:t>
            </w:r>
            <w:r w:rsidR="002D753A">
              <w:rPr>
                <w:sz w:val="18"/>
                <w:szCs w:val="18"/>
              </w:rPr>
              <w:t>Τέλος</w:t>
            </w:r>
            <w:r w:rsidRPr="00710445">
              <w:rPr>
                <w:sz w:val="18"/>
                <w:szCs w:val="18"/>
              </w:rPr>
              <w:t>, η Τράπεζα Πειραιώς παραμένει εντός στόχ</w:t>
            </w:r>
            <w:r w:rsidR="00FC30B2">
              <w:rPr>
                <w:sz w:val="18"/>
                <w:szCs w:val="18"/>
              </w:rPr>
              <w:t>ου</w:t>
            </w:r>
            <w:r w:rsidRPr="00710445">
              <w:rPr>
                <w:sz w:val="18"/>
                <w:szCs w:val="18"/>
              </w:rPr>
              <w:t xml:space="preserve"> για μείωση των λειτουργικών εξόδων της με </w:t>
            </w:r>
            <w:r w:rsidR="002D753A">
              <w:rPr>
                <w:sz w:val="18"/>
                <w:szCs w:val="18"/>
              </w:rPr>
              <w:t xml:space="preserve">μέσο </w:t>
            </w:r>
            <w:r w:rsidRPr="00710445">
              <w:rPr>
                <w:sz w:val="18"/>
                <w:szCs w:val="18"/>
              </w:rPr>
              <w:t xml:space="preserve">μονοψήφιο ρυθμό κατά το 2020, μετά από </w:t>
            </w:r>
            <w:r w:rsidR="002D753A">
              <w:rPr>
                <w:sz w:val="18"/>
                <w:szCs w:val="18"/>
              </w:rPr>
              <w:t xml:space="preserve">τη </w:t>
            </w:r>
            <w:r w:rsidRPr="00710445">
              <w:rPr>
                <w:sz w:val="18"/>
                <w:szCs w:val="18"/>
              </w:rPr>
              <w:t xml:space="preserve">μείωσή τους </w:t>
            </w:r>
            <w:r w:rsidR="002D753A">
              <w:rPr>
                <w:sz w:val="18"/>
                <w:szCs w:val="18"/>
              </w:rPr>
              <w:t xml:space="preserve">σε επαναλαμβανόμενη βάση </w:t>
            </w:r>
            <w:r w:rsidRPr="00710445">
              <w:rPr>
                <w:sz w:val="18"/>
                <w:szCs w:val="18"/>
              </w:rPr>
              <w:t>κατά 6% το 2019.</w:t>
            </w:r>
          </w:p>
        </w:tc>
      </w:tr>
      <w:tr w:rsidR="00CC796E" w:rsidRPr="006043D1" w:rsidTr="005828D6">
        <w:trPr>
          <w:gridAfter w:val="1"/>
          <w:wAfter w:w="37" w:type="dxa"/>
          <w:trHeight w:val="457"/>
        </w:trPr>
        <w:tc>
          <w:tcPr>
            <w:tcW w:w="1701" w:type="dxa"/>
            <w:tcMar>
              <w:top w:w="57" w:type="dxa"/>
              <w:bottom w:w="57" w:type="dxa"/>
            </w:tcMar>
          </w:tcPr>
          <w:p w:rsidR="00CC796E" w:rsidRPr="00167481" w:rsidRDefault="00D31973" w:rsidP="00CC796E">
            <w:pPr>
              <w:tabs>
                <w:tab w:val="left" w:pos="8262"/>
              </w:tabs>
              <w:spacing w:after="60"/>
              <w:ind w:left="32" w:right="74"/>
              <w:contextualSpacing/>
              <w:rPr>
                <w:rFonts w:cs="Calibri"/>
                <w:b/>
                <w:i/>
                <w:noProof/>
                <w:color w:val="FF0000"/>
                <w:sz w:val="21"/>
                <w:szCs w:val="21"/>
                <w:lang w:eastAsia="el-GR"/>
              </w:rPr>
            </w:pPr>
            <w:r>
              <w:rPr>
                <w:rFonts w:eastAsiaTheme="minorEastAsia" w:cs="Calibri"/>
                <w:i/>
                <w:color w:val="6691AB"/>
                <w:spacing w:val="-6"/>
                <w:sz w:val="21"/>
                <w:szCs w:val="21"/>
              </w:rPr>
              <w:t>Α</w:t>
            </w:r>
            <w:r w:rsidR="00CC796E" w:rsidRPr="00167481">
              <w:rPr>
                <w:rFonts w:eastAsiaTheme="minorEastAsia" w:cs="Calibri"/>
                <w:i/>
                <w:color w:val="6691AB"/>
                <w:spacing w:val="-6"/>
                <w:sz w:val="21"/>
                <w:szCs w:val="21"/>
              </w:rPr>
              <w:t>ύξηση των κερδών προ φόρων και προβλέψεων</w:t>
            </w:r>
          </w:p>
        </w:tc>
        <w:tc>
          <w:tcPr>
            <w:tcW w:w="7287" w:type="dxa"/>
            <w:tcMar>
              <w:top w:w="57" w:type="dxa"/>
              <w:bottom w:w="57" w:type="dxa"/>
            </w:tcMar>
          </w:tcPr>
          <w:p w:rsidR="00CC796E" w:rsidRPr="00710445" w:rsidRDefault="00CC796E" w:rsidP="00D31973">
            <w:pPr>
              <w:spacing w:after="80" w:line="240" w:lineRule="exact"/>
              <w:ind w:right="74"/>
              <w:jc w:val="both"/>
              <w:rPr>
                <w:sz w:val="18"/>
                <w:szCs w:val="18"/>
              </w:rPr>
            </w:pPr>
            <w:r w:rsidRPr="00710445">
              <w:rPr>
                <w:rFonts w:cs="Calibri"/>
                <w:sz w:val="18"/>
                <w:szCs w:val="18"/>
              </w:rPr>
              <w:t>Τα κέρδη προ φόρων και προβλέψεων διαμορφώθηκαν σε €28</w:t>
            </w:r>
            <w:r>
              <w:rPr>
                <w:rFonts w:cs="Calibri"/>
                <w:sz w:val="18"/>
                <w:szCs w:val="18"/>
              </w:rPr>
              <w:t>5</w:t>
            </w:r>
            <w:r w:rsidRPr="00710445">
              <w:rPr>
                <w:rFonts w:cs="Calibri"/>
                <w:sz w:val="18"/>
                <w:szCs w:val="18"/>
              </w:rPr>
              <w:t>εκατ. το 2</w:t>
            </w:r>
            <w:r w:rsidRPr="00710445">
              <w:rPr>
                <w:rFonts w:cs="Calibri"/>
                <w:sz w:val="18"/>
                <w:szCs w:val="18"/>
                <w:vertAlign w:val="superscript"/>
              </w:rPr>
              <w:t>ο</w:t>
            </w:r>
            <w:r w:rsidRPr="00710445">
              <w:rPr>
                <w:rFonts w:cs="Calibri"/>
                <w:sz w:val="18"/>
                <w:szCs w:val="18"/>
              </w:rPr>
              <w:t xml:space="preserve"> 3μηνο 2020 από €187εκατ. </w:t>
            </w:r>
            <w:r w:rsidR="00FC30B2">
              <w:rPr>
                <w:rFonts w:cs="Calibri"/>
                <w:sz w:val="18"/>
                <w:szCs w:val="18"/>
              </w:rPr>
              <w:t xml:space="preserve">το ίδιο διάστημα </w:t>
            </w:r>
            <w:r w:rsidRPr="00710445">
              <w:rPr>
                <w:rFonts w:cs="Calibri"/>
                <w:sz w:val="18"/>
                <w:szCs w:val="18"/>
              </w:rPr>
              <w:t xml:space="preserve">το προηγούμενο έτος, </w:t>
            </w:r>
            <w:r>
              <w:rPr>
                <w:rFonts w:cs="Calibri"/>
                <w:sz w:val="18"/>
                <w:szCs w:val="18"/>
              </w:rPr>
              <w:t>με αύξηση κατά 5</w:t>
            </w:r>
            <w:r w:rsidR="007F4CBE">
              <w:rPr>
                <w:rFonts w:cs="Calibri"/>
                <w:sz w:val="18"/>
                <w:szCs w:val="18"/>
              </w:rPr>
              <w:t>2</w:t>
            </w:r>
            <w:r>
              <w:rPr>
                <w:rFonts w:cs="Calibri"/>
                <w:sz w:val="18"/>
                <w:szCs w:val="18"/>
              </w:rPr>
              <w:t>% ετησίως</w:t>
            </w:r>
            <w:r w:rsidRPr="00710445">
              <w:rPr>
                <w:rFonts w:cs="Calibri"/>
                <w:sz w:val="18"/>
                <w:szCs w:val="18"/>
              </w:rPr>
              <w:t xml:space="preserve">. Επιπλέον, τα </w:t>
            </w:r>
            <w:r w:rsidR="00D31973">
              <w:rPr>
                <w:rFonts w:cs="Calibri"/>
                <w:sz w:val="18"/>
                <w:szCs w:val="18"/>
              </w:rPr>
              <w:t xml:space="preserve">βασικά τραπεζικά έσοδα </w:t>
            </w:r>
            <w:r w:rsidRPr="00710445">
              <w:rPr>
                <w:rFonts w:cs="Calibri"/>
                <w:sz w:val="18"/>
                <w:szCs w:val="18"/>
              </w:rPr>
              <w:t>μείον τα επαναλαμβανόμενα λειτουργικά έξοδα, ανήλθαν σε €22</w:t>
            </w:r>
            <w:r>
              <w:rPr>
                <w:rFonts w:cs="Calibri"/>
                <w:sz w:val="18"/>
                <w:szCs w:val="18"/>
              </w:rPr>
              <w:t>2</w:t>
            </w:r>
            <w:r w:rsidRPr="00710445">
              <w:rPr>
                <w:rFonts w:cs="Calibri"/>
                <w:sz w:val="18"/>
                <w:szCs w:val="18"/>
              </w:rPr>
              <w:t>εκατ.</w:t>
            </w:r>
            <w:r w:rsidR="007F4CBE">
              <w:rPr>
                <w:rFonts w:cs="Calibri"/>
                <w:sz w:val="18"/>
                <w:szCs w:val="18"/>
              </w:rPr>
              <w:t xml:space="preserve"> το </w:t>
            </w:r>
            <w:r w:rsidR="007F4CBE" w:rsidRPr="00710445">
              <w:rPr>
                <w:sz w:val="18"/>
                <w:szCs w:val="18"/>
              </w:rPr>
              <w:t>2</w:t>
            </w:r>
            <w:r w:rsidR="007F4CBE" w:rsidRPr="00710445">
              <w:rPr>
                <w:sz w:val="18"/>
                <w:szCs w:val="18"/>
                <w:vertAlign w:val="superscript"/>
              </w:rPr>
              <w:t>ο</w:t>
            </w:r>
            <w:r w:rsidR="007F4CBE" w:rsidRPr="00710445">
              <w:rPr>
                <w:sz w:val="18"/>
                <w:szCs w:val="18"/>
              </w:rPr>
              <w:t xml:space="preserve"> 3μηνο 2020</w:t>
            </w:r>
            <w:r w:rsidRPr="00710445">
              <w:rPr>
                <w:rFonts w:cs="Calibri"/>
                <w:sz w:val="18"/>
                <w:szCs w:val="18"/>
              </w:rPr>
              <w:t xml:space="preserve">, </w:t>
            </w:r>
            <w:r>
              <w:rPr>
                <w:rFonts w:cs="Calibri"/>
                <w:sz w:val="18"/>
                <w:szCs w:val="18"/>
              </w:rPr>
              <w:t>17</w:t>
            </w:r>
            <w:r w:rsidRPr="00710445">
              <w:rPr>
                <w:rFonts w:cs="Calibri"/>
                <w:sz w:val="18"/>
                <w:szCs w:val="18"/>
              </w:rPr>
              <w:t>% υψηλότερα σε ετήσια βάση και 9% σε τριμηνιαία, α</w:t>
            </w:r>
            <w:r w:rsidR="00B57821">
              <w:rPr>
                <w:rFonts w:cs="Calibri"/>
                <w:sz w:val="18"/>
                <w:szCs w:val="18"/>
              </w:rPr>
              <w:t>ναδεικνύονταςτις προοπτικές</w:t>
            </w:r>
            <w:r w:rsidRPr="00710445">
              <w:rPr>
                <w:rFonts w:cs="Calibri"/>
                <w:sz w:val="18"/>
                <w:szCs w:val="18"/>
              </w:rPr>
              <w:t xml:space="preserve"> των </w:t>
            </w:r>
            <w:r w:rsidR="00B57821">
              <w:rPr>
                <w:rFonts w:cs="Calibri"/>
                <w:sz w:val="18"/>
                <w:szCs w:val="18"/>
              </w:rPr>
              <w:t>βασικών</w:t>
            </w:r>
            <w:r w:rsidRPr="00710445">
              <w:rPr>
                <w:rFonts w:cs="Calibri"/>
                <w:sz w:val="18"/>
                <w:szCs w:val="18"/>
              </w:rPr>
              <w:t xml:space="preserve"> λειτουργιών της Τράπεζας.</w:t>
            </w:r>
          </w:p>
        </w:tc>
      </w:tr>
      <w:tr w:rsidR="00CC796E" w:rsidRPr="006043D1" w:rsidTr="00A17FD4">
        <w:trPr>
          <w:gridAfter w:val="1"/>
          <w:wAfter w:w="37" w:type="dxa"/>
          <w:trHeight w:val="1345"/>
        </w:trPr>
        <w:tc>
          <w:tcPr>
            <w:tcW w:w="1701" w:type="dxa"/>
            <w:tcMar>
              <w:top w:w="57" w:type="dxa"/>
              <w:bottom w:w="57" w:type="dxa"/>
            </w:tcMar>
          </w:tcPr>
          <w:p w:rsidR="00CC796E" w:rsidRPr="00167481" w:rsidRDefault="00CC796E" w:rsidP="00FC30B2">
            <w:pPr>
              <w:tabs>
                <w:tab w:val="left" w:pos="8262"/>
              </w:tabs>
              <w:spacing w:after="60"/>
              <w:ind w:left="32" w:right="74"/>
              <w:contextualSpacing/>
              <w:rPr>
                <w:rFonts w:eastAsiaTheme="minorEastAsia" w:cs="Calibri"/>
                <w:i/>
                <w:color w:val="6691AB"/>
                <w:spacing w:val="-6"/>
                <w:sz w:val="21"/>
                <w:szCs w:val="21"/>
              </w:rPr>
            </w:pPr>
            <w:r w:rsidRPr="00167481">
              <w:rPr>
                <w:rFonts w:eastAsiaTheme="minorEastAsia" w:cs="Calibri"/>
                <w:i/>
                <w:color w:val="6691AB"/>
                <w:spacing w:val="-6"/>
                <w:sz w:val="21"/>
                <w:szCs w:val="21"/>
              </w:rPr>
              <w:t xml:space="preserve">Απομειώσεις δανείων σύμφωνα με την </w:t>
            </w:r>
            <w:r w:rsidR="00B57821">
              <w:rPr>
                <w:rFonts w:eastAsiaTheme="minorEastAsia" w:cs="Calibri"/>
                <w:i/>
                <w:color w:val="6691AB"/>
                <w:spacing w:val="-6"/>
                <w:sz w:val="21"/>
                <w:szCs w:val="21"/>
              </w:rPr>
              <w:t>εκτίμηση για το</w:t>
            </w:r>
            <w:r w:rsidRPr="00167481">
              <w:rPr>
                <w:rFonts w:eastAsiaTheme="minorEastAsia" w:cs="Calibri"/>
                <w:i/>
                <w:color w:val="6691AB"/>
                <w:spacing w:val="-6"/>
                <w:sz w:val="21"/>
                <w:szCs w:val="21"/>
              </w:rPr>
              <w:t xml:space="preserve"> 2020</w:t>
            </w:r>
          </w:p>
        </w:tc>
        <w:tc>
          <w:tcPr>
            <w:tcW w:w="7287" w:type="dxa"/>
            <w:tcMar>
              <w:top w:w="57" w:type="dxa"/>
              <w:bottom w:w="57" w:type="dxa"/>
            </w:tcMar>
          </w:tcPr>
          <w:p w:rsidR="00CC796E" w:rsidRPr="00710445" w:rsidRDefault="00B57821" w:rsidP="00EF6C8E">
            <w:pPr>
              <w:spacing w:after="80" w:line="240" w:lineRule="exact"/>
              <w:ind w:right="74"/>
              <w:jc w:val="both"/>
              <w:rPr>
                <w:sz w:val="18"/>
                <w:szCs w:val="18"/>
              </w:rPr>
            </w:pPr>
            <w:r>
              <w:rPr>
                <w:rFonts w:cs="Calibri"/>
                <w:sz w:val="18"/>
                <w:szCs w:val="18"/>
              </w:rPr>
              <w:t>Το σύνολο απομειώσεων</w:t>
            </w:r>
            <w:r w:rsidR="002D753A" w:rsidRPr="00710445">
              <w:rPr>
                <w:rFonts w:cs="Calibri"/>
                <w:sz w:val="18"/>
                <w:szCs w:val="18"/>
              </w:rPr>
              <w:t xml:space="preserve"> κατά το 2</w:t>
            </w:r>
            <w:r w:rsidR="002D753A" w:rsidRPr="00710445">
              <w:rPr>
                <w:rFonts w:cs="Calibri"/>
                <w:sz w:val="18"/>
                <w:szCs w:val="18"/>
                <w:vertAlign w:val="superscript"/>
              </w:rPr>
              <w:t>ο</w:t>
            </w:r>
            <w:r w:rsidR="002D753A" w:rsidRPr="00710445">
              <w:rPr>
                <w:rFonts w:cs="Calibri"/>
                <w:sz w:val="18"/>
                <w:szCs w:val="18"/>
              </w:rPr>
              <w:t xml:space="preserve"> 3μηνο 2020 διαμορφώθηκ</w:t>
            </w:r>
            <w:r w:rsidR="00FC30B2">
              <w:rPr>
                <w:rFonts w:cs="Calibri"/>
                <w:sz w:val="18"/>
                <w:szCs w:val="18"/>
              </w:rPr>
              <w:t>ε</w:t>
            </w:r>
            <w:r w:rsidR="002D753A" w:rsidRPr="00710445">
              <w:rPr>
                <w:rFonts w:cs="Calibri"/>
                <w:sz w:val="18"/>
                <w:szCs w:val="18"/>
              </w:rPr>
              <w:t xml:space="preserve"> σε </w:t>
            </w:r>
            <w:r w:rsidR="002D753A" w:rsidRPr="00710445">
              <w:rPr>
                <w:sz w:val="18"/>
                <w:szCs w:val="18"/>
              </w:rPr>
              <w:t>€</w:t>
            </w:r>
            <w:r w:rsidR="002D753A">
              <w:rPr>
                <w:sz w:val="18"/>
                <w:szCs w:val="18"/>
              </w:rPr>
              <w:t>160</w:t>
            </w:r>
            <w:r w:rsidR="002D753A" w:rsidRPr="00710445">
              <w:rPr>
                <w:rFonts w:cs="Calibri"/>
                <w:sz w:val="18"/>
                <w:szCs w:val="18"/>
              </w:rPr>
              <w:t xml:space="preserve">εκατ. από </w:t>
            </w:r>
            <w:r w:rsidR="002D753A" w:rsidRPr="00710445">
              <w:rPr>
                <w:sz w:val="18"/>
                <w:szCs w:val="18"/>
              </w:rPr>
              <w:t>€1</w:t>
            </w:r>
            <w:r w:rsidR="002D753A">
              <w:rPr>
                <w:sz w:val="18"/>
                <w:szCs w:val="18"/>
              </w:rPr>
              <w:t>53</w:t>
            </w:r>
            <w:r w:rsidR="002D753A" w:rsidRPr="00710445">
              <w:rPr>
                <w:rFonts w:cs="Calibri"/>
                <w:sz w:val="18"/>
                <w:szCs w:val="18"/>
              </w:rPr>
              <w:t>εκατ. κατά την ίδια περσινή περίοδο</w:t>
            </w:r>
            <w:r w:rsidR="002D753A">
              <w:rPr>
                <w:rFonts w:cs="Calibri"/>
                <w:sz w:val="18"/>
                <w:szCs w:val="18"/>
              </w:rPr>
              <w:t>.</w:t>
            </w:r>
            <w:r>
              <w:rPr>
                <w:rFonts w:cs="Calibri"/>
                <w:sz w:val="18"/>
                <w:szCs w:val="18"/>
              </w:rPr>
              <w:t>Το έξοδο προβλέψεων</w:t>
            </w:r>
            <w:r w:rsidR="002D753A">
              <w:rPr>
                <w:rFonts w:cs="Calibri"/>
                <w:sz w:val="18"/>
                <w:szCs w:val="18"/>
              </w:rPr>
              <w:t xml:space="preserve"> δανείων </w:t>
            </w:r>
            <w:r w:rsidR="002D753A" w:rsidRPr="00710445">
              <w:rPr>
                <w:rFonts w:cs="Calibri"/>
                <w:sz w:val="18"/>
                <w:szCs w:val="18"/>
              </w:rPr>
              <w:t>διαμορφώθηκ</w:t>
            </w:r>
            <w:r>
              <w:rPr>
                <w:rFonts w:cs="Calibri"/>
                <w:sz w:val="18"/>
                <w:szCs w:val="18"/>
              </w:rPr>
              <w:t>ε</w:t>
            </w:r>
            <w:r w:rsidR="002D753A" w:rsidRPr="00710445">
              <w:rPr>
                <w:rFonts w:cs="Calibri"/>
                <w:sz w:val="18"/>
                <w:szCs w:val="18"/>
              </w:rPr>
              <w:t xml:space="preserve"> σ</w:t>
            </w:r>
            <w:r w:rsidR="002D753A">
              <w:rPr>
                <w:rFonts w:cs="Calibri"/>
                <w:sz w:val="18"/>
                <w:szCs w:val="18"/>
              </w:rPr>
              <w:t>ε€142εκατ</w:t>
            </w:r>
            <w:r w:rsidR="002D753A" w:rsidRPr="00710445">
              <w:rPr>
                <w:rFonts w:cs="Calibri"/>
                <w:sz w:val="18"/>
                <w:szCs w:val="18"/>
              </w:rPr>
              <w:t xml:space="preserve">. σε σύγκριση με </w:t>
            </w:r>
            <w:r w:rsidR="002D753A">
              <w:rPr>
                <w:rFonts w:cs="Calibri"/>
                <w:sz w:val="18"/>
                <w:szCs w:val="18"/>
              </w:rPr>
              <w:t>€146εκατ</w:t>
            </w:r>
            <w:r w:rsidR="002D753A" w:rsidRPr="00710445">
              <w:rPr>
                <w:rFonts w:cs="Calibri"/>
                <w:sz w:val="18"/>
                <w:szCs w:val="18"/>
              </w:rPr>
              <w:t xml:space="preserve">. το </w:t>
            </w:r>
            <w:r w:rsidR="002D753A">
              <w:rPr>
                <w:rFonts w:cs="Calibri"/>
                <w:sz w:val="18"/>
                <w:szCs w:val="18"/>
              </w:rPr>
              <w:t>2</w:t>
            </w:r>
            <w:r w:rsidR="002D753A" w:rsidRPr="00710445">
              <w:rPr>
                <w:rFonts w:cs="Calibri"/>
                <w:sz w:val="18"/>
                <w:szCs w:val="18"/>
                <w:vertAlign w:val="superscript"/>
              </w:rPr>
              <w:t>ο</w:t>
            </w:r>
            <w:r w:rsidR="00FD4865">
              <w:rPr>
                <w:rFonts w:cs="Calibri"/>
                <w:sz w:val="18"/>
                <w:szCs w:val="18"/>
              </w:rPr>
              <w:t>3</w:t>
            </w:r>
            <w:r w:rsidR="002D753A" w:rsidRPr="00710445">
              <w:rPr>
                <w:rFonts w:cs="Calibri"/>
                <w:sz w:val="18"/>
                <w:szCs w:val="18"/>
              </w:rPr>
              <w:t>μηνο 20</w:t>
            </w:r>
            <w:r w:rsidR="002D753A">
              <w:rPr>
                <w:rFonts w:cs="Calibri"/>
                <w:sz w:val="18"/>
                <w:szCs w:val="18"/>
              </w:rPr>
              <w:t>19.Ως ποσοστό των δανείων μετά από προβλέψεις, οι απομε</w:t>
            </w:r>
            <w:r w:rsidR="007F4CBE">
              <w:rPr>
                <w:rFonts w:cs="Calibri"/>
                <w:sz w:val="18"/>
                <w:szCs w:val="18"/>
              </w:rPr>
              <w:t>ι</w:t>
            </w:r>
            <w:r w:rsidR="002D753A">
              <w:rPr>
                <w:rFonts w:cs="Calibri"/>
                <w:sz w:val="18"/>
                <w:szCs w:val="18"/>
              </w:rPr>
              <w:t xml:space="preserve">ώσεις διαμορφώθηκαν στις 137μ.β. σε σύγκριση με 153μ.β. το </w:t>
            </w:r>
            <w:r w:rsidR="002D753A" w:rsidRPr="00710445">
              <w:rPr>
                <w:sz w:val="18"/>
                <w:szCs w:val="18"/>
              </w:rPr>
              <w:t>2</w:t>
            </w:r>
            <w:r w:rsidR="002D753A" w:rsidRPr="00710445">
              <w:rPr>
                <w:sz w:val="18"/>
                <w:szCs w:val="18"/>
                <w:vertAlign w:val="superscript"/>
              </w:rPr>
              <w:t>ο</w:t>
            </w:r>
            <w:r w:rsidR="002D753A" w:rsidRPr="00710445">
              <w:rPr>
                <w:sz w:val="18"/>
                <w:szCs w:val="18"/>
              </w:rPr>
              <w:t xml:space="preserve"> 3μηνο</w:t>
            </w:r>
            <w:r w:rsidR="002D753A">
              <w:rPr>
                <w:rFonts w:cs="Calibri"/>
                <w:sz w:val="18"/>
                <w:szCs w:val="18"/>
              </w:rPr>
              <w:t xml:space="preserve">2019. </w:t>
            </w:r>
            <w:r w:rsidR="002D753A" w:rsidRPr="00710445">
              <w:rPr>
                <w:rFonts w:cs="Calibri"/>
                <w:sz w:val="18"/>
                <w:szCs w:val="18"/>
              </w:rPr>
              <w:t xml:space="preserve">Οι προβλέψεις για </w:t>
            </w:r>
            <w:r>
              <w:rPr>
                <w:rFonts w:cs="Calibri"/>
                <w:sz w:val="18"/>
                <w:szCs w:val="18"/>
              </w:rPr>
              <w:t xml:space="preserve">τα </w:t>
            </w:r>
            <w:r w:rsidR="00B51865">
              <w:rPr>
                <w:rFonts w:cs="Calibri"/>
                <w:sz w:val="18"/>
                <w:szCs w:val="18"/>
              </w:rPr>
              <w:t xml:space="preserve">λοιπά </w:t>
            </w:r>
            <w:r w:rsidR="002D753A" w:rsidRPr="00710445">
              <w:rPr>
                <w:rFonts w:cs="Calibri"/>
                <w:sz w:val="18"/>
                <w:szCs w:val="18"/>
              </w:rPr>
              <w:t xml:space="preserve">στοιχεία ενεργητικού διαμορφώθηκαν σε </w:t>
            </w:r>
            <w:r w:rsidR="002D753A" w:rsidRPr="00710445">
              <w:rPr>
                <w:sz w:val="18"/>
                <w:szCs w:val="18"/>
              </w:rPr>
              <w:t xml:space="preserve">€18εκατ. σε σύγκριση με </w:t>
            </w:r>
            <w:r w:rsidR="002D753A" w:rsidRPr="00710445">
              <w:rPr>
                <w:rFonts w:cs="Calibri"/>
                <w:sz w:val="18"/>
                <w:szCs w:val="18"/>
              </w:rPr>
              <w:t xml:space="preserve">€7εκατ. το </w:t>
            </w:r>
            <w:r w:rsidR="002D753A">
              <w:rPr>
                <w:rFonts w:cs="Calibri"/>
                <w:sz w:val="18"/>
                <w:szCs w:val="18"/>
              </w:rPr>
              <w:t>2</w:t>
            </w:r>
            <w:r w:rsidR="002D753A" w:rsidRPr="00710445">
              <w:rPr>
                <w:rFonts w:cs="Calibri"/>
                <w:sz w:val="18"/>
                <w:szCs w:val="18"/>
                <w:vertAlign w:val="superscript"/>
              </w:rPr>
              <w:t>ο</w:t>
            </w:r>
            <w:r w:rsidR="002D753A" w:rsidRPr="00710445">
              <w:rPr>
                <w:rFonts w:cs="Calibri"/>
                <w:sz w:val="18"/>
                <w:szCs w:val="18"/>
              </w:rPr>
              <w:t xml:space="preserve"> 3μηνο 20</w:t>
            </w:r>
            <w:r w:rsidR="002D753A">
              <w:rPr>
                <w:rFonts w:cs="Calibri"/>
                <w:sz w:val="18"/>
                <w:szCs w:val="18"/>
              </w:rPr>
              <w:t>19.</w:t>
            </w:r>
            <w:r w:rsidR="007F4CBE">
              <w:rPr>
                <w:rFonts w:cs="Calibri"/>
                <w:sz w:val="18"/>
                <w:szCs w:val="18"/>
              </w:rPr>
              <w:t xml:space="preserve"> Συνολικά για το 1</w:t>
            </w:r>
            <w:r w:rsidR="007F4CBE" w:rsidRPr="00710445">
              <w:rPr>
                <w:rFonts w:cs="Calibri"/>
                <w:sz w:val="18"/>
                <w:szCs w:val="18"/>
                <w:vertAlign w:val="superscript"/>
              </w:rPr>
              <w:t>ο</w:t>
            </w:r>
            <w:r w:rsidR="007F4CBE">
              <w:rPr>
                <w:rFonts w:cs="Calibri"/>
                <w:sz w:val="18"/>
                <w:szCs w:val="18"/>
              </w:rPr>
              <w:t>6</w:t>
            </w:r>
            <w:r w:rsidR="007F4CBE" w:rsidRPr="00710445">
              <w:rPr>
                <w:rFonts w:cs="Calibri"/>
                <w:sz w:val="18"/>
                <w:szCs w:val="18"/>
              </w:rPr>
              <w:t>μηνο 2020</w:t>
            </w:r>
            <w:r w:rsidR="007F4CBE">
              <w:rPr>
                <w:rFonts w:cs="Calibri"/>
                <w:sz w:val="18"/>
                <w:szCs w:val="18"/>
              </w:rPr>
              <w:t xml:space="preserve"> οι προβλέψεις ανέρχονται σε €670εκατ., από τις οποίες €580εκατ. αφορούν στα δάνεια και €90εκατ. σε λοιπά στοιχεία ενεργητικού</w:t>
            </w:r>
            <w:r w:rsidR="008A2D1A">
              <w:rPr>
                <w:rFonts w:cs="Calibri"/>
                <w:sz w:val="18"/>
                <w:szCs w:val="18"/>
              </w:rPr>
              <w:t xml:space="preserve">, ενώ σχετιζόμενες με </w:t>
            </w:r>
            <w:r w:rsidR="008A2D1A">
              <w:rPr>
                <w:rFonts w:cs="Calibri"/>
                <w:sz w:val="18"/>
                <w:szCs w:val="18"/>
                <w:lang w:val="en-US"/>
              </w:rPr>
              <w:t>Covid</w:t>
            </w:r>
            <w:r w:rsidR="008A2D1A" w:rsidRPr="008A2D1A">
              <w:rPr>
                <w:rFonts w:cs="Calibri"/>
                <w:sz w:val="18"/>
                <w:szCs w:val="18"/>
              </w:rPr>
              <w:t xml:space="preserve">-19 </w:t>
            </w:r>
            <w:r w:rsidR="008A2D1A">
              <w:rPr>
                <w:rFonts w:cs="Calibri"/>
                <w:sz w:val="18"/>
                <w:szCs w:val="18"/>
              </w:rPr>
              <w:t xml:space="preserve">είναι €274εκατ. και </w:t>
            </w:r>
            <w:r w:rsidR="008A2D1A" w:rsidRPr="00D1639C">
              <w:rPr>
                <w:rFonts w:cs="Calibri"/>
                <w:sz w:val="18"/>
                <w:szCs w:val="18"/>
              </w:rPr>
              <w:t>€</w:t>
            </w:r>
            <w:r w:rsidR="00EF6C8E">
              <w:rPr>
                <w:rFonts w:cs="Calibri"/>
                <w:sz w:val="18"/>
                <w:szCs w:val="18"/>
              </w:rPr>
              <w:t>6</w:t>
            </w:r>
            <w:r w:rsidR="008A2D1A" w:rsidRPr="00D1639C">
              <w:rPr>
                <w:rFonts w:cs="Calibri"/>
                <w:sz w:val="18"/>
                <w:szCs w:val="18"/>
              </w:rPr>
              <w:t>7εκατ.</w:t>
            </w:r>
            <w:r w:rsidR="008A2D1A">
              <w:rPr>
                <w:rFonts w:cs="Calibri"/>
                <w:sz w:val="18"/>
                <w:szCs w:val="18"/>
              </w:rPr>
              <w:t xml:space="preserve"> αντίστοιχα.</w:t>
            </w:r>
          </w:p>
        </w:tc>
      </w:tr>
      <w:tr w:rsidR="00CC796E" w:rsidRPr="00B4525D" w:rsidTr="004B4545">
        <w:trPr>
          <w:trHeight w:val="145"/>
        </w:trPr>
        <w:tc>
          <w:tcPr>
            <w:tcW w:w="1701" w:type="dxa"/>
            <w:tcMar>
              <w:top w:w="57" w:type="dxa"/>
              <w:bottom w:w="57" w:type="dxa"/>
            </w:tcMar>
          </w:tcPr>
          <w:p w:rsidR="00CC796E" w:rsidRPr="00167481" w:rsidRDefault="000C31D9" w:rsidP="00CC796E">
            <w:pPr>
              <w:tabs>
                <w:tab w:val="left" w:pos="8262"/>
              </w:tabs>
              <w:spacing w:after="60"/>
              <w:ind w:left="32" w:right="74"/>
              <w:contextualSpacing/>
              <w:rPr>
                <w:rFonts w:eastAsiaTheme="minorEastAsia" w:cs="Calibri"/>
                <w:i/>
                <w:color w:val="6691AB"/>
                <w:sz w:val="21"/>
                <w:szCs w:val="21"/>
              </w:rPr>
            </w:pPr>
            <w:r>
              <w:rPr>
                <w:rFonts w:eastAsiaTheme="minorEastAsia" w:cs="Calibri"/>
                <w:i/>
                <w:color w:val="6691AB"/>
                <w:spacing w:val="-6"/>
                <w:sz w:val="21"/>
                <w:szCs w:val="21"/>
              </w:rPr>
              <w:t>Βελτιωμένο αποτέλεσμα μεταξύ των τριμήνων</w:t>
            </w:r>
            <w:r w:rsidR="000C6823">
              <w:rPr>
                <w:rFonts w:eastAsiaTheme="minorEastAsia" w:cs="Calibri"/>
                <w:i/>
                <w:color w:val="6691AB"/>
                <w:sz w:val="21"/>
                <w:szCs w:val="21"/>
              </w:rPr>
              <w:t>2020</w:t>
            </w:r>
          </w:p>
          <w:p w:rsidR="00CC796E" w:rsidRPr="00B4525D" w:rsidRDefault="00CC796E" w:rsidP="00CC796E">
            <w:pPr>
              <w:tabs>
                <w:tab w:val="left" w:pos="8262"/>
              </w:tabs>
              <w:spacing w:after="60"/>
              <w:ind w:right="74"/>
              <w:contextualSpacing/>
              <w:rPr>
                <w:rFonts w:cs="Calibri"/>
                <w:b/>
                <w:i/>
                <w:color w:val="FF0000"/>
                <w:sz w:val="24"/>
                <w:szCs w:val="24"/>
              </w:rPr>
            </w:pPr>
          </w:p>
        </w:tc>
        <w:tc>
          <w:tcPr>
            <w:tcW w:w="7324" w:type="dxa"/>
            <w:gridSpan w:val="2"/>
            <w:tcMar>
              <w:top w:w="57" w:type="dxa"/>
              <w:bottom w:w="57" w:type="dxa"/>
            </w:tcMar>
          </w:tcPr>
          <w:p w:rsidR="00CC796E" w:rsidRPr="00FF63FD" w:rsidRDefault="00D31973" w:rsidP="00AA55AE">
            <w:pPr>
              <w:spacing w:after="80" w:line="240" w:lineRule="exact"/>
              <w:ind w:right="74"/>
              <w:jc w:val="both"/>
              <w:rPr>
                <w:sz w:val="18"/>
                <w:szCs w:val="18"/>
              </w:rPr>
            </w:pPr>
            <w:r>
              <w:rPr>
                <w:rFonts w:cs="Calibri"/>
                <w:sz w:val="18"/>
                <w:szCs w:val="18"/>
              </w:rPr>
              <w:t xml:space="preserve">Το προ φόρων αποτέλεσμα </w:t>
            </w:r>
            <w:r w:rsidR="00CC796E">
              <w:rPr>
                <w:rFonts w:cs="Calibri"/>
                <w:sz w:val="18"/>
                <w:szCs w:val="18"/>
              </w:rPr>
              <w:t xml:space="preserve">κατά </w:t>
            </w:r>
            <w:r w:rsidR="00CC796E" w:rsidRPr="00710445">
              <w:rPr>
                <w:rFonts w:cs="Calibri"/>
                <w:sz w:val="18"/>
                <w:szCs w:val="18"/>
              </w:rPr>
              <w:t>το 2</w:t>
            </w:r>
            <w:r w:rsidR="00CC796E" w:rsidRPr="00710445">
              <w:rPr>
                <w:rFonts w:cs="Calibri"/>
                <w:sz w:val="18"/>
                <w:szCs w:val="18"/>
                <w:vertAlign w:val="superscript"/>
              </w:rPr>
              <w:t>ο</w:t>
            </w:r>
            <w:r w:rsidR="00CC796E" w:rsidRPr="00710445">
              <w:rPr>
                <w:rFonts w:cs="Calibri"/>
                <w:sz w:val="18"/>
                <w:szCs w:val="18"/>
              </w:rPr>
              <w:t xml:space="preserve"> 3μηνο 2020 διαμορφώθηκε σε κέρδος €125εκατ. έναντι ζημ</w:t>
            </w:r>
            <w:r w:rsidR="00B57821">
              <w:rPr>
                <w:rFonts w:cs="Calibri"/>
                <w:sz w:val="18"/>
                <w:szCs w:val="18"/>
              </w:rPr>
              <w:t xml:space="preserve">ίας </w:t>
            </w:r>
            <w:r w:rsidR="00CC796E" w:rsidRPr="00710445">
              <w:rPr>
                <w:rFonts w:cs="Calibri"/>
                <w:sz w:val="18"/>
                <w:szCs w:val="18"/>
              </w:rPr>
              <w:t>€340εκατ. το 1</w:t>
            </w:r>
            <w:r w:rsidR="00CC796E" w:rsidRPr="00710445">
              <w:rPr>
                <w:rFonts w:cs="Calibri"/>
                <w:sz w:val="18"/>
                <w:szCs w:val="18"/>
                <w:vertAlign w:val="superscript"/>
              </w:rPr>
              <w:t>ο</w:t>
            </w:r>
            <w:r w:rsidR="00CC796E" w:rsidRPr="00710445">
              <w:rPr>
                <w:rFonts w:cs="Calibri"/>
                <w:sz w:val="18"/>
                <w:szCs w:val="18"/>
              </w:rPr>
              <w:t xml:space="preserve"> 3μηνο 2020 (</w:t>
            </w:r>
            <w:r w:rsidR="00CC796E">
              <w:rPr>
                <w:rFonts w:cs="Calibri"/>
                <w:sz w:val="18"/>
                <w:szCs w:val="18"/>
              </w:rPr>
              <w:t xml:space="preserve">περιλαμβάνοντας προβλέψεις </w:t>
            </w:r>
            <w:r w:rsidR="00CC796E" w:rsidRPr="00710445">
              <w:rPr>
                <w:rFonts w:cs="Calibri"/>
                <w:sz w:val="18"/>
                <w:szCs w:val="18"/>
              </w:rPr>
              <w:t>€</w:t>
            </w:r>
            <w:r w:rsidR="00CC796E" w:rsidRPr="0065190B">
              <w:rPr>
                <w:rFonts w:cs="Calibri"/>
                <w:sz w:val="18"/>
                <w:szCs w:val="18"/>
              </w:rPr>
              <w:t>324</w:t>
            </w:r>
            <w:r w:rsidR="00CC796E" w:rsidRPr="00710445">
              <w:rPr>
                <w:rFonts w:cs="Calibri"/>
                <w:sz w:val="18"/>
                <w:szCs w:val="18"/>
              </w:rPr>
              <w:t>εκατ</w:t>
            </w:r>
            <w:r w:rsidR="00CC796E" w:rsidRPr="00B9289F">
              <w:rPr>
                <w:rFonts w:cs="Calibri"/>
                <w:sz w:val="18"/>
                <w:szCs w:val="18"/>
              </w:rPr>
              <w:t>.</w:t>
            </w:r>
            <w:r>
              <w:rPr>
                <w:rFonts w:cs="Calibri"/>
                <w:sz w:val="18"/>
                <w:szCs w:val="18"/>
              </w:rPr>
              <w:t xml:space="preserve"> που αποτυπώνουν τις επιπτώσεις του </w:t>
            </w:r>
            <w:r>
              <w:rPr>
                <w:rFonts w:cs="Calibri"/>
                <w:sz w:val="18"/>
                <w:szCs w:val="18"/>
                <w:lang w:val="en-US"/>
              </w:rPr>
              <w:t>Covid</w:t>
            </w:r>
            <w:r w:rsidRPr="00D31973">
              <w:rPr>
                <w:rFonts w:cs="Calibri"/>
                <w:sz w:val="18"/>
                <w:szCs w:val="18"/>
              </w:rPr>
              <w:t>-19</w:t>
            </w:r>
            <w:r w:rsidR="00CC796E" w:rsidRPr="0065190B">
              <w:rPr>
                <w:rFonts w:cs="Calibri"/>
                <w:sz w:val="18"/>
                <w:szCs w:val="18"/>
              </w:rPr>
              <w:t>)</w:t>
            </w:r>
            <w:r w:rsidR="00CC796E">
              <w:rPr>
                <w:rFonts w:cs="Calibri"/>
                <w:sz w:val="18"/>
                <w:szCs w:val="18"/>
              </w:rPr>
              <w:t>.</w:t>
            </w:r>
            <w:r w:rsidR="00CC796E" w:rsidRPr="00710445">
              <w:rPr>
                <w:rFonts w:cs="Calibri"/>
                <w:sz w:val="18"/>
                <w:szCs w:val="18"/>
              </w:rPr>
              <w:t xml:space="preserve"> Τ</w:t>
            </w:r>
            <w:r w:rsidR="00C95A37">
              <w:rPr>
                <w:rFonts w:cs="Calibri"/>
                <w:sz w:val="18"/>
                <w:szCs w:val="18"/>
              </w:rPr>
              <w:t>ακέρδη μετά από φόρους</w:t>
            </w:r>
            <w:r w:rsidR="00CC796E" w:rsidRPr="00710445">
              <w:rPr>
                <w:rFonts w:cs="Calibri"/>
                <w:sz w:val="18"/>
                <w:szCs w:val="18"/>
              </w:rPr>
              <w:t xml:space="preserve"> του Ομίλου διαμορφώθηκ</w:t>
            </w:r>
            <w:r w:rsidR="00C95A37">
              <w:rPr>
                <w:rFonts w:cs="Calibri"/>
                <w:sz w:val="18"/>
                <w:szCs w:val="18"/>
              </w:rPr>
              <w:t>αν</w:t>
            </w:r>
            <w:r w:rsidR="00CC796E" w:rsidRPr="00710445">
              <w:rPr>
                <w:rFonts w:cs="Calibri"/>
                <w:sz w:val="18"/>
                <w:szCs w:val="18"/>
              </w:rPr>
              <w:t xml:space="preserve"> σε €8</w:t>
            </w:r>
            <w:r w:rsidR="00CC796E">
              <w:rPr>
                <w:rFonts w:cs="Calibri"/>
                <w:sz w:val="18"/>
                <w:szCs w:val="18"/>
              </w:rPr>
              <w:t>2</w:t>
            </w:r>
            <w:r w:rsidR="00CC796E" w:rsidRPr="00710445">
              <w:rPr>
                <w:rFonts w:cs="Calibri"/>
                <w:sz w:val="18"/>
                <w:szCs w:val="18"/>
              </w:rPr>
              <w:t>εκατ. το 2</w:t>
            </w:r>
            <w:r w:rsidR="00CC796E" w:rsidRPr="00710445">
              <w:rPr>
                <w:rFonts w:cs="Calibri"/>
                <w:sz w:val="18"/>
                <w:szCs w:val="18"/>
                <w:vertAlign w:val="superscript"/>
              </w:rPr>
              <w:t>ο</w:t>
            </w:r>
            <w:r w:rsidR="00CC796E" w:rsidRPr="00710445">
              <w:rPr>
                <w:rFonts w:cs="Calibri"/>
                <w:sz w:val="18"/>
                <w:szCs w:val="18"/>
              </w:rPr>
              <w:t xml:space="preserve"> 3μηνο 2020 σε σύγκριση με €1</w:t>
            </w:r>
            <w:r w:rsidR="00CC796E">
              <w:rPr>
                <w:rFonts w:cs="Calibri"/>
                <w:sz w:val="18"/>
                <w:szCs w:val="18"/>
              </w:rPr>
              <w:t>9</w:t>
            </w:r>
            <w:r w:rsidR="00CC796E" w:rsidRPr="00710445">
              <w:rPr>
                <w:rFonts w:cs="Calibri"/>
                <w:sz w:val="18"/>
                <w:szCs w:val="18"/>
              </w:rPr>
              <w:t>εκατ. το 2</w:t>
            </w:r>
            <w:r w:rsidR="00CC796E" w:rsidRPr="00710445">
              <w:rPr>
                <w:rFonts w:cs="Calibri"/>
                <w:sz w:val="18"/>
                <w:szCs w:val="18"/>
                <w:vertAlign w:val="superscript"/>
              </w:rPr>
              <w:t>ο</w:t>
            </w:r>
            <w:r w:rsidR="00CC796E" w:rsidRPr="00710445">
              <w:rPr>
                <w:rFonts w:cs="Calibri"/>
                <w:sz w:val="18"/>
                <w:szCs w:val="18"/>
              </w:rPr>
              <w:t xml:space="preserve"> 3μηνο 2019 και ζημί</w:t>
            </w:r>
            <w:r w:rsidR="00AA55AE">
              <w:rPr>
                <w:rFonts w:cs="Calibri"/>
                <w:sz w:val="18"/>
                <w:szCs w:val="18"/>
              </w:rPr>
              <w:t>α</w:t>
            </w:r>
            <w:r w:rsidR="00CC796E" w:rsidRPr="00710445">
              <w:rPr>
                <w:rFonts w:cs="Calibri"/>
                <w:sz w:val="18"/>
                <w:szCs w:val="18"/>
              </w:rPr>
              <w:t xml:space="preserve"> €23</w:t>
            </w:r>
            <w:r w:rsidR="00C95A37">
              <w:rPr>
                <w:rFonts w:cs="Calibri"/>
                <w:sz w:val="18"/>
                <w:szCs w:val="18"/>
              </w:rPr>
              <w:t>2</w:t>
            </w:r>
            <w:r w:rsidR="00CC796E" w:rsidRPr="00710445">
              <w:rPr>
                <w:rFonts w:cs="Calibri"/>
                <w:sz w:val="18"/>
                <w:szCs w:val="18"/>
              </w:rPr>
              <w:t>εκατ. το 1</w:t>
            </w:r>
            <w:r w:rsidR="00CC796E" w:rsidRPr="00710445">
              <w:rPr>
                <w:rFonts w:cs="Calibri"/>
                <w:sz w:val="18"/>
                <w:szCs w:val="18"/>
                <w:vertAlign w:val="superscript"/>
              </w:rPr>
              <w:t>ο</w:t>
            </w:r>
            <w:r w:rsidR="00CC796E" w:rsidRPr="00710445">
              <w:rPr>
                <w:rFonts w:cs="Calibri"/>
                <w:sz w:val="18"/>
                <w:szCs w:val="18"/>
              </w:rPr>
              <w:t xml:space="preserve"> 3μηνο 2020.</w:t>
            </w:r>
          </w:p>
        </w:tc>
      </w:tr>
    </w:tbl>
    <w:p w:rsidR="00025755" w:rsidRPr="009042C1" w:rsidRDefault="009042C1" w:rsidP="004B4545">
      <w:pPr>
        <w:ind w:left="-567" w:hanging="142"/>
        <w:rPr>
          <w:rFonts w:eastAsia="Times New Roman" w:cstheme="minorHAnsi"/>
          <w:b/>
          <w:color w:val="FF0000"/>
          <w:sz w:val="19"/>
          <w:szCs w:val="19"/>
        </w:rPr>
      </w:pPr>
      <w:r>
        <w:rPr>
          <w:rFonts w:eastAsia="Times New Roman" w:cs="Calibri"/>
          <w:b/>
          <w:i/>
          <w:color w:val="6691AB"/>
          <w:sz w:val="27"/>
          <w:szCs w:val="27"/>
        </w:rPr>
        <w:t xml:space="preserve">Κύρια </w:t>
      </w:r>
      <w:r w:rsidRPr="00291416">
        <w:rPr>
          <w:rFonts w:eastAsia="Times New Roman" w:cs="Calibri"/>
          <w:b/>
          <w:i/>
          <w:color w:val="6691AB"/>
          <w:sz w:val="27"/>
          <w:szCs w:val="27"/>
        </w:rPr>
        <w:t>Σημεία Αποτελ</w:t>
      </w:r>
      <w:r w:rsidR="00A24AF1">
        <w:rPr>
          <w:rFonts w:eastAsia="Times New Roman" w:cs="Calibri"/>
          <w:b/>
          <w:i/>
          <w:color w:val="6691AB"/>
          <w:sz w:val="27"/>
          <w:szCs w:val="27"/>
        </w:rPr>
        <w:t>ε</w:t>
      </w:r>
      <w:r w:rsidRPr="00291416">
        <w:rPr>
          <w:rFonts w:eastAsia="Times New Roman" w:cs="Calibri"/>
          <w:b/>
          <w:i/>
          <w:color w:val="6691AB"/>
          <w:sz w:val="27"/>
          <w:szCs w:val="27"/>
        </w:rPr>
        <w:t>σμ</w:t>
      </w:r>
      <w:r w:rsidR="00A24AF1">
        <w:rPr>
          <w:rFonts w:eastAsia="Times New Roman" w:cs="Calibri"/>
          <w:b/>
          <w:i/>
          <w:color w:val="6691AB"/>
          <w:sz w:val="27"/>
          <w:szCs w:val="27"/>
        </w:rPr>
        <w:t>ά</w:t>
      </w:r>
      <w:r w:rsidRPr="00291416">
        <w:rPr>
          <w:rFonts w:eastAsia="Times New Roman" w:cs="Calibri"/>
          <w:b/>
          <w:i/>
          <w:color w:val="6691AB"/>
          <w:sz w:val="27"/>
          <w:szCs w:val="27"/>
        </w:rPr>
        <w:t>τ</w:t>
      </w:r>
      <w:r>
        <w:rPr>
          <w:rFonts w:eastAsia="Times New Roman" w:cs="Calibri"/>
          <w:b/>
          <w:i/>
          <w:color w:val="6691AB"/>
          <w:sz w:val="27"/>
          <w:szCs w:val="27"/>
        </w:rPr>
        <w:t>ων</w:t>
      </w:r>
      <w:r w:rsidR="00AC5830" w:rsidRPr="009042C1">
        <w:rPr>
          <w:rFonts w:eastAsia="Times New Roman" w:cs="Calibri"/>
          <w:b/>
          <w:i/>
          <w:color w:val="6691AB"/>
          <w:sz w:val="27"/>
          <w:szCs w:val="27"/>
        </w:rPr>
        <w:t>:</w:t>
      </w:r>
      <w:r>
        <w:rPr>
          <w:rFonts w:eastAsia="Times New Roman" w:cs="Calibri"/>
          <w:b/>
          <w:i/>
          <w:color w:val="6691AB"/>
          <w:sz w:val="27"/>
          <w:szCs w:val="27"/>
        </w:rPr>
        <w:t>Σταθερές τάσεις σε όλες τις γραμμές</w:t>
      </w:r>
    </w:p>
    <w:p w:rsidR="00510ECD" w:rsidRPr="00BB34D0" w:rsidRDefault="00510ECD" w:rsidP="00510ECD">
      <w:pPr>
        <w:pStyle w:val="Default"/>
        <w:ind w:left="-624" w:right="113"/>
        <w:jc w:val="both"/>
        <w:rPr>
          <w:sz w:val="14"/>
          <w:szCs w:val="14"/>
        </w:rPr>
      </w:pPr>
      <w:r w:rsidRPr="009B7A12">
        <w:rPr>
          <w:sz w:val="14"/>
          <w:szCs w:val="14"/>
        </w:rPr>
        <w:t>Για πληρέστερη αναφορά σχετικά με</w:t>
      </w:r>
      <w:r w:rsidR="00AA55AE">
        <w:rPr>
          <w:sz w:val="14"/>
          <w:szCs w:val="14"/>
        </w:rPr>
        <w:t xml:space="preserve"> τα</w:t>
      </w:r>
      <w:r w:rsidRPr="009B7A12">
        <w:rPr>
          <w:sz w:val="14"/>
          <w:szCs w:val="14"/>
        </w:rPr>
        <w:t xml:space="preserve"> χρηματοοικονομικά στοιχεία και </w:t>
      </w:r>
      <w:r w:rsidR="00AA55AE">
        <w:rPr>
          <w:sz w:val="14"/>
          <w:szCs w:val="14"/>
        </w:rPr>
        <w:t xml:space="preserve">τους </w:t>
      </w:r>
      <w:r w:rsidRPr="009B7A12">
        <w:rPr>
          <w:sz w:val="14"/>
          <w:szCs w:val="14"/>
        </w:rPr>
        <w:t>δείκτες της Τράπεζας Πειραιώς</w:t>
      </w:r>
      <w:r w:rsidR="00AA55AE">
        <w:rPr>
          <w:sz w:val="14"/>
          <w:szCs w:val="14"/>
        </w:rPr>
        <w:t xml:space="preserve">,πρβλ. </w:t>
      </w:r>
      <w:hyperlink r:id="rId11" w:history="1">
        <w:r w:rsidRPr="00C95A37">
          <w:rPr>
            <w:rStyle w:val="-"/>
            <w:sz w:val="14"/>
            <w:szCs w:val="14"/>
          </w:rPr>
          <w:t>Παρουσίαση Αποτελεσμάτων 1</w:t>
        </w:r>
        <w:r w:rsidRPr="00C95A37">
          <w:rPr>
            <w:rStyle w:val="-"/>
            <w:sz w:val="14"/>
            <w:szCs w:val="14"/>
            <w:vertAlign w:val="superscript"/>
          </w:rPr>
          <w:t>ου</w:t>
        </w:r>
        <w:r w:rsidRPr="00C95A37">
          <w:rPr>
            <w:rStyle w:val="-"/>
            <w:sz w:val="14"/>
            <w:szCs w:val="14"/>
          </w:rPr>
          <w:t xml:space="preserve"> 6μήνου 2020</w:t>
        </w:r>
      </w:hyperlink>
      <w:r w:rsidRPr="009B7A12">
        <w:rPr>
          <w:sz w:val="14"/>
          <w:szCs w:val="14"/>
        </w:rPr>
        <w:t xml:space="preserve"> και</w:t>
      </w:r>
      <w:hyperlink r:id="rId12" w:history="1">
        <w:r w:rsidR="00C95A37">
          <w:rPr>
            <w:rStyle w:val="-"/>
            <w:sz w:val="14"/>
            <w:szCs w:val="14"/>
          </w:rPr>
          <w:t>Εξαμηνιαία Οικονομική Έκθεση</w:t>
        </w:r>
      </w:hyperlink>
      <w:r w:rsidR="000C6823">
        <w:rPr>
          <w:sz w:val="14"/>
          <w:szCs w:val="14"/>
        </w:rPr>
        <w:t>(</w:t>
      </w:r>
      <w:r w:rsidR="00AC3F87">
        <w:rPr>
          <w:sz w:val="14"/>
          <w:szCs w:val="14"/>
        </w:rPr>
        <w:t xml:space="preserve">η </w:t>
      </w:r>
      <w:r w:rsidR="000C6823">
        <w:rPr>
          <w:sz w:val="14"/>
          <w:szCs w:val="14"/>
        </w:rPr>
        <w:t>δεύτερη</w:t>
      </w:r>
      <w:r w:rsidR="00BB34D0">
        <w:rPr>
          <w:sz w:val="14"/>
          <w:szCs w:val="14"/>
        </w:rPr>
        <w:t>θα είναι διαθέσιμ</w:t>
      </w:r>
      <w:r w:rsidR="00AC3F87">
        <w:rPr>
          <w:sz w:val="14"/>
          <w:szCs w:val="14"/>
        </w:rPr>
        <w:t>η στο</w:t>
      </w:r>
      <w:r w:rsidR="000C6823">
        <w:rPr>
          <w:sz w:val="14"/>
          <w:szCs w:val="14"/>
        </w:rPr>
        <w:t xml:space="preserve"> διαδικτυακό τόπο της</w:t>
      </w:r>
      <w:r w:rsidR="00BB34D0">
        <w:rPr>
          <w:sz w:val="14"/>
          <w:szCs w:val="14"/>
        </w:rPr>
        <w:t>Τράπεζας στις 7 Αυγούστου 2020</w:t>
      </w:r>
      <w:r w:rsidR="000C6823">
        <w:rPr>
          <w:sz w:val="14"/>
          <w:szCs w:val="14"/>
        </w:rPr>
        <w:t>)</w:t>
      </w:r>
      <w:r w:rsidR="00BB34D0">
        <w:rPr>
          <w:sz w:val="14"/>
          <w:szCs w:val="14"/>
        </w:rPr>
        <w:t>.</w:t>
      </w:r>
    </w:p>
    <w:p w:rsidR="00510ECD" w:rsidRDefault="00510ECD" w:rsidP="00510ECD">
      <w:pPr>
        <w:pStyle w:val="Default"/>
        <w:ind w:left="-624" w:right="113"/>
        <w:jc w:val="both"/>
        <w:rPr>
          <w:sz w:val="14"/>
          <w:szCs w:val="14"/>
        </w:rPr>
      </w:pPr>
    </w:p>
    <w:p w:rsidR="00EF075B" w:rsidRDefault="00EF075B" w:rsidP="00EF075B">
      <w:pPr>
        <w:framePr w:w="8700" w:h="691" w:hRule="exact" w:hSpace="180" w:wrap="around" w:vAnchor="page" w:hAnchor="page" w:x="1779" w:y="2168"/>
        <w:shd w:val="clear" w:color="auto" w:fill="FFFFFF" w:themeFill="background1"/>
        <w:tabs>
          <w:tab w:val="left" w:pos="9214"/>
        </w:tabs>
        <w:spacing w:after="40" w:line="300" w:lineRule="exact"/>
        <w:ind w:left="-142" w:right="284"/>
        <w:rPr>
          <w:rFonts w:eastAsia="Times New Roman" w:cs="Calibri"/>
          <w:b/>
          <w:i/>
          <w:color w:val="3A73AE" w:themeColor="accent1"/>
          <w:sz w:val="27"/>
          <w:szCs w:val="27"/>
        </w:rPr>
      </w:pPr>
      <w:r>
        <w:rPr>
          <w:rFonts w:eastAsia="Times New Roman" w:cs="Calibri"/>
          <w:b/>
          <w:i/>
          <w:color w:val="6691AB"/>
          <w:sz w:val="27"/>
          <w:szCs w:val="27"/>
        </w:rPr>
        <w:lastRenderedPageBreak/>
        <w:t xml:space="preserve">       ΒασικάΣημείαΙσολογισμού</w:t>
      </w:r>
      <w:r w:rsidRPr="005E765B">
        <w:rPr>
          <w:rFonts w:eastAsia="Times New Roman" w:cs="Calibri"/>
          <w:b/>
          <w:i/>
          <w:color w:val="6691AB"/>
          <w:sz w:val="27"/>
          <w:szCs w:val="27"/>
        </w:rPr>
        <w:t xml:space="preserve">: </w:t>
      </w:r>
      <w:r>
        <w:rPr>
          <w:rFonts w:eastAsia="Times New Roman" w:cs="Calibri"/>
          <w:b/>
          <w:i/>
          <w:color w:val="6691AB"/>
          <w:sz w:val="27"/>
          <w:szCs w:val="27"/>
        </w:rPr>
        <w:t>ΠιστωτικήΕπέκτασηκιΙσχυρή Ρευστότητα</w:t>
      </w:r>
    </w:p>
    <w:p w:rsidR="00EF075B" w:rsidRPr="005E765B" w:rsidRDefault="00EF075B" w:rsidP="00EF075B">
      <w:pPr>
        <w:framePr w:w="8700" w:h="691" w:hRule="exact" w:hSpace="180" w:wrap="around" w:vAnchor="page" w:hAnchor="page" w:x="1779" w:y="2168"/>
        <w:shd w:val="clear" w:color="auto" w:fill="FFFFFF" w:themeFill="background1"/>
        <w:tabs>
          <w:tab w:val="left" w:pos="9214"/>
        </w:tabs>
        <w:spacing w:after="40" w:line="300" w:lineRule="exact"/>
        <w:ind w:left="-142" w:right="284"/>
        <w:rPr>
          <w:rFonts w:eastAsia="Times New Roman" w:cs="Calibri"/>
          <w:b/>
          <w:i/>
          <w:color w:val="3A73AE" w:themeColor="accent1"/>
          <w:sz w:val="27"/>
          <w:szCs w:val="27"/>
        </w:rPr>
      </w:pPr>
    </w:p>
    <w:p w:rsidR="00EF075B" w:rsidRPr="005E765B" w:rsidRDefault="00EF075B" w:rsidP="00EF075B">
      <w:pPr>
        <w:framePr w:w="8700" w:h="691" w:hRule="exact" w:hSpace="180" w:wrap="around" w:vAnchor="page" w:hAnchor="page" w:x="1779" w:y="2168"/>
        <w:shd w:val="clear" w:color="auto" w:fill="FFFFFF" w:themeFill="background1"/>
        <w:tabs>
          <w:tab w:val="left" w:pos="9214"/>
        </w:tabs>
        <w:spacing w:after="40" w:line="300" w:lineRule="exact"/>
        <w:ind w:left="-142" w:right="284"/>
        <w:rPr>
          <w:rFonts w:eastAsia="Times New Roman" w:cs="Calibri"/>
          <w:b/>
          <w:i/>
          <w:color w:val="FF0000"/>
          <w:sz w:val="27"/>
          <w:szCs w:val="27"/>
        </w:rPr>
      </w:pPr>
    </w:p>
    <w:p w:rsidR="00EF075B" w:rsidRPr="005E765B" w:rsidRDefault="00EF075B" w:rsidP="00EF075B">
      <w:pPr>
        <w:framePr w:w="8700" w:h="691" w:hRule="exact" w:hSpace="180" w:wrap="around" w:vAnchor="page" w:hAnchor="page" w:x="1779" w:y="2168"/>
        <w:tabs>
          <w:tab w:val="left" w:pos="8262"/>
        </w:tabs>
        <w:spacing w:before="40" w:after="40" w:line="264" w:lineRule="auto"/>
        <w:ind w:left="7" w:right="301"/>
        <w:rPr>
          <w:rFonts w:eastAsia="Times New Roman" w:cs="Calibri"/>
          <w:b/>
          <w:i/>
          <w:color w:val="FF0000"/>
          <w:sz w:val="25"/>
          <w:szCs w:val="25"/>
        </w:rPr>
      </w:pPr>
    </w:p>
    <w:p w:rsidR="00EF075B" w:rsidRPr="005E765B" w:rsidRDefault="00EF075B" w:rsidP="00EF075B">
      <w:pPr>
        <w:framePr w:w="8700" w:h="691" w:hRule="exact" w:hSpace="180" w:wrap="around" w:vAnchor="page" w:hAnchor="page" w:x="1779" w:y="2168"/>
        <w:tabs>
          <w:tab w:val="left" w:pos="993"/>
        </w:tabs>
        <w:spacing w:after="240" w:line="240" w:lineRule="auto"/>
        <w:ind w:right="113"/>
        <w:rPr>
          <w:rFonts w:eastAsiaTheme="minorEastAsia" w:cs="Calibri"/>
          <w:color w:val="FF0000"/>
          <w:sz w:val="28"/>
          <w:szCs w:val="28"/>
        </w:rPr>
      </w:pPr>
    </w:p>
    <w:p w:rsidR="00510ECD" w:rsidRDefault="00510ECD" w:rsidP="00510ECD">
      <w:pPr>
        <w:pStyle w:val="Default"/>
        <w:ind w:left="-624" w:right="113"/>
        <w:jc w:val="both"/>
        <w:rPr>
          <w:sz w:val="14"/>
          <w:szCs w:val="14"/>
        </w:rPr>
      </w:pPr>
    </w:p>
    <w:p w:rsidR="00510ECD" w:rsidRDefault="00510ECD" w:rsidP="00510ECD">
      <w:pPr>
        <w:pStyle w:val="Default"/>
        <w:ind w:left="-624" w:right="113"/>
        <w:jc w:val="both"/>
        <w:rPr>
          <w:sz w:val="14"/>
          <w:szCs w:val="14"/>
        </w:rPr>
      </w:pPr>
    </w:p>
    <w:p w:rsidR="00510ECD" w:rsidRPr="000B692E" w:rsidRDefault="00510ECD" w:rsidP="000B692E">
      <w:pPr>
        <w:pStyle w:val="Default"/>
        <w:ind w:left="-624" w:right="113"/>
        <w:jc w:val="both"/>
        <w:rPr>
          <w:rFonts w:eastAsiaTheme="minorEastAsia"/>
          <w:color w:val="003C96" w:themeColor="text2"/>
          <w:sz w:val="14"/>
          <w:szCs w:val="14"/>
        </w:rPr>
      </w:pPr>
    </w:p>
    <w:p w:rsidR="00E677F4" w:rsidRPr="00A17FD4" w:rsidRDefault="00E677F4" w:rsidP="009E200F">
      <w:pPr>
        <w:framePr w:hSpace="180" w:wrap="around" w:vAnchor="page" w:hAnchor="page" w:x="2361" w:y="3471"/>
        <w:tabs>
          <w:tab w:val="left" w:pos="8262"/>
        </w:tabs>
        <w:spacing w:before="120" w:after="120" w:line="240" w:lineRule="auto"/>
        <w:ind w:left="-426" w:right="-285" w:firstLine="142"/>
        <w:contextualSpacing/>
        <w:jc w:val="right"/>
        <w:rPr>
          <w:rFonts w:eastAsia="Times New Roman" w:cs="Calibri"/>
          <w:b/>
          <w:i/>
          <w:color w:val="FF0000"/>
          <w:sz w:val="25"/>
          <w:szCs w:val="25"/>
        </w:rPr>
      </w:pPr>
    </w:p>
    <w:tbl>
      <w:tblPr>
        <w:tblStyle w:val="TableGrid1"/>
        <w:tblpPr w:leftFromText="180" w:rightFromText="180" w:vertAnchor="page" w:horzAnchor="margin" w:tblpXSpec="right" w:tblpY="2903"/>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2"/>
        <w:gridCol w:w="6982"/>
      </w:tblGrid>
      <w:tr w:rsidR="003B1BCE" w:rsidRPr="005E765B" w:rsidTr="003B1BCE">
        <w:trPr>
          <w:trHeight w:val="501"/>
        </w:trPr>
        <w:tc>
          <w:tcPr>
            <w:tcW w:w="1982" w:type="dxa"/>
            <w:tcMar>
              <w:top w:w="57" w:type="dxa"/>
              <w:bottom w:w="57" w:type="dxa"/>
            </w:tcMar>
          </w:tcPr>
          <w:p w:rsidR="003B1BCE" w:rsidRPr="00167481" w:rsidRDefault="003B1BCE" w:rsidP="003B1BCE">
            <w:pPr>
              <w:tabs>
                <w:tab w:val="left" w:pos="8262"/>
              </w:tabs>
              <w:spacing w:after="60"/>
              <w:ind w:left="32" w:right="74"/>
              <w:contextualSpacing/>
              <w:rPr>
                <w:rFonts w:eastAsiaTheme="minorEastAsia" w:cs="Calibri"/>
                <w:i/>
                <w:color w:val="FF0000"/>
                <w:sz w:val="21"/>
                <w:szCs w:val="21"/>
              </w:rPr>
            </w:pPr>
            <w:r w:rsidRPr="00167481">
              <w:rPr>
                <w:rFonts w:eastAsiaTheme="minorEastAsia" w:cs="Calibri"/>
                <w:i/>
                <w:color w:val="6691AB"/>
                <w:sz w:val="21"/>
                <w:szCs w:val="21"/>
              </w:rPr>
              <w:t>Καταθέσεις +2% ετησίως με χαμηλότερο κόστος</w:t>
            </w:r>
          </w:p>
        </w:tc>
        <w:tc>
          <w:tcPr>
            <w:tcW w:w="6982" w:type="dxa"/>
            <w:tcMar>
              <w:top w:w="57" w:type="dxa"/>
              <w:bottom w:w="57" w:type="dxa"/>
            </w:tcMar>
          </w:tcPr>
          <w:p w:rsidR="003B1BCE" w:rsidRPr="005E765B" w:rsidRDefault="003B1BCE" w:rsidP="00775F59">
            <w:pPr>
              <w:tabs>
                <w:tab w:val="left" w:pos="8262"/>
              </w:tabs>
              <w:spacing w:before="40" w:after="40" w:line="264" w:lineRule="auto"/>
              <w:ind w:left="7" w:right="301"/>
              <w:jc w:val="both"/>
              <w:rPr>
                <w:color w:val="FF0000"/>
                <w:sz w:val="18"/>
                <w:szCs w:val="18"/>
              </w:rPr>
            </w:pPr>
            <w:r w:rsidRPr="008F4CF7">
              <w:rPr>
                <w:sz w:val="18"/>
                <w:szCs w:val="18"/>
              </w:rPr>
              <w:t>Οι καταθέσεις πελατών διαμορφώθηκαν σε €4</w:t>
            </w:r>
            <w:r>
              <w:rPr>
                <w:sz w:val="18"/>
                <w:szCs w:val="18"/>
              </w:rPr>
              <w:t>5,7</w:t>
            </w:r>
            <w:r w:rsidRPr="008F4CF7">
              <w:rPr>
                <w:sz w:val="18"/>
                <w:szCs w:val="18"/>
              </w:rPr>
              <w:t>δι</w:t>
            </w:r>
            <w:r>
              <w:rPr>
                <w:sz w:val="18"/>
                <w:szCs w:val="18"/>
              </w:rPr>
              <w:t>σ.</w:t>
            </w:r>
            <w:r w:rsidRPr="008F4CF7">
              <w:rPr>
                <w:sz w:val="18"/>
                <w:szCs w:val="18"/>
              </w:rPr>
              <w:t xml:space="preserve"> στο τέλος του </w:t>
            </w:r>
            <w:r>
              <w:rPr>
                <w:sz w:val="18"/>
                <w:szCs w:val="18"/>
              </w:rPr>
              <w:t>Ιουνίου</w:t>
            </w:r>
            <w:r w:rsidRPr="008F4CF7">
              <w:rPr>
                <w:sz w:val="18"/>
                <w:szCs w:val="18"/>
              </w:rPr>
              <w:t xml:space="preserve"> 2020, με αύξηση </w:t>
            </w:r>
            <w:r>
              <w:rPr>
                <w:sz w:val="18"/>
                <w:szCs w:val="18"/>
              </w:rPr>
              <w:t>κατά 2</w:t>
            </w:r>
            <w:r w:rsidRPr="008F4CF7">
              <w:rPr>
                <w:sz w:val="18"/>
                <w:szCs w:val="18"/>
              </w:rPr>
              <w:t xml:space="preserve">% ετησίως. Οι καταθέσεις του ιδιωτικού τομέα αυξήθηκαν κατά </w:t>
            </w:r>
            <w:r w:rsidRPr="005E765B">
              <w:rPr>
                <w:sz w:val="18"/>
                <w:szCs w:val="18"/>
              </w:rPr>
              <w:t>€0</w:t>
            </w:r>
            <w:r>
              <w:rPr>
                <w:sz w:val="18"/>
                <w:szCs w:val="18"/>
              </w:rPr>
              <w:t>,</w:t>
            </w:r>
            <w:r w:rsidRPr="005E765B">
              <w:rPr>
                <w:sz w:val="18"/>
                <w:szCs w:val="18"/>
              </w:rPr>
              <w:t>8</w:t>
            </w:r>
            <w:r w:rsidRPr="008F4CF7">
              <w:rPr>
                <w:sz w:val="18"/>
                <w:szCs w:val="18"/>
              </w:rPr>
              <w:t>δι</w:t>
            </w:r>
            <w:r>
              <w:rPr>
                <w:sz w:val="18"/>
                <w:szCs w:val="18"/>
              </w:rPr>
              <w:t>σ.</w:t>
            </w:r>
            <w:r w:rsidRPr="008F4CF7">
              <w:rPr>
                <w:sz w:val="18"/>
                <w:szCs w:val="18"/>
              </w:rPr>
              <w:t xml:space="preserve"> από την αρχή του έτους, με βελτίωση σε όλες τις πελατειακές κατηγορίες </w:t>
            </w:r>
            <w:r>
              <w:rPr>
                <w:sz w:val="18"/>
                <w:szCs w:val="18"/>
              </w:rPr>
              <w:t xml:space="preserve">ακολουθώντας </w:t>
            </w:r>
            <w:r w:rsidR="00775F59">
              <w:rPr>
                <w:sz w:val="18"/>
                <w:szCs w:val="18"/>
              </w:rPr>
              <w:t>την</w:t>
            </w:r>
            <w:r>
              <w:rPr>
                <w:sz w:val="18"/>
                <w:szCs w:val="18"/>
              </w:rPr>
              <w:t xml:space="preserve"> τάση που παρατηρείται και </w:t>
            </w:r>
            <w:r w:rsidR="00775F59">
              <w:rPr>
                <w:sz w:val="18"/>
                <w:szCs w:val="18"/>
              </w:rPr>
              <w:t xml:space="preserve">στις λοιπέςευρωπαϊκές </w:t>
            </w:r>
            <w:r>
              <w:rPr>
                <w:sz w:val="18"/>
                <w:szCs w:val="18"/>
              </w:rPr>
              <w:t>οικονομίες.</w:t>
            </w:r>
            <w:r w:rsidRPr="008F4CF7">
              <w:rPr>
                <w:sz w:val="18"/>
                <w:szCs w:val="18"/>
              </w:rPr>
              <w:t xml:space="preserve"> Η βελτίωση της ρευστότητας έχει καταστήσει την Τράπεζα περισσότερο </w:t>
            </w:r>
            <w:r>
              <w:rPr>
                <w:sz w:val="18"/>
                <w:szCs w:val="18"/>
              </w:rPr>
              <w:t>εστιασμένη</w:t>
            </w:r>
            <w:r w:rsidRPr="008F4CF7">
              <w:rPr>
                <w:sz w:val="18"/>
                <w:szCs w:val="18"/>
              </w:rPr>
              <w:t xml:space="preserve"> σε θέματα κόστους τα τελευταία τρίμηνα, στην προσπάθειά της να επιτύχει ισορροπία μεταξύ προσέλκυσης καταθέσεων και μείωσης των εξόδων τόκων.</w:t>
            </w:r>
          </w:p>
        </w:tc>
      </w:tr>
      <w:tr w:rsidR="003B1BCE" w:rsidRPr="005E765B" w:rsidTr="003B1BCE">
        <w:trPr>
          <w:trHeight w:val="386"/>
        </w:trPr>
        <w:tc>
          <w:tcPr>
            <w:tcW w:w="1982" w:type="dxa"/>
            <w:shd w:val="clear" w:color="auto" w:fill="auto"/>
            <w:tcMar>
              <w:top w:w="57" w:type="dxa"/>
              <w:bottom w:w="57" w:type="dxa"/>
            </w:tcMar>
          </w:tcPr>
          <w:p w:rsidR="003B1BCE" w:rsidRPr="00167481" w:rsidRDefault="003B1BCE" w:rsidP="003B1BCE">
            <w:pPr>
              <w:tabs>
                <w:tab w:val="left" w:pos="8262"/>
              </w:tabs>
              <w:spacing w:after="60"/>
              <w:ind w:left="32" w:right="74"/>
              <w:contextualSpacing/>
              <w:rPr>
                <w:rFonts w:cs="Calibri"/>
                <w:i/>
                <w:color w:val="FF0000"/>
                <w:sz w:val="21"/>
                <w:szCs w:val="21"/>
              </w:rPr>
            </w:pPr>
            <w:r>
              <w:rPr>
                <w:rFonts w:eastAsiaTheme="minorEastAsia" w:cs="Calibri"/>
                <w:i/>
                <w:color w:val="6691AB"/>
                <w:spacing w:val="-4"/>
                <w:sz w:val="21"/>
                <w:szCs w:val="21"/>
              </w:rPr>
              <w:lastRenderedPageBreak/>
              <w:t>Ενισχυμένο</w:t>
            </w:r>
            <w:r w:rsidRPr="00167481">
              <w:rPr>
                <w:rFonts w:eastAsiaTheme="minorEastAsia" w:cs="Calibri"/>
                <w:i/>
                <w:color w:val="6691AB"/>
                <w:spacing w:val="-4"/>
                <w:sz w:val="21"/>
                <w:szCs w:val="21"/>
              </w:rPr>
              <w:t xml:space="preserve"> προφίλ ρευστότητας και χρηματοδότησης  με δείκτη </w:t>
            </w:r>
            <w:r w:rsidRPr="00167481">
              <w:rPr>
                <w:rFonts w:eastAsiaTheme="minorEastAsia" w:cs="Calibri"/>
                <w:i/>
                <w:color w:val="6691AB"/>
                <w:spacing w:val="-4"/>
                <w:sz w:val="21"/>
                <w:szCs w:val="21"/>
                <w:lang w:val="en-US"/>
              </w:rPr>
              <w:t>LCR</w:t>
            </w:r>
            <w:r w:rsidRPr="00167481">
              <w:rPr>
                <w:rFonts w:eastAsiaTheme="minorEastAsia" w:cs="Calibri"/>
                <w:i/>
                <w:color w:val="6691AB"/>
                <w:spacing w:val="-4"/>
                <w:sz w:val="21"/>
                <w:szCs w:val="21"/>
              </w:rPr>
              <w:t xml:space="preserve"> στο </w:t>
            </w:r>
            <w:r w:rsidRPr="00167481">
              <w:rPr>
                <w:rFonts w:eastAsiaTheme="minorEastAsia" w:cs="Calibri"/>
                <w:i/>
                <w:color w:val="6691AB"/>
                <w:sz w:val="21"/>
                <w:szCs w:val="21"/>
              </w:rPr>
              <w:t>169%</w:t>
            </w:r>
          </w:p>
        </w:tc>
        <w:tc>
          <w:tcPr>
            <w:tcW w:w="6982" w:type="dxa"/>
            <w:tcMar>
              <w:top w:w="57" w:type="dxa"/>
              <w:bottom w:w="57" w:type="dxa"/>
            </w:tcMar>
          </w:tcPr>
          <w:p w:rsidR="003B1BCE" w:rsidRPr="005E765B" w:rsidRDefault="003B1BCE" w:rsidP="008C4F76">
            <w:pPr>
              <w:tabs>
                <w:tab w:val="left" w:pos="8262"/>
              </w:tabs>
              <w:spacing w:before="40" w:after="40" w:line="264" w:lineRule="auto"/>
              <w:ind w:left="7" w:right="301"/>
              <w:jc w:val="both"/>
              <w:rPr>
                <w:color w:val="FF0000"/>
                <w:sz w:val="18"/>
                <w:szCs w:val="18"/>
              </w:rPr>
            </w:pPr>
            <w:r w:rsidRPr="008F4CF7">
              <w:rPr>
                <w:sz w:val="18"/>
                <w:szCs w:val="18"/>
              </w:rPr>
              <w:t xml:space="preserve">Η χρηματοδότηση από το Ευρωσύστημα αυξήθηκε σε </w:t>
            </w:r>
            <w:r>
              <w:rPr>
                <w:sz w:val="18"/>
                <w:szCs w:val="18"/>
              </w:rPr>
              <w:t>€7,0</w:t>
            </w:r>
            <w:r w:rsidRPr="008F4CF7">
              <w:rPr>
                <w:sz w:val="18"/>
                <w:szCs w:val="18"/>
              </w:rPr>
              <w:t>δι</w:t>
            </w:r>
            <w:r>
              <w:rPr>
                <w:sz w:val="18"/>
                <w:szCs w:val="18"/>
              </w:rPr>
              <w:t xml:space="preserve">σ.στις 30 Ιουνίου 2020 από </w:t>
            </w:r>
            <w:r w:rsidRPr="008F4CF7">
              <w:rPr>
                <w:sz w:val="18"/>
                <w:szCs w:val="18"/>
              </w:rPr>
              <w:t>€0,4δι</w:t>
            </w:r>
            <w:r>
              <w:rPr>
                <w:sz w:val="18"/>
                <w:szCs w:val="18"/>
              </w:rPr>
              <w:t>σ.</w:t>
            </w:r>
            <w:r w:rsidRPr="008F4CF7">
              <w:rPr>
                <w:sz w:val="18"/>
                <w:szCs w:val="18"/>
              </w:rPr>
              <w:t xml:space="preserve"> στις 31 Δεκεμβρίου 2019, </w:t>
            </w:r>
            <w:r>
              <w:rPr>
                <w:sz w:val="18"/>
                <w:szCs w:val="18"/>
              </w:rPr>
              <w:t>μέσω της αξιοποίησης της χρηματοδότησης των πράξεων  μακροπρόθεσμης αναχρηματοδότησης της ΕΚΤ (</w:t>
            </w:r>
            <w:r>
              <w:rPr>
                <w:sz w:val="18"/>
                <w:szCs w:val="18"/>
                <w:lang w:val="en-US"/>
              </w:rPr>
              <w:t>TLTRO</w:t>
            </w:r>
            <w:r w:rsidRPr="005E765B">
              <w:rPr>
                <w:sz w:val="18"/>
                <w:szCs w:val="18"/>
              </w:rPr>
              <w:t xml:space="preserve">). </w:t>
            </w:r>
            <w:r>
              <w:rPr>
                <w:sz w:val="18"/>
                <w:szCs w:val="18"/>
              </w:rPr>
              <w:t xml:space="preserve">Αυτό ακολούθησε την </w:t>
            </w:r>
            <w:r w:rsidRPr="008F4CF7">
              <w:rPr>
                <w:sz w:val="18"/>
                <w:szCs w:val="18"/>
              </w:rPr>
              <w:t xml:space="preserve">απόφαση της Τράπεζας να επωφεληθεί από το χαμηλότερο κόστος χρηματοδότησης του Ευρωσυστήματος και να </w:t>
            </w:r>
            <w:r w:rsidR="00157E58">
              <w:rPr>
                <w:sz w:val="18"/>
                <w:szCs w:val="18"/>
              </w:rPr>
              <w:t>μεταφέρει</w:t>
            </w:r>
            <w:r w:rsidRPr="008F4CF7">
              <w:rPr>
                <w:sz w:val="18"/>
                <w:szCs w:val="18"/>
              </w:rPr>
              <w:t xml:space="preserve"> τις θέσεις από διατραπεζικ</w:t>
            </w:r>
            <w:r>
              <w:rPr>
                <w:sz w:val="18"/>
                <w:szCs w:val="18"/>
              </w:rPr>
              <w:t>ά</w:t>
            </w:r>
            <w:r w:rsidRPr="008F4CF7">
              <w:rPr>
                <w:sz w:val="18"/>
                <w:szCs w:val="18"/>
              </w:rPr>
              <w:t xml:space="preserve">repoς σε χρηματοδότηση </w:t>
            </w:r>
            <w:r>
              <w:rPr>
                <w:sz w:val="18"/>
                <w:szCs w:val="18"/>
              </w:rPr>
              <w:t>Τ</w:t>
            </w:r>
            <w:r w:rsidRPr="008F4CF7">
              <w:rPr>
                <w:sz w:val="18"/>
                <w:szCs w:val="18"/>
              </w:rPr>
              <w:t xml:space="preserve">LTRO από την ΕΚΤ. Ως αποτέλεσμα, η χρήση της διατραπεζικής αγοράς repos περιορίστηκε </w:t>
            </w:r>
            <w:r w:rsidRPr="0047252E">
              <w:rPr>
                <w:sz w:val="18"/>
                <w:szCs w:val="18"/>
              </w:rPr>
              <w:t>σε €0,1</w:t>
            </w:r>
            <w:r w:rsidRPr="008F4CF7">
              <w:rPr>
                <w:sz w:val="18"/>
                <w:szCs w:val="18"/>
              </w:rPr>
              <w:t>δι</w:t>
            </w:r>
            <w:r>
              <w:rPr>
                <w:sz w:val="18"/>
                <w:szCs w:val="18"/>
              </w:rPr>
              <w:t>σ.</w:t>
            </w:r>
            <w:r w:rsidRPr="008F4CF7">
              <w:rPr>
                <w:sz w:val="18"/>
                <w:szCs w:val="18"/>
              </w:rPr>
              <w:t xml:space="preserve"> στις 3</w:t>
            </w:r>
            <w:r>
              <w:rPr>
                <w:sz w:val="18"/>
                <w:szCs w:val="18"/>
              </w:rPr>
              <w:t>0 Ιουν</w:t>
            </w:r>
            <w:r w:rsidRPr="008F4CF7">
              <w:rPr>
                <w:sz w:val="18"/>
                <w:szCs w:val="18"/>
              </w:rPr>
              <w:t xml:space="preserve">ίου 2020. Η Τράπεζα Πειραιώς </w:t>
            </w:r>
            <w:r w:rsidR="008C4F76">
              <w:rPr>
                <w:sz w:val="18"/>
                <w:szCs w:val="18"/>
              </w:rPr>
              <w:t>αύξησε</w:t>
            </w:r>
            <w:r w:rsidRPr="008F4CF7">
              <w:rPr>
                <w:sz w:val="18"/>
                <w:szCs w:val="18"/>
              </w:rPr>
              <w:t xml:space="preserve"> τον Δείκτη Κάλυψης Ρευστότητ</w:t>
            </w:r>
            <w:r w:rsidR="008C4F76">
              <w:rPr>
                <w:sz w:val="18"/>
                <w:szCs w:val="18"/>
              </w:rPr>
              <w:t>α</w:t>
            </w:r>
            <w:r w:rsidRPr="008F4CF7">
              <w:rPr>
                <w:sz w:val="18"/>
                <w:szCs w:val="18"/>
              </w:rPr>
              <w:t>ς (LCR) στο 1</w:t>
            </w:r>
            <w:r>
              <w:rPr>
                <w:sz w:val="18"/>
                <w:szCs w:val="18"/>
              </w:rPr>
              <w:t>69</w:t>
            </w:r>
            <w:r w:rsidRPr="008F4CF7">
              <w:rPr>
                <w:sz w:val="18"/>
                <w:szCs w:val="18"/>
              </w:rPr>
              <w:t>% στις 3</w:t>
            </w:r>
            <w:r>
              <w:rPr>
                <w:sz w:val="18"/>
                <w:szCs w:val="18"/>
              </w:rPr>
              <w:t>0 Ιουν</w:t>
            </w:r>
            <w:r w:rsidRPr="008F4CF7">
              <w:rPr>
                <w:sz w:val="18"/>
                <w:szCs w:val="18"/>
              </w:rPr>
              <w:t>ίου 2020</w:t>
            </w:r>
            <w:r>
              <w:rPr>
                <w:sz w:val="18"/>
                <w:szCs w:val="18"/>
              </w:rPr>
              <w:t xml:space="preserve"> από 117% στις 31 Δεκεμβρίου 2019</w:t>
            </w:r>
            <w:r w:rsidRPr="008F4CF7">
              <w:rPr>
                <w:sz w:val="18"/>
                <w:szCs w:val="18"/>
              </w:rPr>
              <w:t>.</w:t>
            </w:r>
          </w:p>
        </w:tc>
      </w:tr>
      <w:tr w:rsidR="003B1BCE" w:rsidRPr="001D5773" w:rsidTr="003B1BCE">
        <w:trPr>
          <w:trHeight w:val="251"/>
        </w:trPr>
        <w:tc>
          <w:tcPr>
            <w:tcW w:w="1982" w:type="dxa"/>
            <w:tcMar>
              <w:top w:w="57" w:type="dxa"/>
              <w:bottom w:w="57" w:type="dxa"/>
            </w:tcMar>
          </w:tcPr>
          <w:p w:rsidR="003B1BCE" w:rsidRPr="00167481" w:rsidRDefault="003B1BCE" w:rsidP="003B1BCE">
            <w:pPr>
              <w:tabs>
                <w:tab w:val="left" w:pos="8262"/>
              </w:tabs>
              <w:spacing w:after="60"/>
              <w:ind w:left="32" w:right="74"/>
              <w:contextualSpacing/>
              <w:rPr>
                <w:rFonts w:cs="Calibri"/>
                <w:i/>
                <w:color w:val="FF0000"/>
                <w:sz w:val="21"/>
                <w:szCs w:val="21"/>
              </w:rPr>
            </w:pPr>
            <w:r w:rsidRPr="00167481">
              <w:rPr>
                <w:rFonts w:eastAsiaTheme="minorEastAsia" w:cs="Calibri"/>
                <w:i/>
                <w:color w:val="6691AB"/>
                <w:sz w:val="21"/>
                <w:szCs w:val="21"/>
              </w:rPr>
              <w:t>Το χαρτοφυλάκιο εξυπηρετούμενων δανείων αυξήθηκε από την αρχή της χρονιάς</w:t>
            </w:r>
          </w:p>
        </w:tc>
        <w:tc>
          <w:tcPr>
            <w:tcW w:w="6982" w:type="dxa"/>
            <w:tcMar>
              <w:top w:w="57" w:type="dxa"/>
              <w:bottom w:w="57" w:type="dxa"/>
            </w:tcMar>
          </w:tcPr>
          <w:p w:rsidR="003B1BCE" w:rsidRPr="001D5773" w:rsidRDefault="003B1BCE" w:rsidP="008C4F76">
            <w:pPr>
              <w:tabs>
                <w:tab w:val="left" w:pos="8262"/>
              </w:tabs>
              <w:spacing w:before="40" w:after="40" w:line="264" w:lineRule="auto"/>
              <w:ind w:left="7" w:right="301"/>
              <w:jc w:val="both"/>
              <w:rPr>
                <w:color w:val="FF0000"/>
                <w:sz w:val="18"/>
                <w:szCs w:val="18"/>
              </w:rPr>
            </w:pPr>
            <w:r w:rsidRPr="008F4CF7">
              <w:rPr>
                <w:sz w:val="18"/>
                <w:szCs w:val="18"/>
              </w:rPr>
              <w:t>Τα δάνεια προ προβλέψεων και προσαρμογών ανήλθαν σε €48,</w:t>
            </w:r>
            <w:r>
              <w:rPr>
                <w:sz w:val="18"/>
                <w:szCs w:val="18"/>
              </w:rPr>
              <w:t>3</w:t>
            </w:r>
            <w:r w:rsidRPr="00F43416">
              <w:rPr>
                <w:iCs/>
                <w:sz w:val="18"/>
                <w:szCs w:val="18"/>
              </w:rPr>
              <w:t>δισ.</w:t>
            </w:r>
            <w:r w:rsidRPr="008F4CF7">
              <w:rPr>
                <w:sz w:val="18"/>
                <w:szCs w:val="18"/>
              </w:rPr>
              <w:t xml:space="preserve">στα τέλη </w:t>
            </w:r>
            <w:r>
              <w:rPr>
                <w:sz w:val="18"/>
                <w:szCs w:val="18"/>
              </w:rPr>
              <w:t>Ιουν</w:t>
            </w:r>
            <w:r w:rsidRPr="008F4CF7">
              <w:rPr>
                <w:sz w:val="18"/>
                <w:szCs w:val="18"/>
              </w:rPr>
              <w:t>ίου 2020 και μετά από προβλέψεις στα €37,</w:t>
            </w:r>
            <w:r>
              <w:rPr>
                <w:sz w:val="18"/>
                <w:szCs w:val="18"/>
              </w:rPr>
              <w:t>8</w:t>
            </w:r>
            <w:r w:rsidRPr="00F43416">
              <w:rPr>
                <w:iCs/>
                <w:sz w:val="18"/>
                <w:szCs w:val="18"/>
              </w:rPr>
              <w:t>δισ.</w:t>
            </w:r>
            <w:r w:rsidRPr="0065190B">
              <w:rPr>
                <w:sz w:val="18"/>
                <w:szCs w:val="18"/>
              </w:rPr>
              <w:t>Το χαρτοφυλάκιο εξυπηρετούμενων δανείων στην Ελλάδα αυξήθηκε κατά €0,4</w:t>
            </w:r>
            <w:r w:rsidRPr="00F43416">
              <w:rPr>
                <w:iCs/>
                <w:sz w:val="18"/>
                <w:szCs w:val="18"/>
              </w:rPr>
              <w:t>δισ.</w:t>
            </w:r>
            <w:r w:rsidRPr="0065190B">
              <w:rPr>
                <w:sz w:val="18"/>
                <w:szCs w:val="18"/>
              </w:rPr>
              <w:t xml:space="preserve"> κατά το </w:t>
            </w:r>
            <w:r w:rsidRPr="00710445">
              <w:rPr>
                <w:rFonts w:cs="Calibri"/>
                <w:sz w:val="18"/>
                <w:szCs w:val="18"/>
              </w:rPr>
              <w:t>2</w:t>
            </w:r>
            <w:r w:rsidRPr="00710445">
              <w:rPr>
                <w:rFonts w:cs="Calibri"/>
                <w:sz w:val="18"/>
                <w:szCs w:val="18"/>
                <w:vertAlign w:val="superscript"/>
              </w:rPr>
              <w:t>ο</w:t>
            </w:r>
            <w:r w:rsidRPr="0065190B">
              <w:rPr>
                <w:sz w:val="18"/>
                <w:szCs w:val="18"/>
              </w:rPr>
              <w:t xml:space="preserve">3μηνο 2020 </w:t>
            </w:r>
            <w:r w:rsidRPr="008D385E">
              <w:rPr>
                <w:sz w:val="18"/>
                <w:szCs w:val="18"/>
              </w:rPr>
              <w:t>και €0,8</w:t>
            </w:r>
            <w:r w:rsidRPr="00F43416">
              <w:rPr>
                <w:iCs/>
                <w:sz w:val="18"/>
                <w:szCs w:val="18"/>
              </w:rPr>
              <w:t xml:space="preserve"> δισ.</w:t>
            </w:r>
            <w:r w:rsidRPr="008D385E">
              <w:rPr>
                <w:sz w:val="18"/>
                <w:szCs w:val="18"/>
              </w:rPr>
              <w:t xml:space="preserve"> ετησίως, </w:t>
            </w:r>
            <w:r w:rsidRPr="008F4CF7">
              <w:rPr>
                <w:sz w:val="18"/>
                <w:szCs w:val="18"/>
              </w:rPr>
              <w:t>με τις επιχειρηματικές χορηγήσεις να οδηγούν την άνοδο</w:t>
            </w:r>
            <w:r>
              <w:rPr>
                <w:sz w:val="18"/>
                <w:szCs w:val="18"/>
              </w:rPr>
              <w:t xml:space="preserve"> (+€0,9δισ. ετησίως)</w:t>
            </w:r>
            <w:r w:rsidRPr="008F4CF7">
              <w:rPr>
                <w:sz w:val="18"/>
                <w:szCs w:val="18"/>
              </w:rPr>
              <w:t>. Οι νέες εκταμιεύσεις δανείων έφτασαν τα €</w:t>
            </w:r>
            <w:r>
              <w:rPr>
                <w:sz w:val="18"/>
                <w:szCs w:val="18"/>
              </w:rPr>
              <w:t>2</w:t>
            </w:r>
            <w:r w:rsidRPr="008F4CF7">
              <w:rPr>
                <w:sz w:val="18"/>
                <w:szCs w:val="18"/>
              </w:rPr>
              <w:t>,</w:t>
            </w:r>
            <w:r>
              <w:rPr>
                <w:sz w:val="18"/>
                <w:szCs w:val="18"/>
              </w:rPr>
              <w:t>6</w:t>
            </w:r>
            <w:r w:rsidRPr="00F43416">
              <w:rPr>
                <w:iCs/>
                <w:sz w:val="18"/>
                <w:szCs w:val="18"/>
              </w:rPr>
              <w:t>δισ.</w:t>
            </w:r>
            <w:r>
              <w:rPr>
                <w:sz w:val="18"/>
                <w:szCs w:val="18"/>
              </w:rPr>
              <w:t>σ</w:t>
            </w:r>
            <w:r w:rsidRPr="008F4CF7">
              <w:rPr>
                <w:sz w:val="18"/>
                <w:szCs w:val="18"/>
              </w:rPr>
              <w:t>τ</w:t>
            </w:r>
            <w:r>
              <w:rPr>
                <w:sz w:val="18"/>
                <w:szCs w:val="18"/>
              </w:rPr>
              <w:t xml:space="preserve">ο </w:t>
            </w:r>
            <w:r w:rsidRPr="008F4CF7">
              <w:rPr>
                <w:sz w:val="18"/>
                <w:szCs w:val="18"/>
              </w:rPr>
              <w:t>τέλ</w:t>
            </w:r>
            <w:r>
              <w:rPr>
                <w:sz w:val="18"/>
                <w:szCs w:val="18"/>
              </w:rPr>
              <w:t>ος Ιουνί</w:t>
            </w:r>
            <w:r w:rsidRPr="008F4CF7">
              <w:rPr>
                <w:sz w:val="18"/>
                <w:szCs w:val="18"/>
              </w:rPr>
              <w:t>ου 2020, σε πορεία επίτευξης στόχου νέων εκταμιεύσεων ύψους €</w:t>
            </w:r>
            <w:r>
              <w:rPr>
                <w:sz w:val="18"/>
                <w:szCs w:val="18"/>
              </w:rPr>
              <w:t>5</w:t>
            </w:r>
            <w:r w:rsidRPr="00F43416">
              <w:rPr>
                <w:iCs/>
                <w:sz w:val="18"/>
                <w:szCs w:val="18"/>
              </w:rPr>
              <w:t>δισ.</w:t>
            </w:r>
            <w:r w:rsidRPr="008F4CF7">
              <w:rPr>
                <w:sz w:val="18"/>
                <w:szCs w:val="18"/>
              </w:rPr>
              <w:t xml:space="preserve"> το 2020. Ο λόγος δανείων μετά από προβλέψεις </w:t>
            </w:r>
            <w:r>
              <w:rPr>
                <w:sz w:val="18"/>
                <w:szCs w:val="18"/>
              </w:rPr>
              <w:t xml:space="preserve">ως τις </w:t>
            </w:r>
            <w:r w:rsidRPr="008F4CF7">
              <w:rPr>
                <w:sz w:val="18"/>
                <w:szCs w:val="18"/>
              </w:rPr>
              <w:t>προς καταθέσεις του Ομίλου βελτιώθηκε στο 8</w:t>
            </w:r>
            <w:r>
              <w:rPr>
                <w:sz w:val="18"/>
                <w:szCs w:val="18"/>
              </w:rPr>
              <w:t>3</w:t>
            </w:r>
            <w:r w:rsidRPr="008F4CF7">
              <w:rPr>
                <w:sz w:val="18"/>
                <w:szCs w:val="18"/>
              </w:rPr>
              <w:t xml:space="preserve">% </w:t>
            </w:r>
            <w:r>
              <w:rPr>
                <w:sz w:val="18"/>
                <w:szCs w:val="18"/>
              </w:rPr>
              <w:t>σε σχέση με</w:t>
            </w:r>
            <w:r w:rsidRPr="008F4CF7">
              <w:rPr>
                <w:sz w:val="18"/>
                <w:szCs w:val="18"/>
              </w:rPr>
              <w:t xml:space="preserve"> 8</w:t>
            </w:r>
            <w:r>
              <w:rPr>
                <w:sz w:val="18"/>
                <w:szCs w:val="18"/>
              </w:rPr>
              <w:t>5</w:t>
            </w:r>
            <w:r w:rsidRPr="008F4CF7">
              <w:rPr>
                <w:sz w:val="18"/>
                <w:szCs w:val="18"/>
              </w:rPr>
              <w:t xml:space="preserve">% </w:t>
            </w:r>
            <w:r>
              <w:rPr>
                <w:sz w:val="18"/>
                <w:szCs w:val="18"/>
              </w:rPr>
              <w:t>ένα χρόνο πριν.</w:t>
            </w:r>
          </w:p>
        </w:tc>
      </w:tr>
      <w:tr w:rsidR="003B1BCE" w:rsidRPr="001446A9" w:rsidTr="003B1BCE">
        <w:trPr>
          <w:trHeight w:val="251"/>
        </w:trPr>
        <w:tc>
          <w:tcPr>
            <w:tcW w:w="1982" w:type="dxa"/>
            <w:tcMar>
              <w:top w:w="57" w:type="dxa"/>
              <w:bottom w:w="57" w:type="dxa"/>
            </w:tcMar>
          </w:tcPr>
          <w:p w:rsidR="003B1BCE" w:rsidRPr="00167481" w:rsidRDefault="003B1BCE" w:rsidP="003B1BCE">
            <w:pPr>
              <w:tabs>
                <w:tab w:val="left" w:pos="8262"/>
              </w:tabs>
              <w:spacing w:after="60"/>
              <w:ind w:left="32" w:right="74"/>
              <w:contextualSpacing/>
              <w:rPr>
                <w:rFonts w:eastAsiaTheme="minorEastAsia" w:cs="Calibri"/>
                <w:i/>
                <w:color w:val="FF0000"/>
                <w:sz w:val="21"/>
                <w:szCs w:val="21"/>
              </w:rPr>
            </w:pPr>
            <w:r w:rsidRPr="00D67644">
              <w:rPr>
                <w:rFonts w:eastAsiaTheme="minorEastAsia" w:cs="Calibri"/>
                <w:i/>
                <w:color w:val="6691AB"/>
                <w:sz w:val="21"/>
                <w:szCs w:val="21"/>
              </w:rPr>
              <w:t>Οι δείκτες κεφα-λαιακής επάρκειας βελτιώθηκαν</w:t>
            </w:r>
          </w:p>
        </w:tc>
        <w:tc>
          <w:tcPr>
            <w:tcW w:w="6982" w:type="dxa"/>
            <w:tcMar>
              <w:top w:w="57" w:type="dxa"/>
              <w:bottom w:w="57" w:type="dxa"/>
            </w:tcMar>
          </w:tcPr>
          <w:p w:rsidR="008C4F76" w:rsidRDefault="003B1BCE" w:rsidP="003B1BCE">
            <w:pPr>
              <w:tabs>
                <w:tab w:val="left" w:pos="8262"/>
              </w:tabs>
              <w:spacing w:before="40" w:after="40" w:line="264" w:lineRule="auto"/>
              <w:ind w:left="7" w:right="301"/>
              <w:jc w:val="both"/>
              <w:rPr>
                <w:sz w:val="18"/>
                <w:szCs w:val="18"/>
              </w:rPr>
            </w:pPr>
            <w:r w:rsidRPr="008F4CF7">
              <w:rPr>
                <w:sz w:val="18"/>
                <w:szCs w:val="18"/>
              </w:rPr>
              <w:t>Ο δείκτης κεφαλαιακής επάρκειας Common EquityTier 1 (CET1) του Ομίλου στις 3</w:t>
            </w:r>
            <w:r>
              <w:rPr>
                <w:sz w:val="18"/>
                <w:szCs w:val="18"/>
              </w:rPr>
              <w:t>0Ιουνίου 2020 ήταν στο 14,0</w:t>
            </w:r>
            <w:r w:rsidRPr="008F4CF7">
              <w:rPr>
                <w:sz w:val="18"/>
                <w:szCs w:val="18"/>
              </w:rPr>
              <w:t>%, ενώ ο δείκτης συνολικ</w:t>
            </w:r>
            <w:r>
              <w:rPr>
                <w:sz w:val="18"/>
                <w:szCs w:val="18"/>
              </w:rPr>
              <w:t>ής κεφαλαιακής επάρκειας στο 16,0</w:t>
            </w:r>
            <w:r w:rsidRPr="008F4CF7">
              <w:rPr>
                <w:sz w:val="18"/>
                <w:szCs w:val="18"/>
              </w:rPr>
              <w:t xml:space="preserve">%. </w:t>
            </w:r>
            <w:r w:rsidR="008C4F76">
              <w:rPr>
                <w:sz w:val="18"/>
                <w:szCs w:val="18"/>
              </w:rPr>
              <w:t xml:space="preserve"> Σε </w:t>
            </w:r>
            <w:r w:rsidR="008C4F76">
              <w:rPr>
                <w:sz w:val="18"/>
                <w:szCs w:val="18"/>
                <w:lang w:val="en-US"/>
              </w:rPr>
              <w:t>pro</w:t>
            </w:r>
            <w:r w:rsidR="008C4F76" w:rsidRPr="00327775">
              <w:rPr>
                <w:sz w:val="18"/>
                <w:szCs w:val="18"/>
              </w:rPr>
              <w:t>-</w:t>
            </w:r>
            <w:r w:rsidR="008C4F76">
              <w:rPr>
                <w:sz w:val="18"/>
                <w:szCs w:val="18"/>
                <w:lang w:val="en-US"/>
              </w:rPr>
              <w:t>forma</w:t>
            </w:r>
            <w:r w:rsidR="008C4F76">
              <w:rPr>
                <w:sz w:val="18"/>
                <w:szCs w:val="18"/>
              </w:rPr>
              <w:t xml:space="preserve">βάση για την αναμενόμενη μεταβολή της αποτίμησης λογισμικού και την αντίστοιχη ελάφρυνση του σταθμισμένου έναντι κινδύνων ενεργητικού από τα διακρατούμενα προς πώληση χαρτοφυλάκια μη εξυπηρετούμενων ανοιγμάτων, </w:t>
            </w:r>
            <w:r w:rsidR="008C4F76" w:rsidRPr="008F4CF7">
              <w:rPr>
                <w:sz w:val="18"/>
                <w:szCs w:val="18"/>
              </w:rPr>
              <w:t>ο δείκτης συνολικ</w:t>
            </w:r>
            <w:r w:rsidR="008C4F76">
              <w:rPr>
                <w:sz w:val="18"/>
                <w:szCs w:val="18"/>
              </w:rPr>
              <w:t xml:space="preserve">ής κεφαλαιακής επάρκειας διαμορφώνεται σε 16,1%, ενώ  ο δείκτης </w:t>
            </w:r>
            <w:r w:rsidR="008C4F76" w:rsidRPr="008F4CF7">
              <w:rPr>
                <w:sz w:val="18"/>
                <w:szCs w:val="18"/>
              </w:rPr>
              <w:t xml:space="preserve"> κεφαλαιακής επάρκειας CET1</w:t>
            </w:r>
            <w:r w:rsidR="008C4F76">
              <w:rPr>
                <w:sz w:val="18"/>
                <w:szCs w:val="18"/>
              </w:rPr>
              <w:t xml:space="preserve"> σε 14,1%.</w:t>
            </w:r>
          </w:p>
          <w:p w:rsidR="003B1BCE" w:rsidRPr="004325DB" w:rsidRDefault="003B1BCE" w:rsidP="008C4F76">
            <w:pPr>
              <w:tabs>
                <w:tab w:val="left" w:pos="8262"/>
              </w:tabs>
              <w:spacing w:before="40" w:after="40" w:line="264" w:lineRule="auto"/>
              <w:ind w:left="7" w:right="301"/>
              <w:jc w:val="both"/>
              <w:rPr>
                <w:sz w:val="18"/>
                <w:szCs w:val="18"/>
              </w:rPr>
            </w:pPr>
            <w:r w:rsidRPr="008F4CF7">
              <w:rPr>
                <w:sz w:val="18"/>
                <w:szCs w:val="18"/>
              </w:rPr>
              <w:t xml:space="preserve">Οι δείκτες κεφαλαιακής επάρκειας CET1 και συνολικής κεφαλαιακής επάρκειας με πλήρη εφαρμογή της Βασιλείας ΙΙΙ διαμορφώθηκαν σε </w:t>
            </w:r>
            <w:r>
              <w:rPr>
                <w:sz w:val="18"/>
                <w:szCs w:val="18"/>
              </w:rPr>
              <w:t>11,5</w:t>
            </w:r>
            <w:r w:rsidRPr="008F4CF7">
              <w:rPr>
                <w:sz w:val="18"/>
                <w:szCs w:val="18"/>
              </w:rPr>
              <w:t xml:space="preserve">% and </w:t>
            </w:r>
            <w:r w:rsidRPr="003C045A">
              <w:rPr>
                <w:sz w:val="18"/>
                <w:szCs w:val="18"/>
              </w:rPr>
              <w:t>13,</w:t>
            </w:r>
            <w:r>
              <w:rPr>
                <w:sz w:val="18"/>
                <w:szCs w:val="18"/>
              </w:rPr>
              <w:t>5</w:t>
            </w:r>
            <w:r w:rsidRPr="008F4CF7">
              <w:rPr>
                <w:sz w:val="18"/>
                <w:szCs w:val="18"/>
              </w:rPr>
              <w:t>% αντίστοιχα.</w:t>
            </w:r>
          </w:p>
        </w:tc>
      </w:tr>
      <w:tr w:rsidR="003B1BCE" w:rsidRPr="001446A9" w:rsidTr="003B1BCE">
        <w:trPr>
          <w:trHeight w:val="710"/>
        </w:trPr>
        <w:tc>
          <w:tcPr>
            <w:tcW w:w="1982" w:type="dxa"/>
            <w:tcMar>
              <w:top w:w="57" w:type="dxa"/>
              <w:bottom w:w="57" w:type="dxa"/>
            </w:tcMar>
          </w:tcPr>
          <w:p w:rsidR="003B1BCE" w:rsidRPr="00167481" w:rsidRDefault="003B1BCE" w:rsidP="003B1BCE">
            <w:pPr>
              <w:tabs>
                <w:tab w:val="left" w:pos="8262"/>
              </w:tabs>
              <w:spacing w:after="60"/>
              <w:ind w:left="32" w:right="74"/>
              <w:contextualSpacing/>
              <w:rPr>
                <w:rFonts w:cs="Calibri"/>
                <w:i/>
                <w:color w:val="FF0000"/>
                <w:sz w:val="21"/>
                <w:szCs w:val="21"/>
              </w:rPr>
            </w:pPr>
            <w:r w:rsidRPr="00CC796E">
              <w:rPr>
                <w:rFonts w:eastAsiaTheme="minorEastAsia" w:cs="Calibri"/>
                <w:i/>
                <w:color w:val="6691AB"/>
                <w:sz w:val="21"/>
                <w:szCs w:val="21"/>
              </w:rPr>
              <w:t xml:space="preserve">Συνεχίζεται η </w:t>
            </w:r>
            <w:r>
              <w:rPr>
                <w:rFonts w:eastAsiaTheme="minorEastAsia" w:cs="Calibri"/>
                <w:i/>
                <w:color w:val="6691AB"/>
                <w:sz w:val="21"/>
                <w:szCs w:val="21"/>
              </w:rPr>
              <w:t>εξυγίανση</w:t>
            </w:r>
            <w:r w:rsidRPr="00CC796E">
              <w:rPr>
                <w:rFonts w:eastAsiaTheme="minorEastAsia" w:cs="Calibri"/>
                <w:i/>
                <w:color w:val="6691AB"/>
                <w:sz w:val="21"/>
                <w:szCs w:val="21"/>
              </w:rPr>
              <w:t xml:space="preserve"> των ΜΕΑ</w:t>
            </w:r>
          </w:p>
        </w:tc>
        <w:tc>
          <w:tcPr>
            <w:tcW w:w="6982" w:type="dxa"/>
            <w:tcMar>
              <w:top w:w="57" w:type="dxa"/>
              <w:bottom w:w="57" w:type="dxa"/>
            </w:tcMar>
          </w:tcPr>
          <w:p w:rsidR="003B1BCE" w:rsidRPr="001446A9" w:rsidRDefault="003B1BCE" w:rsidP="003B1BCE">
            <w:pPr>
              <w:tabs>
                <w:tab w:val="left" w:pos="8262"/>
              </w:tabs>
              <w:spacing w:before="40" w:after="40" w:line="264" w:lineRule="auto"/>
              <w:ind w:left="7" w:right="301"/>
              <w:jc w:val="both"/>
              <w:rPr>
                <w:color w:val="FF0000"/>
                <w:sz w:val="18"/>
                <w:szCs w:val="18"/>
              </w:rPr>
            </w:pPr>
            <w:r w:rsidRPr="0065190B">
              <w:rPr>
                <w:sz w:val="18"/>
                <w:szCs w:val="18"/>
              </w:rPr>
              <w:t xml:space="preserve">Τα ΜΕΑ </w:t>
            </w:r>
            <w:r>
              <w:rPr>
                <w:sz w:val="18"/>
                <w:szCs w:val="18"/>
              </w:rPr>
              <w:t>μειώθηκαν για 18</w:t>
            </w:r>
            <w:r w:rsidRPr="009424AF">
              <w:rPr>
                <w:sz w:val="18"/>
                <w:szCs w:val="18"/>
                <w:vertAlign w:val="superscript"/>
              </w:rPr>
              <w:t>ο</w:t>
            </w:r>
            <w:r>
              <w:rPr>
                <w:sz w:val="18"/>
                <w:szCs w:val="18"/>
              </w:rPr>
              <w:t xml:space="preserve"> συνεχόμενο τρίμηνο και </w:t>
            </w:r>
            <w:r w:rsidRPr="0065190B">
              <w:rPr>
                <w:sz w:val="18"/>
                <w:szCs w:val="18"/>
              </w:rPr>
              <w:t>ανήλθαν σε €2</w:t>
            </w:r>
            <w:r>
              <w:rPr>
                <w:sz w:val="18"/>
                <w:szCs w:val="18"/>
              </w:rPr>
              <w:t>3</w:t>
            </w:r>
            <w:r w:rsidRPr="0065190B">
              <w:rPr>
                <w:sz w:val="18"/>
                <w:szCs w:val="18"/>
              </w:rPr>
              <w:t>,</w:t>
            </w:r>
            <w:r>
              <w:rPr>
                <w:sz w:val="18"/>
                <w:szCs w:val="18"/>
              </w:rPr>
              <w:t>3</w:t>
            </w:r>
            <w:r w:rsidRPr="00F43416">
              <w:rPr>
                <w:iCs/>
                <w:sz w:val="18"/>
                <w:szCs w:val="18"/>
              </w:rPr>
              <w:t>δισ.</w:t>
            </w:r>
            <w:r w:rsidRPr="0065190B">
              <w:rPr>
                <w:sz w:val="18"/>
                <w:szCs w:val="18"/>
              </w:rPr>
              <w:t xml:space="preserve"> στο τέλος </w:t>
            </w:r>
            <w:r>
              <w:rPr>
                <w:sz w:val="18"/>
                <w:szCs w:val="18"/>
              </w:rPr>
              <w:t>Ιουνίου</w:t>
            </w:r>
            <w:r w:rsidRPr="0065190B">
              <w:rPr>
                <w:sz w:val="18"/>
                <w:szCs w:val="18"/>
              </w:rPr>
              <w:t xml:space="preserve"> 2020 από €24,5</w:t>
            </w:r>
            <w:r w:rsidRPr="00F43416">
              <w:rPr>
                <w:iCs/>
                <w:sz w:val="18"/>
                <w:szCs w:val="18"/>
              </w:rPr>
              <w:t>δισ.</w:t>
            </w:r>
            <w:r w:rsidRPr="0065190B">
              <w:rPr>
                <w:sz w:val="18"/>
                <w:szCs w:val="18"/>
              </w:rPr>
              <w:t xml:space="preserve"> στις 31 Δεκεμβρίου 2019. Ο δείκτης κάλυψης ΜΕΑ από σωρευτικές προβλέψεις </w:t>
            </w:r>
            <w:r>
              <w:rPr>
                <w:sz w:val="18"/>
                <w:szCs w:val="18"/>
              </w:rPr>
              <w:t>διαμορφώθηκε στο</w:t>
            </w:r>
            <w:r w:rsidRPr="0065190B">
              <w:rPr>
                <w:sz w:val="18"/>
                <w:szCs w:val="18"/>
              </w:rPr>
              <w:t xml:space="preserve"> 4</w:t>
            </w:r>
            <w:r>
              <w:rPr>
                <w:sz w:val="18"/>
                <w:szCs w:val="18"/>
              </w:rPr>
              <w:t>5</w:t>
            </w:r>
            <w:r w:rsidRPr="0065190B">
              <w:rPr>
                <w:sz w:val="18"/>
                <w:szCs w:val="18"/>
              </w:rPr>
              <w:t>%.</w:t>
            </w:r>
            <w:r>
              <w:rPr>
                <w:sz w:val="18"/>
                <w:szCs w:val="18"/>
              </w:rPr>
              <w:t xml:space="preserve"> Οι συνολικές εισροές ΜΕΑ ήταν χαμηλότερες σε τριμηνιαία βάση στο </w:t>
            </w:r>
            <w:r w:rsidRPr="00710445">
              <w:rPr>
                <w:sz w:val="18"/>
                <w:szCs w:val="18"/>
              </w:rPr>
              <w:t>2</w:t>
            </w:r>
            <w:r w:rsidRPr="00710445">
              <w:rPr>
                <w:sz w:val="18"/>
                <w:szCs w:val="18"/>
                <w:vertAlign w:val="superscript"/>
              </w:rPr>
              <w:t>ο</w:t>
            </w:r>
            <w:r w:rsidRPr="00710445">
              <w:rPr>
                <w:sz w:val="18"/>
                <w:szCs w:val="18"/>
              </w:rPr>
              <w:t xml:space="preserve"> 3μηνο 2020</w:t>
            </w:r>
            <w:r>
              <w:rPr>
                <w:sz w:val="18"/>
                <w:szCs w:val="18"/>
              </w:rPr>
              <w:t xml:space="preserve">, ενώ </w:t>
            </w:r>
            <w:r>
              <w:rPr>
                <w:sz w:val="18"/>
                <w:szCs w:val="18"/>
                <w:lang w:val="en-US"/>
              </w:rPr>
              <w:t>o</w:t>
            </w:r>
            <w:r w:rsidRPr="00CD738B">
              <w:rPr>
                <w:sz w:val="18"/>
                <w:szCs w:val="18"/>
              </w:rPr>
              <w:t xml:space="preserve">ρυθμός των εξυγιασμένων και αναδιαρθρωμένων μη εξυπηρετούμενων </w:t>
            </w:r>
            <w:r>
              <w:rPr>
                <w:sz w:val="18"/>
                <w:szCs w:val="18"/>
              </w:rPr>
              <w:t>ανοιγμάτων</w:t>
            </w:r>
            <w:r w:rsidRPr="00CD738B">
              <w:rPr>
                <w:sz w:val="18"/>
                <w:szCs w:val="18"/>
              </w:rPr>
              <w:t xml:space="preserve"> παρέμεινε αμετάβλητος.</w:t>
            </w:r>
          </w:p>
        </w:tc>
      </w:tr>
      <w:tr w:rsidR="003B1BCE" w:rsidRPr="00BF05F9" w:rsidTr="003B1BCE">
        <w:trPr>
          <w:trHeight w:val="1943"/>
        </w:trPr>
        <w:tc>
          <w:tcPr>
            <w:tcW w:w="1982" w:type="dxa"/>
            <w:tcMar>
              <w:top w:w="57" w:type="dxa"/>
              <w:bottom w:w="57" w:type="dxa"/>
            </w:tcMar>
          </w:tcPr>
          <w:p w:rsidR="003B1BCE" w:rsidRPr="008C4F76" w:rsidRDefault="003B1BCE" w:rsidP="003B1BCE">
            <w:pPr>
              <w:tabs>
                <w:tab w:val="left" w:pos="8262"/>
              </w:tabs>
              <w:spacing w:after="60"/>
              <w:ind w:left="32" w:right="74"/>
              <w:contextualSpacing/>
              <w:rPr>
                <w:rFonts w:cs="Calibri"/>
                <w:i/>
                <w:noProof/>
                <w:color w:val="FF0000"/>
                <w:sz w:val="21"/>
                <w:szCs w:val="21"/>
                <w:lang w:val="en-US" w:eastAsia="el-GR"/>
              </w:rPr>
            </w:pPr>
            <w:r w:rsidRPr="008C4F76">
              <w:rPr>
                <w:rFonts w:eastAsiaTheme="minorEastAsia" w:cs="Calibri"/>
                <w:i/>
                <w:color w:val="6691AB"/>
                <w:sz w:val="21"/>
                <w:szCs w:val="21"/>
              </w:rPr>
              <w:t>Μη οργανική μείωση ΜΕΑ</w:t>
            </w:r>
          </w:p>
        </w:tc>
        <w:tc>
          <w:tcPr>
            <w:tcW w:w="6982" w:type="dxa"/>
            <w:tcMar>
              <w:top w:w="57" w:type="dxa"/>
              <w:bottom w:w="57" w:type="dxa"/>
            </w:tcMar>
          </w:tcPr>
          <w:p w:rsidR="003B1BCE" w:rsidRPr="008C4F76" w:rsidRDefault="003B1BCE" w:rsidP="003B1BCE">
            <w:pPr>
              <w:tabs>
                <w:tab w:val="left" w:pos="8262"/>
              </w:tabs>
              <w:spacing w:before="40" w:after="40" w:line="264" w:lineRule="auto"/>
              <w:ind w:left="7" w:right="301"/>
              <w:jc w:val="both"/>
              <w:rPr>
                <w:sz w:val="18"/>
                <w:szCs w:val="18"/>
              </w:rPr>
            </w:pPr>
            <w:r w:rsidRPr="008C4F76">
              <w:rPr>
                <w:sz w:val="18"/>
                <w:szCs w:val="18"/>
              </w:rPr>
              <w:t>Η Τράπεζα έλαβε δεσμευτική προσφορά για την πώληση €0,6</w:t>
            </w:r>
            <w:r w:rsidRPr="008C4F76">
              <w:rPr>
                <w:iCs/>
                <w:sz w:val="18"/>
                <w:szCs w:val="18"/>
              </w:rPr>
              <w:t>δισ.</w:t>
            </w:r>
            <w:r w:rsidRPr="008C4F76">
              <w:rPr>
                <w:sz w:val="18"/>
                <w:szCs w:val="18"/>
              </w:rPr>
              <w:t xml:space="preserve"> χαρτοφυλακίου ΜΕΑ (</w:t>
            </w:r>
            <w:r w:rsidRPr="008C4F76">
              <w:rPr>
                <w:sz w:val="18"/>
                <w:szCs w:val="18"/>
                <w:lang w:val="en-US"/>
              </w:rPr>
              <w:t>Iris</w:t>
            </w:r>
            <w:r w:rsidRPr="008C4F76">
              <w:rPr>
                <w:sz w:val="18"/>
                <w:szCs w:val="18"/>
              </w:rPr>
              <w:t>) στο τέλος Ιουλίου.</w:t>
            </w:r>
          </w:p>
          <w:p w:rsidR="003B1BCE" w:rsidRPr="008C4F76" w:rsidRDefault="003B1BCE" w:rsidP="008C4F76">
            <w:pPr>
              <w:tabs>
                <w:tab w:val="left" w:pos="8262"/>
              </w:tabs>
              <w:spacing w:before="40" w:after="40" w:line="264" w:lineRule="auto"/>
              <w:ind w:left="7" w:right="301"/>
              <w:jc w:val="both"/>
              <w:rPr>
                <w:sz w:val="18"/>
                <w:szCs w:val="18"/>
              </w:rPr>
            </w:pPr>
            <w:r w:rsidRPr="008C4F76">
              <w:rPr>
                <w:iCs/>
                <w:sz w:val="18"/>
                <w:szCs w:val="18"/>
              </w:rPr>
              <w:t xml:space="preserve">Αναφορικά με την τιτλοποίηση των στεγαστικών ΜΕΑ Phoenix (€2δισ.), </w:t>
            </w:r>
            <w:r w:rsidRPr="008C4F76">
              <w:rPr>
                <w:sz w:val="18"/>
                <w:szCs w:val="18"/>
              </w:rPr>
              <w:t>η προκαταρκτική αξιολόγηση από οίκο πιστοληπτικής διαβάθμισης έχει ολοκληρωθεί, επιβεβαιώνοντας το ύψος των senior ομολογιών, ενώ αντίστοιχα για τη συναλλαγή Vega των €5δισ., το επιχειρηματικό σχέδιο και το στάδιο προκαταρκτικής αξιολόγησης βρίσκονται σε εξέλιξη.</w:t>
            </w:r>
          </w:p>
        </w:tc>
      </w:tr>
    </w:tbl>
    <w:p w:rsidR="00A74A6F" w:rsidRPr="00A17FD4" w:rsidRDefault="00A74A6F" w:rsidP="000B692E">
      <w:pPr>
        <w:tabs>
          <w:tab w:val="left" w:pos="8262"/>
        </w:tabs>
        <w:spacing w:before="120" w:after="120" w:line="240" w:lineRule="auto"/>
        <w:ind w:right="-285"/>
        <w:contextualSpacing/>
        <w:rPr>
          <w:color w:val="FF0000"/>
        </w:rPr>
      </w:pPr>
    </w:p>
    <w:p w:rsidR="00D728DC" w:rsidRPr="00175A2E" w:rsidRDefault="00CC796E" w:rsidP="008C4F76">
      <w:pPr>
        <w:ind w:left="-426"/>
        <w:rPr>
          <w:rFonts w:eastAsia="Times New Roman" w:cs="Calibri"/>
          <w:b/>
          <w:i/>
          <w:color w:val="6691AB"/>
          <w:sz w:val="27"/>
          <w:szCs w:val="27"/>
        </w:rPr>
      </w:pPr>
      <w:r>
        <w:br w:type="page"/>
      </w:r>
      <w:r w:rsidR="00C01D32">
        <w:rPr>
          <w:rFonts w:eastAsia="Times New Roman" w:cs="Calibri"/>
          <w:b/>
          <w:i/>
          <w:color w:val="6691AB"/>
          <w:sz w:val="27"/>
          <w:szCs w:val="27"/>
        </w:rPr>
        <w:lastRenderedPageBreak/>
        <w:t>‘Αμεση</w:t>
      </w:r>
      <w:r w:rsidR="00D728DC">
        <w:rPr>
          <w:rFonts w:eastAsia="Times New Roman" w:cs="Calibri"/>
          <w:b/>
          <w:i/>
          <w:color w:val="6691AB"/>
          <w:sz w:val="27"/>
          <w:szCs w:val="27"/>
        </w:rPr>
        <w:t xml:space="preserve">Αντιμετώπιση </w:t>
      </w:r>
      <w:r w:rsidR="008C4F76">
        <w:rPr>
          <w:rFonts w:eastAsia="Times New Roman" w:cs="Calibri"/>
          <w:b/>
          <w:i/>
          <w:color w:val="6691AB"/>
          <w:sz w:val="27"/>
          <w:szCs w:val="27"/>
        </w:rPr>
        <w:t xml:space="preserve">των Συνεπειών </w:t>
      </w:r>
      <w:r w:rsidR="00D728DC">
        <w:rPr>
          <w:rFonts w:eastAsia="Times New Roman" w:cs="Calibri"/>
          <w:b/>
          <w:i/>
          <w:color w:val="6691AB"/>
          <w:sz w:val="27"/>
          <w:szCs w:val="27"/>
        </w:rPr>
        <w:t xml:space="preserve">του </w:t>
      </w:r>
      <w:r w:rsidR="00D728DC" w:rsidRPr="0028538D">
        <w:rPr>
          <w:rFonts w:eastAsia="Times New Roman" w:cs="Calibri"/>
          <w:b/>
          <w:i/>
          <w:color w:val="6691AB"/>
          <w:sz w:val="27"/>
          <w:szCs w:val="27"/>
          <w:lang w:val="en-US"/>
        </w:rPr>
        <w:t>C</w:t>
      </w:r>
      <w:r w:rsidR="00D728DC">
        <w:rPr>
          <w:rFonts w:eastAsia="Times New Roman" w:cs="Calibri"/>
          <w:b/>
          <w:i/>
          <w:color w:val="6691AB"/>
          <w:sz w:val="27"/>
          <w:szCs w:val="27"/>
          <w:lang w:val="en-US"/>
        </w:rPr>
        <w:t>ovid</w:t>
      </w:r>
      <w:r w:rsidR="00D728DC" w:rsidRPr="00175A2E">
        <w:rPr>
          <w:rFonts w:eastAsia="Times New Roman" w:cs="Calibri"/>
          <w:b/>
          <w:i/>
          <w:color w:val="6691AB"/>
          <w:sz w:val="27"/>
          <w:szCs w:val="27"/>
        </w:rPr>
        <w:t xml:space="preserve">-19 </w:t>
      </w:r>
      <w:r w:rsidR="00D728DC">
        <w:rPr>
          <w:rFonts w:eastAsia="Times New Roman" w:cs="Calibri"/>
          <w:b/>
          <w:i/>
          <w:color w:val="6691AB"/>
          <w:sz w:val="27"/>
          <w:szCs w:val="27"/>
        </w:rPr>
        <w:t xml:space="preserve">για την Προστασία Όλων των Ενδιαφερόμενων Μερών </w:t>
      </w:r>
    </w:p>
    <w:tbl>
      <w:tblPr>
        <w:tblStyle w:val="TableGrid1"/>
        <w:tblpPr w:leftFromText="180" w:rightFromText="180" w:vertAnchor="text" w:horzAnchor="margin" w:tblpX="-567" w:tblpY="276"/>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1"/>
        <w:gridCol w:w="6946"/>
      </w:tblGrid>
      <w:tr w:rsidR="00D728DC" w:rsidRPr="000B692E" w:rsidTr="00CE6D49">
        <w:trPr>
          <w:trHeight w:val="931"/>
        </w:trPr>
        <w:tc>
          <w:tcPr>
            <w:tcW w:w="8647" w:type="dxa"/>
            <w:gridSpan w:val="2"/>
            <w:tcMar>
              <w:top w:w="57" w:type="dxa"/>
              <w:bottom w:w="57" w:type="dxa"/>
            </w:tcMar>
          </w:tcPr>
          <w:p w:rsidR="00D728DC" w:rsidRPr="000B692E" w:rsidRDefault="00D728DC" w:rsidP="00CE6D49">
            <w:pPr>
              <w:jc w:val="both"/>
              <w:rPr>
                <w:sz w:val="18"/>
                <w:szCs w:val="18"/>
              </w:rPr>
            </w:pPr>
            <w:r w:rsidRPr="007539E2">
              <w:rPr>
                <w:rFonts w:cs="Calibri"/>
                <w:bCs/>
                <w:sz w:val="18"/>
                <w:szCs w:val="18"/>
              </w:rPr>
              <w:t>Η Τράπεζα Πειραιώς, ενεργώντας υπεύθυνα σύμφωνα με το ESG πρόγραμμά της, συμβάλλει ουσιαστικά στον περιορισμό εξάπλωσης του C</w:t>
            </w:r>
            <w:r>
              <w:rPr>
                <w:rFonts w:cs="Calibri"/>
                <w:bCs/>
                <w:sz w:val="18"/>
                <w:szCs w:val="18"/>
                <w:lang w:val="en-US"/>
              </w:rPr>
              <w:t>ovid</w:t>
            </w:r>
            <w:r w:rsidRPr="007539E2">
              <w:rPr>
                <w:rFonts w:cs="Calibri"/>
                <w:bCs/>
                <w:sz w:val="18"/>
                <w:szCs w:val="18"/>
              </w:rPr>
              <w:t>-19, καθ</w:t>
            </w:r>
            <w:r>
              <w:rPr>
                <w:rFonts w:cs="Calibri"/>
                <w:bCs/>
                <w:sz w:val="18"/>
                <w:szCs w:val="18"/>
              </w:rPr>
              <w:t>ώς και στον μετριασμό τυχόν σχετικών επιπτώσεων</w:t>
            </w:r>
            <w:r w:rsidRPr="007539E2">
              <w:rPr>
                <w:rFonts w:cs="Calibri"/>
                <w:bCs/>
                <w:sz w:val="18"/>
                <w:szCs w:val="18"/>
              </w:rPr>
              <w:t xml:space="preserve">. </w:t>
            </w:r>
            <w:r>
              <w:rPr>
                <w:rFonts w:cs="Calibri"/>
                <w:bCs/>
                <w:sz w:val="18"/>
                <w:szCs w:val="18"/>
              </w:rPr>
              <w:t>ΗΤράπεζαΠειραιώς</w:t>
            </w:r>
            <w:r w:rsidRPr="009153E1">
              <w:rPr>
                <w:rFonts w:cs="Calibri"/>
                <w:bCs/>
                <w:sz w:val="18"/>
                <w:szCs w:val="18"/>
              </w:rPr>
              <w:t xml:space="preserve">, </w:t>
            </w:r>
            <w:r>
              <w:rPr>
                <w:rFonts w:cs="Calibri"/>
                <w:bCs/>
                <w:sz w:val="18"/>
                <w:szCs w:val="18"/>
              </w:rPr>
              <w:t>σεσυνεργασίαμετηνΕλληνικήΈνωσηΤραπεζών</w:t>
            </w:r>
            <w:r w:rsidRPr="009153E1">
              <w:rPr>
                <w:rFonts w:cs="Calibri"/>
                <w:bCs/>
                <w:sz w:val="18"/>
                <w:szCs w:val="18"/>
              </w:rPr>
              <w:t xml:space="preserve">, </w:t>
            </w:r>
            <w:r>
              <w:rPr>
                <w:rFonts w:cs="Calibri"/>
                <w:bCs/>
                <w:sz w:val="18"/>
                <w:szCs w:val="18"/>
              </w:rPr>
              <w:t xml:space="preserve">παρακολουθείστενάτιςεξελίξειςκαισυνεργάζεται με την Κυβέρνηση και τις Εποπτικές Αρχές, προκειμένου </w:t>
            </w:r>
            <w:r w:rsidRPr="009153E1">
              <w:rPr>
                <w:rFonts w:cs="Calibri"/>
                <w:bCs/>
                <w:sz w:val="18"/>
                <w:szCs w:val="18"/>
              </w:rPr>
              <w:t xml:space="preserve">να συμβάλει στην αντιμετώπιση των αρνητικών επιπτώσεων της πανδημίας και της </w:t>
            </w:r>
            <w:r>
              <w:rPr>
                <w:rFonts w:cs="Calibri"/>
                <w:bCs/>
                <w:sz w:val="18"/>
                <w:szCs w:val="18"/>
              </w:rPr>
              <w:t xml:space="preserve">διαταραχής </w:t>
            </w:r>
            <w:r w:rsidRPr="009153E1">
              <w:rPr>
                <w:rFonts w:cs="Calibri"/>
                <w:bCs/>
                <w:sz w:val="18"/>
                <w:szCs w:val="18"/>
              </w:rPr>
              <w:t>της οικονομικής δραστηριότητας.</w:t>
            </w:r>
          </w:p>
        </w:tc>
      </w:tr>
      <w:tr w:rsidR="00D728DC" w:rsidRPr="00304BF4" w:rsidTr="00CE6D49">
        <w:trPr>
          <w:trHeight w:val="2000"/>
        </w:trPr>
        <w:tc>
          <w:tcPr>
            <w:tcW w:w="1701" w:type="dxa"/>
            <w:tcMar>
              <w:top w:w="57" w:type="dxa"/>
              <w:bottom w:w="57" w:type="dxa"/>
            </w:tcMar>
          </w:tcPr>
          <w:p w:rsidR="00D728DC" w:rsidRPr="0004223A" w:rsidRDefault="00D728DC" w:rsidP="00CE6D49">
            <w:pPr>
              <w:tabs>
                <w:tab w:val="left" w:pos="8262"/>
              </w:tabs>
              <w:spacing w:after="60"/>
              <w:ind w:left="32" w:right="74"/>
              <w:contextualSpacing/>
              <w:rPr>
                <w:rFonts w:cs="Calibri"/>
                <w:b/>
                <w:color w:val="FF0000"/>
                <w:sz w:val="21"/>
                <w:szCs w:val="21"/>
              </w:rPr>
            </w:pPr>
            <w:r w:rsidRPr="00C72B2B">
              <w:rPr>
                <w:rFonts w:eastAsiaTheme="minorEastAsia" w:cs="Calibri"/>
                <w:i/>
                <w:color w:val="6691AB"/>
                <w:sz w:val="21"/>
                <w:szCs w:val="21"/>
                <w:lang w:val="en-US"/>
              </w:rPr>
              <w:t>Μορατόρια</w:t>
            </w:r>
            <w:r w:rsidR="0004223A">
              <w:rPr>
                <w:rFonts w:eastAsiaTheme="minorEastAsia" w:cs="Calibri"/>
                <w:i/>
                <w:color w:val="6691AB"/>
                <w:sz w:val="21"/>
                <w:szCs w:val="21"/>
              </w:rPr>
              <w:t xml:space="preserve"> (αναστολές πληρωμών δανείων)</w:t>
            </w:r>
          </w:p>
        </w:tc>
        <w:tc>
          <w:tcPr>
            <w:tcW w:w="6946" w:type="dxa"/>
            <w:tcMar>
              <w:top w:w="57" w:type="dxa"/>
              <w:bottom w:w="57" w:type="dxa"/>
            </w:tcMar>
          </w:tcPr>
          <w:p w:rsidR="00D728DC" w:rsidRPr="00656E2E" w:rsidRDefault="00D728DC" w:rsidP="00AC14D9">
            <w:pPr>
              <w:jc w:val="both"/>
              <w:rPr>
                <w:sz w:val="18"/>
                <w:szCs w:val="18"/>
              </w:rPr>
            </w:pPr>
            <w:r w:rsidRPr="007512A4">
              <w:rPr>
                <w:sz w:val="18"/>
                <w:szCs w:val="18"/>
              </w:rPr>
              <w:t xml:space="preserve">Η Ελληνική Ένωση Τραπεζών ανακοίνωσε τη στήριξη επιχειρήσεων και φυσικών προσώπων (εργαζόμενοι, </w:t>
            </w:r>
            <w:r w:rsidRPr="007512A4">
              <w:rPr>
                <w:rFonts w:cs="Calibri"/>
                <w:bCs/>
                <w:sz w:val="18"/>
                <w:szCs w:val="18"/>
              </w:rPr>
              <w:t>ελεύθεροι επαγγελματίες και ατομικές επιχειρήσεις) που πλήττονται από</w:t>
            </w:r>
            <w:r w:rsidRPr="007512A4">
              <w:rPr>
                <w:sz w:val="18"/>
                <w:szCs w:val="18"/>
              </w:rPr>
              <w:t xml:space="preserve"> το </w:t>
            </w:r>
            <w:r w:rsidRPr="007512A4">
              <w:rPr>
                <w:sz w:val="18"/>
                <w:szCs w:val="18"/>
                <w:lang w:val="en-US"/>
              </w:rPr>
              <w:t>C</w:t>
            </w:r>
            <w:r>
              <w:rPr>
                <w:sz w:val="18"/>
                <w:szCs w:val="18"/>
                <w:lang w:val="en-US"/>
              </w:rPr>
              <w:t>ovid</w:t>
            </w:r>
            <w:r w:rsidRPr="007512A4">
              <w:rPr>
                <w:sz w:val="18"/>
                <w:szCs w:val="18"/>
              </w:rPr>
              <w:t xml:space="preserve">-19. </w:t>
            </w:r>
            <w:r w:rsidRPr="007512A4">
              <w:rPr>
                <w:rFonts w:cs="Calibri"/>
                <w:bCs/>
                <w:sz w:val="18"/>
                <w:szCs w:val="18"/>
              </w:rPr>
              <w:t xml:space="preserve">Για την κατηγορία των φυσικών προσώπων, οι ελληνικές τράπεζες προσφέρουν αναστολή των δόσεων των ενήμερων δανείων τους για διάστημα τριών μηνών, </w:t>
            </w:r>
            <w:r>
              <w:rPr>
                <w:rFonts w:cs="Calibri"/>
                <w:bCs/>
                <w:sz w:val="18"/>
                <w:szCs w:val="18"/>
              </w:rPr>
              <w:t xml:space="preserve">με δυνατότητα παράτασης </w:t>
            </w:r>
            <w:r w:rsidRPr="007512A4">
              <w:rPr>
                <w:rFonts w:cs="Calibri"/>
                <w:bCs/>
                <w:sz w:val="18"/>
                <w:szCs w:val="18"/>
              </w:rPr>
              <w:t xml:space="preserve">της αναστολής </w:t>
            </w:r>
            <w:r>
              <w:rPr>
                <w:rFonts w:cs="Calibri"/>
                <w:bCs/>
                <w:sz w:val="18"/>
                <w:szCs w:val="18"/>
              </w:rPr>
              <w:t>μέχρι το τέλος του έτους</w:t>
            </w:r>
            <w:r w:rsidRPr="007512A4">
              <w:rPr>
                <w:rFonts w:cs="Calibri"/>
                <w:bCs/>
                <w:sz w:val="18"/>
                <w:szCs w:val="18"/>
              </w:rPr>
              <w:t>. Για τις πληγείσες επιχειρήσεις αντίστοιχα, οι τράπεζες προσφέρουν αναστολή της πληρωμής των δόσεων κεφαλαίου ενήμερων δανείων.</w:t>
            </w:r>
            <w:r>
              <w:rPr>
                <w:sz w:val="18"/>
                <w:szCs w:val="18"/>
                <w:lang w:val="en-US"/>
              </w:rPr>
              <w:t>H</w:t>
            </w:r>
            <w:r w:rsidRPr="007512A4">
              <w:rPr>
                <w:sz w:val="18"/>
                <w:szCs w:val="18"/>
              </w:rPr>
              <w:t xml:space="preserve"> εφαρμογή </w:t>
            </w:r>
            <w:r>
              <w:rPr>
                <w:rFonts w:cs="Calibri"/>
                <w:bCs/>
                <w:sz w:val="18"/>
                <w:szCs w:val="18"/>
              </w:rPr>
              <w:t xml:space="preserve">της </w:t>
            </w:r>
            <w:r w:rsidRPr="007512A4">
              <w:rPr>
                <w:rFonts w:cs="Calibri"/>
                <w:bCs/>
                <w:sz w:val="18"/>
                <w:szCs w:val="18"/>
              </w:rPr>
              <w:t>αναστολή</w:t>
            </w:r>
            <w:r>
              <w:rPr>
                <w:rFonts w:cs="Calibri"/>
                <w:bCs/>
                <w:sz w:val="18"/>
                <w:szCs w:val="18"/>
              </w:rPr>
              <w:t>ς</w:t>
            </w:r>
            <w:r w:rsidRPr="007512A4">
              <w:rPr>
                <w:rFonts w:cs="Calibri"/>
                <w:bCs/>
                <w:sz w:val="18"/>
                <w:szCs w:val="18"/>
              </w:rPr>
              <w:t xml:space="preserve"> της πληρωμής των δόσεων κεφαλαίου δανείων</w:t>
            </w:r>
            <w:r w:rsidRPr="007512A4">
              <w:rPr>
                <w:sz w:val="18"/>
                <w:szCs w:val="18"/>
              </w:rPr>
              <w:t xml:space="preserve"> από την Τράπεζα Πειραιώς διαμορφώθηκε στα €4δι</w:t>
            </w:r>
            <w:r>
              <w:rPr>
                <w:sz w:val="18"/>
                <w:szCs w:val="18"/>
              </w:rPr>
              <w:t>σ.,</w:t>
            </w:r>
            <w:r w:rsidRPr="007512A4">
              <w:rPr>
                <w:sz w:val="18"/>
                <w:szCs w:val="18"/>
              </w:rPr>
              <w:t xml:space="preserve"> εκ των οποίων </w:t>
            </w:r>
            <w:r w:rsidR="008C4F76">
              <w:rPr>
                <w:sz w:val="18"/>
                <w:szCs w:val="18"/>
              </w:rPr>
              <w:t xml:space="preserve">σχεδόν </w:t>
            </w:r>
            <w:r>
              <w:rPr>
                <w:sz w:val="18"/>
                <w:szCs w:val="18"/>
              </w:rPr>
              <w:t>τα μισά</w:t>
            </w:r>
            <w:r w:rsidRPr="007512A4">
              <w:rPr>
                <w:sz w:val="18"/>
                <w:szCs w:val="18"/>
              </w:rPr>
              <w:t xml:space="preserve"> σχετ</w:t>
            </w:r>
            <w:r>
              <w:rPr>
                <w:sz w:val="18"/>
                <w:szCs w:val="18"/>
              </w:rPr>
              <w:t>ίζονταν</w:t>
            </w:r>
            <w:r w:rsidRPr="007512A4">
              <w:rPr>
                <w:sz w:val="18"/>
                <w:szCs w:val="18"/>
              </w:rPr>
              <w:t xml:space="preserve"> με πελάτες λιανικής και </w:t>
            </w:r>
            <w:r>
              <w:rPr>
                <w:sz w:val="18"/>
                <w:szCs w:val="18"/>
              </w:rPr>
              <w:t xml:space="preserve">τα υπόλοιπα </w:t>
            </w:r>
            <w:r w:rsidRPr="007512A4">
              <w:rPr>
                <w:sz w:val="18"/>
                <w:szCs w:val="18"/>
              </w:rPr>
              <w:t xml:space="preserve"> με επιχειρ</w:t>
            </w:r>
            <w:r>
              <w:rPr>
                <w:sz w:val="18"/>
                <w:szCs w:val="18"/>
              </w:rPr>
              <w:t>ηματικούς πελάτες</w:t>
            </w:r>
            <w:r w:rsidRPr="007512A4">
              <w:rPr>
                <w:sz w:val="18"/>
                <w:szCs w:val="18"/>
              </w:rPr>
              <w:t>.</w:t>
            </w:r>
          </w:p>
        </w:tc>
      </w:tr>
      <w:tr w:rsidR="00D728DC" w:rsidRPr="00B0390A" w:rsidTr="00CE6D49">
        <w:trPr>
          <w:trHeight w:val="2904"/>
        </w:trPr>
        <w:tc>
          <w:tcPr>
            <w:tcW w:w="1701" w:type="dxa"/>
            <w:tcMar>
              <w:top w:w="57" w:type="dxa"/>
              <w:bottom w:w="57" w:type="dxa"/>
            </w:tcMar>
          </w:tcPr>
          <w:p w:rsidR="00D728DC" w:rsidRPr="00C72B2B" w:rsidRDefault="00D728DC" w:rsidP="00CE6D49">
            <w:pPr>
              <w:tabs>
                <w:tab w:val="left" w:pos="8262"/>
              </w:tabs>
              <w:spacing w:after="60"/>
              <w:ind w:left="32"/>
              <w:contextualSpacing/>
              <w:rPr>
                <w:rFonts w:eastAsiaTheme="minorEastAsia" w:cs="Calibri"/>
                <w:i/>
                <w:color w:val="6691AB"/>
                <w:spacing w:val="-2"/>
                <w:sz w:val="21"/>
                <w:szCs w:val="21"/>
              </w:rPr>
            </w:pPr>
            <w:r w:rsidRPr="00C72B2B">
              <w:rPr>
                <w:rFonts w:eastAsiaTheme="minorEastAsia" w:cs="Calibri"/>
                <w:i/>
                <w:color w:val="6691AB"/>
                <w:spacing w:val="-2"/>
                <w:sz w:val="21"/>
                <w:szCs w:val="21"/>
              </w:rPr>
              <w:t xml:space="preserve">Προγράμματα χρηματοδότησης Ελληνικού Δημοσίου </w:t>
            </w:r>
          </w:p>
          <w:p w:rsidR="00D728DC" w:rsidRPr="00C72B2B" w:rsidRDefault="00D728DC" w:rsidP="00CE6D49">
            <w:pPr>
              <w:tabs>
                <w:tab w:val="left" w:pos="8262"/>
              </w:tabs>
              <w:spacing w:after="60"/>
              <w:ind w:left="32" w:right="74"/>
              <w:contextualSpacing/>
              <w:rPr>
                <w:rFonts w:eastAsiaTheme="minorEastAsia" w:cs="Calibri"/>
                <w:i/>
                <w:color w:val="6691AB"/>
                <w:sz w:val="21"/>
                <w:szCs w:val="21"/>
              </w:rPr>
            </w:pPr>
          </w:p>
          <w:p w:rsidR="00D728DC" w:rsidRPr="00C72B2B" w:rsidRDefault="00D728DC" w:rsidP="00CE6D49">
            <w:pPr>
              <w:tabs>
                <w:tab w:val="left" w:pos="8262"/>
              </w:tabs>
              <w:spacing w:after="60"/>
              <w:ind w:left="32" w:right="74"/>
              <w:contextualSpacing/>
              <w:rPr>
                <w:rFonts w:eastAsiaTheme="minorEastAsia" w:cs="Calibri"/>
                <w:i/>
                <w:color w:val="6691AB"/>
                <w:sz w:val="21"/>
                <w:szCs w:val="21"/>
              </w:rPr>
            </w:pPr>
          </w:p>
          <w:p w:rsidR="00D728DC" w:rsidRPr="00C72B2B" w:rsidRDefault="00D728DC" w:rsidP="00CE6D49">
            <w:pPr>
              <w:tabs>
                <w:tab w:val="left" w:pos="8262"/>
              </w:tabs>
              <w:spacing w:after="60"/>
              <w:ind w:right="74"/>
              <w:contextualSpacing/>
              <w:rPr>
                <w:rFonts w:eastAsiaTheme="minorEastAsia" w:cs="Calibri"/>
                <w:i/>
                <w:color w:val="FF0000"/>
                <w:sz w:val="21"/>
                <w:szCs w:val="21"/>
              </w:rPr>
            </w:pPr>
          </w:p>
          <w:p w:rsidR="00D728DC" w:rsidRPr="00C72B2B" w:rsidRDefault="00D728DC" w:rsidP="00CE6D49">
            <w:pPr>
              <w:tabs>
                <w:tab w:val="left" w:pos="8262"/>
              </w:tabs>
              <w:spacing w:after="60"/>
              <w:ind w:right="74"/>
              <w:contextualSpacing/>
              <w:rPr>
                <w:rFonts w:eastAsiaTheme="minorEastAsia" w:cs="Calibri"/>
                <w:i/>
                <w:color w:val="FF0000"/>
                <w:sz w:val="21"/>
                <w:szCs w:val="21"/>
              </w:rPr>
            </w:pPr>
          </w:p>
          <w:p w:rsidR="00D728DC" w:rsidRPr="00C72B2B" w:rsidRDefault="00D728DC" w:rsidP="00CE6D49">
            <w:pPr>
              <w:tabs>
                <w:tab w:val="left" w:pos="8262"/>
              </w:tabs>
              <w:spacing w:after="60"/>
              <w:ind w:left="32" w:right="74"/>
              <w:contextualSpacing/>
              <w:rPr>
                <w:rFonts w:eastAsiaTheme="minorEastAsia" w:cs="Calibri"/>
                <w:i/>
                <w:color w:val="FF0000"/>
                <w:sz w:val="21"/>
                <w:szCs w:val="21"/>
              </w:rPr>
            </w:pPr>
          </w:p>
        </w:tc>
        <w:tc>
          <w:tcPr>
            <w:tcW w:w="6946" w:type="dxa"/>
            <w:tcMar>
              <w:top w:w="57" w:type="dxa"/>
              <w:bottom w:w="57" w:type="dxa"/>
            </w:tcMar>
          </w:tcPr>
          <w:p w:rsidR="00D728DC" w:rsidRPr="00AC14D9" w:rsidRDefault="00D728DC" w:rsidP="00AC14D9">
            <w:pPr>
              <w:tabs>
                <w:tab w:val="left" w:pos="8262"/>
              </w:tabs>
              <w:spacing w:after="60"/>
              <w:ind w:right="74"/>
              <w:contextualSpacing/>
              <w:jc w:val="both"/>
              <w:rPr>
                <w:rFonts w:cs="Calibri"/>
                <w:bCs/>
                <w:color w:val="000000" w:themeColor="text1"/>
                <w:sz w:val="18"/>
                <w:szCs w:val="18"/>
              </w:rPr>
            </w:pPr>
            <w:r w:rsidRPr="007450D2">
              <w:rPr>
                <w:sz w:val="18"/>
                <w:szCs w:val="18"/>
              </w:rPr>
              <w:t xml:space="preserve">Προκειμένου να στηρίξει τους πελάτες της, η Τράπεζα Πειραιώς συμμετέχει ενεργά στην υλοποίηση των χρηματοδοτικών προγραμμάτων του Ελληνικού Δημοσίου, τόσο μέσω της παροχής εγγύησης, όσο και επιδοτήσεων επιτοκίου. </w:t>
            </w:r>
            <w:r w:rsidRPr="007450D2">
              <w:rPr>
                <w:rFonts w:cs="Calibri"/>
                <w:bCs/>
                <w:color w:val="000000" w:themeColor="text1"/>
                <w:sz w:val="18"/>
                <w:szCs w:val="18"/>
              </w:rPr>
              <w:t xml:space="preserve">Επιπρόσθετα, στο πλαίσιο του υπο-προγράμματος της Ελληνικής Αναπτυξιακής Τράπεζας </w:t>
            </w:r>
            <w:r w:rsidR="007450D2" w:rsidRPr="007450D2">
              <w:rPr>
                <w:iCs/>
                <w:sz w:val="18"/>
                <w:szCs w:val="18"/>
              </w:rPr>
              <w:t xml:space="preserve">«Εγγυοδοτικό Ταμείο για το Covid-19» </w:t>
            </w:r>
            <w:r w:rsidRPr="007450D2">
              <w:rPr>
                <w:rFonts w:cs="Calibri"/>
                <w:bCs/>
                <w:color w:val="000000" w:themeColor="text1"/>
                <w:sz w:val="18"/>
                <w:szCs w:val="18"/>
              </w:rPr>
              <w:t xml:space="preserve">με σκοπό τη διευκόλυνση των ΜΜΕ και Μεγάλων Επιχειρήσεων με κεφάλαιο κίνησης, η Τράπεζα Πειραιώς έχει διαθέσει συνολικό ποσό ύψους €1,0δισ. </w:t>
            </w:r>
            <w:r w:rsidR="0004223A">
              <w:rPr>
                <w:rFonts w:cs="Calibri"/>
                <w:bCs/>
                <w:color w:val="000000" w:themeColor="text1"/>
                <w:sz w:val="18"/>
                <w:szCs w:val="18"/>
              </w:rPr>
              <w:t>από</w:t>
            </w:r>
            <w:r w:rsidRPr="007450D2">
              <w:rPr>
                <w:rFonts w:cs="Calibri"/>
                <w:bCs/>
                <w:color w:val="000000" w:themeColor="text1"/>
                <w:sz w:val="18"/>
                <w:szCs w:val="18"/>
              </w:rPr>
              <w:t xml:space="preserve"> σύνολο €3,6δισ. της αγοράς. Επίσης, στο πρόγραμμα που χρηματοδοτείται από το Υπουργείο Ανάπτυξης για 2ετή επιδότηση επιτοκίου σε νέες χρηματοδοτήσεις προς πληγείσες μεσαίες και μικρές επιχειρήσεις από τα μέτρα αντιμετώπισης της πανδημίας, η Τράπεζα συμμετέχει με 3,2 χιλιάδες εγκεκριμένα αιτήματα </w:t>
            </w:r>
            <w:r w:rsidR="007450D2">
              <w:rPr>
                <w:rFonts w:cs="Calibri"/>
                <w:bCs/>
                <w:color w:val="000000" w:themeColor="text1"/>
                <w:sz w:val="18"/>
                <w:szCs w:val="18"/>
              </w:rPr>
              <w:t>συνολικού ύψους δανείων</w:t>
            </w:r>
            <w:r w:rsidRPr="007450D2">
              <w:rPr>
                <w:rFonts w:cs="Calibri"/>
                <w:bCs/>
                <w:color w:val="000000" w:themeColor="text1"/>
                <w:sz w:val="18"/>
                <w:szCs w:val="18"/>
              </w:rPr>
              <w:t xml:space="preserve"> €0,4δισ. επί συνόλου €1,4δισ. για την ελληνική αγορά. Το Υπουργείο Οικονομικών ανακοίνωσε </w:t>
            </w:r>
            <w:r w:rsidR="0004223A">
              <w:rPr>
                <w:rFonts w:cs="Calibri"/>
                <w:bCs/>
                <w:color w:val="000000" w:themeColor="text1"/>
                <w:sz w:val="18"/>
                <w:szCs w:val="18"/>
              </w:rPr>
              <w:t xml:space="preserve">επιπλέον </w:t>
            </w:r>
            <w:r w:rsidRPr="007450D2">
              <w:rPr>
                <w:rFonts w:cs="Calibri"/>
                <w:bCs/>
                <w:color w:val="000000" w:themeColor="text1"/>
                <w:sz w:val="18"/>
                <w:szCs w:val="18"/>
              </w:rPr>
              <w:t xml:space="preserve">το νέο «Πρόγραμμα Γέφυρα» </w:t>
            </w:r>
            <w:r w:rsidR="0004223A">
              <w:rPr>
                <w:rFonts w:cs="Calibri"/>
                <w:bCs/>
                <w:color w:val="000000" w:themeColor="text1"/>
                <w:sz w:val="18"/>
                <w:szCs w:val="18"/>
              </w:rPr>
              <w:t>περί</w:t>
            </w:r>
            <w:r w:rsidR="00272C80">
              <w:rPr>
                <w:rFonts w:cs="Calibri"/>
                <w:bCs/>
                <w:color w:val="000000" w:themeColor="text1"/>
                <w:sz w:val="18"/>
                <w:szCs w:val="18"/>
              </w:rPr>
              <w:t xml:space="preserve"> επιδότησης δανείων με προσημείωση κύριας κατοικίας </w:t>
            </w:r>
            <w:r w:rsidR="0004223A">
              <w:rPr>
                <w:rFonts w:cs="Calibri"/>
                <w:bCs/>
                <w:color w:val="000000" w:themeColor="text1"/>
                <w:sz w:val="18"/>
                <w:szCs w:val="18"/>
              </w:rPr>
              <w:t xml:space="preserve">που </w:t>
            </w:r>
            <w:r w:rsidRPr="007450D2">
              <w:rPr>
                <w:rFonts w:cs="Calibri"/>
                <w:bCs/>
                <w:color w:val="000000" w:themeColor="text1"/>
                <w:sz w:val="18"/>
                <w:szCs w:val="18"/>
              </w:rPr>
              <w:t xml:space="preserve">θα καλύπτει </w:t>
            </w:r>
            <w:r w:rsidR="00272C80">
              <w:rPr>
                <w:rFonts w:cs="Calibri"/>
                <w:bCs/>
                <w:color w:val="000000" w:themeColor="text1"/>
                <w:sz w:val="18"/>
                <w:szCs w:val="18"/>
              </w:rPr>
              <w:t>τόσο</w:t>
            </w:r>
            <w:r w:rsidRPr="007450D2">
              <w:rPr>
                <w:rFonts w:cs="Calibri"/>
                <w:bCs/>
                <w:color w:val="000000" w:themeColor="text1"/>
                <w:sz w:val="18"/>
                <w:szCs w:val="18"/>
              </w:rPr>
              <w:t xml:space="preserve"> εξυπηρετούμενα </w:t>
            </w:r>
            <w:r w:rsidR="00272C80">
              <w:rPr>
                <w:rFonts w:cs="Calibri"/>
                <w:bCs/>
                <w:color w:val="000000" w:themeColor="text1"/>
                <w:sz w:val="18"/>
                <w:szCs w:val="18"/>
              </w:rPr>
              <w:t>όσο και</w:t>
            </w:r>
            <w:r w:rsidRPr="007450D2">
              <w:rPr>
                <w:rFonts w:cs="Calibri"/>
                <w:bCs/>
                <w:color w:val="000000" w:themeColor="text1"/>
                <w:sz w:val="18"/>
                <w:szCs w:val="18"/>
              </w:rPr>
              <w:t xml:space="preserve"> μη εξυπηρετούμενα δάνεια που έχουν </w:t>
            </w:r>
            <w:r w:rsidR="00272C80">
              <w:rPr>
                <w:rFonts w:cs="Calibri"/>
                <w:bCs/>
                <w:color w:val="000000" w:themeColor="text1"/>
                <w:sz w:val="18"/>
                <w:szCs w:val="18"/>
              </w:rPr>
              <w:t>πληγεί</w:t>
            </w:r>
            <w:r w:rsidR="0004223A">
              <w:rPr>
                <w:rFonts w:cs="Calibri"/>
                <w:bCs/>
                <w:color w:val="000000" w:themeColor="text1"/>
                <w:sz w:val="18"/>
                <w:szCs w:val="18"/>
              </w:rPr>
              <w:t xml:space="preserve"> από την κρίση λόγω</w:t>
            </w:r>
            <w:r w:rsidRPr="007450D2">
              <w:rPr>
                <w:rFonts w:cs="Calibri"/>
                <w:bCs/>
                <w:color w:val="000000" w:themeColor="text1"/>
                <w:sz w:val="18"/>
                <w:szCs w:val="18"/>
              </w:rPr>
              <w:t xml:space="preserve"> Covid-19. Το </w:t>
            </w:r>
            <w:r w:rsidR="00272C80">
              <w:rPr>
                <w:rFonts w:cs="Calibri"/>
                <w:bCs/>
                <w:color w:val="000000" w:themeColor="text1"/>
                <w:sz w:val="18"/>
                <w:szCs w:val="18"/>
              </w:rPr>
              <w:t>συνολικό ύψους</w:t>
            </w:r>
            <w:r w:rsidRPr="007450D2">
              <w:rPr>
                <w:rFonts w:cs="Calibri"/>
                <w:bCs/>
                <w:color w:val="000000" w:themeColor="text1"/>
                <w:sz w:val="18"/>
                <w:szCs w:val="18"/>
              </w:rPr>
              <w:t xml:space="preserve"> του προϋπολογισμού</w:t>
            </w:r>
            <w:r w:rsidR="00272C80">
              <w:rPr>
                <w:rFonts w:cs="Calibri"/>
                <w:bCs/>
                <w:color w:val="000000" w:themeColor="text1"/>
                <w:sz w:val="18"/>
                <w:szCs w:val="18"/>
              </w:rPr>
              <w:t xml:space="preserve"> του </w:t>
            </w:r>
            <w:r w:rsidR="0004223A">
              <w:rPr>
                <w:rFonts w:cs="Calibri"/>
                <w:bCs/>
                <w:color w:val="000000" w:themeColor="text1"/>
                <w:sz w:val="18"/>
                <w:szCs w:val="18"/>
              </w:rPr>
              <w:t>π</w:t>
            </w:r>
            <w:r w:rsidR="00272C80">
              <w:rPr>
                <w:rFonts w:cs="Calibri"/>
                <w:bCs/>
                <w:color w:val="000000" w:themeColor="text1"/>
                <w:sz w:val="18"/>
                <w:szCs w:val="18"/>
              </w:rPr>
              <w:t>ρογράμματος</w:t>
            </w:r>
            <w:r w:rsidRPr="007450D2">
              <w:rPr>
                <w:rFonts w:cs="Calibri"/>
                <w:bCs/>
                <w:color w:val="000000" w:themeColor="text1"/>
                <w:sz w:val="18"/>
                <w:szCs w:val="18"/>
              </w:rPr>
              <w:t xml:space="preserve"> θα ανέλθει σε περίπου €1δισ. Όλοι οι επιλέξιμοι δανειολήπτες θα μπορούν να υποβάλλουν αίτηση για το νέο πρόγραμμα από τις αρχές Αυγούστου έως τις 30 Σεπτεμβρίου 2020.</w:t>
            </w:r>
            <w:r w:rsidR="00AC14D9">
              <w:rPr>
                <w:rFonts w:cs="Calibri"/>
                <w:bCs/>
                <w:color w:val="000000" w:themeColor="text1"/>
                <w:sz w:val="18"/>
                <w:szCs w:val="18"/>
              </w:rPr>
              <w:t>Για την Τράπεζα Πειραιώς, το επιλέξιμο χαρτοφυλάκιο εκτιμάται σε €1,2-1,4δισ. από €1,6 δισ.σε αναστολή πληρωμών δόσεων.</w:t>
            </w:r>
          </w:p>
        </w:tc>
      </w:tr>
      <w:tr w:rsidR="00D728DC" w:rsidRPr="00A17FD4" w:rsidTr="00CE6D49">
        <w:trPr>
          <w:trHeight w:val="434"/>
        </w:trPr>
        <w:tc>
          <w:tcPr>
            <w:tcW w:w="1701" w:type="dxa"/>
            <w:tcMar>
              <w:top w:w="57" w:type="dxa"/>
              <w:bottom w:w="57" w:type="dxa"/>
            </w:tcMar>
          </w:tcPr>
          <w:p w:rsidR="00D728DC" w:rsidRPr="008421F2" w:rsidRDefault="00D728DC" w:rsidP="0004223A">
            <w:pPr>
              <w:tabs>
                <w:tab w:val="left" w:pos="8262"/>
              </w:tabs>
              <w:spacing w:after="60"/>
              <w:ind w:left="32" w:right="74"/>
              <w:contextualSpacing/>
              <w:rPr>
                <w:rFonts w:eastAsiaTheme="minorEastAsia" w:cs="Calibri"/>
                <w:i/>
                <w:color w:val="6691AB"/>
                <w:sz w:val="21"/>
                <w:szCs w:val="21"/>
              </w:rPr>
            </w:pPr>
            <w:r w:rsidRPr="00AF0F5A">
              <w:rPr>
                <w:rFonts w:eastAsiaTheme="minorEastAsia" w:cs="Calibri"/>
                <w:i/>
                <w:color w:val="6691AB"/>
                <w:sz w:val="21"/>
                <w:szCs w:val="21"/>
              </w:rPr>
              <w:t>Τεχνολογία &amp;</w:t>
            </w:r>
            <w:r w:rsidR="0004223A">
              <w:rPr>
                <w:rFonts w:eastAsiaTheme="minorEastAsia" w:cs="Calibri"/>
                <w:i/>
                <w:color w:val="6691AB"/>
                <w:sz w:val="21"/>
                <w:szCs w:val="21"/>
              </w:rPr>
              <w:t>ψ</w:t>
            </w:r>
            <w:r w:rsidRPr="00AF0F5A">
              <w:rPr>
                <w:rFonts w:eastAsiaTheme="minorEastAsia" w:cs="Calibri"/>
                <w:i/>
                <w:color w:val="6691AB"/>
                <w:sz w:val="21"/>
                <w:szCs w:val="21"/>
              </w:rPr>
              <w:t xml:space="preserve">ηφιακή </w:t>
            </w:r>
            <w:r w:rsidR="0004223A">
              <w:rPr>
                <w:rFonts w:eastAsiaTheme="minorEastAsia" w:cs="Calibri"/>
                <w:i/>
                <w:color w:val="6691AB"/>
                <w:sz w:val="21"/>
                <w:szCs w:val="21"/>
              </w:rPr>
              <w:t>τ</w:t>
            </w:r>
            <w:r w:rsidRPr="00AF0F5A">
              <w:rPr>
                <w:rFonts w:eastAsiaTheme="minorEastAsia" w:cs="Calibri"/>
                <w:i/>
                <w:color w:val="6691AB"/>
                <w:sz w:val="21"/>
                <w:szCs w:val="21"/>
              </w:rPr>
              <w:t>ραπεζική</w:t>
            </w:r>
          </w:p>
        </w:tc>
        <w:tc>
          <w:tcPr>
            <w:tcW w:w="6946" w:type="dxa"/>
            <w:tcMar>
              <w:top w:w="57" w:type="dxa"/>
              <w:bottom w:w="57" w:type="dxa"/>
            </w:tcMar>
          </w:tcPr>
          <w:p w:rsidR="00D728DC" w:rsidRPr="00864AE0" w:rsidRDefault="00D728DC" w:rsidP="00272C80">
            <w:pPr>
              <w:jc w:val="both"/>
              <w:rPr>
                <w:rFonts w:cs="Calibri"/>
                <w:sz w:val="18"/>
                <w:szCs w:val="18"/>
              </w:rPr>
            </w:pPr>
            <w:r w:rsidRPr="00255132">
              <w:rPr>
                <w:rFonts w:cs="Calibri"/>
                <w:sz w:val="18"/>
                <w:szCs w:val="18"/>
              </w:rPr>
              <w:t xml:space="preserve">Οι πελάτες </w:t>
            </w:r>
            <w:r>
              <w:rPr>
                <w:rFonts w:cs="Calibri"/>
                <w:sz w:val="18"/>
                <w:szCs w:val="18"/>
              </w:rPr>
              <w:t xml:space="preserve">στηρίζουν </w:t>
            </w:r>
            <w:r w:rsidRPr="00255132">
              <w:rPr>
                <w:rFonts w:cs="Calibri"/>
                <w:sz w:val="18"/>
                <w:szCs w:val="18"/>
              </w:rPr>
              <w:t xml:space="preserve">και επωφελούνται από λύσεις που παρέχονται από τις ψηφιακές </w:t>
            </w:r>
            <w:r>
              <w:rPr>
                <w:rFonts w:cs="Calibri"/>
                <w:sz w:val="18"/>
                <w:szCs w:val="18"/>
              </w:rPr>
              <w:t>υπηρεσίες</w:t>
            </w:r>
            <w:r w:rsidRPr="00255132">
              <w:rPr>
                <w:rFonts w:cs="Calibri"/>
                <w:sz w:val="18"/>
                <w:szCs w:val="18"/>
              </w:rPr>
              <w:t xml:space="preserve"> της Τράπεζας. </w:t>
            </w:r>
            <w:r>
              <w:rPr>
                <w:rFonts w:cs="Calibri"/>
                <w:sz w:val="18"/>
                <w:szCs w:val="18"/>
              </w:rPr>
              <w:t>Συνεχίζεται η καταγραφή ιστορικά υψηλού αριθμού νέων εγγραφών</w:t>
            </w:r>
            <w:r w:rsidR="00272C80">
              <w:rPr>
                <w:rFonts w:cs="Calibri"/>
                <w:sz w:val="18"/>
                <w:szCs w:val="18"/>
              </w:rPr>
              <w:t xml:space="preserve"> πελατών</w:t>
            </w:r>
            <w:r>
              <w:rPr>
                <w:rFonts w:cs="Calibri"/>
                <w:sz w:val="18"/>
                <w:szCs w:val="18"/>
              </w:rPr>
              <w:t xml:space="preserve">, ενώ </w:t>
            </w:r>
            <w:r w:rsidR="00272C80">
              <w:rPr>
                <w:rFonts w:cs="Calibri"/>
                <w:sz w:val="18"/>
                <w:szCs w:val="18"/>
              </w:rPr>
              <w:t xml:space="preserve">οι </w:t>
            </w:r>
            <w:r>
              <w:rPr>
                <w:rFonts w:cs="Calibri"/>
                <w:sz w:val="18"/>
                <w:szCs w:val="18"/>
              </w:rPr>
              <w:t xml:space="preserve">συνολικές ψηφιακές συναλλαγές αυξήθηκαν επίσης. </w:t>
            </w:r>
          </w:p>
        </w:tc>
      </w:tr>
      <w:tr w:rsidR="00D728DC" w:rsidRPr="00FA21B5" w:rsidTr="00CE6D49">
        <w:trPr>
          <w:trHeight w:val="434"/>
        </w:trPr>
        <w:tc>
          <w:tcPr>
            <w:tcW w:w="1701" w:type="dxa"/>
            <w:tcMar>
              <w:top w:w="57" w:type="dxa"/>
              <w:bottom w:w="57" w:type="dxa"/>
            </w:tcMar>
          </w:tcPr>
          <w:p w:rsidR="00D728DC" w:rsidRPr="00FA21B5" w:rsidRDefault="00D728DC" w:rsidP="00CE6D49">
            <w:pPr>
              <w:tabs>
                <w:tab w:val="left" w:pos="8262"/>
              </w:tabs>
              <w:spacing w:after="60"/>
              <w:ind w:left="32" w:right="74"/>
              <w:contextualSpacing/>
              <w:rPr>
                <w:rFonts w:eastAsiaTheme="minorEastAsia" w:cs="Calibri"/>
                <w:i/>
                <w:color w:val="FF0000"/>
                <w:sz w:val="21"/>
                <w:szCs w:val="21"/>
              </w:rPr>
            </w:pPr>
            <w:r w:rsidRPr="009E0CDA">
              <w:rPr>
                <w:rFonts w:eastAsiaTheme="minorEastAsia" w:cs="Calibri"/>
                <w:i/>
                <w:color w:val="6691AB"/>
                <w:sz w:val="21"/>
                <w:szCs w:val="21"/>
              </w:rPr>
              <w:t>Ενέργειες για τη στήριξη της κοινωνίας</w:t>
            </w:r>
          </w:p>
        </w:tc>
        <w:tc>
          <w:tcPr>
            <w:tcW w:w="6946" w:type="dxa"/>
            <w:tcMar>
              <w:top w:w="57" w:type="dxa"/>
              <w:bottom w:w="57" w:type="dxa"/>
            </w:tcMar>
          </w:tcPr>
          <w:p w:rsidR="00D728DC" w:rsidRPr="007512A4" w:rsidRDefault="00D728DC" w:rsidP="00CE6D49">
            <w:pPr>
              <w:jc w:val="both"/>
              <w:rPr>
                <w:rFonts w:cs="Calibri"/>
                <w:sz w:val="18"/>
                <w:szCs w:val="18"/>
              </w:rPr>
            </w:pPr>
            <w:r w:rsidRPr="007512A4">
              <w:rPr>
                <w:rFonts w:cs="Calibri"/>
                <w:sz w:val="18"/>
                <w:szCs w:val="18"/>
              </w:rPr>
              <w:t xml:space="preserve">Η Τράπεζα Πειραιώς προχώρησε στη δωρεά υγειονομικού εξοπλισμού (20 αναπνευστήρες), οι οποίοι επιλέχθηκαν σύμφωνα με τις οδηγίες του Υπουργείου Υγείας.Η Τράπεζα Πειραιώς προέτρεψε επίσης τους πελάτες της για να συμμετάσχουν στη συλλογική προσπάθεια, χρησιμοποιώντας την </w:t>
            </w:r>
            <w:r w:rsidRPr="007512A4">
              <w:rPr>
                <w:rFonts w:cs="Calibri"/>
                <w:sz w:val="18"/>
                <w:szCs w:val="18"/>
                <w:lang w:val="en-US"/>
              </w:rPr>
              <w:t>online</w:t>
            </w:r>
            <w:r w:rsidRPr="007512A4">
              <w:rPr>
                <w:rFonts w:cs="Calibri"/>
                <w:sz w:val="18"/>
                <w:szCs w:val="18"/>
              </w:rPr>
              <w:t xml:space="preserve"> υπηρεσία «</w:t>
            </w:r>
            <w:r w:rsidRPr="007512A4">
              <w:rPr>
                <w:rFonts w:cs="Calibri"/>
                <w:sz w:val="18"/>
                <w:szCs w:val="18"/>
                <w:lang w:val="en-US"/>
              </w:rPr>
              <w:t>Pay</w:t>
            </w:r>
            <w:r w:rsidRPr="007512A4">
              <w:rPr>
                <w:rFonts w:cs="Calibri"/>
                <w:sz w:val="18"/>
                <w:szCs w:val="18"/>
              </w:rPr>
              <w:t>&amp;</w:t>
            </w:r>
            <w:r w:rsidRPr="007512A4">
              <w:rPr>
                <w:rFonts w:cs="Calibri"/>
                <w:sz w:val="18"/>
                <w:szCs w:val="18"/>
                <w:lang w:val="en-US"/>
              </w:rPr>
              <w:t>Save</w:t>
            </w:r>
            <w:r w:rsidRPr="007512A4">
              <w:rPr>
                <w:rFonts w:cs="Calibri"/>
                <w:sz w:val="18"/>
                <w:szCs w:val="18"/>
              </w:rPr>
              <w:t xml:space="preserve">». </w:t>
            </w:r>
            <w:r w:rsidR="0004223A">
              <w:rPr>
                <w:rFonts w:cs="Calibri"/>
                <w:sz w:val="18"/>
                <w:szCs w:val="18"/>
              </w:rPr>
              <w:t>Ο</w:t>
            </w:r>
            <w:r w:rsidRPr="007512A4">
              <w:rPr>
                <w:rFonts w:cs="Calibri"/>
                <w:sz w:val="18"/>
                <w:szCs w:val="18"/>
              </w:rPr>
              <w:t>ι πελάτες εξοικονόμησαν συνολικά €0,4εκατ. και η Τράπεζα προσέφερε το αντίστοιχο ποσό για τις ανάγκες αντιμετώπισης της πανδημίας.Προκειμένου να υποστηρίξει τις ευάλωτες ομάδες, η Τράπεζα Πειραιώς ανακοίνωσε τη διάθεση 26 εξοπλισμένων</w:t>
            </w:r>
            <w:r>
              <w:rPr>
                <w:rFonts w:cs="Calibri"/>
                <w:sz w:val="18"/>
                <w:szCs w:val="18"/>
              </w:rPr>
              <w:t xml:space="preserve"> και λειτουργικών </w:t>
            </w:r>
            <w:r w:rsidRPr="007512A4">
              <w:rPr>
                <w:rFonts w:cs="Calibri"/>
                <w:sz w:val="18"/>
                <w:szCs w:val="18"/>
              </w:rPr>
              <w:t>κατοικιών στην Αττική, τη Θεσσαλονίκη και την Πάτρα για τη φιλοξενία καρκινοπαθών, καθώς και των συγγενών και συνοδών τους, σε συνεργασία με την Ελληνική Ομοσπονδία Καρκίνου, υπό την αιγίδα του Υπουργείου Υγείας.</w:t>
            </w:r>
          </w:p>
          <w:p w:rsidR="00D728DC" w:rsidRPr="00FA21B5" w:rsidRDefault="00D728DC" w:rsidP="00CE6D49">
            <w:pPr>
              <w:pBdr>
                <w:top w:val="nil"/>
                <w:left w:val="nil"/>
                <w:bottom w:val="nil"/>
                <w:right w:val="nil"/>
                <w:between w:val="nil"/>
                <w:bar w:val="nil"/>
              </w:pBdr>
              <w:tabs>
                <w:tab w:val="left" w:pos="8262"/>
              </w:tabs>
              <w:spacing w:after="60"/>
              <w:ind w:right="74"/>
              <w:contextualSpacing/>
              <w:jc w:val="both"/>
              <w:rPr>
                <w:rFonts w:cs="Calibri"/>
                <w:color w:val="FF0000"/>
                <w:sz w:val="18"/>
                <w:szCs w:val="18"/>
              </w:rPr>
            </w:pPr>
          </w:p>
        </w:tc>
      </w:tr>
    </w:tbl>
    <w:p w:rsidR="00D728DC" w:rsidRDefault="00D728DC" w:rsidP="00D728DC">
      <w:r>
        <w:br w:type="page"/>
      </w:r>
    </w:p>
    <w:tbl>
      <w:tblPr>
        <w:tblStyle w:val="TableGrid1"/>
        <w:tblpPr w:leftFromText="180" w:rightFromText="180" w:vertAnchor="text" w:horzAnchor="margin" w:tblpX="-567" w:tblpY="276"/>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1"/>
        <w:gridCol w:w="6946"/>
      </w:tblGrid>
      <w:tr w:rsidR="00D728DC" w:rsidRPr="009E0CDA" w:rsidTr="00CE6D49">
        <w:trPr>
          <w:trHeight w:val="434"/>
        </w:trPr>
        <w:tc>
          <w:tcPr>
            <w:tcW w:w="1701" w:type="dxa"/>
            <w:tcMar>
              <w:top w:w="57" w:type="dxa"/>
              <w:bottom w:w="57" w:type="dxa"/>
            </w:tcMar>
          </w:tcPr>
          <w:p w:rsidR="00D728DC" w:rsidRPr="009E0CDA" w:rsidRDefault="00D728DC" w:rsidP="00CE6D49">
            <w:pPr>
              <w:tabs>
                <w:tab w:val="left" w:pos="8262"/>
              </w:tabs>
              <w:spacing w:after="60"/>
              <w:ind w:left="32" w:right="74"/>
              <w:contextualSpacing/>
              <w:rPr>
                <w:rFonts w:eastAsiaTheme="minorEastAsia" w:cs="Calibri"/>
                <w:i/>
                <w:color w:val="6691AB"/>
                <w:sz w:val="21"/>
                <w:szCs w:val="21"/>
              </w:rPr>
            </w:pPr>
            <w:r w:rsidRPr="008056AD">
              <w:rPr>
                <w:rFonts w:eastAsiaTheme="minorEastAsia" w:cs="Calibri"/>
                <w:i/>
                <w:color w:val="6691AB"/>
                <w:sz w:val="21"/>
                <w:szCs w:val="21"/>
                <w:lang w:val="en-US"/>
              </w:rPr>
              <w:lastRenderedPageBreak/>
              <w:t>Εργαζόμενοι</w:t>
            </w:r>
          </w:p>
        </w:tc>
        <w:tc>
          <w:tcPr>
            <w:tcW w:w="6946" w:type="dxa"/>
            <w:tcMar>
              <w:top w:w="57" w:type="dxa"/>
              <w:bottom w:w="57" w:type="dxa"/>
            </w:tcMar>
          </w:tcPr>
          <w:p w:rsidR="00D728DC" w:rsidRPr="007512A4" w:rsidRDefault="00D728DC" w:rsidP="00CE6D49">
            <w:pPr>
              <w:jc w:val="both"/>
              <w:rPr>
                <w:rFonts w:cs="Calibri"/>
                <w:sz w:val="18"/>
                <w:szCs w:val="18"/>
              </w:rPr>
            </w:pPr>
            <w:r w:rsidRPr="007512A4">
              <w:rPr>
                <w:rFonts w:cs="Calibri"/>
                <w:sz w:val="18"/>
                <w:szCs w:val="18"/>
              </w:rPr>
              <w:t>Η Τράπεζα Πειραιώς είναι σε στενή συνεργασία με τις αρμόδιες αρχές και υιοθετεί καθορισμένα πρωτόκολλα, εφαρμόζοντας όλα τα απαραίτητα μέτρα τα οποία προτείνονται για την πρόληψη και την προστασία των εργαζόμενων της, θέτοντας ως πρωταρχικό στόχο την υγεία και την ασφάλειά του. Το πρόγραμμα για τη σταδιακή επιστροφή στο χώρο εργασίας είναι ευθυγραμμισμένο με επιστημονικά δεδομένα και τις κατευθύνσεις που έχουν δοθεί. Σε όλες τις περιπτώσεις, οι προτεινόμενες αποστάσεις ασφαλείας έχουν υιοθετηθεί, ενώ δράσεις και μέτρα έχουν καθοριστεί με σκοπό την διαχείριση της επισκεψιμότητας των πελατών στο δίκτυο καταστημάτων. Επιπλέον, έχουν υιοθετηθεί ψηφιακά μέσα επικοινωνίας και αποτελεσματικές πρακτικές εργασίας εξ αποστάσεως, οι οποίες συμβάλουν ενεργά στη διατήρηση της επιχειρησιακής συνέχειας της Τράπεζας εν μέσω της κρίσης.Αποτελεσματικές πρακτικές αναπτύσσονται για εργασία από το σπίτι</w:t>
            </w:r>
            <w:r>
              <w:rPr>
                <w:rFonts w:cs="Calibri"/>
                <w:sz w:val="18"/>
                <w:szCs w:val="18"/>
              </w:rPr>
              <w:t xml:space="preserve">,τις οποίεςκάνει χρήση </w:t>
            </w:r>
            <w:r w:rsidRPr="007512A4">
              <w:rPr>
                <w:rFonts w:cs="Calibri"/>
                <w:sz w:val="18"/>
                <w:szCs w:val="18"/>
              </w:rPr>
              <w:t>περίπου το 1</w:t>
            </w:r>
            <w:r>
              <w:rPr>
                <w:rFonts w:cs="Calibri"/>
                <w:sz w:val="18"/>
                <w:szCs w:val="18"/>
              </w:rPr>
              <w:t>5</w:t>
            </w:r>
            <w:r w:rsidRPr="007512A4">
              <w:rPr>
                <w:rFonts w:cs="Calibri"/>
                <w:sz w:val="18"/>
                <w:szCs w:val="18"/>
              </w:rPr>
              <w:t xml:space="preserve">% του συνολικού εργατικού δυναμικού, στοχεύοντας </w:t>
            </w:r>
            <w:r>
              <w:rPr>
                <w:rFonts w:cs="Calibri"/>
                <w:sz w:val="18"/>
                <w:szCs w:val="18"/>
              </w:rPr>
              <w:t>σ</w:t>
            </w:r>
            <w:r w:rsidRPr="007512A4">
              <w:rPr>
                <w:rFonts w:cs="Calibri"/>
                <w:sz w:val="18"/>
                <w:szCs w:val="18"/>
              </w:rPr>
              <w:t xml:space="preserve">την επίτευξη της υψηλής απόδοσης και </w:t>
            </w:r>
            <w:r>
              <w:rPr>
                <w:rFonts w:cs="Calibri"/>
                <w:sz w:val="18"/>
                <w:szCs w:val="18"/>
              </w:rPr>
              <w:t xml:space="preserve">της </w:t>
            </w:r>
            <w:r w:rsidRPr="007512A4">
              <w:rPr>
                <w:rFonts w:cs="Calibri"/>
                <w:sz w:val="18"/>
                <w:szCs w:val="18"/>
              </w:rPr>
              <w:t>υπευθυνότητα</w:t>
            </w:r>
            <w:r>
              <w:rPr>
                <w:rFonts w:cs="Calibri"/>
                <w:sz w:val="18"/>
                <w:szCs w:val="18"/>
              </w:rPr>
              <w:t>ς</w:t>
            </w:r>
            <w:r w:rsidRPr="007512A4">
              <w:rPr>
                <w:rFonts w:cs="Calibri"/>
                <w:sz w:val="18"/>
                <w:szCs w:val="18"/>
              </w:rPr>
              <w:t xml:space="preserve"> των εργαζομένων.Καινοτόμα κανάλια επικοινωνίας έχουν χρησιμοποιηθεί έτσι ώστε όλοι οι εργαζόμενοι να έχουν πρόσβαση σε πληροφόρηση όλες τις </w:t>
            </w:r>
            <w:r>
              <w:rPr>
                <w:rFonts w:cs="Calibri"/>
                <w:sz w:val="18"/>
                <w:szCs w:val="18"/>
              </w:rPr>
              <w:t>ώρες</w:t>
            </w:r>
            <w:r w:rsidRPr="007512A4">
              <w:rPr>
                <w:rFonts w:cs="Calibri"/>
                <w:sz w:val="18"/>
                <w:szCs w:val="18"/>
              </w:rPr>
              <w:t xml:space="preserve"> (</w:t>
            </w:r>
            <w:r>
              <w:rPr>
                <w:rFonts w:cs="Calibri"/>
                <w:sz w:val="18"/>
                <w:szCs w:val="18"/>
              </w:rPr>
              <w:t xml:space="preserve">πύλη </w:t>
            </w:r>
            <w:r w:rsidRPr="007512A4">
              <w:rPr>
                <w:rFonts w:cs="Calibri"/>
                <w:sz w:val="18"/>
                <w:szCs w:val="18"/>
              </w:rPr>
              <w:t xml:space="preserve">«Connected»).Η ψηφιακή πλατφόρμα </w:t>
            </w:r>
            <w:r w:rsidR="0004223A">
              <w:rPr>
                <w:rFonts w:cs="Calibri"/>
                <w:sz w:val="18"/>
                <w:szCs w:val="18"/>
              </w:rPr>
              <w:t>εκ</w:t>
            </w:r>
            <w:r w:rsidR="0004223A" w:rsidRPr="007512A4">
              <w:rPr>
                <w:rFonts w:cs="Calibri"/>
                <w:sz w:val="18"/>
                <w:szCs w:val="18"/>
              </w:rPr>
              <w:t>μάθησης</w:t>
            </w:r>
            <w:r w:rsidRPr="007512A4">
              <w:rPr>
                <w:rFonts w:cs="Calibri"/>
                <w:sz w:val="18"/>
                <w:szCs w:val="18"/>
              </w:rPr>
              <w:t xml:space="preserve"> της Τράπεζας Πειραιώς αναβαθμί</w:t>
            </w:r>
            <w:r>
              <w:rPr>
                <w:rFonts w:cs="Calibri"/>
                <w:sz w:val="18"/>
                <w:szCs w:val="18"/>
              </w:rPr>
              <w:t>στηκε</w:t>
            </w:r>
            <w:r w:rsidRPr="007512A4">
              <w:rPr>
                <w:rFonts w:cs="Calibri"/>
                <w:sz w:val="18"/>
                <w:szCs w:val="18"/>
              </w:rPr>
              <w:t xml:space="preserve">, χρησιμοποιώντας νέες τεχνολογίες και εξασφαλίζοντας πρόσβαση σε όλους. Το νέο περιβάλλον </w:t>
            </w:r>
            <w:r>
              <w:rPr>
                <w:rFonts w:cs="Calibri"/>
                <w:sz w:val="18"/>
                <w:szCs w:val="18"/>
              </w:rPr>
              <w:t>εκ</w:t>
            </w:r>
            <w:r w:rsidRPr="007512A4">
              <w:rPr>
                <w:rFonts w:cs="Calibri"/>
                <w:sz w:val="18"/>
                <w:szCs w:val="18"/>
              </w:rPr>
              <w:t>μάθησης της Τράπεζας ονομάζεται «UpgreatDigitalPlatform”. Προσφέρει τη δυνατότητα πρόσβασης σε υλικό σχετιζόμενο με επιχειρηματικά θέματα, εκπαιδευτικό οπτικοακουστικό υλικό και δίνει τη δυνατότητα να συμμετ</w:t>
            </w:r>
            <w:r>
              <w:rPr>
                <w:rFonts w:cs="Calibri"/>
                <w:sz w:val="18"/>
                <w:szCs w:val="18"/>
              </w:rPr>
              <w:t>έχουν</w:t>
            </w:r>
            <w:r w:rsidRPr="007512A4">
              <w:rPr>
                <w:rFonts w:cs="Calibri"/>
                <w:sz w:val="18"/>
                <w:szCs w:val="18"/>
              </w:rPr>
              <w:t xml:space="preserve"> οι εργαζόμενοι σε e-learning μαθήματα και σε εικονικές τάξεις για θέματα ασφάλειας, υγείας και ευεξίας στο σπίτι. </w:t>
            </w:r>
          </w:p>
          <w:p w:rsidR="00D728DC" w:rsidRPr="004B5D31" w:rsidRDefault="00D728DC" w:rsidP="00CE6D49">
            <w:pPr>
              <w:tabs>
                <w:tab w:val="left" w:pos="8262"/>
              </w:tabs>
              <w:spacing w:after="60"/>
              <w:ind w:right="74"/>
              <w:contextualSpacing/>
              <w:jc w:val="both"/>
              <w:rPr>
                <w:rFonts w:cs="Calibri"/>
                <w:color w:val="FF0000"/>
                <w:sz w:val="18"/>
                <w:szCs w:val="18"/>
              </w:rPr>
            </w:pPr>
          </w:p>
        </w:tc>
      </w:tr>
    </w:tbl>
    <w:p w:rsidR="005C2FB3" w:rsidRPr="0012559A" w:rsidRDefault="005C2FB3" w:rsidP="005C2FB3">
      <w:pPr>
        <w:shd w:val="clear" w:color="auto" w:fill="FFFFFF" w:themeFill="background1"/>
        <w:tabs>
          <w:tab w:val="left" w:pos="9214"/>
        </w:tabs>
        <w:spacing w:after="40" w:line="300" w:lineRule="exact"/>
        <w:ind w:left="-567" w:right="-425"/>
        <w:rPr>
          <w:rFonts w:eastAsia="Times New Roman" w:cs="Calibri"/>
          <w:b/>
          <w:i/>
          <w:color w:val="3A73AE" w:themeColor="accent1"/>
          <w:sz w:val="27"/>
          <w:szCs w:val="27"/>
        </w:rPr>
      </w:pPr>
    </w:p>
    <w:p w:rsidR="005C2FB3" w:rsidRPr="0012559A" w:rsidRDefault="005C2FB3">
      <w:pPr>
        <w:rPr>
          <w:rFonts w:eastAsia="Times New Roman" w:cs="Calibri"/>
          <w:b/>
          <w:i/>
          <w:color w:val="3A73AE" w:themeColor="accent1"/>
          <w:sz w:val="27"/>
          <w:szCs w:val="27"/>
        </w:rPr>
      </w:pPr>
      <w:r w:rsidRPr="0012559A">
        <w:rPr>
          <w:rFonts w:eastAsia="Times New Roman" w:cs="Calibri"/>
          <w:b/>
          <w:i/>
          <w:color w:val="3A73AE" w:themeColor="accent1"/>
          <w:sz w:val="27"/>
          <w:szCs w:val="27"/>
        </w:rPr>
        <w:br w:type="page"/>
      </w:r>
    </w:p>
    <w:p w:rsidR="00D728DC" w:rsidRDefault="00D728DC" w:rsidP="00D728DC">
      <w:pPr>
        <w:shd w:val="clear" w:color="auto" w:fill="FFFFFF" w:themeFill="background1"/>
        <w:tabs>
          <w:tab w:val="left" w:pos="9214"/>
        </w:tabs>
        <w:spacing w:after="40" w:line="300" w:lineRule="exact"/>
        <w:ind w:left="-426" w:right="-143"/>
        <w:rPr>
          <w:rFonts w:eastAsia="Times New Roman" w:cs="Calibri"/>
          <w:b/>
          <w:i/>
          <w:color w:val="6691AB"/>
          <w:sz w:val="27"/>
          <w:szCs w:val="27"/>
        </w:rPr>
      </w:pPr>
      <w:r w:rsidRPr="00EA2568">
        <w:rPr>
          <w:rFonts w:eastAsia="Times New Roman" w:cs="Calibri"/>
          <w:b/>
          <w:i/>
          <w:color w:val="6691AB"/>
          <w:sz w:val="27"/>
          <w:szCs w:val="27"/>
        </w:rPr>
        <w:lastRenderedPageBreak/>
        <w:t>Νέος Εταιρικός Μετασχηματισμός</w:t>
      </w:r>
    </w:p>
    <w:tbl>
      <w:tblPr>
        <w:tblStyle w:val="TableGrid1"/>
        <w:tblpPr w:leftFromText="180" w:rightFromText="180" w:vertAnchor="text" w:horzAnchor="margin" w:tblpXSpec="center" w:tblpY="620"/>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1"/>
        <w:gridCol w:w="6946"/>
      </w:tblGrid>
      <w:tr w:rsidR="00D728DC" w:rsidRPr="009E0CDA" w:rsidTr="00CE6D49">
        <w:trPr>
          <w:trHeight w:val="434"/>
        </w:trPr>
        <w:tc>
          <w:tcPr>
            <w:tcW w:w="1701" w:type="dxa"/>
            <w:tcMar>
              <w:top w:w="57" w:type="dxa"/>
              <w:bottom w:w="57" w:type="dxa"/>
            </w:tcMar>
          </w:tcPr>
          <w:p w:rsidR="00D728DC" w:rsidRPr="00553271" w:rsidRDefault="00D728DC" w:rsidP="00CE6D49">
            <w:pPr>
              <w:tabs>
                <w:tab w:val="left" w:pos="8262"/>
              </w:tabs>
              <w:spacing w:after="60"/>
              <w:ind w:left="32" w:right="-110"/>
              <w:contextualSpacing/>
              <w:rPr>
                <w:rFonts w:eastAsiaTheme="minorEastAsia" w:cs="Calibri"/>
                <w:i/>
                <w:color w:val="6691AB"/>
                <w:spacing w:val="-2"/>
                <w:sz w:val="21"/>
                <w:szCs w:val="21"/>
              </w:rPr>
            </w:pPr>
            <w:r w:rsidRPr="00553271">
              <w:rPr>
                <w:rFonts w:eastAsiaTheme="minorEastAsia" w:cs="Calibri"/>
                <w:i/>
                <w:color w:val="6691AB"/>
                <w:spacing w:val="-2"/>
                <w:sz w:val="21"/>
                <w:szCs w:val="21"/>
              </w:rPr>
              <w:t>Κατάρτιση νέου σχεδίου μετασχηματισμού κ</w:t>
            </w:r>
            <w:r w:rsidR="0004223A">
              <w:rPr>
                <w:rFonts w:eastAsiaTheme="minorEastAsia" w:cs="Calibri"/>
                <w:i/>
                <w:color w:val="6691AB"/>
                <w:spacing w:val="-2"/>
                <w:sz w:val="21"/>
                <w:szCs w:val="21"/>
              </w:rPr>
              <w:t>α</w:t>
            </w:r>
            <w:r w:rsidRPr="00553271">
              <w:rPr>
                <w:rFonts w:eastAsiaTheme="minorEastAsia" w:cs="Calibri"/>
                <w:i/>
                <w:color w:val="6691AB"/>
                <w:spacing w:val="-2"/>
                <w:sz w:val="21"/>
                <w:szCs w:val="21"/>
              </w:rPr>
              <w:t>ι έναρξη εφαρμογής του</w:t>
            </w:r>
          </w:p>
        </w:tc>
        <w:tc>
          <w:tcPr>
            <w:tcW w:w="6946" w:type="dxa"/>
            <w:tcMar>
              <w:top w:w="57" w:type="dxa"/>
              <w:bottom w:w="57" w:type="dxa"/>
            </w:tcMar>
          </w:tcPr>
          <w:p w:rsidR="00D728DC" w:rsidRPr="00B970CA" w:rsidRDefault="00D728DC" w:rsidP="00CE6D49">
            <w:pPr>
              <w:spacing w:after="160" w:line="259" w:lineRule="auto"/>
              <w:jc w:val="both"/>
              <w:rPr>
                <w:rFonts w:cs="Calibri"/>
                <w:sz w:val="18"/>
                <w:szCs w:val="18"/>
              </w:rPr>
            </w:pPr>
            <w:r w:rsidRPr="00B970CA">
              <w:rPr>
                <w:rFonts w:cs="Calibri"/>
                <w:sz w:val="18"/>
                <w:szCs w:val="18"/>
              </w:rPr>
              <w:t>Η Τράπεζα Πειραιώς, αξιοποιώντας την πρόοδο της περιόδου 2017-2019, ολοκλήρωσε τον Ιούλιο 2020 τη φάση κατάρτισης του νέου σχεδίου μετασχηματισμού της, ξεκινώντας την εφαρμογή του</w:t>
            </w:r>
            <w:r>
              <w:rPr>
                <w:rFonts w:cs="Calibri"/>
                <w:sz w:val="18"/>
                <w:szCs w:val="18"/>
              </w:rPr>
              <w:t xml:space="preserve"> για</w:t>
            </w:r>
            <w:r w:rsidRPr="00B970CA">
              <w:rPr>
                <w:rFonts w:cs="Calibri"/>
                <w:sz w:val="18"/>
                <w:szCs w:val="18"/>
              </w:rPr>
              <w:t xml:space="preserve"> τα επόμενα 3-5 χρόνια. Οι βασικοί στόχοι του σχεδίου είναι:</w:t>
            </w:r>
          </w:p>
          <w:p w:rsidR="00D728DC" w:rsidRPr="0000782E" w:rsidRDefault="002C30AD" w:rsidP="00CE6D49">
            <w:pPr>
              <w:numPr>
                <w:ilvl w:val="0"/>
                <w:numId w:val="33"/>
              </w:numPr>
              <w:spacing w:after="120" w:line="240" w:lineRule="exact"/>
              <w:ind w:left="322" w:right="39" w:hanging="284"/>
              <w:contextualSpacing/>
              <w:jc w:val="both"/>
              <w:rPr>
                <w:rFonts w:ascii="Calibri" w:eastAsia="Calibri" w:hAnsi="Calibri" w:cs="Calibri"/>
                <w:sz w:val="18"/>
                <w:szCs w:val="18"/>
              </w:rPr>
            </w:pPr>
            <w:r>
              <w:rPr>
                <w:rFonts w:ascii="Calibri" w:eastAsia="Times New Roman" w:hAnsi="Calibri" w:cs="Times New Roman"/>
                <w:sz w:val="18"/>
                <w:szCs w:val="20"/>
              </w:rPr>
              <w:t>η α</w:t>
            </w:r>
            <w:r w:rsidR="00D728DC">
              <w:rPr>
                <w:rFonts w:ascii="Calibri" w:eastAsia="Times New Roman" w:hAnsi="Calibri" w:cs="Times New Roman"/>
                <w:sz w:val="18"/>
                <w:szCs w:val="20"/>
              </w:rPr>
              <w:t>ναβάθμισητ</w:t>
            </w:r>
            <w:r w:rsidR="00D728DC" w:rsidRPr="0000782E">
              <w:rPr>
                <w:rFonts w:ascii="Calibri" w:eastAsia="Times New Roman" w:hAnsi="Calibri" w:cs="Times New Roman"/>
                <w:sz w:val="18"/>
                <w:szCs w:val="20"/>
              </w:rPr>
              <w:t>η</w:t>
            </w:r>
            <w:r w:rsidR="00D728DC">
              <w:rPr>
                <w:rFonts w:ascii="Calibri" w:eastAsia="Times New Roman" w:hAnsi="Calibri" w:cs="Times New Roman"/>
                <w:sz w:val="18"/>
                <w:szCs w:val="20"/>
              </w:rPr>
              <w:t>ς</w:t>
            </w:r>
            <w:r w:rsidR="00D728DC" w:rsidRPr="0000782E">
              <w:rPr>
                <w:rFonts w:ascii="Calibri" w:eastAsia="Times New Roman" w:hAnsi="Calibri" w:cs="Times New Roman"/>
                <w:sz w:val="18"/>
                <w:szCs w:val="20"/>
              </w:rPr>
              <w:t xml:space="preserve"> εμπορική</w:t>
            </w:r>
            <w:r w:rsidR="00D728DC">
              <w:rPr>
                <w:rFonts w:ascii="Calibri" w:eastAsia="Times New Roman" w:hAnsi="Calibri" w:cs="Times New Roman"/>
                <w:sz w:val="18"/>
                <w:szCs w:val="20"/>
              </w:rPr>
              <w:t>ς</w:t>
            </w:r>
            <w:r w:rsidR="0004223A">
              <w:rPr>
                <w:rFonts w:ascii="Calibri" w:eastAsia="Times New Roman" w:hAnsi="Calibri" w:cs="Times New Roman"/>
                <w:sz w:val="18"/>
                <w:szCs w:val="20"/>
              </w:rPr>
              <w:t>πλατφόρμας</w:t>
            </w:r>
            <w:r w:rsidR="00D728DC" w:rsidRPr="0000782E">
              <w:rPr>
                <w:rFonts w:ascii="Calibri" w:eastAsia="Times New Roman" w:hAnsi="Calibri" w:cs="Times New Roman"/>
                <w:sz w:val="18"/>
                <w:szCs w:val="20"/>
              </w:rPr>
              <w:t xml:space="preserve"> της Τράπεζας, ενισχύοντας τις νέες τραπεζικ</w:t>
            </w:r>
            <w:r w:rsidR="00D728DC">
              <w:rPr>
                <w:rFonts w:ascii="Calibri" w:eastAsia="Times New Roman" w:hAnsi="Calibri" w:cs="Times New Roman"/>
                <w:sz w:val="18"/>
                <w:szCs w:val="20"/>
              </w:rPr>
              <w:t>ές</w:t>
            </w:r>
            <w:r w:rsidR="00D728DC" w:rsidRPr="0000782E">
              <w:rPr>
                <w:rFonts w:ascii="Calibri" w:eastAsia="Times New Roman" w:hAnsi="Calibri" w:cs="Times New Roman"/>
                <w:sz w:val="18"/>
                <w:szCs w:val="20"/>
              </w:rPr>
              <w:t xml:space="preserve"> εργασίες μέσω της παροχής ψηφιακών υπηρεσιών</w:t>
            </w:r>
            <w:r w:rsidR="0004223A">
              <w:rPr>
                <w:rFonts w:ascii="Calibri" w:eastAsia="Times New Roman" w:hAnsi="Calibri" w:cs="Times New Roman"/>
                <w:sz w:val="18"/>
                <w:szCs w:val="20"/>
              </w:rPr>
              <w:t xml:space="preserve"> και προϊόντων</w:t>
            </w:r>
            <w:r w:rsidR="00D728DC" w:rsidRPr="0000782E">
              <w:rPr>
                <w:rFonts w:ascii="Calibri" w:eastAsia="Times New Roman" w:hAnsi="Calibri" w:cs="Times New Roman"/>
                <w:sz w:val="18"/>
                <w:szCs w:val="20"/>
              </w:rPr>
              <w:t xml:space="preserve">, </w:t>
            </w:r>
            <w:r w:rsidR="00D728DC">
              <w:rPr>
                <w:rFonts w:ascii="Calibri" w:eastAsia="Times New Roman" w:hAnsi="Calibri" w:cs="Times New Roman"/>
                <w:sz w:val="18"/>
                <w:szCs w:val="20"/>
              </w:rPr>
              <w:t xml:space="preserve">αξιοποιώντας </w:t>
            </w:r>
            <w:r w:rsidR="00D728DC" w:rsidRPr="0000782E">
              <w:rPr>
                <w:rFonts w:ascii="Calibri" w:eastAsia="Times New Roman" w:hAnsi="Calibri" w:cs="Times New Roman"/>
                <w:sz w:val="18"/>
                <w:szCs w:val="20"/>
              </w:rPr>
              <w:t>πλήρως τις επιχειρήσεις υψηλ</w:t>
            </w:r>
            <w:r w:rsidR="00D728DC">
              <w:rPr>
                <w:rFonts w:ascii="Calibri" w:eastAsia="Times New Roman" w:hAnsi="Calibri" w:cs="Times New Roman"/>
                <w:sz w:val="18"/>
                <w:szCs w:val="20"/>
              </w:rPr>
              <w:t>ής</w:t>
            </w:r>
            <w:r w:rsidR="00D728DC" w:rsidRPr="0000782E">
              <w:rPr>
                <w:rFonts w:ascii="Calibri" w:eastAsia="Times New Roman" w:hAnsi="Calibri" w:cs="Times New Roman"/>
                <w:sz w:val="18"/>
                <w:szCs w:val="20"/>
              </w:rPr>
              <w:t xml:space="preserve"> δυναμικής και προοπτικ</w:t>
            </w:r>
            <w:r w:rsidR="00D728DC">
              <w:rPr>
                <w:rFonts w:ascii="Calibri" w:eastAsia="Times New Roman" w:hAnsi="Calibri" w:cs="Times New Roman"/>
                <w:sz w:val="18"/>
                <w:szCs w:val="20"/>
              </w:rPr>
              <w:t>ής</w:t>
            </w:r>
          </w:p>
          <w:p w:rsidR="00D728DC" w:rsidRPr="0000782E" w:rsidRDefault="0004223A" w:rsidP="00CE6D49">
            <w:pPr>
              <w:numPr>
                <w:ilvl w:val="0"/>
                <w:numId w:val="33"/>
              </w:numPr>
              <w:spacing w:after="120" w:line="240" w:lineRule="exact"/>
              <w:ind w:left="322" w:right="39" w:hanging="284"/>
              <w:contextualSpacing/>
              <w:jc w:val="both"/>
              <w:rPr>
                <w:rFonts w:ascii="Calibri" w:eastAsia="Calibri" w:hAnsi="Calibri" w:cs="Calibri"/>
                <w:sz w:val="18"/>
                <w:szCs w:val="18"/>
              </w:rPr>
            </w:pPr>
            <w:r>
              <w:rPr>
                <w:rFonts w:ascii="Calibri" w:eastAsia="Times New Roman" w:hAnsi="Calibri" w:cs="Times New Roman"/>
                <w:sz w:val="18"/>
                <w:szCs w:val="20"/>
              </w:rPr>
              <w:t xml:space="preserve">η ανάδειξη τηςΤράπεζας </w:t>
            </w:r>
            <w:r w:rsidR="00D728DC" w:rsidRPr="0000782E">
              <w:rPr>
                <w:rFonts w:ascii="Calibri" w:eastAsia="Times New Roman" w:hAnsi="Calibri" w:cs="Times New Roman"/>
                <w:sz w:val="18"/>
                <w:szCs w:val="20"/>
              </w:rPr>
              <w:t xml:space="preserve">Πειραιώς </w:t>
            </w:r>
            <w:r>
              <w:rPr>
                <w:rFonts w:ascii="Calibri" w:eastAsia="Times New Roman" w:hAnsi="Calibri" w:cs="Times New Roman"/>
                <w:sz w:val="18"/>
                <w:szCs w:val="20"/>
              </w:rPr>
              <w:t>σε</w:t>
            </w:r>
            <w:r w:rsidR="00D728DC" w:rsidRPr="0000782E">
              <w:rPr>
                <w:rFonts w:ascii="Calibri" w:eastAsia="Times New Roman" w:hAnsi="Calibri" w:cs="Times New Roman"/>
                <w:sz w:val="18"/>
                <w:szCs w:val="20"/>
              </w:rPr>
              <w:t xml:space="preserve"> τράπεζα πρώτης επιλογής</w:t>
            </w:r>
            <w:r w:rsidR="00D728DC">
              <w:rPr>
                <w:rFonts w:ascii="Calibri" w:eastAsia="Times New Roman" w:hAnsi="Calibri" w:cs="Times New Roman"/>
                <w:sz w:val="18"/>
                <w:szCs w:val="20"/>
              </w:rPr>
              <w:t xml:space="preserve"> των πελατών</w:t>
            </w:r>
            <w:r w:rsidR="00D728DC" w:rsidRPr="0000782E">
              <w:rPr>
                <w:rFonts w:ascii="Calibri" w:eastAsia="Times New Roman" w:hAnsi="Calibri" w:cs="Times New Roman"/>
                <w:sz w:val="18"/>
                <w:szCs w:val="20"/>
              </w:rPr>
              <w:t>, μέσω πελατοκεντρικής, ψηφιακά πρωτοποριακής και στοχευμένης πρότασης για τη δημιουργία αξίας</w:t>
            </w:r>
          </w:p>
          <w:p w:rsidR="00D728DC" w:rsidRPr="00D3573D" w:rsidRDefault="0004223A" w:rsidP="00CE6D49">
            <w:pPr>
              <w:numPr>
                <w:ilvl w:val="0"/>
                <w:numId w:val="33"/>
              </w:numPr>
              <w:spacing w:after="120" w:line="240" w:lineRule="exact"/>
              <w:ind w:left="322" w:right="39" w:hanging="284"/>
              <w:contextualSpacing/>
              <w:jc w:val="both"/>
              <w:rPr>
                <w:rFonts w:ascii="Calibri" w:eastAsia="Calibri" w:hAnsi="Calibri" w:cs="Calibri"/>
                <w:sz w:val="18"/>
                <w:szCs w:val="18"/>
              </w:rPr>
            </w:pPr>
            <w:r>
              <w:rPr>
                <w:rFonts w:ascii="Calibri" w:eastAsia="Times New Roman" w:hAnsi="Calibri" w:cs="Times New Roman"/>
                <w:sz w:val="18"/>
                <w:szCs w:val="20"/>
              </w:rPr>
              <w:t xml:space="preserve">η </w:t>
            </w:r>
            <w:r w:rsidR="00D728DC">
              <w:rPr>
                <w:rFonts w:ascii="Calibri" w:eastAsia="Times New Roman" w:hAnsi="Calibri" w:cs="Times New Roman"/>
                <w:sz w:val="18"/>
                <w:szCs w:val="20"/>
              </w:rPr>
              <w:t>ενίσχυση</w:t>
            </w:r>
            <w:r w:rsidR="00D728DC" w:rsidRPr="00D3573D">
              <w:rPr>
                <w:rFonts w:ascii="Calibri" w:eastAsia="Times New Roman" w:hAnsi="Calibri" w:cs="Times New Roman"/>
                <w:sz w:val="18"/>
                <w:szCs w:val="20"/>
              </w:rPr>
              <w:t xml:space="preserve"> και ενδυν</w:t>
            </w:r>
            <w:r w:rsidR="00D728DC">
              <w:rPr>
                <w:rFonts w:ascii="Calibri" w:eastAsia="Times New Roman" w:hAnsi="Calibri" w:cs="Times New Roman"/>
                <w:sz w:val="18"/>
                <w:szCs w:val="20"/>
              </w:rPr>
              <w:t>άμωση</w:t>
            </w:r>
            <w:r w:rsidR="00D728DC" w:rsidRPr="00D3573D">
              <w:rPr>
                <w:rFonts w:ascii="Calibri" w:eastAsia="Times New Roman" w:hAnsi="Calibri" w:cs="Times New Roman"/>
                <w:sz w:val="18"/>
                <w:szCs w:val="20"/>
              </w:rPr>
              <w:t xml:space="preserve"> το</w:t>
            </w:r>
            <w:r w:rsidR="00D728DC">
              <w:rPr>
                <w:rFonts w:ascii="Calibri" w:eastAsia="Times New Roman" w:hAnsi="Calibri" w:cs="Times New Roman"/>
                <w:sz w:val="18"/>
                <w:szCs w:val="20"/>
              </w:rPr>
              <w:t>υ</w:t>
            </w:r>
            <w:r w:rsidR="00D728DC" w:rsidRPr="00D3573D">
              <w:rPr>
                <w:rFonts w:ascii="Calibri" w:eastAsia="Times New Roman" w:hAnsi="Calibri" w:cs="Times New Roman"/>
                <w:sz w:val="18"/>
                <w:szCs w:val="20"/>
              </w:rPr>
              <w:t xml:space="preserve"> ταλέντο</w:t>
            </w:r>
            <w:r w:rsidR="00D728DC">
              <w:rPr>
                <w:rFonts w:ascii="Calibri" w:eastAsia="Times New Roman" w:hAnsi="Calibri" w:cs="Times New Roman"/>
                <w:sz w:val="18"/>
                <w:szCs w:val="20"/>
              </w:rPr>
              <w:t>υ</w:t>
            </w:r>
            <w:r>
              <w:rPr>
                <w:rFonts w:ascii="Calibri" w:eastAsia="Times New Roman" w:hAnsi="Calibri" w:cs="Times New Roman"/>
                <w:sz w:val="18"/>
                <w:szCs w:val="20"/>
              </w:rPr>
              <w:t xml:space="preserve">εντός </w:t>
            </w:r>
            <w:r w:rsidR="00D728DC" w:rsidRPr="00D3573D">
              <w:rPr>
                <w:rFonts w:ascii="Calibri" w:eastAsia="Times New Roman" w:hAnsi="Calibri" w:cs="Times New Roman"/>
                <w:sz w:val="18"/>
                <w:szCs w:val="20"/>
              </w:rPr>
              <w:t>της Τράπεζας μέσω αποτελεσματικού προφίλ στελέχωσης</w:t>
            </w:r>
            <w:r>
              <w:rPr>
                <w:rFonts w:ascii="Calibri" w:eastAsia="Times New Roman" w:hAnsi="Calibri" w:cs="Times New Roman"/>
                <w:sz w:val="18"/>
                <w:szCs w:val="20"/>
              </w:rPr>
              <w:t xml:space="preserve"> για το ανθρώπινο δυναμικό </w:t>
            </w:r>
          </w:p>
          <w:p w:rsidR="00D728DC" w:rsidRPr="00B970CA" w:rsidRDefault="0004223A" w:rsidP="00CE6D49">
            <w:pPr>
              <w:numPr>
                <w:ilvl w:val="0"/>
                <w:numId w:val="33"/>
              </w:numPr>
              <w:spacing w:after="120" w:line="240" w:lineRule="exact"/>
              <w:ind w:left="322" w:right="39" w:hanging="284"/>
              <w:contextualSpacing/>
              <w:jc w:val="both"/>
              <w:rPr>
                <w:rFonts w:ascii="Calibri" w:eastAsia="Calibri" w:hAnsi="Calibri" w:cs="Calibri"/>
                <w:sz w:val="18"/>
                <w:szCs w:val="18"/>
              </w:rPr>
            </w:pPr>
            <w:r>
              <w:rPr>
                <w:rFonts w:ascii="Calibri" w:eastAsia="Calibri" w:hAnsi="Calibri" w:cs="Calibri"/>
                <w:sz w:val="18"/>
                <w:szCs w:val="18"/>
              </w:rPr>
              <w:t xml:space="preserve">η </w:t>
            </w:r>
            <w:r w:rsidR="00D728DC">
              <w:rPr>
                <w:rFonts w:ascii="Calibri" w:eastAsia="Calibri" w:hAnsi="Calibri" w:cs="Calibri"/>
                <w:sz w:val="18"/>
                <w:szCs w:val="18"/>
              </w:rPr>
              <w:t>προώθηση</w:t>
            </w:r>
            <w:r w:rsidR="00D728DC" w:rsidRPr="0000782E">
              <w:rPr>
                <w:rFonts w:ascii="Calibri" w:eastAsia="Times New Roman" w:hAnsi="Calibri" w:cs="Times New Roman"/>
                <w:sz w:val="18"/>
                <w:szCs w:val="20"/>
              </w:rPr>
              <w:t>απλοποίηση</w:t>
            </w:r>
            <w:r w:rsidR="00D728DC">
              <w:rPr>
                <w:rFonts w:ascii="Calibri" w:eastAsia="Times New Roman" w:hAnsi="Calibri" w:cs="Times New Roman"/>
                <w:sz w:val="18"/>
                <w:szCs w:val="20"/>
              </w:rPr>
              <w:t>ς</w:t>
            </w:r>
            <w:r w:rsidR="00D728DC" w:rsidRPr="0000782E">
              <w:rPr>
                <w:rFonts w:ascii="Calibri" w:eastAsia="Times New Roman" w:hAnsi="Calibri" w:cs="Times New Roman"/>
                <w:sz w:val="18"/>
                <w:szCs w:val="20"/>
              </w:rPr>
              <w:t xml:space="preserve"> και  αυτοματισμ</w:t>
            </w:r>
            <w:r>
              <w:rPr>
                <w:rFonts w:ascii="Calibri" w:eastAsia="Times New Roman" w:hAnsi="Calibri" w:cs="Times New Roman"/>
                <w:sz w:val="18"/>
                <w:szCs w:val="20"/>
              </w:rPr>
              <w:t>ών</w:t>
            </w:r>
            <w:r w:rsidR="00D728DC" w:rsidRPr="0000782E">
              <w:rPr>
                <w:rFonts w:ascii="Calibri" w:eastAsia="Times New Roman" w:hAnsi="Calibri" w:cs="Times New Roman"/>
                <w:sz w:val="18"/>
                <w:szCs w:val="20"/>
              </w:rPr>
              <w:t xml:space="preserve"> σε όλους τους τομείς για την επίτευξη εξοικονόμησης κόστους εξυπηρέτησης και απελευθέρωσης πόρων, ώστε να δοθεί έμφαση στις εμπορικές δραστηριότητες</w:t>
            </w:r>
            <w:r>
              <w:rPr>
                <w:rFonts w:ascii="Calibri" w:eastAsia="Times New Roman" w:hAnsi="Calibri" w:cs="Times New Roman"/>
                <w:sz w:val="18"/>
                <w:szCs w:val="20"/>
              </w:rPr>
              <w:t>.</w:t>
            </w:r>
          </w:p>
          <w:p w:rsidR="00D728DC" w:rsidRPr="00B970CA" w:rsidRDefault="00D728DC" w:rsidP="00CE6D49">
            <w:pPr>
              <w:spacing w:after="120" w:line="240" w:lineRule="exact"/>
              <w:ind w:left="598" w:right="-143"/>
              <w:contextualSpacing/>
              <w:jc w:val="both"/>
              <w:rPr>
                <w:rFonts w:ascii="Calibri" w:eastAsia="Calibri" w:hAnsi="Calibri" w:cs="Calibri"/>
                <w:sz w:val="18"/>
                <w:szCs w:val="18"/>
              </w:rPr>
            </w:pPr>
          </w:p>
          <w:p w:rsidR="00D728DC" w:rsidRDefault="00D728DC" w:rsidP="00CE6D49">
            <w:pPr>
              <w:spacing w:after="120" w:line="240" w:lineRule="exact"/>
              <w:ind w:right="39"/>
              <w:contextualSpacing/>
              <w:jc w:val="both"/>
              <w:rPr>
                <w:rFonts w:ascii="Calibri" w:eastAsia="Calibri" w:hAnsi="Calibri" w:cs="Calibri"/>
                <w:sz w:val="18"/>
                <w:szCs w:val="18"/>
              </w:rPr>
            </w:pPr>
            <w:r w:rsidRPr="0000782E">
              <w:rPr>
                <w:rFonts w:ascii="Calibri" w:eastAsia="Calibri" w:hAnsi="Calibri" w:cs="Calibri"/>
                <w:sz w:val="18"/>
                <w:szCs w:val="18"/>
              </w:rPr>
              <w:t xml:space="preserve">Οι μεσοπρόθεσμες προσδοκίες της Τράπεζας Πειραιώς </w:t>
            </w:r>
            <w:r>
              <w:rPr>
                <w:rFonts w:ascii="Calibri" w:eastAsia="Calibri" w:hAnsi="Calibri" w:cs="Calibri"/>
                <w:sz w:val="18"/>
                <w:szCs w:val="18"/>
              </w:rPr>
              <w:t xml:space="preserve">στοχεύουν σε </w:t>
            </w:r>
            <w:r w:rsidR="0004223A">
              <w:rPr>
                <w:rFonts w:ascii="Calibri" w:eastAsia="Calibri" w:hAnsi="Calibri" w:cs="Calibri"/>
                <w:sz w:val="18"/>
                <w:szCs w:val="18"/>
              </w:rPr>
              <w:t>μια</w:t>
            </w:r>
            <w:r w:rsidR="002C30AD">
              <w:rPr>
                <w:rFonts w:ascii="Calibri" w:eastAsia="Calibri" w:hAnsi="Calibri" w:cs="Calibri"/>
                <w:sz w:val="18"/>
                <w:szCs w:val="18"/>
              </w:rPr>
              <w:t>τ</w:t>
            </w:r>
            <w:r>
              <w:rPr>
                <w:rFonts w:ascii="Calibri" w:eastAsia="Calibri" w:hAnsi="Calibri" w:cs="Calibri"/>
                <w:sz w:val="18"/>
                <w:szCs w:val="18"/>
              </w:rPr>
              <w:t>ράπεζα:</w:t>
            </w:r>
          </w:p>
          <w:p w:rsidR="00D728DC" w:rsidRPr="0000782E" w:rsidRDefault="00D728DC" w:rsidP="00CE6D49">
            <w:pPr>
              <w:spacing w:after="120" w:line="240" w:lineRule="exact"/>
              <w:ind w:right="-143"/>
              <w:contextualSpacing/>
              <w:jc w:val="both"/>
              <w:rPr>
                <w:rFonts w:ascii="Calibri" w:eastAsia="Calibri" w:hAnsi="Calibri" w:cs="Calibri"/>
                <w:sz w:val="18"/>
                <w:szCs w:val="18"/>
              </w:rPr>
            </w:pPr>
          </w:p>
          <w:p w:rsidR="00D728DC" w:rsidRPr="0000782E" w:rsidRDefault="0004223A" w:rsidP="00CE6D49">
            <w:pPr>
              <w:numPr>
                <w:ilvl w:val="0"/>
                <w:numId w:val="33"/>
              </w:numPr>
              <w:spacing w:after="120" w:line="240" w:lineRule="exact"/>
              <w:ind w:left="318" w:hanging="284"/>
              <w:contextualSpacing/>
              <w:jc w:val="both"/>
              <w:rPr>
                <w:rFonts w:ascii="Calibri" w:eastAsia="Calibri" w:hAnsi="Calibri" w:cs="Calibri"/>
                <w:sz w:val="18"/>
                <w:szCs w:val="18"/>
              </w:rPr>
            </w:pPr>
            <w:r>
              <w:rPr>
                <w:rFonts w:ascii="Calibri" w:eastAsia="Calibri" w:hAnsi="Calibri" w:cs="Calibri"/>
                <w:sz w:val="18"/>
                <w:szCs w:val="18"/>
              </w:rPr>
              <w:t>μ</w:t>
            </w:r>
            <w:r w:rsidR="00D728DC">
              <w:rPr>
                <w:rFonts w:ascii="Calibri" w:eastAsia="Calibri" w:hAnsi="Calibri" w:cs="Calibri"/>
                <w:sz w:val="18"/>
                <w:szCs w:val="18"/>
              </w:rPr>
              <w:t xml:space="preserve">ε </w:t>
            </w:r>
            <w:r w:rsidR="00A53C46">
              <w:rPr>
                <w:rFonts w:ascii="Calibri" w:eastAsia="Calibri" w:hAnsi="Calibri" w:cs="Calibri"/>
                <w:sz w:val="18"/>
                <w:szCs w:val="18"/>
              </w:rPr>
              <w:t xml:space="preserve">αποτελεσματική </w:t>
            </w:r>
            <w:r w:rsidR="00D728DC">
              <w:rPr>
                <w:rFonts w:ascii="Calibri" w:eastAsia="Calibri" w:hAnsi="Calibri" w:cs="Calibri"/>
                <w:sz w:val="18"/>
                <w:szCs w:val="18"/>
              </w:rPr>
              <w:t>δομή</w:t>
            </w:r>
            <w:r>
              <w:rPr>
                <w:rFonts w:ascii="Calibri" w:eastAsia="Calibri" w:hAnsi="Calibri" w:cs="Calibri"/>
                <w:sz w:val="18"/>
                <w:szCs w:val="18"/>
              </w:rPr>
              <w:t xml:space="preserve"> και</w:t>
            </w:r>
            <w:r w:rsidR="00D728DC" w:rsidRPr="0000782E">
              <w:rPr>
                <w:rFonts w:ascii="Calibri" w:eastAsia="Calibri" w:hAnsi="Calibri" w:cs="Calibri"/>
                <w:sz w:val="18"/>
                <w:szCs w:val="18"/>
              </w:rPr>
              <w:t xml:space="preserve"> με μείωση του λειτουργικού κόστους κατά 20%</w:t>
            </w:r>
            <w:r>
              <w:rPr>
                <w:rFonts w:ascii="Calibri" w:eastAsia="Calibri" w:hAnsi="Calibri" w:cs="Calibri"/>
                <w:sz w:val="18"/>
                <w:szCs w:val="18"/>
              </w:rPr>
              <w:t xml:space="preserve"> μεσοπρόθεσμα</w:t>
            </w:r>
          </w:p>
          <w:p w:rsidR="00D728DC" w:rsidRPr="0000782E" w:rsidRDefault="0004223A" w:rsidP="00CE6D49">
            <w:pPr>
              <w:numPr>
                <w:ilvl w:val="0"/>
                <w:numId w:val="33"/>
              </w:numPr>
              <w:spacing w:after="120" w:line="240" w:lineRule="exact"/>
              <w:ind w:left="318" w:hanging="284"/>
              <w:contextualSpacing/>
              <w:jc w:val="both"/>
              <w:rPr>
                <w:rFonts w:ascii="Calibri" w:eastAsia="Calibri" w:hAnsi="Calibri" w:cs="Calibri"/>
                <w:sz w:val="18"/>
                <w:szCs w:val="18"/>
              </w:rPr>
            </w:pPr>
            <w:r>
              <w:rPr>
                <w:rFonts w:ascii="Calibri" w:eastAsia="Calibri" w:hAnsi="Calibri" w:cs="Calibri"/>
                <w:sz w:val="18"/>
                <w:szCs w:val="18"/>
              </w:rPr>
              <w:t>ψ</w:t>
            </w:r>
            <w:r w:rsidR="00D728DC" w:rsidRPr="0000782E">
              <w:rPr>
                <w:rFonts w:ascii="Calibri" w:eastAsia="Calibri" w:hAnsi="Calibri" w:cs="Calibri"/>
                <w:sz w:val="18"/>
                <w:szCs w:val="18"/>
              </w:rPr>
              <w:t xml:space="preserve">ηφιακή, με τριπλασιασμό των </w:t>
            </w:r>
            <w:r w:rsidR="00D728DC">
              <w:rPr>
                <w:rFonts w:ascii="Calibri" w:eastAsia="Calibri" w:hAnsi="Calibri" w:cs="Calibri"/>
                <w:sz w:val="18"/>
                <w:szCs w:val="18"/>
              </w:rPr>
              <w:t xml:space="preserve">ψηφιακών </w:t>
            </w:r>
            <w:r w:rsidR="00D728DC" w:rsidRPr="0000782E">
              <w:rPr>
                <w:rFonts w:ascii="Calibri" w:eastAsia="Calibri" w:hAnsi="Calibri" w:cs="Calibri"/>
                <w:sz w:val="18"/>
                <w:szCs w:val="18"/>
              </w:rPr>
              <w:t xml:space="preserve">πωλήσεων, σε σύγκριση με τα </w:t>
            </w:r>
            <w:r w:rsidR="00D728DC">
              <w:rPr>
                <w:rFonts w:ascii="Calibri" w:eastAsia="Calibri" w:hAnsi="Calibri" w:cs="Calibri"/>
                <w:sz w:val="18"/>
                <w:szCs w:val="18"/>
              </w:rPr>
              <w:t xml:space="preserve">τρέχοντα </w:t>
            </w:r>
            <w:r w:rsidR="002B061F">
              <w:rPr>
                <w:rFonts w:ascii="Calibri" w:eastAsia="Calibri" w:hAnsi="Calibri" w:cs="Calibri"/>
                <w:sz w:val="18"/>
                <w:szCs w:val="18"/>
              </w:rPr>
              <w:t>επίπεδα</w:t>
            </w:r>
          </w:p>
          <w:p w:rsidR="00D728DC" w:rsidRPr="0000782E" w:rsidRDefault="002B061F" w:rsidP="00CE6D49">
            <w:pPr>
              <w:numPr>
                <w:ilvl w:val="0"/>
                <w:numId w:val="33"/>
              </w:numPr>
              <w:spacing w:after="120" w:line="240" w:lineRule="exact"/>
              <w:ind w:left="318" w:hanging="284"/>
              <w:contextualSpacing/>
              <w:jc w:val="both"/>
              <w:rPr>
                <w:rFonts w:ascii="Calibri" w:eastAsia="Calibri" w:hAnsi="Calibri" w:cs="Calibri"/>
                <w:sz w:val="18"/>
                <w:szCs w:val="18"/>
              </w:rPr>
            </w:pPr>
            <w:r>
              <w:rPr>
                <w:rFonts w:ascii="Calibri" w:eastAsia="Calibri" w:hAnsi="Calibri" w:cs="Calibri"/>
                <w:sz w:val="18"/>
                <w:szCs w:val="18"/>
              </w:rPr>
              <w:t>δ</w:t>
            </w:r>
            <w:r w:rsidR="00D728DC" w:rsidRPr="0000782E">
              <w:rPr>
                <w:rFonts w:ascii="Calibri" w:eastAsia="Calibri" w:hAnsi="Calibri" w:cs="Calibri"/>
                <w:sz w:val="18"/>
                <w:szCs w:val="18"/>
              </w:rPr>
              <w:t xml:space="preserve">ιαφοροποιημένη, με μεταβολή </w:t>
            </w:r>
            <w:r w:rsidR="00D728DC">
              <w:rPr>
                <w:rFonts w:ascii="Calibri" w:eastAsia="Calibri" w:hAnsi="Calibri" w:cs="Calibri"/>
                <w:sz w:val="18"/>
                <w:szCs w:val="18"/>
              </w:rPr>
              <w:t>της αναλογίαςσυνεισφοράς των κ</w:t>
            </w:r>
            <w:r w:rsidR="00D728DC" w:rsidRPr="0000782E">
              <w:rPr>
                <w:rFonts w:ascii="Calibri" w:eastAsia="Calibri" w:hAnsi="Calibri" w:cs="Calibri"/>
                <w:sz w:val="18"/>
                <w:szCs w:val="18"/>
              </w:rPr>
              <w:t xml:space="preserve">αθαρών </w:t>
            </w:r>
            <w:r w:rsidR="00D728DC">
              <w:rPr>
                <w:rFonts w:ascii="Calibri" w:eastAsia="Calibri" w:hAnsi="Calibri" w:cs="Calibri"/>
                <w:sz w:val="18"/>
                <w:szCs w:val="18"/>
              </w:rPr>
              <w:t>ε</w:t>
            </w:r>
            <w:r w:rsidR="00D728DC" w:rsidRPr="0000782E">
              <w:rPr>
                <w:rFonts w:ascii="Calibri" w:eastAsia="Calibri" w:hAnsi="Calibri" w:cs="Calibri"/>
                <w:sz w:val="18"/>
                <w:szCs w:val="18"/>
              </w:rPr>
              <w:t xml:space="preserve">σόδων </w:t>
            </w:r>
            <w:r w:rsidR="00D728DC">
              <w:rPr>
                <w:rFonts w:ascii="Calibri" w:eastAsia="Calibri" w:hAnsi="Calibri" w:cs="Calibri"/>
                <w:sz w:val="18"/>
                <w:szCs w:val="18"/>
              </w:rPr>
              <w:t>από προμήθειες και κ</w:t>
            </w:r>
            <w:r w:rsidR="00D728DC" w:rsidRPr="0000782E">
              <w:rPr>
                <w:rFonts w:ascii="Calibri" w:eastAsia="Calibri" w:hAnsi="Calibri" w:cs="Calibri"/>
                <w:sz w:val="18"/>
                <w:szCs w:val="18"/>
              </w:rPr>
              <w:t xml:space="preserve">αθαρών </w:t>
            </w:r>
            <w:r w:rsidR="00D728DC">
              <w:rPr>
                <w:rFonts w:ascii="Calibri" w:eastAsia="Calibri" w:hAnsi="Calibri" w:cs="Calibri"/>
                <w:sz w:val="18"/>
                <w:szCs w:val="18"/>
              </w:rPr>
              <w:t>ε</w:t>
            </w:r>
            <w:r w:rsidR="00D728DC" w:rsidRPr="0000782E">
              <w:rPr>
                <w:rFonts w:ascii="Calibri" w:eastAsia="Calibri" w:hAnsi="Calibri" w:cs="Calibri"/>
                <w:sz w:val="18"/>
                <w:szCs w:val="18"/>
              </w:rPr>
              <w:t xml:space="preserve">σόδων από </w:t>
            </w:r>
            <w:r w:rsidR="00D728DC">
              <w:rPr>
                <w:rFonts w:ascii="Calibri" w:eastAsia="Calibri" w:hAnsi="Calibri" w:cs="Calibri"/>
                <w:sz w:val="18"/>
                <w:szCs w:val="18"/>
              </w:rPr>
              <w:t>τ</w:t>
            </w:r>
            <w:r w:rsidR="00D728DC" w:rsidRPr="0000782E">
              <w:rPr>
                <w:rFonts w:ascii="Calibri" w:eastAsia="Calibri" w:hAnsi="Calibri" w:cs="Calibri"/>
                <w:sz w:val="18"/>
                <w:szCs w:val="18"/>
              </w:rPr>
              <w:t>όκους από ~20</w:t>
            </w:r>
            <w:r w:rsidR="00D728DC">
              <w:rPr>
                <w:rFonts w:ascii="Calibri" w:eastAsia="Calibri" w:hAnsi="Calibri" w:cs="Calibri"/>
                <w:sz w:val="18"/>
                <w:szCs w:val="18"/>
              </w:rPr>
              <w:t>%</w:t>
            </w:r>
            <w:r w:rsidR="00D728DC" w:rsidRPr="0000782E">
              <w:rPr>
                <w:rFonts w:ascii="Calibri" w:eastAsia="Calibri" w:hAnsi="Calibri" w:cs="Calibri"/>
                <w:sz w:val="18"/>
                <w:szCs w:val="18"/>
              </w:rPr>
              <w:t>-80%, σε ~30</w:t>
            </w:r>
            <w:r w:rsidR="00D728DC">
              <w:rPr>
                <w:rFonts w:ascii="Calibri" w:eastAsia="Calibri" w:hAnsi="Calibri" w:cs="Calibri"/>
                <w:sz w:val="18"/>
                <w:szCs w:val="18"/>
              </w:rPr>
              <w:t>%</w:t>
            </w:r>
            <w:r w:rsidR="00D728DC" w:rsidRPr="0000782E">
              <w:rPr>
                <w:rFonts w:ascii="Calibri" w:eastAsia="Calibri" w:hAnsi="Calibri" w:cs="Calibri"/>
                <w:sz w:val="18"/>
                <w:szCs w:val="18"/>
              </w:rPr>
              <w:t>-70%</w:t>
            </w:r>
          </w:p>
          <w:p w:rsidR="00D728DC" w:rsidRPr="0000782E" w:rsidRDefault="002B061F" w:rsidP="00CE6D49">
            <w:pPr>
              <w:numPr>
                <w:ilvl w:val="0"/>
                <w:numId w:val="33"/>
              </w:numPr>
              <w:spacing w:after="120" w:line="240" w:lineRule="exact"/>
              <w:ind w:left="318" w:hanging="284"/>
              <w:contextualSpacing/>
              <w:jc w:val="both"/>
              <w:rPr>
                <w:rFonts w:ascii="Calibri" w:eastAsia="Calibri" w:hAnsi="Calibri" w:cs="Calibri"/>
                <w:sz w:val="18"/>
                <w:szCs w:val="18"/>
              </w:rPr>
            </w:pPr>
            <w:r>
              <w:rPr>
                <w:rFonts w:ascii="Calibri" w:eastAsia="Calibri" w:hAnsi="Calibri" w:cs="Calibri"/>
                <w:sz w:val="18"/>
                <w:szCs w:val="18"/>
              </w:rPr>
              <w:t>κ</w:t>
            </w:r>
            <w:r w:rsidR="00D728DC" w:rsidRPr="0000782E">
              <w:rPr>
                <w:rFonts w:ascii="Calibri" w:eastAsia="Calibri" w:hAnsi="Calibri" w:cs="Calibri"/>
                <w:sz w:val="18"/>
                <w:szCs w:val="18"/>
              </w:rPr>
              <w:t>αινοτόμ</w:t>
            </w:r>
            <w:r w:rsidR="00D728DC">
              <w:rPr>
                <w:rFonts w:ascii="Calibri" w:eastAsia="Calibri" w:hAnsi="Calibri" w:cs="Calibri"/>
                <w:sz w:val="18"/>
                <w:szCs w:val="18"/>
              </w:rPr>
              <w:t>ο</w:t>
            </w:r>
            <w:r w:rsidR="00D728DC" w:rsidRPr="0000782E">
              <w:rPr>
                <w:rFonts w:ascii="Calibri" w:eastAsia="Calibri" w:hAnsi="Calibri" w:cs="Calibri"/>
                <w:sz w:val="18"/>
                <w:szCs w:val="18"/>
              </w:rPr>
              <w:t xml:space="preserve">, με </w:t>
            </w:r>
            <w:r w:rsidR="00D728DC">
              <w:rPr>
                <w:rFonts w:ascii="Calibri" w:eastAsia="Calibri" w:hAnsi="Calibri" w:cs="Calibri"/>
                <w:sz w:val="18"/>
                <w:szCs w:val="18"/>
              </w:rPr>
              <w:t>ενίσχυση</w:t>
            </w:r>
            <w:r w:rsidR="00D728DC" w:rsidRPr="0000782E">
              <w:rPr>
                <w:rFonts w:ascii="Calibri" w:eastAsia="Calibri" w:hAnsi="Calibri" w:cs="Calibri"/>
                <w:sz w:val="18"/>
                <w:szCs w:val="18"/>
              </w:rPr>
              <w:t xml:space="preserve"> του χρόνου </w:t>
            </w:r>
            <w:r>
              <w:rPr>
                <w:rFonts w:ascii="Calibri" w:eastAsia="Calibri" w:hAnsi="Calibri" w:cs="Calibri"/>
                <w:sz w:val="18"/>
                <w:szCs w:val="18"/>
              </w:rPr>
              <w:t xml:space="preserve">εργασιών </w:t>
            </w:r>
            <w:r w:rsidR="00D728DC" w:rsidRPr="0000782E">
              <w:rPr>
                <w:rFonts w:ascii="Calibri" w:eastAsia="Calibri" w:hAnsi="Calibri" w:cs="Calibri"/>
                <w:sz w:val="18"/>
                <w:szCs w:val="18"/>
              </w:rPr>
              <w:t xml:space="preserve">πληροφορικής που επενδύεται σε πρωτοβουλίες </w:t>
            </w:r>
            <w:r w:rsidR="00D728DC">
              <w:rPr>
                <w:rFonts w:ascii="Calibri" w:eastAsia="Calibri" w:hAnsi="Calibri" w:cs="Calibri"/>
                <w:sz w:val="18"/>
                <w:szCs w:val="18"/>
              </w:rPr>
              <w:t>αναβάθμισης</w:t>
            </w:r>
            <w:r w:rsidR="00D728DC" w:rsidRPr="0000782E">
              <w:rPr>
                <w:rFonts w:ascii="Calibri" w:eastAsia="Calibri" w:hAnsi="Calibri" w:cs="Calibri"/>
                <w:sz w:val="18"/>
                <w:szCs w:val="18"/>
              </w:rPr>
              <w:t xml:space="preserve"> κατά 35%</w:t>
            </w:r>
          </w:p>
          <w:p w:rsidR="00D728DC" w:rsidRDefault="002B061F" w:rsidP="00CE6D49">
            <w:pPr>
              <w:numPr>
                <w:ilvl w:val="0"/>
                <w:numId w:val="33"/>
              </w:numPr>
              <w:spacing w:after="120" w:line="240" w:lineRule="exact"/>
              <w:ind w:left="318" w:hanging="284"/>
              <w:contextualSpacing/>
              <w:jc w:val="both"/>
              <w:rPr>
                <w:rFonts w:ascii="Calibri" w:eastAsia="Calibri" w:hAnsi="Calibri" w:cs="Calibri"/>
                <w:sz w:val="18"/>
                <w:szCs w:val="18"/>
              </w:rPr>
            </w:pPr>
            <w:r>
              <w:rPr>
                <w:rFonts w:ascii="Calibri" w:eastAsia="Calibri" w:hAnsi="Calibri" w:cs="Calibri"/>
                <w:sz w:val="18"/>
                <w:szCs w:val="18"/>
              </w:rPr>
              <w:t>ε</w:t>
            </w:r>
            <w:r w:rsidR="00D728DC" w:rsidRPr="0000782E">
              <w:rPr>
                <w:rFonts w:ascii="Calibri" w:eastAsia="Calibri" w:hAnsi="Calibri" w:cs="Calibri"/>
                <w:sz w:val="18"/>
                <w:szCs w:val="18"/>
              </w:rPr>
              <w:t>στιασμένη</w:t>
            </w:r>
            <w:r w:rsidR="00D728DC">
              <w:rPr>
                <w:rFonts w:ascii="Calibri" w:eastAsia="Calibri" w:hAnsi="Calibri" w:cs="Calibri"/>
                <w:sz w:val="18"/>
                <w:szCs w:val="18"/>
              </w:rPr>
              <w:t xml:space="preserve"> στον στόχο</w:t>
            </w:r>
            <w:r w:rsidR="00D728DC" w:rsidRPr="0000782E">
              <w:rPr>
                <w:rFonts w:ascii="Calibri" w:eastAsia="Calibri" w:hAnsi="Calibri" w:cs="Calibri"/>
                <w:sz w:val="18"/>
                <w:szCs w:val="18"/>
              </w:rPr>
              <w:t xml:space="preserve">, αυξάνοντας τον χρόνο που αφιερώνεται σε δραστηριότητες </w:t>
            </w:r>
            <w:r w:rsidR="00D728DC">
              <w:rPr>
                <w:rFonts w:ascii="Calibri" w:eastAsia="Calibri" w:hAnsi="Calibri" w:cs="Calibri"/>
                <w:sz w:val="18"/>
                <w:szCs w:val="18"/>
              </w:rPr>
              <w:t>παραγωγής</w:t>
            </w:r>
            <w:r w:rsidR="00D728DC" w:rsidRPr="0000782E">
              <w:rPr>
                <w:rFonts w:ascii="Calibri" w:eastAsia="Calibri" w:hAnsi="Calibri" w:cs="Calibri"/>
                <w:sz w:val="18"/>
                <w:szCs w:val="18"/>
              </w:rPr>
              <w:t xml:space="preserve"> εσόδων στ</w:t>
            </w:r>
            <w:r w:rsidR="00D728DC">
              <w:rPr>
                <w:rFonts w:ascii="Calibri" w:eastAsia="Calibri" w:hAnsi="Calibri" w:cs="Calibri"/>
                <w:sz w:val="18"/>
                <w:szCs w:val="18"/>
              </w:rPr>
              <w:t xml:space="preserve">ο δίκτυο καταστημάτων </w:t>
            </w:r>
            <w:r w:rsidR="00D728DC" w:rsidRPr="0000782E">
              <w:rPr>
                <w:rFonts w:ascii="Calibri" w:eastAsia="Calibri" w:hAnsi="Calibri" w:cs="Calibri"/>
                <w:sz w:val="18"/>
                <w:szCs w:val="18"/>
              </w:rPr>
              <w:t>κατά &gt;50%</w:t>
            </w:r>
          </w:p>
          <w:p w:rsidR="00D728DC" w:rsidRPr="0000782E" w:rsidRDefault="002B061F" w:rsidP="00CE6D49">
            <w:pPr>
              <w:numPr>
                <w:ilvl w:val="0"/>
                <w:numId w:val="33"/>
              </w:numPr>
              <w:spacing w:after="120" w:line="240" w:lineRule="exact"/>
              <w:ind w:left="318" w:hanging="284"/>
              <w:contextualSpacing/>
              <w:jc w:val="both"/>
              <w:rPr>
                <w:rFonts w:ascii="Calibri" w:eastAsia="Calibri" w:hAnsi="Calibri" w:cs="Calibri"/>
                <w:sz w:val="18"/>
                <w:szCs w:val="18"/>
              </w:rPr>
            </w:pPr>
            <w:r>
              <w:rPr>
                <w:rFonts w:ascii="Calibri" w:eastAsia="Calibri" w:hAnsi="Calibri" w:cs="Calibri"/>
                <w:sz w:val="18"/>
                <w:szCs w:val="18"/>
              </w:rPr>
              <w:t>μ</w:t>
            </w:r>
            <w:r w:rsidR="00A53C46">
              <w:rPr>
                <w:rFonts w:ascii="Calibri" w:eastAsia="Calibri" w:hAnsi="Calibri" w:cs="Calibri"/>
                <w:sz w:val="18"/>
                <w:szCs w:val="18"/>
              </w:rPr>
              <w:t>ε υγιή στοιχεία ενεργητικού</w:t>
            </w:r>
            <w:r w:rsidR="00D728DC" w:rsidRPr="0000782E">
              <w:rPr>
                <w:rFonts w:ascii="Calibri" w:eastAsia="Calibri" w:hAnsi="Calibri" w:cs="Calibri"/>
                <w:sz w:val="18"/>
                <w:szCs w:val="18"/>
              </w:rPr>
              <w:t xml:space="preserve">, επιτυγχάνοντας μονοψήφιο δείκτη </w:t>
            </w:r>
            <w:r w:rsidR="00D728DC">
              <w:rPr>
                <w:rFonts w:ascii="Calibri" w:eastAsia="Calibri" w:hAnsi="Calibri" w:cs="Calibri"/>
                <w:sz w:val="18"/>
                <w:szCs w:val="18"/>
              </w:rPr>
              <w:t>ΜΕΑ</w:t>
            </w:r>
          </w:p>
          <w:p w:rsidR="00D728DC" w:rsidRPr="0000782E" w:rsidRDefault="002B061F" w:rsidP="00CE6D49">
            <w:pPr>
              <w:numPr>
                <w:ilvl w:val="0"/>
                <w:numId w:val="33"/>
              </w:numPr>
              <w:spacing w:after="120" w:line="240" w:lineRule="exact"/>
              <w:ind w:left="318" w:hanging="284"/>
              <w:contextualSpacing/>
              <w:jc w:val="both"/>
              <w:rPr>
                <w:rFonts w:ascii="Calibri" w:eastAsia="Calibri" w:hAnsi="Calibri" w:cs="Calibri"/>
                <w:sz w:val="18"/>
                <w:szCs w:val="18"/>
              </w:rPr>
            </w:pPr>
            <w:r>
              <w:rPr>
                <w:rFonts w:ascii="Calibri" w:eastAsia="Calibri" w:hAnsi="Calibri" w:cs="Calibri"/>
                <w:sz w:val="18"/>
                <w:szCs w:val="18"/>
              </w:rPr>
              <w:t>π</w:t>
            </w:r>
            <w:r w:rsidR="00D728DC">
              <w:rPr>
                <w:rFonts w:ascii="Calibri" w:eastAsia="Calibri" w:hAnsi="Calibri" w:cs="Calibri"/>
                <w:sz w:val="18"/>
                <w:szCs w:val="18"/>
              </w:rPr>
              <w:t>αραγωγική</w:t>
            </w:r>
            <w:r w:rsidR="00D728DC" w:rsidRPr="0000782E">
              <w:rPr>
                <w:rFonts w:ascii="Calibri" w:eastAsia="Calibri" w:hAnsi="Calibri" w:cs="Calibri"/>
                <w:sz w:val="18"/>
                <w:szCs w:val="18"/>
              </w:rPr>
              <w:t>, αυξάνοντας τα μεγέθη</w:t>
            </w:r>
            <w:r w:rsidR="00D728DC">
              <w:rPr>
                <w:rFonts w:ascii="Calibri" w:eastAsia="Calibri" w:hAnsi="Calibri" w:cs="Calibri"/>
                <w:sz w:val="18"/>
                <w:szCs w:val="18"/>
              </w:rPr>
              <w:t xml:space="preserve"> καιτα βασικά έσοδα ανά </w:t>
            </w:r>
            <w:r>
              <w:rPr>
                <w:rFonts w:ascii="Calibri" w:eastAsia="Calibri" w:hAnsi="Calibri" w:cs="Calibri"/>
                <w:sz w:val="18"/>
                <w:szCs w:val="18"/>
              </w:rPr>
              <w:t xml:space="preserve">εργαζόμενο. </w:t>
            </w:r>
          </w:p>
          <w:p w:rsidR="00D728DC" w:rsidRPr="0000782E" w:rsidRDefault="00D728DC" w:rsidP="00CE6D49">
            <w:pPr>
              <w:spacing w:after="120" w:line="240" w:lineRule="exact"/>
              <w:ind w:left="598" w:right="-143"/>
              <w:contextualSpacing/>
              <w:jc w:val="both"/>
              <w:rPr>
                <w:rFonts w:ascii="Calibri" w:eastAsia="Calibri" w:hAnsi="Calibri" w:cs="Calibri"/>
                <w:sz w:val="18"/>
                <w:szCs w:val="18"/>
              </w:rPr>
            </w:pPr>
          </w:p>
          <w:p w:rsidR="00D728DC" w:rsidRPr="0000782E" w:rsidRDefault="00D728DC" w:rsidP="00CE6D49">
            <w:pPr>
              <w:spacing w:after="120" w:line="240" w:lineRule="exact"/>
              <w:ind w:right="-143"/>
              <w:contextualSpacing/>
              <w:jc w:val="both"/>
              <w:rPr>
                <w:rFonts w:ascii="Calibri" w:eastAsia="Calibri" w:hAnsi="Calibri" w:cs="Calibri"/>
                <w:sz w:val="18"/>
                <w:szCs w:val="18"/>
              </w:rPr>
            </w:pPr>
          </w:p>
          <w:p w:rsidR="00D728DC" w:rsidRPr="007512A4" w:rsidRDefault="00D728DC" w:rsidP="00CE6D49">
            <w:pPr>
              <w:tabs>
                <w:tab w:val="left" w:pos="8262"/>
              </w:tabs>
              <w:spacing w:after="60"/>
              <w:ind w:right="74"/>
              <w:contextualSpacing/>
              <w:jc w:val="both"/>
              <w:rPr>
                <w:rFonts w:cs="Calibri"/>
                <w:color w:val="FF0000"/>
                <w:sz w:val="18"/>
                <w:szCs w:val="18"/>
              </w:rPr>
            </w:pPr>
          </w:p>
        </w:tc>
      </w:tr>
    </w:tbl>
    <w:p w:rsidR="0000782E" w:rsidRPr="0000782E" w:rsidRDefault="0000782E" w:rsidP="006D7F55">
      <w:pPr>
        <w:spacing w:after="120" w:line="240" w:lineRule="exact"/>
        <w:jc w:val="both"/>
        <w:rPr>
          <w:rFonts w:ascii="Calibri" w:eastAsia="Calibri" w:hAnsi="Calibri" w:cs="Calibri"/>
          <w:sz w:val="18"/>
          <w:szCs w:val="18"/>
        </w:rPr>
      </w:pPr>
    </w:p>
    <w:p w:rsidR="0000782E" w:rsidRPr="0000782E" w:rsidRDefault="0000782E" w:rsidP="006D7F55">
      <w:pPr>
        <w:spacing w:after="120" w:line="240" w:lineRule="exact"/>
        <w:jc w:val="both"/>
        <w:rPr>
          <w:rFonts w:ascii="Calibri" w:eastAsia="Calibri" w:hAnsi="Calibri" w:cs="Calibri"/>
          <w:sz w:val="18"/>
          <w:szCs w:val="18"/>
        </w:rPr>
      </w:pPr>
    </w:p>
    <w:p w:rsidR="0000782E" w:rsidRPr="0000782E" w:rsidRDefault="0000782E" w:rsidP="006D7F55">
      <w:pPr>
        <w:spacing w:after="120" w:line="240" w:lineRule="exact"/>
        <w:jc w:val="both"/>
        <w:rPr>
          <w:rFonts w:ascii="Calibri" w:eastAsia="Calibri" w:hAnsi="Calibri" w:cs="Calibri"/>
          <w:sz w:val="18"/>
          <w:szCs w:val="18"/>
        </w:rPr>
      </w:pPr>
    </w:p>
    <w:p w:rsidR="0000782E" w:rsidRPr="0000782E" w:rsidRDefault="0000782E" w:rsidP="006D7F55">
      <w:pPr>
        <w:spacing w:after="120" w:line="240" w:lineRule="exact"/>
        <w:jc w:val="both"/>
        <w:rPr>
          <w:rFonts w:ascii="Calibri" w:eastAsia="Calibri" w:hAnsi="Calibri" w:cs="Calibri"/>
          <w:sz w:val="18"/>
          <w:szCs w:val="18"/>
        </w:rPr>
      </w:pPr>
    </w:p>
    <w:p w:rsidR="0000782E" w:rsidRPr="0000782E" w:rsidRDefault="0000782E" w:rsidP="006D7F55">
      <w:pPr>
        <w:spacing w:after="120" w:line="240" w:lineRule="exact"/>
        <w:jc w:val="both"/>
        <w:rPr>
          <w:rFonts w:ascii="Calibri" w:eastAsia="Calibri" w:hAnsi="Calibri" w:cs="Calibri"/>
          <w:sz w:val="18"/>
          <w:szCs w:val="18"/>
        </w:rPr>
      </w:pPr>
    </w:p>
    <w:p w:rsidR="0000782E" w:rsidRPr="0000782E" w:rsidRDefault="0000782E" w:rsidP="006D7F55">
      <w:pPr>
        <w:spacing w:after="120" w:line="240" w:lineRule="exact"/>
        <w:jc w:val="both"/>
        <w:rPr>
          <w:rFonts w:ascii="Calibri" w:eastAsia="Calibri" w:hAnsi="Calibri" w:cs="Calibri"/>
          <w:sz w:val="18"/>
          <w:szCs w:val="18"/>
        </w:rPr>
      </w:pPr>
    </w:p>
    <w:p w:rsidR="005C2FB3" w:rsidRPr="001E79ED" w:rsidRDefault="005C2FB3">
      <w:pPr>
        <w:rPr>
          <w:rFonts w:ascii="Calibri" w:eastAsia="Calibri" w:hAnsi="Calibri" w:cs="Calibri"/>
          <w:color w:val="FF0000"/>
          <w:sz w:val="18"/>
          <w:szCs w:val="18"/>
        </w:rPr>
      </w:pPr>
      <w:r w:rsidRPr="00C448E3">
        <w:rPr>
          <w:rFonts w:ascii="Calibri" w:eastAsia="Calibri" w:hAnsi="Calibri" w:cs="Calibri"/>
          <w:color w:val="FF0000"/>
          <w:sz w:val="18"/>
          <w:szCs w:val="18"/>
        </w:rPr>
        <w:br w:type="page"/>
      </w:r>
    </w:p>
    <w:p w:rsidR="00D44AFC" w:rsidRPr="002C502D" w:rsidRDefault="00D44AFC" w:rsidP="00D44AFC">
      <w:pPr>
        <w:keepNext/>
        <w:keepLines/>
        <w:spacing w:after="0" w:line="240" w:lineRule="auto"/>
        <w:ind w:left="-851"/>
        <w:jc w:val="both"/>
        <w:outlineLvl w:val="0"/>
        <w:rPr>
          <w:rFonts w:eastAsia="Times New Roman" w:cs="Calibri"/>
          <w:b/>
          <w:color w:val="3A73AE" w:themeColor="accent1"/>
          <w:sz w:val="28"/>
          <w:szCs w:val="28"/>
        </w:rPr>
      </w:pPr>
      <w:r w:rsidRPr="002C502D">
        <w:rPr>
          <w:rFonts w:eastAsia="Times New Roman" w:cs="Calibri"/>
          <w:b/>
          <w:i/>
          <w:color w:val="3A73AE" w:themeColor="accent1"/>
          <w:sz w:val="25"/>
          <w:szCs w:val="25"/>
        </w:rPr>
        <w:lastRenderedPageBreak/>
        <w:t>Επιλεγμένα Στοιχεία Ομίλου Τράπεζας Πειραιώς</w:t>
      </w:r>
    </w:p>
    <w:p w:rsidR="00D44AFC" w:rsidRDefault="00D44AFC" w:rsidP="00D44AFC">
      <w:pPr>
        <w:keepNext/>
        <w:keepLines/>
        <w:spacing w:after="0" w:line="240" w:lineRule="auto"/>
        <w:outlineLvl w:val="0"/>
        <w:rPr>
          <w:rFonts w:asciiTheme="majorHAnsi" w:eastAsiaTheme="majorEastAsia" w:hAnsiTheme="majorHAnsi" w:cstheme="majorBidi"/>
          <w:color w:val="2B5582" w:themeColor="accent1" w:themeShade="BF"/>
          <w:sz w:val="16"/>
          <w:szCs w:val="16"/>
        </w:rPr>
      </w:pPr>
    </w:p>
    <w:tbl>
      <w:tblPr>
        <w:tblpPr w:leftFromText="180" w:rightFromText="180" w:vertAnchor="text" w:horzAnchor="page" w:tblpX="2098" w:tblpY="495"/>
        <w:tblW w:w="5879" w:type="pct"/>
        <w:shd w:val="clear" w:color="auto" w:fill="EDEBE5"/>
        <w:tblLayout w:type="fixed"/>
        <w:tblCellMar>
          <w:left w:w="113" w:type="dxa"/>
          <w:right w:w="113" w:type="dxa"/>
        </w:tblCellMar>
        <w:tblLook w:val="00A0"/>
      </w:tblPr>
      <w:tblGrid>
        <w:gridCol w:w="3759"/>
        <w:gridCol w:w="1020"/>
        <w:gridCol w:w="1018"/>
        <w:gridCol w:w="1018"/>
        <w:gridCol w:w="1039"/>
        <w:gridCol w:w="1035"/>
        <w:gridCol w:w="877"/>
      </w:tblGrid>
      <w:tr w:rsidR="00F43416" w:rsidRPr="005744FA" w:rsidTr="00CE6D49">
        <w:trPr>
          <w:trHeight w:val="419"/>
        </w:trPr>
        <w:tc>
          <w:tcPr>
            <w:tcW w:w="1925" w:type="pct"/>
            <w:tcBorders>
              <w:top w:val="single" w:sz="4" w:space="0" w:color="003C96" w:themeColor="text2"/>
              <w:left w:val="single" w:sz="4" w:space="0" w:color="003C96" w:themeColor="text2"/>
              <w:bottom w:val="single" w:sz="4" w:space="0" w:color="003C96" w:themeColor="text2"/>
            </w:tcBorders>
            <w:shd w:val="clear" w:color="auto" w:fill="3A73AE" w:themeFill="accent1"/>
            <w:vAlign w:val="center"/>
          </w:tcPr>
          <w:p w:rsidR="00F43416" w:rsidRPr="007316DD" w:rsidRDefault="00F43416" w:rsidP="00CE6D49">
            <w:pPr>
              <w:tabs>
                <w:tab w:val="left" w:pos="284"/>
              </w:tabs>
              <w:spacing w:after="0"/>
              <w:jc w:val="both"/>
              <w:rPr>
                <w:rFonts w:ascii="Calibri" w:eastAsiaTheme="minorEastAsia" w:hAnsi="Calibri" w:cs="Calibri"/>
                <w:color w:val="FFFFFF" w:themeColor="background1"/>
                <w:sz w:val="16"/>
                <w:szCs w:val="16"/>
              </w:rPr>
            </w:pPr>
            <w:r>
              <w:rPr>
                <w:rFonts w:ascii="Calibri" w:eastAsiaTheme="minorEastAsia" w:hAnsi="Calibri" w:cs="Calibri"/>
                <w:b/>
                <w:color w:val="FFFFFF" w:themeColor="background1"/>
                <w:sz w:val="16"/>
                <w:szCs w:val="16"/>
              </w:rPr>
              <w:t xml:space="preserve">Ενοποιημένα Στοιχεία </w:t>
            </w:r>
            <w:r w:rsidRPr="00CA2986">
              <w:rPr>
                <w:rFonts w:ascii="Calibri" w:eastAsiaTheme="minorEastAsia" w:hAnsi="Calibri" w:cs="Calibri"/>
                <w:b/>
                <w:color w:val="FFFFFF" w:themeColor="background1"/>
                <w:sz w:val="16"/>
                <w:szCs w:val="16"/>
              </w:rPr>
              <w:t>(</w:t>
            </w:r>
            <w:r>
              <w:rPr>
                <w:rFonts w:ascii="Calibri" w:eastAsiaTheme="minorEastAsia" w:hAnsi="Calibri" w:cs="Calibri"/>
                <w:b/>
                <w:color w:val="FFFFFF" w:themeColor="background1"/>
                <w:sz w:val="16"/>
                <w:szCs w:val="16"/>
              </w:rPr>
              <w:t xml:space="preserve">ποσά σε </w:t>
            </w:r>
            <w:r w:rsidRPr="00CA2986">
              <w:rPr>
                <w:rFonts w:ascii="Calibri" w:eastAsiaTheme="minorEastAsia" w:hAnsi="Calibri" w:cs="Calibri"/>
                <w:b/>
                <w:color w:val="FFFFFF" w:themeColor="background1"/>
                <w:sz w:val="16"/>
                <w:szCs w:val="16"/>
              </w:rPr>
              <w:t>€</w:t>
            </w:r>
            <w:r>
              <w:rPr>
                <w:rFonts w:ascii="Calibri" w:eastAsiaTheme="minorEastAsia" w:hAnsi="Calibri" w:cs="Calibri"/>
                <w:b/>
                <w:color w:val="FFFFFF" w:themeColor="background1"/>
                <w:sz w:val="16"/>
                <w:szCs w:val="16"/>
              </w:rPr>
              <w:t xml:space="preserve"> εκατ.)</w:t>
            </w:r>
          </w:p>
        </w:tc>
        <w:tc>
          <w:tcPr>
            <w:tcW w:w="522" w:type="pct"/>
            <w:tcBorders>
              <w:top w:val="single" w:sz="4" w:space="0" w:color="003C96" w:themeColor="text2"/>
              <w:bottom w:val="single" w:sz="4" w:space="0" w:color="003C96" w:themeColor="text2"/>
            </w:tcBorders>
            <w:shd w:val="clear" w:color="auto" w:fill="3A73AE" w:themeFill="accent1"/>
            <w:vAlign w:val="center"/>
          </w:tcPr>
          <w:p w:rsidR="00F43416" w:rsidRPr="0024776B" w:rsidRDefault="00F43416" w:rsidP="00CE6D49">
            <w:pPr>
              <w:tabs>
                <w:tab w:val="left" w:pos="284"/>
              </w:tabs>
              <w:spacing w:after="0"/>
              <w:jc w:val="right"/>
              <w:rPr>
                <w:rFonts w:ascii="Calibri" w:eastAsiaTheme="minorEastAsia" w:hAnsi="Calibri" w:cs="Calibri"/>
                <w:color w:val="FFFFFF" w:themeColor="background1"/>
                <w:sz w:val="16"/>
                <w:szCs w:val="16"/>
                <w:lang w:val="en-GB"/>
              </w:rPr>
            </w:pPr>
            <w:r w:rsidRPr="0024776B">
              <w:rPr>
                <w:rFonts w:ascii="Calibri" w:eastAsiaTheme="minorEastAsia" w:hAnsi="Calibri" w:cs="Calibri"/>
                <w:color w:val="FFFFFF" w:themeColor="background1"/>
                <w:sz w:val="16"/>
                <w:szCs w:val="16"/>
                <w:lang w:val="en-GB"/>
              </w:rPr>
              <w:t>3</w:t>
            </w:r>
            <w:r>
              <w:rPr>
                <w:rFonts w:ascii="Calibri" w:eastAsiaTheme="minorEastAsia" w:hAnsi="Calibri" w:cs="Calibri"/>
                <w:color w:val="FFFFFF" w:themeColor="background1"/>
                <w:sz w:val="16"/>
                <w:szCs w:val="16"/>
                <w:lang w:val="en-GB"/>
              </w:rPr>
              <w:t>0</w:t>
            </w:r>
            <w:r w:rsidRPr="0024776B">
              <w:rPr>
                <w:rFonts w:ascii="Calibri" w:eastAsiaTheme="minorEastAsia" w:hAnsi="Calibri" w:cs="Calibri"/>
                <w:color w:val="FFFFFF" w:themeColor="background1"/>
                <w:sz w:val="16"/>
                <w:szCs w:val="16"/>
                <w:lang w:val="en-GB"/>
              </w:rPr>
              <w:t>.0</w:t>
            </w:r>
            <w:r>
              <w:rPr>
                <w:rFonts w:ascii="Calibri" w:eastAsiaTheme="minorEastAsia" w:hAnsi="Calibri" w:cs="Calibri"/>
                <w:color w:val="FFFFFF" w:themeColor="background1"/>
                <w:sz w:val="16"/>
                <w:szCs w:val="16"/>
                <w:lang w:val="en-GB"/>
              </w:rPr>
              <w:t>6.20</w:t>
            </w:r>
          </w:p>
        </w:tc>
        <w:tc>
          <w:tcPr>
            <w:tcW w:w="521" w:type="pct"/>
            <w:tcBorders>
              <w:top w:val="single" w:sz="4" w:space="0" w:color="003C96" w:themeColor="text2"/>
              <w:bottom w:val="single" w:sz="4" w:space="0" w:color="003C96" w:themeColor="text2"/>
            </w:tcBorders>
            <w:shd w:val="clear" w:color="auto" w:fill="3A73AE" w:themeFill="accent1"/>
            <w:vAlign w:val="center"/>
          </w:tcPr>
          <w:p w:rsidR="00F43416" w:rsidRPr="0024776B" w:rsidRDefault="00F43416" w:rsidP="00CE6D49">
            <w:pPr>
              <w:tabs>
                <w:tab w:val="left" w:pos="284"/>
              </w:tabs>
              <w:spacing w:after="0"/>
              <w:jc w:val="right"/>
              <w:rPr>
                <w:rFonts w:ascii="Calibri" w:eastAsiaTheme="minorEastAsia" w:hAnsi="Calibri" w:cs="Calibri"/>
                <w:color w:val="FFFFFF" w:themeColor="background1"/>
                <w:sz w:val="16"/>
                <w:szCs w:val="16"/>
                <w:lang w:val="en-GB"/>
              </w:rPr>
            </w:pPr>
            <w:r w:rsidRPr="0024776B">
              <w:rPr>
                <w:rFonts w:ascii="Calibri" w:eastAsiaTheme="minorEastAsia" w:hAnsi="Calibri" w:cs="Calibri"/>
                <w:color w:val="FFFFFF" w:themeColor="background1"/>
                <w:sz w:val="16"/>
                <w:szCs w:val="16"/>
                <w:lang w:val="en-GB"/>
              </w:rPr>
              <w:t>31.</w:t>
            </w:r>
            <w:r>
              <w:rPr>
                <w:rFonts w:ascii="Calibri" w:eastAsiaTheme="minorEastAsia" w:hAnsi="Calibri" w:cs="Calibri"/>
                <w:color w:val="FFFFFF" w:themeColor="background1"/>
                <w:sz w:val="16"/>
                <w:szCs w:val="16"/>
                <w:lang w:val="en-GB"/>
              </w:rPr>
              <w:t>03.20</w:t>
            </w:r>
          </w:p>
        </w:tc>
        <w:tc>
          <w:tcPr>
            <w:tcW w:w="521" w:type="pct"/>
            <w:tcBorders>
              <w:top w:val="single" w:sz="4" w:space="0" w:color="003C96" w:themeColor="text2"/>
              <w:bottom w:val="single" w:sz="4" w:space="0" w:color="003C96" w:themeColor="text2"/>
              <w:right w:val="single" w:sz="18" w:space="0" w:color="FFC000"/>
            </w:tcBorders>
            <w:shd w:val="clear" w:color="auto" w:fill="3A73AE" w:themeFill="accent1"/>
            <w:vAlign w:val="center"/>
          </w:tcPr>
          <w:p w:rsidR="00F43416" w:rsidRPr="0024776B" w:rsidRDefault="00F43416" w:rsidP="00CE6D49">
            <w:pPr>
              <w:tabs>
                <w:tab w:val="left" w:pos="284"/>
              </w:tabs>
              <w:spacing w:after="0"/>
              <w:ind w:hanging="22"/>
              <w:jc w:val="center"/>
              <w:rPr>
                <w:rFonts w:ascii="Calibri" w:eastAsiaTheme="minorEastAsia" w:hAnsi="Calibri" w:cs="Calibri"/>
                <w:color w:val="FFFFFF" w:themeColor="background1"/>
                <w:sz w:val="16"/>
                <w:szCs w:val="16"/>
                <w:lang w:val="en-GB"/>
              </w:rPr>
            </w:pPr>
            <w:r w:rsidRPr="0024776B">
              <w:rPr>
                <w:rFonts w:ascii="Calibri" w:eastAsiaTheme="minorEastAsia" w:hAnsi="Calibri" w:cs="Calibri"/>
                <w:color w:val="FFFFFF" w:themeColor="background1"/>
                <w:sz w:val="16"/>
                <w:szCs w:val="16"/>
                <w:lang w:val="en-GB"/>
              </w:rPr>
              <w:t>Δ</w:t>
            </w:r>
            <w:r>
              <w:rPr>
                <w:rFonts w:ascii="Calibri" w:eastAsiaTheme="minorEastAsia" w:hAnsi="Calibri" w:cs="Calibri"/>
                <w:color w:val="FFFFFF" w:themeColor="background1"/>
                <w:sz w:val="16"/>
                <w:szCs w:val="16"/>
              </w:rPr>
              <w:t>%</w:t>
            </w:r>
            <w:r w:rsidRPr="009763E1">
              <w:rPr>
                <w:rFonts w:ascii="Calibri" w:eastAsiaTheme="minorEastAsia" w:hAnsi="Calibri" w:cs="Calibri"/>
                <w:color w:val="FFFFFF" w:themeColor="background1"/>
                <w:sz w:val="14"/>
                <w:szCs w:val="14"/>
              </w:rPr>
              <w:t>τριμην</w:t>
            </w:r>
            <w:r>
              <w:rPr>
                <w:rFonts w:ascii="Calibri" w:eastAsiaTheme="minorEastAsia" w:hAnsi="Calibri" w:cs="Calibri"/>
                <w:color w:val="FFFFFF" w:themeColor="background1"/>
                <w:sz w:val="14"/>
                <w:szCs w:val="14"/>
              </w:rPr>
              <w:t>ι</w:t>
            </w:r>
            <w:r w:rsidRPr="009763E1">
              <w:rPr>
                <w:rFonts w:ascii="Calibri" w:eastAsiaTheme="minorEastAsia" w:hAnsi="Calibri" w:cs="Calibri"/>
                <w:color w:val="FFFFFF" w:themeColor="background1"/>
                <w:sz w:val="14"/>
                <w:szCs w:val="14"/>
              </w:rPr>
              <w:t>α</w:t>
            </w:r>
            <w:r>
              <w:rPr>
                <w:rFonts w:ascii="Calibri" w:eastAsiaTheme="minorEastAsia" w:hAnsi="Calibri" w:cs="Calibri"/>
                <w:color w:val="FFFFFF" w:themeColor="background1"/>
                <w:sz w:val="14"/>
                <w:szCs w:val="14"/>
              </w:rPr>
              <w:t>ί</w:t>
            </w:r>
            <w:r w:rsidRPr="009763E1">
              <w:rPr>
                <w:rFonts w:ascii="Calibri" w:eastAsiaTheme="minorEastAsia" w:hAnsi="Calibri" w:cs="Calibri"/>
                <w:color w:val="FFFFFF" w:themeColor="background1"/>
                <w:sz w:val="14"/>
                <w:szCs w:val="14"/>
              </w:rPr>
              <w:t>ως</w:t>
            </w:r>
          </w:p>
        </w:tc>
        <w:tc>
          <w:tcPr>
            <w:tcW w:w="532" w:type="pct"/>
            <w:tcBorders>
              <w:top w:val="single" w:sz="4" w:space="0" w:color="003C96" w:themeColor="text2"/>
              <w:left w:val="single" w:sz="18" w:space="0" w:color="FFC000"/>
              <w:bottom w:val="single" w:sz="4" w:space="0" w:color="003C96" w:themeColor="text2"/>
            </w:tcBorders>
            <w:shd w:val="clear" w:color="auto" w:fill="3A73AE" w:themeFill="accent1"/>
            <w:vAlign w:val="center"/>
          </w:tcPr>
          <w:p w:rsidR="00F43416" w:rsidRPr="0024776B" w:rsidRDefault="00F43416" w:rsidP="00CE6D49">
            <w:pPr>
              <w:tabs>
                <w:tab w:val="left" w:pos="284"/>
              </w:tabs>
              <w:spacing w:after="0"/>
              <w:jc w:val="center"/>
              <w:rPr>
                <w:rFonts w:ascii="Calibri" w:eastAsiaTheme="minorEastAsia" w:hAnsi="Calibri" w:cs="Calibri"/>
                <w:color w:val="FFFFFF" w:themeColor="background1"/>
                <w:sz w:val="16"/>
                <w:szCs w:val="16"/>
                <w:lang w:val="en-GB"/>
              </w:rPr>
            </w:pPr>
            <w:r w:rsidRPr="0024776B">
              <w:rPr>
                <w:rFonts w:ascii="Calibri" w:eastAsiaTheme="minorEastAsia" w:hAnsi="Calibri" w:cs="Calibri"/>
                <w:color w:val="FFFFFF" w:themeColor="background1"/>
                <w:sz w:val="16"/>
                <w:szCs w:val="16"/>
                <w:lang w:val="en-GB"/>
              </w:rPr>
              <w:t>3</w:t>
            </w:r>
            <w:r>
              <w:rPr>
                <w:rFonts w:ascii="Calibri" w:eastAsiaTheme="minorEastAsia" w:hAnsi="Calibri" w:cs="Calibri"/>
                <w:color w:val="FFFFFF" w:themeColor="background1"/>
                <w:sz w:val="16"/>
                <w:szCs w:val="16"/>
                <w:lang w:val="en-GB"/>
              </w:rPr>
              <w:t>0</w:t>
            </w:r>
            <w:r w:rsidRPr="0024776B">
              <w:rPr>
                <w:rFonts w:ascii="Calibri" w:eastAsiaTheme="minorEastAsia" w:hAnsi="Calibri" w:cs="Calibri"/>
                <w:color w:val="FFFFFF" w:themeColor="background1"/>
                <w:sz w:val="16"/>
                <w:szCs w:val="16"/>
                <w:lang w:val="en-GB"/>
              </w:rPr>
              <w:t>.0</w:t>
            </w:r>
            <w:r>
              <w:rPr>
                <w:rFonts w:ascii="Calibri" w:eastAsiaTheme="minorEastAsia" w:hAnsi="Calibri" w:cs="Calibri"/>
                <w:color w:val="FFFFFF" w:themeColor="background1"/>
                <w:sz w:val="16"/>
                <w:szCs w:val="16"/>
                <w:lang w:val="en-GB"/>
              </w:rPr>
              <w:t>6.20</w:t>
            </w:r>
          </w:p>
        </w:tc>
        <w:tc>
          <w:tcPr>
            <w:tcW w:w="530" w:type="pct"/>
            <w:tcBorders>
              <w:top w:val="single" w:sz="4" w:space="0" w:color="003C96" w:themeColor="text2"/>
              <w:bottom w:val="single" w:sz="4" w:space="0" w:color="003C96" w:themeColor="text2"/>
            </w:tcBorders>
            <w:shd w:val="clear" w:color="auto" w:fill="3A73AE" w:themeFill="accent1"/>
            <w:vAlign w:val="center"/>
          </w:tcPr>
          <w:p w:rsidR="00F43416" w:rsidRPr="0024776B" w:rsidRDefault="00F43416" w:rsidP="00CE6D49">
            <w:pPr>
              <w:tabs>
                <w:tab w:val="left" w:pos="284"/>
              </w:tabs>
              <w:spacing w:after="0"/>
              <w:jc w:val="center"/>
              <w:rPr>
                <w:rFonts w:ascii="Calibri" w:eastAsiaTheme="minorEastAsia" w:hAnsi="Calibri" w:cs="Calibri"/>
                <w:color w:val="FFFFFF" w:themeColor="background1"/>
                <w:sz w:val="16"/>
                <w:szCs w:val="16"/>
                <w:lang w:val="en-GB"/>
              </w:rPr>
            </w:pPr>
            <w:r>
              <w:rPr>
                <w:rFonts w:ascii="Calibri" w:eastAsiaTheme="minorEastAsia" w:hAnsi="Calibri" w:cs="Calibri"/>
                <w:color w:val="FFFFFF" w:themeColor="background1"/>
                <w:sz w:val="16"/>
                <w:szCs w:val="16"/>
                <w:lang w:val="en-GB"/>
              </w:rPr>
              <w:t>30.06.19</w:t>
            </w:r>
          </w:p>
        </w:tc>
        <w:tc>
          <w:tcPr>
            <w:tcW w:w="449" w:type="pct"/>
            <w:tcBorders>
              <w:top w:val="single" w:sz="4" w:space="0" w:color="003C96" w:themeColor="text2"/>
              <w:bottom w:val="single" w:sz="4" w:space="0" w:color="003C96" w:themeColor="text2"/>
            </w:tcBorders>
            <w:shd w:val="clear" w:color="auto" w:fill="3A73AE" w:themeFill="accent1"/>
            <w:vAlign w:val="center"/>
          </w:tcPr>
          <w:p w:rsidR="00F43416" w:rsidRPr="00217F9F" w:rsidRDefault="00F43416" w:rsidP="00CE6D49">
            <w:pPr>
              <w:tabs>
                <w:tab w:val="left" w:pos="284"/>
              </w:tabs>
              <w:spacing w:after="0"/>
              <w:jc w:val="center"/>
              <w:rPr>
                <w:rFonts w:ascii="Calibri" w:eastAsiaTheme="minorEastAsia" w:hAnsi="Calibri" w:cs="Calibri"/>
                <w:color w:val="FFFFFF" w:themeColor="background1"/>
                <w:sz w:val="16"/>
                <w:szCs w:val="16"/>
              </w:rPr>
            </w:pPr>
            <w:r w:rsidRPr="0024776B">
              <w:rPr>
                <w:rFonts w:ascii="Calibri" w:eastAsiaTheme="minorEastAsia" w:hAnsi="Calibri" w:cs="Calibri"/>
                <w:color w:val="FFFFFF" w:themeColor="background1"/>
                <w:sz w:val="16"/>
                <w:szCs w:val="16"/>
                <w:lang w:val="en-GB"/>
              </w:rPr>
              <w:t>Δ</w:t>
            </w:r>
            <w:r>
              <w:rPr>
                <w:rFonts w:ascii="Calibri" w:eastAsiaTheme="minorEastAsia" w:hAnsi="Calibri" w:cs="Calibri"/>
                <w:color w:val="FFFFFF" w:themeColor="background1"/>
                <w:sz w:val="16"/>
                <w:szCs w:val="16"/>
              </w:rPr>
              <w:t>%</w:t>
            </w:r>
          </w:p>
          <w:p w:rsidR="00F43416" w:rsidRPr="006468C0" w:rsidRDefault="00F43416" w:rsidP="00CE6D49">
            <w:pPr>
              <w:tabs>
                <w:tab w:val="left" w:pos="284"/>
              </w:tabs>
              <w:spacing w:after="0"/>
              <w:jc w:val="center"/>
              <w:rPr>
                <w:rFonts w:ascii="Calibri" w:eastAsiaTheme="minorEastAsia" w:hAnsi="Calibri" w:cs="Calibri"/>
                <w:color w:val="FFFFFF" w:themeColor="background1"/>
                <w:sz w:val="14"/>
                <w:szCs w:val="14"/>
              </w:rPr>
            </w:pPr>
            <w:r w:rsidRPr="006468C0">
              <w:rPr>
                <w:rFonts w:ascii="Calibri" w:eastAsiaTheme="minorEastAsia" w:hAnsi="Calibri" w:cs="Calibri"/>
                <w:color w:val="FFFFFF" w:themeColor="background1"/>
                <w:sz w:val="14"/>
                <w:szCs w:val="14"/>
              </w:rPr>
              <w:t>ετησίως</w:t>
            </w:r>
          </w:p>
        </w:tc>
      </w:tr>
      <w:tr w:rsidR="00F43416" w:rsidRPr="005744FA" w:rsidTr="00CE6D49">
        <w:trPr>
          <w:trHeight w:val="406"/>
        </w:trPr>
        <w:tc>
          <w:tcPr>
            <w:tcW w:w="1925" w:type="pct"/>
            <w:tcBorders>
              <w:top w:val="single" w:sz="4" w:space="0" w:color="003C96" w:themeColor="text2"/>
              <w:left w:val="single" w:sz="4" w:space="0" w:color="FFC000"/>
            </w:tcBorders>
            <w:shd w:val="clear" w:color="auto" w:fill="DCDCD7"/>
            <w:vAlign w:val="center"/>
          </w:tcPr>
          <w:p w:rsidR="00F43416" w:rsidRPr="002C502D" w:rsidRDefault="00F43416" w:rsidP="00CE6D49">
            <w:pPr>
              <w:tabs>
                <w:tab w:val="left" w:pos="284"/>
              </w:tabs>
              <w:spacing w:after="0"/>
              <w:jc w:val="both"/>
              <w:rPr>
                <w:rFonts w:eastAsiaTheme="minorEastAsia" w:cs="Calibri"/>
                <w:color w:val="003C96" w:themeColor="text2"/>
                <w:sz w:val="16"/>
                <w:szCs w:val="16"/>
                <w:lang w:val="en-US"/>
              </w:rPr>
            </w:pPr>
            <w:r w:rsidRPr="002C502D">
              <w:rPr>
                <w:rFonts w:ascii="Calibri" w:eastAsiaTheme="minorEastAsia" w:hAnsi="Calibri" w:cs="Calibri"/>
                <w:color w:val="003C96" w:themeColor="text2"/>
                <w:sz w:val="16"/>
                <w:szCs w:val="16"/>
              </w:rPr>
              <w:t>Επιλεγμένα Στοιχεία Ισολογισμού</w:t>
            </w:r>
          </w:p>
        </w:tc>
        <w:tc>
          <w:tcPr>
            <w:tcW w:w="522" w:type="pct"/>
            <w:tcBorders>
              <w:top w:val="single" w:sz="4" w:space="0" w:color="003C96" w:themeColor="text2"/>
            </w:tcBorders>
            <w:shd w:val="clear" w:color="auto" w:fill="DCDCD7"/>
            <w:vAlign w:val="center"/>
          </w:tcPr>
          <w:p w:rsidR="00F43416" w:rsidRPr="005744FA" w:rsidRDefault="00F43416" w:rsidP="00CE6D49">
            <w:pPr>
              <w:tabs>
                <w:tab w:val="left" w:pos="284"/>
              </w:tabs>
              <w:spacing w:after="0"/>
              <w:jc w:val="right"/>
              <w:rPr>
                <w:rFonts w:eastAsiaTheme="minorEastAsia" w:cs="Calibri"/>
                <w:color w:val="003C96" w:themeColor="text2"/>
                <w:sz w:val="16"/>
                <w:szCs w:val="16"/>
                <w:lang w:val="en-US"/>
              </w:rPr>
            </w:pPr>
          </w:p>
        </w:tc>
        <w:tc>
          <w:tcPr>
            <w:tcW w:w="521" w:type="pct"/>
            <w:tcBorders>
              <w:top w:val="single" w:sz="4" w:space="0" w:color="003C96" w:themeColor="text2"/>
            </w:tcBorders>
            <w:shd w:val="clear" w:color="auto" w:fill="DCDCD7"/>
            <w:vAlign w:val="center"/>
          </w:tcPr>
          <w:p w:rsidR="00F43416" w:rsidRPr="005744FA" w:rsidRDefault="00F43416" w:rsidP="00CE6D49">
            <w:pPr>
              <w:tabs>
                <w:tab w:val="left" w:pos="284"/>
              </w:tabs>
              <w:spacing w:after="0"/>
              <w:jc w:val="right"/>
              <w:rPr>
                <w:rFonts w:eastAsiaTheme="minorEastAsia" w:cs="Calibri"/>
                <w:color w:val="003C96" w:themeColor="text2"/>
                <w:sz w:val="16"/>
                <w:szCs w:val="16"/>
                <w:lang w:val="en-US"/>
              </w:rPr>
            </w:pPr>
          </w:p>
        </w:tc>
        <w:tc>
          <w:tcPr>
            <w:tcW w:w="521" w:type="pct"/>
            <w:tcBorders>
              <w:top w:val="single" w:sz="4" w:space="0" w:color="003C96" w:themeColor="text2"/>
              <w:right w:val="single" w:sz="18" w:space="0" w:color="FFC000"/>
            </w:tcBorders>
            <w:shd w:val="clear" w:color="auto" w:fill="DCDCD7"/>
            <w:vAlign w:val="center"/>
          </w:tcPr>
          <w:p w:rsidR="00F43416" w:rsidRPr="005744FA" w:rsidRDefault="00F43416" w:rsidP="00CE6D49">
            <w:pPr>
              <w:tabs>
                <w:tab w:val="left" w:pos="284"/>
              </w:tabs>
              <w:spacing w:after="0"/>
              <w:jc w:val="center"/>
              <w:rPr>
                <w:rFonts w:eastAsiaTheme="minorEastAsia" w:cs="Calibri"/>
                <w:i/>
                <w:color w:val="003C96" w:themeColor="text2"/>
                <w:sz w:val="16"/>
                <w:szCs w:val="16"/>
                <w:lang w:val="en-US"/>
              </w:rPr>
            </w:pPr>
          </w:p>
        </w:tc>
        <w:tc>
          <w:tcPr>
            <w:tcW w:w="532" w:type="pct"/>
            <w:tcBorders>
              <w:top w:val="single" w:sz="4" w:space="0" w:color="003C96" w:themeColor="text2"/>
              <w:left w:val="single" w:sz="18" w:space="0" w:color="FFC000"/>
            </w:tcBorders>
            <w:shd w:val="clear" w:color="auto" w:fill="DCDCD7"/>
            <w:vAlign w:val="center"/>
          </w:tcPr>
          <w:p w:rsidR="00F43416" w:rsidRPr="005744FA" w:rsidRDefault="00F43416" w:rsidP="00CE6D49">
            <w:pPr>
              <w:tabs>
                <w:tab w:val="left" w:pos="284"/>
              </w:tabs>
              <w:spacing w:after="0"/>
              <w:jc w:val="right"/>
              <w:rPr>
                <w:rFonts w:eastAsiaTheme="minorEastAsia" w:cs="Calibri"/>
                <w:color w:val="003C96" w:themeColor="text2"/>
                <w:sz w:val="16"/>
                <w:szCs w:val="16"/>
                <w:lang w:val="en-US"/>
              </w:rPr>
            </w:pPr>
          </w:p>
        </w:tc>
        <w:tc>
          <w:tcPr>
            <w:tcW w:w="530" w:type="pct"/>
            <w:tcBorders>
              <w:top w:val="single" w:sz="4" w:space="0" w:color="003C96" w:themeColor="text2"/>
            </w:tcBorders>
            <w:shd w:val="clear" w:color="auto" w:fill="DCDCD7"/>
            <w:vAlign w:val="center"/>
          </w:tcPr>
          <w:p w:rsidR="00F43416" w:rsidRPr="005744FA" w:rsidRDefault="00F43416" w:rsidP="00CE6D49">
            <w:pPr>
              <w:tabs>
                <w:tab w:val="left" w:pos="284"/>
              </w:tabs>
              <w:spacing w:after="0"/>
              <w:jc w:val="center"/>
              <w:rPr>
                <w:rFonts w:eastAsiaTheme="minorEastAsia" w:cs="Calibri"/>
                <w:color w:val="003C96" w:themeColor="text2"/>
                <w:sz w:val="16"/>
                <w:szCs w:val="16"/>
                <w:lang w:val="en-US"/>
              </w:rPr>
            </w:pPr>
          </w:p>
        </w:tc>
        <w:tc>
          <w:tcPr>
            <w:tcW w:w="449" w:type="pct"/>
            <w:tcBorders>
              <w:top w:val="single" w:sz="4" w:space="0" w:color="003C96" w:themeColor="text2"/>
            </w:tcBorders>
            <w:shd w:val="clear" w:color="auto" w:fill="DCDCD7"/>
            <w:vAlign w:val="center"/>
          </w:tcPr>
          <w:p w:rsidR="00F43416" w:rsidRPr="005744FA" w:rsidRDefault="00F43416" w:rsidP="00CE6D49">
            <w:pPr>
              <w:tabs>
                <w:tab w:val="left" w:pos="284"/>
              </w:tabs>
              <w:spacing w:after="0"/>
              <w:jc w:val="center"/>
              <w:rPr>
                <w:rFonts w:eastAsiaTheme="minorEastAsia" w:cs="Calibri"/>
                <w:color w:val="003C96" w:themeColor="text2"/>
                <w:sz w:val="16"/>
                <w:szCs w:val="16"/>
                <w:lang w:val="en-US"/>
              </w:rPr>
            </w:pPr>
          </w:p>
        </w:tc>
      </w:tr>
      <w:tr w:rsidR="00F43416" w:rsidRPr="005744FA" w:rsidTr="00CE6D49">
        <w:trPr>
          <w:trHeight w:val="63"/>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2C502D" w:rsidRDefault="00F43416" w:rsidP="00CE6D49">
            <w:pPr>
              <w:tabs>
                <w:tab w:val="left" w:pos="284"/>
              </w:tabs>
              <w:spacing w:after="0"/>
              <w:jc w:val="right"/>
              <w:rPr>
                <w:rFonts w:eastAsiaTheme="minorEastAsia" w:cs="Calibri"/>
                <w:sz w:val="10"/>
                <w:szCs w:val="16"/>
                <w:lang w:val="en-US"/>
              </w:rPr>
            </w:pPr>
          </w:p>
        </w:tc>
        <w:tc>
          <w:tcPr>
            <w:tcW w:w="522" w:type="pct"/>
            <w:tcBorders>
              <w:left w:val="single" w:sz="4"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jc w:val="right"/>
              <w:rPr>
                <w:rFonts w:eastAsiaTheme="minorEastAsia" w:cs="Calibri"/>
                <w:sz w:val="10"/>
                <w:szCs w:val="16"/>
                <w:lang w:val="en-US"/>
              </w:rPr>
            </w:pPr>
          </w:p>
        </w:tc>
        <w:tc>
          <w:tcPr>
            <w:tcW w:w="521" w:type="pct"/>
            <w:tcBorders>
              <w:left w:val="single" w:sz="4"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jc w:val="right"/>
              <w:rPr>
                <w:rFonts w:eastAsiaTheme="minorEastAsia" w:cs="Calibri"/>
                <w:sz w:val="10"/>
                <w:szCs w:val="16"/>
                <w:lang w:val="en-US"/>
              </w:rPr>
            </w:pPr>
          </w:p>
        </w:tc>
        <w:tc>
          <w:tcPr>
            <w:tcW w:w="521" w:type="pct"/>
            <w:tcBorders>
              <w:left w:val="single" w:sz="4" w:space="0" w:color="FFC000"/>
              <w:right w:val="single" w:sz="18" w:space="0" w:color="FFC000"/>
            </w:tcBorders>
            <w:shd w:val="clear" w:color="auto" w:fill="FFFFFF" w:themeFill="background1"/>
            <w:vAlign w:val="center"/>
          </w:tcPr>
          <w:p w:rsidR="00F43416" w:rsidRPr="005744FA" w:rsidRDefault="00F43416" w:rsidP="00CE6D49">
            <w:pPr>
              <w:tabs>
                <w:tab w:val="left" w:pos="284"/>
              </w:tabs>
              <w:spacing w:after="0"/>
              <w:jc w:val="right"/>
              <w:rPr>
                <w:rFonts w:eastAsiaTheme="minorEastAsia" w:cs="Calibri"/>
                <w:i/>
                <w:sz w:val="10"/>
                <w:szCs w:val="16"/>
                <w:lang w:val="en-US"/>
              </w:rPr>
            </w:pPr>
          </w:p>
        </w:tc>
        <w:tc>
          <w:tcPr>
            <w:tcW w:w="532" w:type="pct"/>
            <w:tcBorders>
              <w:left w:val="single" w:sz="18"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jc w:val="right"/>
              <w:rPr>
                <w:rFonts w:eastAsiaTheme="minorEastAsia" w:cs="Calibri"/>
                <w:sz w:val="10"/>
                <w:szCs w:val="16"/>
                <w:lang w:val="en-US"/>
              </w:rPr>
            </w:pPr>
          </w:p>
        </w:tc>
        <w:tc>
          <w:tcPr>
            <w:tcW w:w="530" w:type="pct"/>
            <w:tcBorders>
              <w:left w:val="single" w:sz="4"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jc w:val="center"/>
              <w:rPr>
                <w:rFonts w:eastAsiaTheme="minorEastAsia" w:cs="Calibri"/>
                <w:sz w:val="10"/>
                <w:szCs w:val="16"/>
                <w:lang w:val="en-US"/>
              </w:rPr>
            </w:pPr>
          </w:p>
        </w:tc>
        <w:tc>
          <w:tcPr>
            <w:tcW w:w="449" w:type="pct"/>
            <w:tcBorders>
              <w:left w:val="single" w:sz="4"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jc w:val="right"/>
              <w:rPr>
                <w:rFonts w:eastAsiaTheme="minorEastAsia" w:cs="Calibri"/>
                <w:sz w:val="10"/>
                <w:szCs w:val="16"/>
                <w:lang w:val="en-US"/>
              </w:rPr>
            </w:pPr>
          </w:p>
        </w:tc>
      </w:tr>
      <w:tr w:rsidR="00F43416" w:rsidRPr="005744FA" w:rsidTr="00CE6D49">
        <w:trPr>
          <w:trHeight w:val="303"/>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2C502D" w:rsidRDefault="00F43416" w:rsidP="00CE6D49">
            <w:pPr>
              <w:tabs>
                <w:tab w:val="left" w:pos="284"/>
              </w:tabs>
              <w:spacing w:after="0" w:line="240" w:lineRule="auto"/>
              <w:rPr>
                <w:rFonts w:eastAsiaTheme="minorEastAsia" w:cs="Calibri"/>
                <w:sz w:val="16"/>
                <w:szCs w:val="16"/>
              </w:rPr>
            </w:pPr>
            <w:r w:rsidRPr="002C502D">
              <w:rPr>
                <w:rFonts w:ascii="Calibri" w:eastAsiaTheme="minorEastAsia" w:hAnsi="Calibri" w:cs="Calibri"/>
                <w:sz w:val="16"/>
                <w:szCs w:val="16"/>
              </w:rPr>
              <w:t>Ενεργητικό</w:t>
            </w:r>
          </w:p>
        </w:tc>
        <w:tc>
          <w:tcPr>
            <w:tcW w:w="522"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64.382</w:t>
            </w:r>
          </w:p>
        </w:tc>
        <w:tc>
          <w:tcPr>
            <w:tcW w:w="521"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60.378</w:t>
            </w:r>
          </w:p>
        </w:tc>
        <w:tc>
          <w:tcPr>
            <w:tcW w:w="521"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GB"/>
              </w:rPr>
            </w:pPr>
            <w:r w:rsidRPr="002C502D">
              <w:rPr>
                <w:rFonts w:eastAsiaTheme="minorEastAsia" w:cs="Calibri"/>
                <w:color w:val="000000" w:themeColor="text1"/>
                <w:sz w:val="16"/>
                <w:szCs w:val="16"/>
                <w:lang w:val="en-GB"/>
              </w:rPr>
              <w:t>7%</w:t>
            </w:r>
          </w:p>
        </w:tc>
        <w:tc>
          <w:tcPr>
            <w:tcW w:w="532" w:type="pct"/>
            <w:tcBorders>
              <w:left w:val="single" w:sz="18"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64.382</w:t>
            </w:r>
          </w:p>
        </w:tc>
        <w:tc>
          <w:tcPr>
            <w:tcW w:w="530"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rPr>
              <w:t>59.2</w:t>
            </w:r>
            <w:r w:rsidRPr="002C502D">
              <w:rPr>
                <w:rFonts w:eastAsiaTheme="minorEastAsia" w:cs="Calibri"/>
                <w:color w:val="000000" w:themeColor="text1"/>
                <w:sz w:val="16"/>
                <w:szCs w:val="16"/>
                <w:lang w:val="en-US"/>
              </w:rPr>
              <w:t>38</w:t>
            </w:r>
          </w:p>
        </w:tc>
        <w:tc>
          <w:tcPr>
            <w:tcW w:w="449"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sz w:val="16"/>
                <w:szCs w:val="16"/>
                <w:lang w:val="en-US"/>
              </w:rPr>
            </w:pPr>
            <w:r w:rsidRPr="002C502D">
              <w:rPr>
                <w:rFonts w:eastAsiaTheme="minorEastAsia" w:cs="Calibri"/>
                <w:sz w:val="16"/>
                <w:szCs w:val="16"/>
                <w:lang w:val="en-US"/>
              </w:rPr>
              <w:t>9%</w:t>
            </w:r>
          </w:p>
        </w:tc>
      </w:tr>
      <w:tr w:rsidR="00F43416" w:rsidRPr="005744FA" w:rsidTr="00CE6D49">
        <w:trPr>
          <w:trHeight w:val="303"/>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2C502D" w:rsidRDefault="00F43416" w:rsidP="00CE6D49">
            <w:pPr>
              <w:tabs>
                <w:tab w:val="left" w:pos="284"/>
              </w:tabs>
              <w:spacing w:after="0" w:line="240" w:lineRule="auto"/>
              <w:rPr>
                <w:rFonts w:eastAsiaTheme="minorEastAsia" w:cs="Calibri"/>
                <w:sz w:val="16"/>
                <w:szCs w:val="16"/>
              </w:rPr>
            </w:pPr>
            <w:r w:rsidRPr="002C502D">
              <w:rPr>
                <w:rFonts w:ascii="Calibri" w:eastAsiaTheme="minorEastAsia" w:hAnsi="Calibri" w:cs="Calibri"/>
                <w:sz w:val="16"/>
                <w:szCs w:val="16"/>
              </w:rPr>
              <w:t>Καταθέσεις</w:t>
            </w:r>
          </w:p>
        </w:tc>
        <w:tc>
          <w:tcPr>
            <w:tcW w:w="522"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45.706</w:t>
            </w:r>
          </w:p>
        </w:tc>
        <w:tc>
          <w:tcPr>
            <w:tcW w:w="521"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46.697</w:t>
            </w:r>
          </w:p>
        </w:tc>
        <w:tc>
          <w:tcPr>
            <w:tcW w:w="521"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-2%</w:t>
            </w:r>
          </w:p>
        </w:tc>
        <w:tc>
          <w:tcPr>
            <w:tcW w:w="532" w:type="pct"/>
            <w:tcBorders>
              <w:left w:val="single" w:sz="18"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45.706</w:t>
            </w:r>
          </w:p>
        </w:tc>
        <w:tc>
          <w:tcPr>
            <w:tcW w:w="530"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rPr>
              <w:t>4</w:t>
            </w:r>
            <w:r w:rsidRPr="002C502D">
              <w:rPr>
                <w:rFonts w:eastAsiaTheme="minorEastAsia" w:cs="Calibri"/>
                <w:color w:val="000000" w:themeColor="text1"/>
                <w:sz w:val="16"/>
                <w:szCs w:val="16"/>
                <w:lang w:val="en-US"/>
              </w:rPr>
              <w:t>4</w:t>
            </w:r>
            <w:r w:rsidRPr="002C502D">
              <w:rPr>
                <w:rFonts w:eastAsiaTheme="minorEastAsia" w:cs="Calibri"/>
                <w:color w:val="000000" w:themeColor="text1"/>
                <w:sz w:val="16"/>
                <w:szCs w:val="16"/>
              </w:rPr>
              <w:t>.</w:t>
            </w:r>
            <w:r w:rsidRPr="002C502D">
              <w:rPr>
                <w:rFonts w:eastAsiaTheme="minorEastAsia" w:cs="Calibri"/>
                <w:color w:val="000000" w:themeColor="text1"/>
                <w:sz w:val="16"/>
                <w:szCs w:val="16"/>
                <w:lang w:val="en-US"/>
              </w:rPr>
              <w:t>890</w:t>
            </w:r>
          </w:p>
        </w:tc>
        <w:tc>
          <w:tcPr>
            <w:tcW w:w="449"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sz w:val="16"/>
                <w:szCs w:val="16"/>
                <w:lang w:val="en-US"/>
              </w:rPr>
            </w:pPr>
            <w:r w:rsidRPr="002C502D">
              <w:rPr>
                <w:rFonts w:eastAsiaTheme="minorEastAsia" w:cs="Calibri"/>
                <w:sz w:val="16"/>
                <w:szCs w:val="16"/>
                <w:lang w:val="en-US"/>
              </w:rPr>
              <w:t>2%</w:t>
            </w:r>
          </w:p>
        </w:tc>
      </w:tr>
      <w:tr w:rsidR="00F43416" w:rsidRPr="005744FA" w:rsidTr="00CE6D49">
        <w:trPr>
          <w:trHeight w:val="303"/>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2C502D" w:rsidRDefault="00F43416" w:rsidP="00CE6D49">
            <w:pPr>
              <w:tabs>
                <w:tab w:val="left" w:pos="284"/>
              </w:tabs>
              <w:spacing w:after="0" w:line="240" w:lineRule="auto"/>
              <w:ind w:right="-201"/>
              <w:rPr>
                <w:rFonts w:eastAsiaTheme="minorEastAsia" w:cs="Calibri"/>
                <w:sz w:val="16"/>
                <w:szCs w:val="16"/>
                <w:vertAlign w:val="superscript"/>
              </w:rPr>
            </w:pPr>
            <w:r w:rsidRPr="002C502D">
              <w:rPr>
                <w:rFonts w:ascii="Calibri" w:eastAsiaTheme="minorEastAsia" w:hAnsi="Calibri" w:cs="Calibri"/>
                <w:sz w:val="16"/>
                <w:szCs w:val="16"/>
              </w:rPr>
              <w:t xml:space="preserve">Δάνεια προ Απομειώσεων και Προσαρμογών </w:t>
            </w:r>
          </w:p>
        </w:tc>
        <w:tc>
          <w:tcPr>
            <w:tcW w:w="522"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48.3</w:t>
            </w:r>
            <w:r>
              <w:rPr>
                <w:rFonts w:eastAsiaTheme="minorEastAsia" w:cs="Calibri"/>
                <w:color w:val="000000" w:themeColor="text1"/>
                <w:sz w:val="16"/>
                <w:szCs w:val="16"/>
              </w:rPr>
              <w:t>0</w:t>
            </w:r>
            <w:r w:rsidRPr="002C502D">
              <w:rPr>
                <w:rFonts w:eastAsiaTheme="minorEastAsia" w:cs="Calibri"/>
                <w:color w:val="000000" w:themeColor="text1"/>
                <w:sz w:val="16"/>
                <w:szCs w:val="16"/>
                <w:lang w:val="en-US"/>
              </w:rPr>
              <w:t>6</w:t>
            </w:r>
          </w:p>
        </w:tc>
        <w:tc>
          <w:tcPr>
            <w:tcW w:w="521"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48.676</w:t>
            </w:r>
          </w:p>
        </w:tc>
        <w:tc>
          <w:tcPr>
            <w:tcW w:w="521"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-1%</w:t>
            </w:r>
          </w:p>
        </w:tc>
        <w:tc>
          <w:tcPr>
            <w:tcW w:w="532" w:type="pct"/>
            <w:tcBorders>
              <w:left w:val="single" w:sz="18"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48.3</w:t>
            </w:r>
            <w:r>
              <w:rPr>
                <w:rFonts w:eastAsiaTheme="minorEastAsia" w:cs="Calibri"/>
                <w:color w:val="000000" w:themeColor="text1"/>
                <w:sz w:val="16"/>
                <w:szCs w:val="16"/>
              </w:rPr>
              <w:t>0</w:t>
            </w:r>
            <w:r w:rsidRPr="002C502D">
              <w:rPr>
                <w:rFonts w:eastAsiaTheme="minorEastAsia" w:cs="Calibri"/>
                <w:color w:val="000000" w:themeColor="text1"/>
                <w:sz w:val="16"/>
                <w:szCs w:val="16"/>
                <w:lang w:val="en-US"/>
              </w:rPr>
              <w:t>6</w:t>
            </w:r>
          </w:p>
        </w:tc>
        <w:tc>
          <w:tcPr>
            <w:tcW w:w="530"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50.757</w:t>
            </w:r>
          </w:p>
        </w:tc>
        <w:tc>
          <w:tcPr>
            <w:tcW w:w="449"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sz w:val="16"/>
                <w:szCs w:val="16"/>
                <w:lang w:val="en-US"/>
              </w:rPr>
            </w:pPr>
            <w:r w:rsidRPr="002C502D">
              <w:rPr>
                <w:rFonts w:eastAsiaTheme="minorEastAsia" w:cs="Calibri"/>
                <w:sz w:val="16"/>
                <w:szCs w:val="16"/>
                <w:lang w:val="en-US"/>
              </w:rPr>
              <w:t>-5%</w:t>
            </w:r>
          </w:p>
        </w:tc>
      </w:tr>
      <w:tr w:rsidR="00F43416" w:rsidRPr="005744FA" w:rsidTr="00CE6D49">
        <w:trPr>
          <w:trHeight w:val="303"/>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2C502D" w:rsidRDefault="00F43416" w:rsidP="00CE6D49">
            <w:pPr>
              <w:tabs>
                <w:tab w:val="left" w:pos="284"/>
              </w:tabs>
              <w:spacing w:after="0" w:line="240" w:lineRule="auto"/>
              <w:rPr>
                <w:rFonts w:eastAsiaTheme="minorEastAsia" w:cs="Calibri"/>
                <w:sz w:val="16"/>
                <w:szCs w:val="16"/>
              </w:rPr>
            </w:pPr>
            <w:r w:rsidRPr="002C502D">
              <w:rPr>
                <w:rFonts w:ascii="Calibri" w:eastAsiaTheme="minorEastAsia" w:hAnsi="Calibri" w:cs="Calibri"/>
                <w:sz w:val="16"/>
                <w:szCs w:val="16"/>
              </w:rPr>
              <w:t>Σωρευμένες Προβλέψεις</w:t>
            </w:r>
          </w:p>
        </w:tc>
        <w:tc>
          <w:tcPr>
            <w:tcW w:w="522"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10.514</w:t>
            </w:r>
          </w:p>
        </w:tc>
        <w:tc>
          <w:tcPr>
            <w:tcW w:w="521"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10.990</w:t>
            </w:r>
          </w:p>
        </w:tc>
        <w:tc>
          <w:tcPr>
            <w:tcW w:w="521"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-4%</w:t>
            </w:r>
          </w:p>
        </w:tc>
        <w:tc>
          <w:tcPr>
            <w:tcW w:w="532" w:type="pct"/>
            <w:tcBorders>
              <w:left w:val="single" w:sz="18"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10.514</w:t>
            </w:r>
          </w:p>
        </w:tc>
        <w:tc>
          <w:tcPr>
            <w:tcW w:w="530"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12.581</w:t>
            </w:r>
          </w:p>
        </w:tc>
        <w:tc>
          <w:tcPr>
            <w:tcW w:w="449"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sz w:val="16"/>
                <w:szCs w:val="16"/>
                <w:lang w:val="en-US"/>
              </w:rPr>
            </w:pPr>
            <w:r w:rsidRPr="002C502D">
              <w:rPr>
                <w:rFonts w:eastAsiaTheme="minorEastAsia" w:cs="Calibri"/>
                <w:sz w:val="16"/>
                <w:szCs w:val="16"/>
                <w:lang w:val="en-US"/>
              </w:rPr>
              <w:t>-16%</w:t>
            </w:r>
          </w:p>
        </w:tc>
      </w:tr>
      <w:tr w:rsidR="00F43416" w:rsidRPr="005744FA" w:rsidTr="00CE6D49">
        <w:trPr>
          <w:trHeight w:val="303"/>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2C502D" w:rsidRDefault="00F43416" w:rsidP="00CE6D49">
            <w:pPr>
              <w:tabs>
                <w:tab w:val="left" w:pos="284"/>
              </w:tabs>
              <w:spacing w:after="0" w:line="240" w:lineRule="auto"/>
              <w:rPr>
                <w:rFonts w:eastAsiaTheme="minorEastAsia" w:cs="Calibri"/>
                <w:sz w:val="16"/>
                <w:szCs w:val="16"/>
                <w:lang w:val="en-GB"/>
              </w:rPr>
            </w:pPr>
            <w:r w:rsidRPr="002C502D">
              <w:rPr>
                <w:rFonts w:ascii="Calibri" w:eastAsiaTheme="minorEastAsia" w:hAnsi="Calibri" w:cs="Calibri"/>
                <w:sz w:val="16"/>
                <w:szCs w:val="16"/>
              </w:rPr>
              <w:t>Σύνολο Ιδίων Κεφαλαίων</w:t>
            </w:r>
          </w:p>
        </w:tc>
        <w:tc>
          <w:tcPr>
            <w:tcW w:w="522"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7.648</w:t>
            </w:r>
          </w:p>
        </w:tc>
        <w:tc>
          <w:tcPr>
            <w:tcW w:w="521"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7.509</w:t>
            </w:r>
          </w:p>
        </w:tc>
        <w:tc>
          <w:tcPr>
            <w:tcW w:w="521"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2%</w:t>
            </w:r>
          </w:p>
        </w:tc>
        <w:tc>
          <w:tcPr>
            <w:tcW w:w="532" w:type="pct"/>
            <w:tcBorders>
              <w:left w:val="single" w:sz="18"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7.648</w:t>
            </w:r>
          </w:p>
        </w:tc>
        <w:tc>
          <w:tcPr>
            <w:tcW w:w="530"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7.651</w:t>
            </w:r>
          </w:p>
        </w:tc>
        <w:tc>
          <w:tcPr>
            <w:tcW w:w="449" w:type="pct"/>
            <w:tcBorders>
              <w:left w:val="single" w:sz="4" w:space="0" w:color="FFC000"/>
              <w:right w:val="single" w:sz="4" w:space="0" w:color="FFC000"/>
            </w:tcBorders>
            <w:shd w:val="clear" w:color="auto" w:fill="FFFFFF" w:themeFill="background1"/>
            <w:vAlign w:val="center"/>
          </w:tcPr>
          <w:p w:rsidR="00F43416" w:rsidRPr="002C502D" w:rsidRDefault="00F43416" w:rsidP="00CE6D49">
            <w:pPr>
              <w:tabs>
                <w:tab w:val="left" w:pos="284"/>
              </w:tabs>
              <w:spacing w:after="0" w:line="240" w:lineRule="auto"/>
              <w:jc w:val="right"/>
              <w:rPr>
                <w:rFonts w:eastAsiaTheme="minorEastAsia" w:cs="Calibri"/>
                <w:color w:val="000000" w:themeColor="text1"/>
                <w:sz w:val="16"/>
                <w:szCs w:val="16"/>
                <w:lang w:val="en-US"/>
              </w:rPr>
            </w:pPr>
            <w:r w:rsidRPr="002C502D">
              <w:rPr>
                <w:rFonts w:eastAsiaTheme="minorEastAsia" w:cs="Calibri"/>
                <w:color w:val="000000" w:themeColor="text1"/>
                <w:sz w:val="16"/>
                <w:szCs w:val="16"/>
                <w:lang w:val="en-US"/>
              </w:rPr>
              <w:t>0%</w:t>
            </w:r>
          </w:p>
        </w:tc>
      </w:tr>
      <w:tr w:rsidR="00F43416" w:rsidRPr="005744FA" w:rsidTr="00CE6D49">
        <w:trPr>
          <w:trHeight w:val="63"/>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2C502D" w:rsidRDefault="00F43416" w:rsidP="00CE6D49">
            <w:pPr>
              <w:tabs>
                <w:tab w:val="left" w:pos="284"/>
              </w:tabs>
              <w:spacing w:after="0" w:line="240" w:lineRule="auto"/>
              <w:rPr>
                <w:rFonts w:ascii="Calibri" w:eastAsiaTheme="minorEastAsia" w:hAnsi="Calibri" w:cs="Calibri"/>
                <w:sz w:val="16"/>
                <w:szCs w:val="16"/>
                <w:lang w:val="en-GB"/>
              </w:rPr>
            </w:pPr>
          </w:p>
        </w:tc>
        <w:tc>
          <w:tcPr>
            <w:tcW w:w="522" w:type="pct"/>
            <w:tcBorders>
              <w:left w:val="single" w:sz="4"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line="240" w:lineRule="auto"/>
              <w:jc w:val="right"/>
              <w:rPr>
                <w:rFonts w:eastAsiaTheme="minorEastAsia" w:cs="Calibri"/>
                <w:color w:val="000000" w:themeColor="text1"/>
                <w:sz w:val="16"/>
                <w:szCs w:val="16"/>
                <w:lang w:val="en-US"/>
              </w:rPr>
            </w:pPr>
          </w:p>
        </w:tc>
        <w:tc>
          <w:tcPr>
            <w:tcW w:w="521" w:type="pct"/>
            <w:tcBorders>
              <w:left w:val="single" w:sz="4"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line="240" w:lineRule="auto"/>
              <w:jc w:val="right"/>
              <w:rPr>
                <w:rFonts w:eastAsiaTheme="minorEastAsia" w:cs="Calibri"/>
                <w:color w:val="000000" w:themeColor="text1"/>
                <w:sz w:val="16"/>
                <w:szCs w:val="16"/>
                <w:lang w:val="en-US"/>
              </w:rPr>
            </w:pPr>
          </w:p>
        </w:tc>
        <w:tc>
          <w:tcPr>
            <w:tcW w:w="521" w:type="pct"/>
            <w:tcBorders>
              <w:left w:val="single" w:sz="4" w:space="0" w:color="FFC000"/>
              <w:right w:val="single" w:sz="18" w:space="0" w:color="FFC000"/>
            </w:tcBorders>
            <w:shd w:val="clear" w:color="auto" w:fill="FFFFFF" w:themeFill="background1"/>
            <w:vAlign w:val="center"/>
          </w:tcPr>
          <w:p w:rsidR="00F43416" w:rsidRPr="005744FA" w:rsidRDefault="00F43416" w:rsidP="00CE6D49">
            <w:pPr>
              <w:tabs>
                <w:tab w:val="left" w:pos="284"/>
              </w:tabs>
              <w:spacing w:after="0" w:line="240" w:lineRule="auto"/>
              <w:jc w:val="right"/>
              <w:rPr>
                <w:rFonts w:eastAsiaTheme="minorEastAsia" w:cs="Calibri"/>
                <w:sz w:val="16"/>
                <w:szCs w:val="16"/>
                <w:lang w:val="en-US"/>
              </w:rPr>
            </w:pPr>
          </w:p>
        </w:tc>
        <w:tc>
          <w:tcPr>
            <w:tcW w:w="532" w:type="pct"/>
            <w:tcBorders>
              <w:left w:val="single" w:sz="18"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line="240" w:lineRule="auto"/>
              <w:jc w:val="right"/>
              <w:rPr>
                <w:rFonts w:eastAsiaTheme="minorEastAsia" w:cs="Calibri"/>
                <w:sz w:val="16"/>
                <w:szCs w:val="16"/>
                <w:lang w:val="en-US"/>
              </w:rPr>
            </w:pPr>
          </w:p>
        </w:tc>
        <w:tc>
          <w:tcPr>
            <w:tcW w:w="530" w:type="pct"/>
            <w:tcBorders>
              <w:left w:val="single" w:sz="4"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line="240" w:lineRule="auto"/>
              <w:jc w:val="center"/>
              <w:rPr>
                <w:rFonts w:eastAsiaTheme="minorEastAsia" w:cs="Calibri"/>
                <w:sz w:val="16"/>
                <w:szCs w:val="16"/>
                <w:lang w:val="en-US"/>
              </w:rPr>
            </w:pPr>
          </w:p>
        </w:tc>
        <w:tc>
          <w:tcPr>
            <w:tcW w:w="449" w:type="pct"/>
            <w:tcBorders>
              <w:left w:val="single" w:sz="4"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line="240" w:lineRule="auto"/>
              <w:jc w:val="right"/>
              <w:rPr>
                <w:rFonts w:eastAsiaTheme="minorEastAsia" w:cs="Calibri"/>
                <w:sz w:val="16"/>
                <w:szCs w:val="16"/>
                <w:lang w:val="en-US"/>
              </w:rPr>
            </w:pPr>
          </w:p>
        </w:tc>
      </w:tr>
      <w:tr w:rsidR="00F43416" w:rsidRPr="005744FA" w:rsidTr="00CE6D49">
        <w:trPr>
          <w:trHeight w:val="419"/>
        </w:trPr>
        <w:tc>
          <w:tcPr>
            <w:tcW w:w="1925" w:type="pct"/>
            <w:tcBorders>
              <w:left w:val="single" w:sz="4" w:space="0" w:color="FFC000"/>
            </w:tcBorders>
            <w:shd w:val="clear" w:color="auto" w:fill="DCDCD7"/>
            <w:tcMar>
              <w:right w:w="113" w:type="dxa"/>
            </w:tcMar>
            <w:vAlign w:val="center"/>
          </w:tcPr>
          <w:p w:rsidR="00F43416" w:rsidRPr="002C502D" w:rsidRDefault="00F43416" w:rsidP="00CE6D49">
            <w:pPr>
              <w:tabs>
                <w:tab w:val="left" w:pos="284"/>
              </w:tabs>
              <w:spacing w:after="0"/>
              <w:jc w:val="both"/>
              <w:rPr>
                <w:rFonts w:eastAsiaTheme="minorEastAsia" w:cs="Calibri"/>
                <w:color w:val="003C96" w:themeColor="text2"/>
                <w:sz w:val="16"/>
                <w:szCs w:val="16"/>
                <w:lang w:val="en-GB"/>
              </w:rPr>
            </w:pPr>
            <w:r w:rsidRPr="002C502D">
              <w:rPr>
                <w:rFonts w:ascii="Calibri" w:eastAsiaTheme="minorEastAsia" w:hAnsi="Calibri" w:cs="Calibri"/>
                <w:color w:val="003C96" w:themeColor="text2"/>
                <w:sz w:val="16"/>
                <w:szCs w:val="16"/>
              </w:rPr>
              <w:t>Επιλεγμένα Αποτελέσματα</w:t>
            </w:r>
          </w:p>
        </w:tc>
        <w:tc>
          <w:tcPr>
            <w:tcW w:w="522" w:type="pct"/>
            <w:shd w:val="clear" w:color="auto" w:fill="DCDCD7"/>
            <w:vAlign w:val="center"/>
          </w:tcPr>
          <w:p w:rsidR="00F43416" w:rsidRPr="005744FA" w:rsidRDefault="00F43416" w:rsidP="00CE6D49">
            <w:pPr>
              <w:tabs>
                <w:tab w:val="left" w:pos="284"/>
              </w:tabs>
              <w:spacing w:after="0"/>
              <w:jc w:val="right"/>
              <w:rPr>
                <w:rFonts w:eastAsiaTheme="minorEastAsia" w:cs="Calibri"/>
                <w:color w:val="003C96" w:themeColor="text2"/>
                <w:sz w:val="16"/>
                <w:szCs w:val="16"/>
                <w:lang w:val="en-GB"/>
              </w:rPr>
            </w:pPr>
            <w:r>
              <w:rPr>
                <w:rFonts w:ascii="Calibri" w:eastAsiaTheme="minorEastAsia" w:hAnsi="Calibri" w:cs="Calibri"/>
                <w:color w:val="003C96" w:themeColor="text2"/>
                <w:sz w:val="16"/>
                <w:szCs w:val="16"/>
              </w:rPr>
              <w:t>2</w:t>
            </w:r>
            <w:r w:rsidRPr="006468C0">
              <w:rPr>
                <w:rFonts w:ascii="Calibri" w:eastAsiaTheme="minorEastAsia" w:hAnsi="Calibri" w:cs="Calibri"/>
                <w:color w:val="003C96" w:themeColor="text2"/>
                <w:sz w:val="16"/>
                <w:szCs w:val="16"/>
                <w:vertAlign w:val="superscript"/>
              </w:rPr>
              <w:t>ο</w:t>
            </w:r>
            <w:r>
              <w:rPr>
                <w:rFonts w:ascii="Calibri" w:eastAsiaTheme="minorEastAsia" w:hAnsi="Calibri" w:cs="Calibri"/>
                <w:color w:val="003C96" w:themeColor="text2"/>
                <w:sz w:val="16"/>
                <w:szCs w:val="16"/>
              </w:rPr>
              <w:t xml:space="preserve"> 3μ </w:t>
            </w:r>
            <w:r>
              <w:rPr>
                <w:rFonts w:ascii="Calibri" w:eastAsiaTheme="minorEastAsia" w:hAnsi="Calibri" w:cs="Calibri"/>
                <w:color w:val="003C96" w:themeColor="text2"/>
                <w:sz w:val="16"/>
                <w:szCs w:val="16"/>
                <w:lang w:val="en-GB"/>
              </w:rPr>
              <w:t>2020</w:t>
            </w:r>
          </w:p>
        </w:tc>
        <w:tc>
          <w:tcPr>
            <w:tcW w:w="521" w:type="pct"/>
            <w:shd w:val="clear" w:color="auto" w:fill="DCDCD7"/>
            <w:vAlign w:val="center"/>
          </w:tcPr>
          <w:p w:rsidR="00F43416" w:rsidRPr="005744FA" w:rsidRDefault="00F43416" w:rsidP="00CE6D49">
            <w:pPr>
              <w:tabs>
                <w:tab w:val="left" w:pos="284"/>
              </w:tabs>
              <w:spacing w:after="0"/>
              <w:jc w:val="center"/>
              <w:rPr>
                <w:rFonts w:eastAsiaTheme="minorEastAsia" w:cs="Calibri"/>
                <w:color w:val="003C96" w:themeColor="text2"/>
                <w:sz w:val="16"/>
                <w:szCs w:val="16"/>
                <w:lang w:val="en-GB"/>
              </w:rPr>
            </w:pPr>
            <w:r>
              <w:rPr>
                <w:rFonts w:eastAsiaTheme="minorEastAsia" w:cs="Calibri"/>
                <w:color w:val="003C96" w:themeColor="text2"/>
                <w:sz w:val="16"/>
                <w:szCs w:val="16"/>
              </w:rPr>
              <w:t>1</w:t>
            </w:r>
            <w:r w:rsidRPr="006468C0">
              <w:rPr>
                <w:rFonts w:eastAsiaTheme="minorEastAsia" w:cs="Calibri"/>
                <w:color w:val="003C96" w:themeColor="text2"/>
                <w:sz w:val="16"/>
                <w:szCs w:val="16"/>
                <w:vertAlign w:val="superscript"/>
              </w:rPr>
              <w:t>ο</w:t>
            </w:r>
            <w:r>
              <w:rPr>
                <w:rFonts w:eastAsiaTheme="minorEastAsia" w:cs="Calibri"/>
                <w:color w:val="003C96" w:themeColor="text2"/>
                <w:sz w:val="16"/>
                <w:szCs w:val="16"/>
              </w:rPr>
              <w:t xml:space="preserve"> 3μ</w:t>
            </w:r>
            <w:r>
              <w:rPr>
                <w:rFonts w:eastAsiaTheme="minorEastAsia" w:cs="Calibri"/>
                <w:color w:val="003C96" w:themeColor="text2"/>
                <w:sz w:val="16"/>
                <w:szCs w:val="16"/>
                <w:lang w:val="en-GB"/>
              </w:rPr>
              <w:t xml:space="preserve"> 2020</w:t>
            </w:r>
          </w:p>
        </w:tc>
        <w:tc>
          <w:tcPr>
            <w:tcW w:w="521" w:type="pct"/>
            <w:tcBorders>
              <w:right w:val="single" w:sz="18" w:space="0" w:color="FFC000"/>
            </w:tcBorders>
            <w:shd w:val="clear" w:color="auto" w:fill="DCDCD7"/>
            <w:vAlign w:val="center"/>
          </w:tcPr>
          <w:p w:rsidR="00F43416" w:rsidRDefault="00F43416" w:rsidP="00CE6D49">
            <w:pPr>
              <w:tabs>
                <w:tab w:val="left" w:pos="284"/>
              </w:tabs>
              <w:spacing w:after="0"/>
              <w:jc w:val="center"/>
              <w:rPr>
                <w:rFonts w:ascii="Calibri" w:eastAsiaTheme="minorEastAsia" w:hAnsi="Calibri" w:cs="Calibri"/>
                <w:color w:val="003C96" w:themeColor="text2"/>
                <w:sz w:val="16"/>
                <w:szCs w:val="16"/>
              </w:rPr>
            </w:pPr>
            <w:r w:rsidRPr="005744FA">
              <w:rPr>
                <w:rFonts w:ascii="Calibri" w:eastAsiaTheme="minorEastAsia" w:hAnsi="Calibri" w:cs="Calibri"/>
                <w:color w:val="003C96" w:themeColor="text2"/>
                <w:sz w:val="16"/>
                <w:szCs w:val="16"/>
              </w:rPr>
              <w:t xml:space="preserve">Δ </w:t>
            </w:r>
            <w:r>
              <w:rPr>
                <w:rFonts w:ascii="Calibri" w:eastAsiaTheme="minorEastAsia" w:hAnsi="Calibri" w:cs="Calibri"/>
                <w:color w:val="003C96" w:themeColor="text2"/>
                <w:sz w:val="16"/>
                <w:szCs w:val="16"/>
              </w:rPr>
              <w:t>%</w:t>
            </w:r>
          </w:p>
          <w:p w:rsidR="00F43416" w:rsidRPr="00C95B4B" w:rsidRDefault="00F43416" w:rsidP="00CE6D49">
            <w:pPr>
              <w:tabs>
                <w:tab w:val="left" w:pos="284"/>
              </w:tabs>
              <w:spacing w:after="0"/>
              <w:jc w:val="center"/>
              <w:rPr>
                <w:rFonts w:eastAsiaTheme="minorEastAsia" w:cs="Calibri"/>
                <w:color w:val="003C96" w:themeColor="text2"/>
                <w:sz w:val="16"/>
                <w:szCs w:val="16"/>
                <w:lang w:val="en-US"/>
              </w:rPr>
            </w:pPr>
            <w:r w:rsidRPr="009763E1">
              <w:rPr>
                <w:rFonts w:ascii="Calibri" w:eastAsiaTheme="minorEastAsia" w:hAnsi="Calibri" w:cs="Calibri"/>
                <w:color w:val="003C96" w:themeColor="text2"/>
                <w:sz w:val="14"/>
                <w:szCs w:val="14"/>
              </w:rPr>
              <w:t>τριμην</w:t>
            </w:r>
            <w:r>
              <w:rPr>
                <w:rFonts w:ascii="Calibri" w:eastAsiaTheme="minorEastAsia" w:hAnsi="Calibri" w:cs="Calibri"/>
                <w:color w:val="003C96" w:themeColor="text2"/>
                <w:sz w:val="14"/>
                <w:szCs w:val="14"/>
              </w:rPr>
              <w:t>ι</w:t>
            </w:r>
            <w:r w:rsidRPr="009763E1">
              <w:rPr>
                <w:rFonts w:ascii="Calibri" w:eastAsiaTheme="minorEastAsia" w:hAnsi="Calibri" w:cs="Calibri"/>
                <w:color w:val="003C96" w:themeColor="text2"/>
                <w:sz w:val="14"/>
                <w:szCs w:val="14"/>
              </w:rPr>
              <w:t>α</w:t>
            </w:r>
            <w:r>
              <w:rPr>
                <w:rFonts w:ascii="Calibri" w:eastAsiaTheme="minorEastAsia" w:hAnsi="Calibri" w:cs="Calibri"/>
                <w:color w:val="003C96" w:themeColor="text2"/>
                <w:sz w:val="14"/>
                <w:szCs w:val="14"/>
              </w:rPr>
              <w:t>ί</w:t>
            </w:r>
            <w:r w:rsidRPr="009763E1">
              <w:rPr>
                <w:rFonts w:ascii="Calibri" w:eastAsiaTheme="minorEastAsia" w:hAnsi="Calibri" w:cs="Calibri"/>
                <w:color w:val="003C96" w:themeColor="text2"/>
                <w:sz w:val="14"/>
                <w:szCs w:val="14"/>
              </w:rPr>
              <w:t>ως</w:t>
            </w:r>
          </w:p>
        </w:tc>
        <w:tc>
          <w:tcPr>
            <w:tcW w:w="532" w:type="pct"/>
            <w:tcBorders>
              <w:left w:val="single" w:sz="18" w:space="0" w:color="FFC000"/>
            </w:tcBorders>
            <w:shd w:val="clear" w:color="auto" w:fill="DCDCD7"/>
            <w:vAlign w:val="center"/>
          </w:tcPr>
          <w:p w:rsidR="00F43416" w:rsidRPr="00F72352" w:rsidRDefault="00F43416" w:rsidP="00CE6D49">
            <w:pPr>
              <w:tabs>
                <w:tab w:val="left" w:pos="284"/>
              </w:tabs>
              <w:spacing w:after="0"/>
              <w:jc w:val="center"/>
              <w:rPr>
                <w:rFonts w:eastAsiaTheme="minorEastAsia" w:cs="Calibri"/>
                <w:color w:val="003C96" w:themeColor="text2"/>
                <w:sz w:val="16"/>
                <w:szCs w:val="16"/>
              </w:rPr>
            </w:pPr>
            <w:r>
              <w:rPr>
                <w:rFonts w:ascii="Calibri" w:eastAsiaTheme="minorEastAsia" w:hAnsi="Calibri" w:cs="Calibri"/>
                <w:color w:val="003C96" w:themeColor="text2"/>
                <w:sz w:val="16"/>
                <w:szCs w:val="16"/>
                <w:lang w:val="en-US"/>
              </w:rPr>
              <w:t>1</w:t>
            </w:r>
            <w:r w:rsidRPr="00F72352">
              <w:rPr>
                <w:rFonts w:ascii="Calibri" w:eastAsiaTheme="minorEastAsia" w:hAnsi="Calibri" w:cs="Calibri"/>
                <w:color w:val="003C96" w:themeColor="text2"/>
                <w:sz w:val="16"/>
                <w:szCs w:val="16"/>
                <w:vertAlign w:val="superscript"/>
                <w:lang w:val="en-US"/>
              </w:rPr>
              <w:t>o</w:t>
            </w:r>
            <w:r>
              <w:rPr>
                <w:rFonts w:ascii="Calibri" w:eastAsiaTheme="minorEastAsia" w:hAnsi="Calibri" w:cs="Calibri"/>
                <w:color w:val="003C96" w:themeColor="text2"/>
                <w:sz w:val="16"/>
                <w:szCs w:val="16"/>
                <w:lang w:val="en-US"/>
              </w:rPr>
              <w:t xml:space="preserve"> 6</w:t>
            </w:r>
            <w:r>
              <w:rPr>
                <w:rFonts w:ascii="Calibri" w:eastAsiaTheme="minorEastAsia" w:hAnsi="Calibri" w:cs="Calibri"/>
                <w:color w:val="003C96" w:themeColor="text2"/>
                <w:sz w:val="16"/>
                <w:szCs w:val="16"/>
              </w:rPr>
              <w:t>μ 2020</w:t>
            </w:r>
          </w:p>
        </w:tc>
        <w:tc>
          <w:tcPr>
            <w:tcW w:w="530" w:type="pct"/>
            <w:shd w:val="clear" w:color="auto" w:fill="DCDCD7"/>
            <w:vAlign w:val="center"/>
          </w:tcPr>
          <w:p w:rsidR="00F43416" w:rsidRDefault="00F43416" w:rsidP="00CE6D49">
            <w:pPr>
              <w:tabs>
                <w:tab w:val="left" w:pos="284"/>
              </w:tabs>
              <w:spacing w:after="0"/>
              <w:jc w:val="center"/>
              <w:rPr>
                <w:rFonts w:ascii="Calibri" w:eastAsiaTheme="minorEastAsia" w:hAnsi="Calibri" w:cs="Calibri"/>
                <w:color w:val="003C96" w:themeColor="text2"/>
                <w:sz w:val="16"/>
                <w:szCs w:val="16"/>
              </w:rPr>
            </w:pPr>
            <w:r>
              <w:rPr>
                <w:rFonts w:ascii="Calibri" w:eastAsiaTheme="minorEastAsia" w:hAnsi="Calibri" w:cs="Calibri"/>
                <w:color w:val="003C96" w:themeColor="text2"/>
                <w:sz w:val="16"/>
                <w:szCs w:val="16"/>
              </w:rPr>
              <w:t>1</w:t>
            </w:r>
            <w:r w:rsidRPr="00F72352">
              <w:rPr>
                <w:rFonts w:ascii="Calibri" w:eastAsiaTheme="minorEastAsia" w:hAnsi="Calibri" w:cs="Calibri"/>
                <w:color w:val="003C96" w:themeColor="text2"/>
                <w:sz w:val="16"/>
                <w:szCs w:val="16"/>
                <w:vertAlign w:val="superscript"/>
              </w:rPr>
              <w:t>ο</w:t>
            </w:r>
            <w:r>
              <w:rPr>
                <w:rFonts w:ascii="Calibri" w:eastAsiaTheme="minorEastAsia" w:hAnsi="Calibri" w:cs="Calibri"/>
                <w:color w:val="003C96" w:themeColor="text2"/>
                <w:sz w:val="16"/>
                <w:szCs w:val="16"/>
              </w:rPr>
              <w:t xml:space="preserve"> 6</w:t>
            </w:r>
            <w:r>
              <w:rPr>
                <w:rFonts w:ascii="Calibri" w:eastAsiaTheme="minorEastAsia" w:hAnsi="Calibri" w:cs="Calibri"/>
                <w:color w:val="003C96" w:themeColor="text2"/>
                <w:sz w:val="16"/>
                <w:szCs w:val="16"/>
                <w:lang w:val="en-US"/>
              </w:rPr>
              <w:t>μ</w:t>
            </w:r>
            <w:r>
              <w:rPr>
                <w:rFonts w:ascii="Calibri" w:eastAsiaTheme="minorEastAsia" w:hAnsi="Calibri" w:cs="Calibri"/>
                <w:color w:val="003C96" w:themeColor="text2"/>
                <w:sz w:val="16"/>
                <w:szCs w:val="16"/>
              </w:rPr>
              <w:t xml:space="preserve"> 2019</w:t>
            </w:r>
          </w:p>
        </w:tc>
        <w:tc>
          <w:tcPr>
            <w:tcW w:w="449" w:type="pct"/>
            <w:shd w:val="clear" w:color="auto" w:fill="DCDCD7"/>
            <w:vAlign w:val="center"/>
          </w:tcPr>
          <w:p w:rsidR="00F43416" w:rsidRDefault="00F43416" w:rsidP="00CE6D49">
            <w:pPr>
              <w:tabs>
                <w:tab w:val="left" w:pos="284"/>
              </w:tabs>
              <w:spacing w:after="0"/>
              <w:jc w:val="center"/>
              <w:rPr>
                <w:rFonts w:ascii="Calibri" w:eastAsiaTheme="minorEastAsia" w:hAnsi="Calibri" w:cs="Calibri"/>
                <w:color w:val="003C96" w:themeColor="text2"/>
                <w:sz w:val="16"/>
                <w:szCs w:val="16"/>
              </w:rPr>
            </w:pPr>
            <w:r>
              <w:rPr>
                <w:rFonts w:ascii="Calibri" w:eastAsiaTheme="minorEastAsia" w:hAnsi="Calibri" w:cs="Calibri"/>
                <w:color w:val="003C96" w:themeColor="text2"/>
                <w:sz w:val="16"/>
                <w:szCs w:val="16"/>
              </w:rPr>
              <w:t>Δ%</w:t>
            </w:r>
          </w:p>
          <w:p w:rsidR="00F43416" w:rsidRPr="006468C0" w:rsidRDefault="00F43416" w:rsidP="00CE6D49">
            <w:pPr>
              <w:tabs>
                <w:tab w:val="left" w:pos="284"/>
              </w:tabs>
              <w:spacing w:after="0"/>
              <w:jc w:val="center"/>
              <w:rPr>
                <w:rFonts w:eastAsiaTheme="minorEastAsia" w:cs="Calibri"/>
                <w:color w:val="003C96" w:themeColor="text2"/>
                <w:sz w:val="14"/>
                <w:szCs w:val="14"/>
              </w:rPr>
            </w:pPr>
            <w:r w:rsidRPr="006468C0">
              <w:rPr>
                <w:rFonts w:ascii="Calibri" w:eastAsiaTheme="minorEastAsia" w:hAnsi="Calibri" w:cs="Calibri"/>
                <w:color w:val="003C96" w:themeColor="text2"/>
                <w:sz w:val="14"/>
                <w:szCs w:val="14"/>
                <w:lang w:val="en-US"/>
              </w:rPr>
              <w:t>ετησ</w:t>
            </w:r>
            <w:r w:rsidRPr="006468C0">
              <w:rPr>
                <w:rFonts w:ascii="Calibri" w:eastAsiaTheme="minorEastAsia" w:hAnsi="Calibri" w:cs="Calibri"/>
                <w:color w:val="003C96" w:themeColor="text2"/>
                <w:sz w:val="14"/>
                <w:szCs w:val="14"/>
              </w:rPr>
              <w:t>ίως</w:t>
            </w:r>
          </w:p>
        </w:tc>
      </w:tr>
      <w:tr w:rsidR="00F43416" w:rsidRPr="005744FA" w:rsidTr="00CE6D49">
        <w:trPr>
          <w:trHeight w:val="142"/>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5744FA" w:rsidRDefault="00F43416" w:rsidP="00CE6D49">
            <w:pPr>
              <w:tabs>
                <w:tab w:val="left" w:pos="284"/>
              </w:tabs>
              <w:spacing w:after="0"/>
              <w:rPr>
                <w:rFonts w:eastAsiaTheme="minorEastAsia" w:cs="Calibri"/>
                <w:sz w:val="10"/>
                <w:szCs w:val="16"/>
              </w:rPr>
            </w:pPr>
          </w:p>
        </w:tc>
        <w:tc>
          <w:tcPr>
            <w:tcW w:w="522" w:type="pct"/>
            <w:tcBorders>
              <w:left w:val="single" w:sz="4"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jc w:val="right"/>
              <w:rPr>
                <w:rFonts w:eastAsiaTheme="minorEastAsia" w:cs="Calibri"/>
                <w:sz w:val="10"/>
                <w:szCs w:val="16"/>
              </w:rPr>
            </w:pPr>
          </w:p>
        </w:tc>
        <w:tc>
          <w:tcPr>
            <w:tcW w:w="521" w:type="pct"/>
            <w:tcBorders>
              <w:left w:val="single" w:sz="4"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jc w:val="right"/>
              <w:rPr>
                <w:rFonts w:eastAsiaTheme="minorEastAsia" w:cs="Calibri"/>
                <w:sz w:val="10"/>
                <w:szCs w:val="16"/>
              </w:rPr>
            </w:pPr>
          </w:p>
        </w:tc>
        <w:tc>
          <w:tcPr>
            <w:tcW w:w="521" w:type="pct"/>
            <w:tcBorders>
              <w:left w:val="single" w:sz="4" w:space="0" w:color="FFC000"/>
              <w:right w:val="single" w:sz="18" w:space="0" w:color="FFC000"/>
            </w:tcBorders>
            <w:shd w:val="clear" w:color="auto" w:fill="FFFFFF" w:themeFill="background1"/>
            <w:vAlign w:val="center"/>
          </w:tcPr>
          <w:p w:rsidR="00F43416" w:rsidRPr="005744FA" w:rsidRDefault="00F43416" w:rsidP="00CE6D49">
            <w:pPr>
              <w:tabs>
                <w:tab w:val="left" w:pos="284"/>
              </w:tabs>
              <w:spacing w:after="0"/>
              <w:jc w:val="right"/>
              <w:rPr>
                <w:rFonts w:eastAsiaTheme="minorEastAsia" w:cs="Calibri"/>
                <w:color w:val="000000" w:themeColor="text1"/>
                <w:sz w:val="10"/>
                <w:szCs w:val="16"/>
              </w:rPr>
            </w:pPr>
          </w:p>
        </w:tc>
        <w:tc>
          <w:tcPr>
            <w:tcW w:w="532" w:type="pct"/>
            <w:tcBorders>
              <w:left w:val="single" w:sz="18"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jc w:val="right"/>
              <w:rPr>
                <w:rFonts w:eastAsiaTheme="minorEastAsia" w:cs="Calibri"/>
                <w:sz w:val="10"/>
                <w:szCs w:val="16"/>
              </w:rPr>
            </w:pPr>
          </w:p>
        </w:tc>
        <w:tc>
          <w:tcPr>
            <w:tcW w:w="530" w:type="pct"/>
            <w:tcBorders>
              <w:left w:val="single" w:sz="4"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jc w:val="center"/>
              <w:rPr>
                <w:rFonts w:eastAsiaTheme="minorEastAsia" w:cs="Calibri"/>
                <w:sz w:val="10"/>
                <w:szCs w:val="16"/>
              </w:rPr>
            </w:pPr>
          </w:p>
        </w:tc>
        <w:tc>
          <w:tcPr>
            <w:tcW w:w="449" w:type="pct"/>
            <w:tcBorders>
              <w:left w:val="single" w:sz="4"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jc w:val="right"/>
              <w:rPr>
                <w:rFonts w:eastAsiaTheme="minorEastAsia" w:cs="Calibri"/>
                <w:sz w:val="10"/>
                <w:szCs w:val="16"/>
              </w:rPr>
            </w:pPr>
          </w:p>
        </w:tc>
      </w:tr>
      <w:tr w:rsidR="00F43416" w:rsidRPr="005744FA" w:rsidTr="00CE6D49">
        <w:trPr>
          <w:trHeight w:val="280"/>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7316DD" w:rsidRDefault="00F43416" w:rsidP="00CE6D49">
            <w:pPr>
              <w:tabs>
                <w:tab w:val="left" w:pos="284"/>
              </w:tabs>
              <w:spacing w:after="0"/>
              <w:rPr>
                <w:rFonts w:eastAsiaTheme="minorEastAsia" w:cs="Calibri"/>
                <w:sz w:val="16"/>
                <w:szCs w:val="16"/>
              </w:rPr>
            </w:pPr>
            <w:r w:rsidRPr="007316DD">
              <w:rPr>
                <w:rFonts w:ascii="Calibri" w:eastAsiaTheme="minorEastAsia" w:hAnsi="Calibri" w:cs="Calibri"/>
                <w:sz w:val="16"/>
                <w:szCs w:val="16"/>
              </w:rPr>
              <w:t>Καθαρά Έσοδα Τόκων</w:t>
            </w:r>
          </w:p>
        </w:tc>
        <w:tc>
          <w:tcPr>
            <w:tcW w:w="522" w:type="pct"/>
            <w:tcBorders>
              <w:left w:val="single" w:sz="4" w:space="0" w:color="FFC000"/>
              <w:right w:val="single" w:sz="4" w:space="0" w:color="FFC000"/>
            </w:tcBorders>
            <w:shd w:val="clear" w:color="auto" w:fill="FFFFFF" w:themeFill="background1"/>
            <w:vAlign w:val="center"/>
          </w:tcPr>
          <w:p w:rsidR="00F43416" w:rsidRPr="002D26E9"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rPr>
              <w:t>3</w:t>
            </w:r>
            <w:r>
              <w:rPr>
                <w:rFonts w:eastAsiaTheme="minorEastAsia" w:cs="Calibri"/>
                <w:sz w:val="16"/>
                <w:szCs w:val="16"/>
                <w:lang w:val="en-US"/>
              </w:rPr>
              <w:t>67</w:t>
            </w:r>
          </w:p>
        </w:tc>
        <w:tc>
          <w:tcPr>
            <w:tcW w:w="521"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0000" w:themeColor="text1"/>
                <w:sz w:val="16"/>
                <w:szCs w:val="16"/>
                <w:lang w:val="en-US"/>
              </w:rPr>
            </w:pPr>
            <w:r>
              <w:rPr>
                <w:rFonts w:eastAsiaTheme="minorEastAsia" w:cs="Calibri"/>
                <w:color w:val="000000" w:themeColor="text1"/>
                <w:sz w:val="16"/>
                <w:szCs w:val="16"/>
                <w:lang w:val="en-US"/>
              </w:rPr>
              <w:t>360</w:t>
            </w:r>
          </w:p>
        </w:tc>
        <w:tc>
          <w:tcPr>
            <w:tcW w:w="521" w:type="pct"/>
            <w:tcBorders>
              <w:left w:val="single" w:sz="4"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2</w:t>
            </w:r>
            <w:r w:rsidRPr="005744FA">
              <w:rPr>
                <w:rFonts w:eastAsiaTheme="minorEastAsia" w:cs="Calibri"/>
                <w:sz w:val="16"/>
                <w:szCs w:val="16"/>
                <w:lang w:val="en-US"/>
              </w:rPr>
              <w:t>%</w:t>
            </w:r>
          </w:p>
        </w:tc>
        <w:tc>
          <w:tcPr>
            <w:tcW w:w="532" w:type="pct"/>
            <w:tcBorders>
              <w:left w:val="single" w:sz="18"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727</w:t>
            </w:r>
          </w:p>
        </w:tc>
        <w:tc>
          <w:tcPr>
            <w:tcW w:w="530" w:type="pct"/>
            <w:tcBorders>
              <w:left w:val="single" w:sz="4"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719</w:t>
            </w:r>
          </w:p>
        </w:tc>
        <w:tc>
          <w:tcPr>
            <w:tcW w:w="449" w:type="pct"/>
            <w:tcBorders>
              <w:left w:val="single" w:sz="4" w:space="0" w:color="FFC000"/>
              <w:right w:val="single" w:sz="4" w:space="0" w:color="FFC000"/>
            </w:tcBorders>
            <w:shd w:val="clear" w:color="auto" w:fill="FFFFFF" w:themeFill="background1"/>
            <w:vAlign w:val="center"/>
          </w:tcPr>
          <w:p w:rsidR="00F43416"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1%</w:t>
            </w:r>
          </w:p>
        </w:tc>
      </w:tr>
      <w:tr w:rsidR="00F43416" w:rsidRPr="005744FA" w:rsidTr="00CE6D49">
        <w:trPr>
          <w:trHeight w:val="280"/>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7316DD" w:rsidRDefault="00F43416" w:rsidP="00CE6D49">
            <w:pPr>
              <w:tabs>
                <w:tab w:val="left" w:pos="284"/>
              </w:tabs>
              <w:spacing w:after="0"/>
              <w:rPr>
                <w:rFonts w:eastAsiaTheme="minorEastAsia" w:cs="Calibri"/>
                <w:sz w:val="16"/>
                <w:szCs w:val="16"/>
              </w:rPr>
            </w:pPr>
            <w:r w:rsidRPr="007316DD">
              <w:rPr>
                <w:rFonts w:ascii="Calibri" w:eastAsiaTheme="minorEastAsia" w:hAnsi="Calibri" w:cs="Calibri"/>
                <w:sz w:val="16"/>
                <w:szCs w:val="16"/>
              </w:rPr>
              <w:t xml:space="preserve">Καθαρά Έσοδα Προμηθειών </w:t>
            </w:r>
          </w:p>
        </w:tc>
        <w:tc>
          <w:tcPr>
            <w:tcW w:w="522" w:type="pct"/>
            <w:tcBorders>
              <w:left w:val="single" w:sz="4" w:space="0" w:color="FFC000"/>
              <w:right w:val="single" w:sz="4" w:space="0" w:color="FFC000"/>
            </w:tcBorders>
            <w:shd w:val="clear" w:color="auto" w:fill="FFFFFF" w:themeFill="background1"/>
            <w:vAlign w:val="center"/>
          </w:tcPr>
          <w:p w:rsidR="00F43416" w:rsidRPr="00B815B3"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80</w:t>
            </w:r>
          </w:p>
        </w:tc>
        <w:tc>
          <w:tcPr>
            <w:tcW w:w="521" w:type="pct"/>
            <w:tcBorders>
              <w:left w:val="single" w:sz="4"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jc w:val="right"/>
              <w:rPr>
                <w:rFonts w:eastAsiaTheme="minorEastAsia" w:cs="Calibri"/>
                <w:color w:val="000000" w:themeColor="text1"/>
                <w:sz w:val="16"/>
                <w:szCs w:val="16"/>
                <w:lang w:val="en-US"/>
              </w:rPr>
            </w:pPr>
            <w:r>
              <w:rPr>
                <w:rFonts w:eastAsiaTheme="minorEastAsia" w:cs="Calibri"/>
                <w:color w:val="000000" w:themeColor="text1"/>
                <w:sz w:val="16"/>
                <w:szCs w:val="16"/>
                <w:lang w:val="en-US"/>
              </w:rPr>
              <w:t>71</w:t>
            </w:r>
          </w:p>
        </w:tc>
        <w:tc>
          <w:tcPr>
            <w:tcW w:w="521" w:type="pct"/>
            <w:tcBorders>
              <w:left w:val="single" w:sz="4"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12</w:t>
            </w:r>
            <w:r w:rsidRPr="005744FA">
              <w:rPr>
                <w:rFonts w:eastAsiaTheme="minorEastAsia" w:cs="Calibri"/>
                <w:sz w:val="16"/>
                <w:szCs w:val="16"/>
                <w:lang w:val="en-US"/>
              </w:rPr>
              <w:t>%</w:t>
            </w:r>
          </w:p>
        </w:tc>
        <w:tc>
          <w:tcPr>
            <w:tcW w:w="532" w:type="pct"/>
            <w:tcBorders>
              <w:left w:val="single" w:sz="18"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151</w:t>
            </w:r>
          </w:p>
        </w:tc>
        <w:tc>
          <w:tcPr>
            <w:tcW w:w="530" w:type="pct"/>
            <w:tcBorders>
              <w:left w:val="single" w:sz="4"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146</w:t>
            </w:r>
          </w:p>
        </w:tc>
        <w:tc>
          <w:tcPr>
            <w:tcW w:w="449" w:type="pct"/>
            <w:tcBorders>
              <w:left w:val="single" w:sz="4" w:space="0" w:color="FFC000"/>
              <w:right w:val="single" w:sz="4" w:space="0" w:color="FFC000"/>
            </w:tcBorders>
            <w:shd w:val="clear" w:color="auto" w:fill="FFFFFF" w:themeFill="background1"/>
            <w:vAlign w:val="center"/>
          </w:tcPr>
          <w:p w:rsidR="00F43416"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3%</w:t>
            </w:r>
          </w:p>
        </w:tc>
      </w:tr>
      <w:tr w:rsidR="00F43416" w:rsidRPr="005744FA" w:rsidTr="00CE6D49">
        <w:trPr>
          <w:trHeight w:val="280"/>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7316DD" w:rsidRDefault="00F43416" w:rsidP="00CE6D49">
            <w:pPr>
              <w:tabs>
                <w:tab w:val="left" w:pos="284"/>
              </w:tabs>
              <w:spacing w:after="0"/>
              <w:rPr>
                <w:rFonts w:eastAsiaTheme="minorEastAsia" w:cs="Calibri"/>
                <w:sz w:val="16"/>
                <w:szCs w:val="16"/>
              </w:rPr>
            </w:pPr>
            <w:r w:rsidRPr="007316DD">
              <w:rPr>
                <w:rFonts w:ascii="Calibri" w:eastAsiaTheme="minorEastAsia" w:hAnsi="Calibri" w:cs="Calibri"/>
                <w:sz w:val="16"/>
                <w:szCs w:val="16"/>
              </w:rPr>
              <w:t>Αποτελέσματα Εμπορ. &amp;Επενδ. Χαρ/κίου</w:t>
            </w:r>
          </w:p>
        </w:tc>
        <w:tc>
          <w:tcPr>
            <w:tcW w:w="522" w:type="pct"/>
            <w:tcBorders>
              <w:left w:val="single" w:sz="4" w:space="0" w:color="FFC000"/>
              <w:right w:val="single" w:sz="4" w:space="0" w:color="FFC000"/>
            </w:tcBorders>
            <w:shd w:val="clear" w:color="auto" w:fill="FFFFFF" w:themeFill="background1"/>
            <w:vAlign w:val="center"/>
          </w:tcPr>
          <w:p w:rsidR="00F43416" w:rsidRPr="00B815B3"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52</w:t>
            </w:r>
          </w:p>
        </w:tc>
        <w:tc>
          <w:tcPr>
            <w:tcW w:w="521"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0000" w:themeColor="text1"/>
                <w:sz w:val="16"/>
                <w:szCs w:val="16"/>
                <w:lang w:val="en-US"/>
              </w:rPr>
            </w:pPr>
            <w:r>
              <w:rPr>
                <w:rFonts w:eastAsiaTheme="minorEastAsia" w:cs="Calibri"/>
                <w:color w:val="000000" w:themeColor="text1"/>
                <w:sz w:val="16"/>
                <w:szCs w:val="16"/>
                <w:lang w:val="en-US"/>
              </w:rPr>
              <w:t>(33)</w:t>
            </w:r>
          </w:p>
        </w:tc>
        <w:tc>
          <w:tcPr>
            <w:tcW w:w="521" w:type="pct"/>
            <w:tcBorders>
              <w:left w:val="single" w:sz="4"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w:t>
            </w:r>
          </w:p>
        </w:tc>
        <w:tc>
          <w:tcPr>
            <w:tcW w:w="532" w:type="pct"/>
            <w:tcBorders>
              <w:left w:val="single" w:sz="18" w:space="0" w:color="FFC000"/>
              <w:right w:val="single" w:sz="4" w:space="0" w:color="FFC000"/>
            </w:tcBorders>
            <w:shd w:val="clear" w:color="auto" w:fill="FFFFFF" w:themeFill="background1"/>
            <w:vAlign w:val="center"/>
          </w:tcPr>
          <w:p w:rsidR="00F43416" w:rsidRPr="00517641" w:rsidRDefault="00F43416" w:rsidP="00CE6D49">
            <w:pPr>
              <w:tabs>
                <w:tab w:val="left" w:pos="284"/>
              </w:tabs>
              <w:spacing w:after="0"/>
              <w:jc w:val="right"/>
              <w:rPr>
                <w:rFonts w:eastAsiaTheme="minorEastAsia" w:cs="Calibri"/>
                <w:sz w:val="16"/>
                <w:szCs w:val="16"/>
              </w:rPr>
            </w:pPr>
            <w:r>
              <w:rPr>
                <w:rFonts w:eastAsiaTheme="minorEastAsia" w:cs="Calibri"/>
                <w:sz w:val="16"/>
                <w:szCs w:val="16"/>
              </w:rPr>
              <w:t>18</w:t>
            </w:r>
          </w:p>
        </w:tc>
        <w:tc>
          <w:tcPr>
            <w:tcW w:w="530" w:type="pct"/>
            <w:tcBorders>
              <w:left w:val="single" w:sz="4" w:space="0" w:color="FFC000"/>
              <w:right w:val="single" w:sz="4" w:space="0" w:color="FFC000"/>
            </w:tcBorders>
            <w:shd w:val="clear" w:color="auto" w:fill="FFFFFF" w:themeFill="background1"/>
            <w:vAlign w:val="center"/>
          </w:tcPr>
          <w:p w:rsidR="00F43416" w:rsidRPr="00517641" w:rsidRDefault="00F43416" w:rsidP="00CE6D49">
            <w:pPr>
              <w:tabs>
                <w:tab w:val="left" w:pos="284"/>
              </w:tabs>
              <w:spacing w:after="0"/>
              <w:jc w:val="right"/>
              <w:rPr>
                <w:rFonts w:eastAsiaTheme="minorEastAsia" w:cs="Calibri"/>
                <w:sz w:val="16"/>
                <w:szCs w:val="16"/>
              </w:rPr>
            </w:pPr>
            <w:r>
              <w:rPr>
                <w:rFonts w:eastAsiaTheme="minorEastAsia" w:cs="Calibri"/>
                <w:sz w:val="16"/>
                <w:szCs w:val="16"/>
              </w:rPr>
              <w:t>4</w:t>
            </w:r>
          </w:p>
        </w:tc>
        <w:tc>
          <w:tcPr>
            <w:tcW w:w="449" w:type="pct"/>
            <w:tcBorders>
              <w:left w:val="single" w:sz="4" w:space="0" w:color="FFC000"/>
              <w:right w:val="single" w:sz="4" w:space="0" w:color="FFC000"/>
            </w:tcBorders>
            <w:shd w:val="clear" w:color="auto" w:fill="FFFFFF" w:themeFill="background1"/>
            <w:vAlign w:val="center"/>
          </w:tcPr>
          <w:p w:rsidR="00F43416" w:rsidRPr="009542DD" w:rsidRDefault="00F43416" w:rsidP="00CE6D49">
            <w:pPr>
              <w:tabs>
                <w:tab w:val="left" w:pos="284"/>
              </w:tabs>
              <w:spacing w:after="0"/>
              <w:jc w:val="right"/>
              <w:rPr>
                <w:rFonts w:eastAsiaTheme="minorEastAsia" w:cs="Calibri"/>
                <w:sz w:val="16"/>
                <w:szCs w:val="16"/>
              </w:rPr>
            </w:pPr>
            <w:r>
              <w:rPr>
                <w:rFonts w:eastAsiaTheme="minorEastAsia" w:cs="Calibri"/>
                <w:sz w:val="16"/>
                <w:szCs w:val="16"/>
              </w:rPr>
              <w:t>-</w:t>
            </w:r>
          </w:p>
        </w:tc>
      </w:tr>
      <w:tr w:rsidR="00F43416" w:rsidRPr="005744FA" w:rsidTr="00CE6D49">
        <w:trPr>
          <w:trHeight w:val="280"/>
        </w:trPr>
        <w:tc>
          <w:tcPr>
            <w:tcW w:w="1925" w:type="pct"/>
            <w:tcBorders>
              <w:left w:val="single" w:sz="4" w:space="0" w:color="FFC000"/>
              <w:right w:val="single" w:sz="4" w:space="0" w:color="FFC000"/>
            </w:tcBorders>
            <w:shd w:val="clear" w:color="auto" w:fill="auto"/>
            <w:tcMar>
              <w:right w:w="113" w:type="dxa"/>
            </w:tcMar>
            <w:vAlign w:val="center"/>
          </w:tcPr>
          <w:p w:rsidR="00F43416" w:rsidRPr="007316DD" w:rsidRDefault="00F43416" w:rsidP="00CE6D49">
            <w:pPr>
              <w:tabs>
                <w:tab w:val="left" w:pos="284"/>
              </w:tabs>
              <w:spacing w:after="0"/>
              <w:rPr>
                <w:rFonts w:eastAsiaTheme="minorEastAsia" w:cs="Calibri"/>
                <w:sz w:val="16"/>
                <w:szCs w:val="16"/>
                <w:lang w:val="en-GB"/>
              </w:rPr>
            </w:pPr>
            <w:r w:rsidRPr="007316DD">
              <w:rPr>
                <w:rFonts w:ascii="Calibri" w:eastAsiaTheme="minorEastAsia" w:hAnsi="Calibri" w:cs="Calibri"/>
                <w:sz w:val="16"/>
                <w:szCs w:val="16"/>
              </w:rPr>
              <w:t>Λοιπά Λειτουργικά Έσοδα &amp; Μερίσματα</w:t>
            </w:r>
          </w:p>
        </w:tc>
        <w:tc>
          <w:tcPr>
            <w:tcW w:w="522" w:type="pct"/>
            <w:tcBorders>
              <w:left w:val="single" w:sz="4" w:space="0" w:color="FFC000"/>
              <w:right w:val="single" w:sz="4" w:space="0" w:color="FFC000"/>
            </w:tcBorders>
            <w:shd w:val="clear" w:color="auto" w:fill="auto"/>
            <w:vAlign w:val="center"/>
          </w:tcPr>
          <w:p w:rsidR="00F43416" w:rsidRPr="00970820" w:rsidRDefault="00F43416" w:rsidP="00CE6D49">
            <w:pPr>
              <w:tabs>
                <w:tab w:val="left" w:pos="284"/>
              </w:tabs>
              <w:spacing w:after="0"/>
              <w:jc w:val="right"/>
              <w:rPr>
                <w:rFonts w:eastAsiaTheme="minorEastAsia" w:cs="Calibri"/>
                <w:sz w:val="16"/>
                <w:szCs w:val="16"/>
              </w:rPr>
            </w:pPr>
            <w:r>
              <w:rPr>
                <w:rFonts w:eastAsiaTheme="minorEastAsia" w:cs="Calibri"/>
                <w:sz w:val="16"/>
                <w:szCs w:val="16"/>
                <w:lang w:val="en-US"/>
              </w:rPr>
              <w:t>1</w:t>
            </w:r>
            <w:r>
              <w:rPr>
                <w:rFonts w:eastAsiaTheme="minorEastAsia" w:cs="Calibri"/>
                <w:sz w:val="16"/>
                <w:szCs w:val="16"/>
              </w:rPr>
              <w:t>1</w:t>
            </w:r>
          </w:p>
        </w:tc>
        <w:tc>
          <w:tcPr>
            <w:tcW w:w="521"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0000" w:themeColor="text1"/>
                <w:sz w:val="16"/>
                <w:szCs w:val="16"/>
                <w:lang w:val="en-US"/>
              </w:rPr>
            </w:pPr>
            <w:r>
              <w:rPr>
                <w:rFonts w:eastAsiaTheme="minorEastAsia" w:cs="Calibri"/>
                <w:color w:val="000000" w:themeColor="text1"/>
                <w:sz w:val="16"/>
                <w:szCs w:val="16"/>
                <w:lang w:val="en-US"/>
              </w:rPr>
              <w:t>14</w:t>
            </w:r>
          </w:p>
        </w:tc>
        <w:tc>
          <w:tcPr>
            <w:tcW w:w="521" w:type="pct"/>
            <w:tcBorders>
              <w:left w:val="single" w:sz="4" w:space="0" w:color="FFC000"/>
              <w:right w:val="single" w:sz="4" w:space="0" w:color="FFC000"/>
            </w:tcBorders>
            <w:shd w:val="clear" w:color="auto" w:fill="FFFFFF" w:themeFill="background1"/>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-2</w:t>
            </w:r>
            <w:r>
              <w:rPr>
                <w:rFonts w:eastAsiaTheme="minorEastAsia" w:cs="Calibri"/>
                <w:sz w:val="16"/>
                <w:szCs w:val="16"/>
              </w:rPr>
              <w:t>3</w:t>
            </w:r>
            <w:r>
              <w:rPr>
                <w:rFonts w:eastAsiaTheme="minorEastAsia" w:cs="Calibri"/>
                <w:sz w:val="16"/>
                <w:szCs w:val="16"/>
                <w:lang w:val="en-US"/>
              </w:rPr>
              <w:t>%</w:t>
            </w:r>
          </w:p>
        </w:tc>
        <w:tc>
          <w:tcPr>
            <w:tcW w:w="532" w:type="pct"/>
            <w:tcBorders>
              <w:left w:val="single" w:sz="18" w:space="0" w:color="FFC000"/>
              <w:right w:val="single" w:sz="4" w:space="0" w:color="FFC000"/>
            </w:tcBorders>
            <w:shd w:val="clear" w:color="auto" w:fill="auto"/>
            <w:vAlign w:val="center"/>
          </w:tcPr>
          <w:p w:rsidR="00F43416" w:rsidRPr="009542DD" w:rsidRDefault="00F43416" w:rsidP="00CE6D49">
            <w:pPr>
              <w:tabs>
                <w:tab w:val="left" w:pos="284"/>
              </w:tabs>
              <w:spacing w:after="0"/>
              <w:jc w:val="right"/>
              <w:rPr>
                <w:rFonts w:eastAsiaTheme="minorEastAsia" w:cs="Calibri"/>
                <w:sz w:val="16"/>
                <w:szCs w:val="16"/>
              </w:rPr>
            </w:pPr>
            <w:r>
              <w:rPr>
                <w:rFonts w:eastAsiaTheme="minorEastAsia" w:cs="Calibri"/>
                <w:sz w:val="16"/>
                <w:szCs w:val="16"/>
                <w:lang w:val="en-US"/>
              </w:rPr>
              <w:t>2</w:t>
            </w:r>
            <w:r>
              <w:rPr>
                <w:rFonts w:eastAsiaTheme="minorEastAsia" w:cs="Calibri"/>
                <w:sz w:val="16"/>
                <w:szCs w:val="16"/>
              </w:rPr>
              <w:t>4</w:t>
            </w:r>
          </w:p>
        </w:tc>
        <w:tc>
          <w:tcPr>
            <w:tcW w:w="530" w:type="pct"/>
            <w:tcBorders>
              <w:left w:val="single" w:sz="4" w:space="0" w:color="FFC000"/>
              <w:right w:val="single" w:sz="4" w:space="0" w:color="FFC000"/>
            </w:tcBorders>
            <w:vAlign w:val="center"/>
          </w:tcPr>
          <w:p w:rsidR="00F43416" w:rsidRPr="009542DD" w:rsidRDefault="00F43416" w:rsidP="00CE6D49">
            <w:pPr>
              <w:tabs>
                <w:tab w:val="left" w:pos="284"/>
              </w:tabs>
              <w:spacing w:after="0"/>
              <w:jc w:val="right"/>
              <w:rPr>
                <w:rFonts w:eastAsiaTheme="minorEastAsia" w:cs="Calibri"/>
                <w:sz w:val="16"/>
                <w:szCs w:val="16"/>
              </w:rPr>
            </w:pPr>
            <w:r>
              <w:rPr>
                <w:rFonts w:eastAsiaTheme="minorEastAsia" w:cs="Calibri"/>
                <w:sz w:val="16"/>
                <w:szCs w:val="16"/>
                <w:lang w:val="en-US"/>
              </w:rPr>
              <w:t>2</w:t>
            </w:r>
            <w:r>
              <w:rPr>
                <w:rFonts w:eastAsiaTheme="minorEastAsia" w:cs="Calibri"/>
                <w:sz w:val="16"/>
                <w:szCs w:val="16"/>
              </w:rPr>
              <w:t>5</w:t>
            </w:r>
          </w:p>
        </w:tc>
        <w:tc>
          <w:tcPr>
            <w:tcW w:w="449" w:type="pct"/>
            <w:tcBorders>
              <w:left w:val="single" w:sz="4" w:space="0" w:color="FFC000"/>
              <w:right w:val="single" w:sz="4" w:space="0" w:color="FFC000"/>
            </w:tcBorders>
            <w:shd w:val="clear" w:color="auto" w:fill="auto"/>
            <w:vAlign w:val="center"/>
          </w:tcPr>
          <w:p w:rsidR="00F43416"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rPr>
              <w:t>2</w:t>
            </w:r>
            <w:r>
              <w:rPr>
                <w:rFonts w:eastAsiaTheme="minorEastAsia" w:cs="Calibri"/>
                <w:sz w:val="16"/>
                <w:szCs w:val="16"/>
                <w:lang w:val="en-US"/>
              </w:rPr>
              <w:t>%</w:t>
            </w:r>
          </w:p>
        </w:tc>
      </w:tr>
      <w:tr w:rsidR="00F43416" w:rsidRPr="005744FA" w:rsidTr="00CE6D49">
        <w:trPr>
          <w:trHeight w:val="63"/>
        </w:trPr>
        <w:tc>
          <w:tcPr>
            <w:tcW w:w="1925" w:type="pct"/>
            <w:tcBorders>
              <w:left w:val="single" w:sz="4" w:space="0" w:color="FFC000"/>
              <w:right w:val="single" w:sz="4" w:space="0" w:color="FFC000"/>
            </w:tcBorders>
            <w:shd w:val="clear" w:color="auto" w:fill="auto"/>
            <w:tcMar>
              <w:right w:w="113" w:type="dxa"/>
            </w:tcMar>
            <w:vAlign w:val="center"/>
          </w:tcPr>
          <w:p w:rsidR="00F43416" w:rsidRPr="007316DD" w:rsidRDefault="00F43416" w:rsidP="00CE6D49">
            <w:pPr>
              <w:tabs>
                <w:tab w:val="left" w:pos="284"/>
              </w:tabs>
              <w:spacing w:after="0"/>
              <w:rPr>
                <w:rFonts w:eastAsiaTheme="minorEastAsia" w:cs="Calibri"/>
                <w:color w:val="003C96" w:themeColor="text2"/>
                <w:sz w:val="4"/>
                <w:szCs w:val="4"/>
                <w:lang w:val="en-US"/>
              </w:rPr>
            </w:pPr>
          </w:p>
        </w:tc>
        <w:tc>
          <w:tcPr>
            <w:tcW w:w="522"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3C96" w:themeColor="text2"/>
                <w:sz w:val="4"/>
                <w:szCs w:val="4"/>
                <w:lang w:val="en-US"/>
              </w:rPr>
            </w:pPr>
          </w:p>
        </w:tc>
        <w:tc>
          <w:tcPr>
            <w:tcW w:w="521"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3C96" w:themeColor="text2"/>
                <w:sz w:val="4"/>
                <w:szCs w:val="4"/>
                <w:lang w:val="en-US"/>
              </w:rPr>
            </w:pPr>
          </w:p>
        </w:tc>
        <w:tc>
          <w:tcPr>
            <w:tcW w:w="521" w:type="pct"/>
            <w:tcBorders>
              <w:left w:val="single" w:sz="4" w:space="0" w:color="FFC000"/>
              <w:right w:val="single" w:sz="18"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3C96" w:themeColor="text2"/>
                <w:sz w:val="4"/>
                <w:szCs w:val="4"/>
                <w:lang w:val="en-US"/>
              </w:rPr>
            </w:pPr>
          </w:p>
        </w:tc>
        <w:tc>
          <w:tcPr>
            <w:tcW w:w="532" w:type="pct"/>
            <w:tcBorders>
              <w:left w:val="single" w:sz="18"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3C96" w:themeColor="text2"/>
                <w:sz w:val="4"/>
                <w:szCs w:val="4"/>
                <w:lang w:val="en-US"/>
              </w:rPr>
            </w:pPr>
          </w:p>
        </w:tc>
        <w:tc>
          <w:tcPr>
            <w:tcW w:w="530" w:type="pct"/>
            <w:tcBorders>
              <w:left w:val="single" w:sz="4" w:space="0" w:color="FFC000"/>
              <w:right w:val="single" w:sz="4" w:space="0" w:color="FFC000"/>
            </w:tcBorders>
            <w:vAlign w:val="center"/>
          </w:tcPr>
          <w:p w:rsidR="00F43416" w:rsidRPr="005744FA" w:rsidRDefault="00F43416" w:rsidP="00CE6D49">
            <w:pPr>
              <w:tabs>
                <w:tab w:val="left" w:pos="284"/>
              </w:tabs>
              <w:spacing w:after="0"/>
              <w:jc w:val="center"/>
              <w:rPr>
                <w:rFonts w:eastAsiaTheme="minorEastAsia" w:cs="Calibri"/>
                <w:color w:val="003C96" w:themeColor="text2"/>
                <w:sz w:val="4"/>
                <w:szCs w:val="4"/>
                <w:lang w:val="en-US"/>
              </w:rPr>
            </w:pPr>
          </w:p>
        </w:tc>
        <w:tc>
          <w:tcPr>
            <w:tcW w:w="449"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3C96" w:themeColor="text2"/>
                <w:sz w:val="4"/>
                <w:szCs w:val="4"/>
                <w:lang w:val="en-US"/>
              </w:rPr>
            </w:pPr>
          </w:p>
        </w:tc>
      </w:tr>
      <w:tr w:rsidR="00F43416" w:rsidRPr="005744FA" w:rsidTr="00CE6D49">
        <w:trPr>
          <w:trHeight w:val="63"/>
        </w:trPr>
        <w:tc>
          <w:tcPr>
            <w:tcW w:w="1925" w:type="pct"/>
            <w:tcBorders>
              <w:left w:val="single" w:sz="4" w:space="0" w:color="FFC000"/>
              <w:right w:val="single" w:sz="4" w:space="0" w:color="FFC000"/>
            </w:tcBorders>
            <w:shd w:val="clear" w:color="auto" w:fill="auto"/>
            <w:tcMar>
              <w:right w:w="113" w:type="dxa"/>
            </w:tcMar>
            <w:vAlign w:val="center"/>
          </w:tcPr>
          <w:p w:rsidR="00F43416" w:rsidRPr="007316DD" w:rsidRDefault="00F43416" w:rsidP="00CE6D49">
            <w:pPr>
              <w:tabs>
                <w:tab w:val="left" w:pos="284"/>
              </w:tabs>
              <w:spacing w:after="0"/>
              <w:rPr>
                <w:rFonts w:ascii="Calibri" w:eastAsiaTheme="minorEastAsia" w:hAnsi="Calibri" w:cs="Calibri"/>
                <w:sz w:val="4"/>
                <w:szCs w:val="4"/>
                <w:lang w:val="en-US"/>
              </w:rPr>
            </w:pPr>
          </w:p>
        </w:tc>
        <w:tc>
          <w:tcPr>
            <w:tcW w:w="522"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sz w:val="4"/>
                <w:szCs w:val="4"/>
                <w:lang w:val="en-US"/>
              </w:rPr>
            </w:pPr>
          </w:p>
        </w:tc>
        <w:tc>
          <w:tcPr>
            <w:tcW w:w="521"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0000" w:themeColor="text1"/>
                <w:sz w:val="4"/>
                <w:szCs w:val="4"/>
                <w:lang w:val="en-US"/>
              </w:rPr>
            </w:pPr>
          </w:p>
        </w:tc>
        <w:tc>
          <w:tcPr>
            <w:tcW w:w="521" w:type="pct"/>
            <w:tcBorders>
              <w:left w:val="single" w:sz="4" w:space="0" w:color="FFC000"/>
              <w:right w:val="single" w:sz="18"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0000" w:themeColor="text1"/>
                <w:sz w:val="4"/>
                <w:szCs w:val="4"/>
                <w:lang w:val="en-US"/>
              </w:rPr>
            </w:pPr>
          </w:p>
        </w:tc>
        <w:tc>
          <w:tcPr>
            <w:tcW w:w="532" w:type="pct"/>
            <w:tcBorders>
              <w:left w:val="single" w:sz="18"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sz w:val="4"/>
                <w:szCs w:val="4"/>
                <w:lang w:val="en-US"/>
              </w:rPr>
            </w:pPr>
          </w:p>
        </w:tc>
        <w:tc>
          <w:tcPr>
            <w:tcW w:w="530" w:type="pct"/>
            <w:tcBorders>
              <w:left w:val="single" w:sz="4" w:space="0" w:color="FFC000"/>
              <w:right w:val="single" w:sz="4" w:space="0" w:color="FFC000"/>
            </w:tcBorders>
            <w:vAlign w:val="center"/>
          </w:tcPr>
          <w:p w:rsidR="00F43416" w:rsidRPr="005744FA" w:rsidRDefault="00F43416" w:rsidP="00CE6D49">
            <w:pPr>
              <w:tabs>
                <w:tab w:val="left" w:pos="284"/>
              </w:tabs>
              <w:spacing w:after="0"/>
              <w:jc w:val="center"/>
              <w:rPr>
                <w:rFonts w:eastAsiaTheme="minorEastAsia" w:cs="Calibri"/>
                <w:sz w:val="4"/>
                <w:szCs w:val="4"/>
                <w:lang w:val="en-US"/>
              </w:rPr>
            </w:pPr>
          </w:p>
        </w:tc>
        <w:tc>
          <w:tcPr>
            <w:tcW w:w="449"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sz w:val="4"/>
                <w:szCs w:val="4"/>
                <w:lang w:val="en-US"/>
              </w:rPr>
            </w:pPr>
          </w:p>
        </w:tc>
      </w:tr>
      <w:tr w:rsidR="00F43416" w:rsidRPr="005744FA" w:rsidTr="00CE6D49">
        <w:trPr>
          <w:trHeight w:val="252"/>
        </w:trPr>
        <w:tc>
          <w:tcPr>
            <w:tcW w:w="1925" w:type="pct"/>
            <w:tcBorders>
              <w:left w:val="single" w:sz="4" w:space="0" w:color="FFC000"/>
              <w:right w:val="single" w:sz="4" w:space="0" w:color="FFC000"/>
            </w:tcBorders>
            <w:shd w:val="clear" w:color="auto" w:fill="auto"/>
            <w:tcMar>
              <w:right w:w="113" w:type="dxa"/>
            </w:tcMar>
            <w:vAlign w:val="center"/>
          </w:tcPr>
          <w:p w:rsidR="00F43416" w:rsidRPr="007316DD" w:rsidRDefault="00F43416" w:rsidP="00CE6D49">
            <w:pPr>
              <w:tabs>
                <w:tab w:val="left" w:pos="284"/>
              </w:tabs>
              <w:spacing w:after="0"/>
              <w:rPr>
                <w:rFonts w:eastAsiaTheme="minorEastAsia" w:cs="Calibri"/>
                <w:sz w:val="16"/>
                <w:szCs w:val="16"/>
                <w:lang w:val="en-US"/>
              </w:rPr>
            </w:pPr>
            <w:r w:rsidRPr="007316DD">
              <w:rPr>
                <w:rFonts w:ascii="Calibri" w:eastAsiaTheme="minorEastAsia" w:hAnsi="Calibri" w:cs="Calibri"/>
                <w:sz w:val="16"/>
                <w:szCs w:val="16"/>
              </w:rPr>
              <w:t>Σύνολο Λειτουργικών Εσόδων</w:t>
            </w:r>
          </w:p>
        </w:tc>
        <w:tc>
          <w:tcPr>
            <w:tcW w:w="522" w:type="pct"/>
            <w:tcBorders>
              <w:left w:val="single" w:sz="4" w:space="0" w:color="FFC000"/>
              <w:right w:val="single" w:sz="4" w:space="0" w:color="FFC000"/>
            </w:tcBorders>
            <w:shd w:val="clear" w:color="auto" w:fill="auto"/>
            <w:vAlign w:val="center"/>
          </w:tcPr>
          <w:p w:rsidR="00F43416" w:rsidRPr="00CB7934"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510</w:t>
            </w:r>
          </w:p>
        </w:tc>
        <w:tc>
          <w:tcPr>
            <w:tcW w:w="521" w:type="pct"/>
            <w:tcBorders>
              <w:left w:val="single" w:sz="4" w:space="0" w:color="FFC000"/>
              <w:right w:val="single" w:sz="4" w:space="0" w:color="FFC000"/>
            </w:tcBorders>
            <w:shd w:val="clear" w:color="auto" w:fill="auto"/>
            <w:vAlign w:val="center"/>
          </w:tcPr>
          <w:p w:rsidR="00F43416" w:rsidRPr="00DF379A" w:rsidRDefault="00F43416" w:rsidP="00CE6D49">
            <w:pPr>
              <w:tabs>
                <w:tab w:val="left" w:pos="284"/>
              </w:tabs>
              <w:spacing w:after="0"/>
              <w:jc w:val="right"/>
              <w:rPr>
                <w:rFonts w:eastAsiaTheme="minorEastAsia" w:cs="Calibri"/>
                <w:color w:val="000000" w:themeColor="text1"/>
                <w:sz w:val="16"/>
                <w:szCs w:val="16"/>
                <w:lang w:val="en-US"/>
              </w:rPr>
            </w:pPr>
            <w:r>
              <w:rPr>
                <w:rFonts w:eastAsiaTheme="minorEastAsia" w:cs="Calibri"/>
                <w:color w:val="000000" w:themeColor="text1"/>
                <w:sz w:val="16"/>
                <w:szCs w:val="16"/>
                <w:lang w:val="en-US"/>
              </w:rPr>
              <w:t>412</w:t>
            </w:r>
          </w:p>
        </w:tc>
        <w:tc>
          <w:tcPr>
            <w:tcW w:w="521" w:type="pct"/>
            <w:tcBorders>
              <w:left w:val="single" w:sz="4" w:space="0" w:color="FFC000"/>
              <w:right w:val="single" w:sz="18"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24</w:t>
            </w:r>
            <w:r w:rsidRPr="005744FA">
              <w:rPr>
                <w:rFonts w:eastAsiaTheme="minorEastAsia" w:cs="Calibri"/>
                <w:sz w:val="16"/>
                <w:szCs w:val="16"/>
                <w:lang w:val="en-US"/>
              </w:rPr>
              <w:t>%</w:t>
            </w:r>
          </w:p>
        </w:tc>
        <w:tc>
          <w:tcPr>
            <w:tcW w:w="532" w:type="pct"/>
            <w:tcBorders>
              <w:left w:val="single" w:sz="18"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922</w:t>
            </w:r>
          </w:p>
        </w:tc>
        <w:tc>
          <w:tcPr>
            <w:tcW w:w="530" w:type="pct"/>
            <w:tcBorders>
              <w:left w:val="single" w:sz="4" w:space="0" w:color="FFC000"/>
              <w:right w:val="single" w:sz="4" w:space="0" w:color="FFC000"/>
            </w:tcBorders>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893</w:t>
            </w:r>
          </w:p>
        </w:tc>
        <w:tc>
          <w:tcPr>
            <w:tcW w:w="449" w:type="pct"/>
            <w:tcBorders>
              <w:left w:val="single" w:sz="4" w:space="0" w:color="FFC000"/>
              <w:right w:val="single" w:sz="4" w:space="0" w:color="FFC000"/>
            </w:tcBorders>
            <w:shd w:val="clear" w:color="auto" w:fill="auto"/>
            <w:vAlign w:val="center"/>
          </w:tcPr>
          <w:p w:rsidR="00F43416"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3%</w:t>
            </w:r>
          </w:p>
        </w:tc>
      </w:tr>
      <w:tr w:rsidR="00F43416" w:rsidRPr="005744FA" w:rsidTr="00CE6D49">
        <w:trPr>
          <w:trHeight w:val="63"/>
        </w:trPr>
        <w:tc>
          <w:tcPr>
            <w:tcW w:w="1925" w:type="pct"/>
            <w:tcBorders>
              <w:left w:val="single" w:sz="4" w:space="0" w:color="FFC000"/>
              <w:right w:val="single" w:sz="4" w:space="0" w:color="FFC000"/>
            </w:tcBorders>
            <w:shd w:val="clear" w:color="auto" w:fill="auto"/>
            <w:tcMar>
              <w:right w:w="113" w:type="dxa"/>
            </w:tcMar>
            <w:vAlign w:val="center"/>
          </w:tcPr>
          <w:p w:rsidR="00F43416" w:rsidRPr="007316DD" w:rsidRDefault="00F43416" w:rsidP="00CE6D49">
            <w:pPr>
              <w:tabs>
                <w:tab w:val="left" w:pos="284"/>
              </w:tabs>
              <w:spacing w:after="0"/>
              <w:rPr>
                <w:rFonts w:eastAsiaTheme="minorEastAsia" w:cs="Calibri"/>
                <w:sz w:val="16"/>
                <w:szCs w:val="16"/>
                <w:lang w:val="en-US"/>
              </w:rPr>
            </w:pPr>
          </w:p>
        </w:tc>
        <w:tc>
          <w:tcPr>
            <w:tcW w:w="522"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sz w:val="16"/>
                <w:szCs w:val="16"/>
                <w:lang w:val="en-US"/>
              </w:rPr>
            </w:pPr>
          </w:p>
        </w:tc>
        <w:tc>
          <w:tcPr>
            <w:tcW w:w="521"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0000" w:themeColor="text1"/>
                <w:sz w:val="16"/>
                <w:szCs w:val="16"/>
                <w:lang w:val="en-US"/>
              </w:rPr>
            </w:pPr>
          </w:p>
        </w:tc>
        <w:tc>
          <w:tcPr>
            <w:tcW w:w="521" w:type="pct"/>
            <w:tcBorders>
              <w:left w:val="single" w:sz="4" w:space="0" w:color="FFC000"/>
              <w:right w:val="single" w:sz="18"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0000" w:themeColor="text1"/>
                <w:sz w:val="16"/>
                <w:szCs w:val="16"/>
                <w:lang w:val="en-US"/>
              </w:rPr>
            </w:pPr>
          </w:p>
        </w:tc>
        <w:tc>
          <w:tcPr>
            <w:tcW w:w="532" w:type="pct"/>
            <w:tcBorders>
              <w:left w:val="single" w:sz="18"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sz w:val="16"/>
                <w:szCs w:val="16"/>
                <w:lang w:val="en-US"/>
              </w:rPr>
            </w:pPr>
          </w:p>
        </w:tc>
        <w:tc>
          <w:tcPr>
            <w:tcW w:w="530" w:type="pct"/>
            <w:tcBorders>
              <w:left w:val="single" w:sz="4" w:space="0" w:color="FFC000"/>
              <w:right w:val="single" w:sz="4" w:space="0" w:color="FFC000"/>
            </w:tcBorders>
            <w:vAlign w:val="center"/>
          </w:tcPr>
          <w:p w:rsidR="00F43416" w:rsidRPr="005744FA" w:rsidRDefault="00F43416" w:rsidP="00CE6D49">
            <w:pPr>
              <w:tabs>
                <w:tab w:val="left" w:pos="284"/>
              </w:tabs>
              <w:spacing w:after="0"/>
              <w:jc w:val="center"/>
              <w:rPr>
                <w:rFonts w:eastAsiaTheme="minorEastAsia" w:cs="Calibri"/>
                <w:sz w:val="16"/>
                <w:szCs w:val="16"/>
                <w:lang w:val="en-US"/>
              </w:rPr>
            </w:pPr>
          </w:p>
        </w:tc>
        <w:tc>
          <w:tcPr>
            <w:tcW w:w="449"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sz w:val="16"/>
                <w:szCs w:val="16"/>
                <w:lang w:val="en-US"/>
              </w:rPr>
            </w:pPr>
          </w:p>
        </w:tc>
      </w:tr>
      <w:tr w:rsidR="00F43416" w:rsidRPr="005744FA" w:rsidTr="00CE6D49">
        <w:trPr>
          <w:trHeight w:val="264"/>
        </w:trPr>
        <w:tc>
          <w:tcPr>
            <w:tcW w:w="1925" w:type="pct"/>
            <w:tcBorders>
              <w:left w:val="single" w:sz="4" w:space="0" w:color="FFC000"/>
              <w:right w:val="single" w:sz="4" w:space="0" w:color="FFC000"/>
            </w:tcBorders>
            <w:shd w:val="clear" w:color="auto" w:fill="auto"/>
            <w:tcMar>
              <w:right w:w="113" w:type="dxa"/>
            </w:tcMar>
            <w:vAlign w:val="center"/>
          </w:tcPr>
          <w:p w:rsidR="00F43416" w:rsidRPr="007316DD" w:rsidRDefault="00F43416" w:rsidP="00CE6D49">
            <w:pPr>
              <w:tabs>
                <w:tab w:val="left" w:pos="284"/>
              </w:tabs>
              <w:spacing w:after="0"/>
              <w:rPr>
                <w:rFonts w:eastAsiaTheme="minorEastAsia" w:cs="Calibri"/>
                <w:sz w:val="16"/>
                <w:szCs w:val="16"/>
                <w:lang w:val="en-US"/>
              </w:rPr>
            </w:pPr>
            <w:r w:rsidRPr="007316DD">
              <w:rPr>
                <w:rFonts w:ascii="Calibri" w:eastAsiaTheme="minorEastAsia" w:hAnsi="Calibri" w:cs="Calibri"/>
                <w:sz w:val="16"/>
                <w:szCs w:val="16"/>
              </w:rPr>
              <w:t>Δαπάνες Προσωπικού</w:t>
            </w:r>
          </w:p>
        </w:tc>
        <w:tc>
          <w:tcPr>
            <w:tcW w:w="522" w:type="pct"/>
            <w:tcBorders>
              <w:left w:val="single" w:sz="4" w:space="0" w:color="FFC000"/>
              <w:right w:val="single" w:sz="4" w:space="0" w:color="FFC000"/>
            </w:tcBorders>
            <w:shd w:val="clear" w:color="auto" w:fill="auto"/>
            <w:vAlign w:val="center"/>
          </w:tcPr>
          <w:p w:rsidR="00F43416" w:rsidRPr="00AA2E12" w:rsidRDefault="00F43416" w:rsidP="00CE6D49">
            <w:pPr>
              <w:tabs>
                <w:tab w:val="left" w:pos="284"/>
              </w:tabs>
              <w:spacing w:after="0"/>
              <w:jc w:val="right"/>
              <w:rPr>
                <w:rFonts w:eastAsiaTheme="minorEastAsia" w:cs="Calibri"/>
                <w:sz w:val="16"/>
                <w:szCs w:val="16"/>
              </w:rPr>
            </w:pPr>
            <w:r>
              <w:rPr>
                <w:rFonts w:eastAsiaTheme="minorEastAsia" w:cs="Calibri"/>
                <w:sz w:val="16"/>
                <w:szCs w:val="16"/>
                <w:lang w:val="en-US"/>
              </w:rPr>
              <w:t>(105</w:t>
            </w:r>
            <w:r>
              <w:rPr>
                <w:rFonts w:eastAsiaTheme="minorEastAsia" w:cs="Calibri"/>
                <w:sz w:val="16"/>
                <w:szCs w:val="16"/>
              </w:rPr>
              <w:t>)</w:t>
            </w:r>
          </w:p>
        </w:tc>
        <w:tc>
          <w:tcPr>
            <w:tcW w:w="521"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0000" w:themeColor="text1"/>
                <w:sz w:val="16"/>
                <w:szCs w:val="16"/>
                <w:lang w:val="en-US"/>
              </w:rPr>
            </w:pPr>
            <w:r w:rsidRPr="005744FA">
              <w:rPr>
                <w:rFonts w:eastAsiaTheme="minorEastAsia" w:cs="Calibri"/>
                <w:color w:val="000000" w:themeColor="text1"/>
                <w:sz w:val="16"/>
                <w:szCs w:val="16"/>
                <w:lang w:val="en-US"/>
              </w:rPr>
              <w:t>(</w:t>
            </w:r>
            <w:r>
              <w:rPr>
                <w:rFonts w:eastAsiaTheme="minorEastAsia" w:cs="Calibri"/>
                <w:color w:val="000000" w:themeColor="text1"/>
                <w:sz w:val="16"/>
                <w:szCs w:val="16"/>
                <w:lang w:val="en-US"/>
              </w:rPr>
              <w:t>107</w:t>
            </w:r>
            <w:r w:rsidRPr="005744FA">
              <w:rPr>
                <w:rFonts w:eastAsiaTheme="minorEastAsia" w:cs="Calibri"/>
                <w:color w:val="000000" w:themeColor="text1"/>
                <w:sz w:val="16"/>
                <w:szCs w:val="16"/>
                <w:lang w:val="en-US"/>
              </w:rPr>
              <w:t>)</w:t>
            </w:r>
          </w:p>
        </w:tc>
        <w:tc>
          <w:tcPr>
            <w:tcW w:w="521" w:type="pct"/>
            <w:tcBorders>
              <w:left w:val="single" w:sz="4" w:space="0" w:color="FFC000"/>
              <w:right w:val="single" w:sz="18"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rPr>
              <w:t>-2</w:t>
            </w:r>
            <w:r w:rsidRPr="005744FA">
              <w:rPr>
                <w:rFonts w:eastAsiaTheme="minorEastAsia" w:cs="Calibri"/>
                <w:sz w:val="16"/>
                <w:szCs w:val="16"/>
                <w:lang w:val="en-US"/>
              </w:rPr>
              <w:t>%</w:t>
            </w:r>
          </w:p>
        </w:tc>
        <w:tc>
          <w:tcPr>
            <w:tcW w:w="532" w:type="pct"/>
            <w:tcBorders>
              <w:left w:val="single" w:sz="18"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(212)</w:t>
            </w:r>
          </w:p>
        </w:tc>
        <w:tc>
          <w:tcPr>
            <w:tcW w:w="530" w:type="pct"/>
            <w:tcBorders>
              <w:left w:val="single" w:sz="4" w:space="0" w:color="FFC000"/>
              <w:right w:val="single" w:sz="4" w:space="0" w:color="FFC000"/>
            </w:tcBorders>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(259)</w:t>
            </w:r>
          </w:p>
        </w:tc>
        <w:tc>
          <w:tcPr>
            <w:tcW w:w="449" w:type="pct"/>
            <w:tcBorders>
              <w:left w:val="single" w:sz="4" w:space="0" w:color="FFC000"/>
              <w:right w:val="single" w:sz="4" w:space="0" w:color="FFC000"/>
            </w:tcBorders>
            <w:shd w:val="clear" w:color="auto" w:fill="auto"/>
            <w:vAlign w:val="center"/>
          </w:tcPr>
          <w:p w:rsidR="00F43416"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-18%</w:t>
            </w:r>
          </w:p>
        </w:tc>
      </w:tr>
      <w:tr w:rsidR="00F43416" w:rsidRPr="005744FA" w:rsidTr="00CE6D49">
        <w:trPr>
          <w:trHeight w:val="264"/>
        </w:trPr>
        <w:tc>
          <w:tcPr>
            <w:tcW w:w="1925" w:type="pct"/>
            <w:tcBorders>
              <w:left w:val="single" w:sz="4" w:space="0" w:color="FFC000"/>
              <w:right w:val="single" w:sz="4" w:space="0" w:color="FFC000"/>
            </w:tcBorders>
            <w:shd w:val="clear" w:color="auto" w:fill="auto"/>
            <w:tcMar>
              <w:right w:w="113" w:type="dxa"/>
            </w:tcMar>
            <w:vAlign w:val="center"/>
          </w:tcPr>
          <w:p w:rsidR="00F43416" w:rsidRPr="007316DD" w:rsidRDefault="00F43416" w:rsidP="00CE6D49">
            <w:pPr>
              <w:tabs>
                <w:tab w:val="left" w:pos="284"/>
              </w:tabs>
              <w:spacing w:after="0"/>
              <w:rPr>
                <w:rFonts w:ascii="Calibri" w:eastAsiaTheme="minorEastAsia" w:hAnsi="Calibri" w:cs="Calibri"/>
                <w:color w:val="003C96" w:themeColor="text2"/>
                <w:sz w:val="16"/>
                <w:szCs w:val="16"/>
                <w:lang w:val="en-US"/>
              </w:rPr>
            </w:pPr>
            <w:r w:rsidRPr="007316DD">
              <w:rPr>
                <w:rFonts w:eastAsiaTheme="minorEastAsia" w:cs="Calibri"/>
                <w:color w:val="003C96" w:themeColor="text2"/>
                <w:sz w:val="16"/>
                <w:szCs w:val="16"/>
                <w:lang w:val="en-US"/>
              </w:rPr>
              <w:t>-</w:t>
            </w:r>
            <w:r w:rsidRPr="007316DD">
              <w:rPr>
                <w:rFonts w:cs="Calibri"/>
                <w:color w:val="003C96" w:themeColor="text2"/>
                <w:sz w:val="16"/>
                <w:szCs w:val="16"/>
              </w:rPr>
              <w:t xml:space="preserve"> εξαιρουμένων εκτάκτων εξόδων </w:t>
            </w:r>
            <w:r w:rsidRPr="007316DD">
              <w:rPr>
                <w:rFonts w:cs="Calibri"/>
                <w:color w:val="003C96" w:themeColor="text2"/>
                <w:sz w:val="16"/>
                <w:szCs w:val="16"/>
                <w:vertAlign w:val="superscript"/>
              </w:rPr>
              <w:t>1</w:t>
            </w:r>
          </w:p>
        </w:tc>
        <w:tc>
          <w:tcPr>
            <w:tcW w:w="522" w:type="pct"/>
            <w:tcBorders>
              <w:left w:val="single" w:sz="4" w:space="0" w:color="FFC000"/>
              <w:right w:val="single" w:sz="4" w:space="0" w:color="FFC000"/>
            </w:tcBorders>
            <w:shd w:val="clear" w:color="auto" w:fill="auto"/>
            <w:vAlign w:val="center"/>
          </w:tcPr>
          <w:p w:rsidR="00F43416" w:rsidRPr="008E0EBD" w:rsidRDefault="00F43416" w:rsidP="00CE6D49">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(105</w:t>
            </w:r>
            <w:r w:rsidRPr="008E0EBD">
              <w:rPr>
                <w:rFonts w:eastAsiaTheme="minorEastAsia" w:cs="Calibri"/>
                <w:color w:val="003C96" w:themeColor="text2"/>
                <w:sz w:val="16"/>
                <w:szCs w:val="16"/>
                <w:lang w:val="en-US"/>
              </w:rPr>
              <w:t>)</w:t>
            </w:r>
          </w:p>
        </w:tc>
        <w:tc>
          <w:tcPr>
            <w:tcW w:w="521" w:type="pct"/>
            <w:tcBorders>
              <w:left w:val="single" w:sz="4" w:space="0" w:color="FFC000"/>
              <w:right w:val="single" w:sz="4" w:space="0" w:color="FFC000"/>
            </w:tcBorders>
            <w:shd w:val="clear" w:color="auto" w:fill="auto"/>
            <w:vAlign w:val="center"/>
          </w:tcPr>
          <w:p w:rsidR="00F43416" w:rsidRPr="008E0EBD" w:rsidRDefault="00F43416" w:rsidP="00CE6D49">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(107)</w:t>
            </w:r>
          </w:p>
        </w:tc>
        <w:tc>
          <w:tcPr>
            <w:tcW w:w="521" w:type="pct"/>
            <w:tcBorders>
              <w:left w:val="single" w:sz="4" w:space="0" w:color="FFC000"/>
              <w:right w:val="single" w:sz="18" w:space="0" w:color="FFC000"/>
            </w:tcBorders>
            <w:shd w:val="clear" w:color="auto" w:fill="auto"/>
            <w:vAlign w:val="center"/>
          </w:tcPr>
          <w:p w:rsidR="00F43416" w:rsidRPr="008E0EBD" w:rsidRDefault="00F43416" w:rsidP="00CE6D49">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-2%</w:t>
            </w:r>
          </w:p>
        </w:tc>
        <w:tc>
          <w:tcPr>
            <w:tcW w:w="532" w:type="pct"/>
            <w:tcBorders>
              <w:left w:val="single" w:sz="18" w:space="0" w:color="FFC000"/>
              <w:right w:val="single" w:sz="4" w:space="0" w:color="FFC000"/>
            </w:tcBorders>
            <w:shd w:val="clear" w:color="auto" w:fill="auto"/>
            <w:vAlign w:val="center"/>
          </w:tcPr>
          <w:p w:rsidR="00F43416" w:rsidRPr="008E0EBD" w:rsidRDefault="00F43416" w:rsidP="00CE6D49">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(212)</w:t>
            </w:r>
          </w:p>
        </w:tc>
        <w:tc>
          <w:tcPr>
            <w:tcW w:w="530" w:type="pct"/>
            <w:tcBorders>
              <w:left w:val="single" w:sz="4" w:space="0" w:color="FFC000"/>
              <w:right w:val="single" w:sz="4" w:space="0" w:color="FFC000"/>
            </w:tcBorders>
            <w:vAlign w:val="center"/>
          </w:tcPr>
          <w:p w:rsidR="00F43416" w:rsidRPr="008E0EBD" w:rsidRDefault="00F43416" w:rsidP="00CE6D49">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(243)</w:t>
            </w:r>
          </w:p>
        </w:tc>
        <w:tc>
          <w:tcPr>
            <w:tcW w:w="449" w:type="pct"/>
            <w:tcBorders>
              <w:left w:val="single" w:sz="4" w:space="0" w:color="FFC000"/>
              <w:right w:val="single" w:sz="4" w:space="0" w:color="FFC000"/>
            </w:tcBorders>
            <w:shd w:val="clear" w:color="auto" w:fill="auto"/>
            <w:vAlign w:val="center"/>
          </w:tcPr>
          <w:p w:rsidR="00F43416" w:rsidRDefault="00F43416" w:rsidP="00CE6D49">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-13%</w:t>
            </w:r>
          </w:p>
        </w:tc>
      </w:tr>
      <w:tr w:rsidR="00F43416" w:rsidRPr="005744FA" w:rsidTr="00CE6D49">
        <w:trPr>
          <w:trHeight w:val="264"/>
        </w:trPr>
        <w:tc>
          <w:tcPr>
            <w:tcW w:w="1925" w:type="pct"/>
            <w:tcBorders>
              <w:left w:val="single" w:sz="4" w:space="0" w:color="FFC000"/>
              <w:right w:val="single" w:sz="4" w:space="0" w:color="FFC000"/>
            </w:tcBorders>
            <w:shd w:val="clear" w:color="auto" w:fill="auto"/>
            <w:tcMar>
              <w:right w:w="113" w:type="dxa"/>
            </w:tcMar>
            <w:vAlign w:val="center"/>
          </w:tcPr>
          <w:p w:rsidR="00F43416" w:rsidRPr="007316DD" w:rsidRDefault="00F43416" w:rsidP="00CE6D49">
            <w:pPr>
              <w:tabs>
                <w:tab w:val="left" w:pos="284"/>
              </w:tabs>
              <w:spacing w:after="0"/>
              <w:rPr>
                <w:rFonts w:eastAsiaTheme="minorEastAsia" w:cs="Calibri"/>
                <w:sz w:val="16"/>
                <w:szCs w:val="16"/>
                <w:lang w:val="en-US"/>
              </w:rPr>
            </w:pPr>
            <w:r w:rsidRPr="007316DD">
              <w:rPr>
                <w:rFonts w:ascii="Calibri" w:eastAsiaTheme="minorEastAsia" w:hAnsi="Calibri" w:cs="Calibri"/>
                <w:sz w:val="16"/>
                <w:szCs w:val="16"/>
              </w:rPr>
              <w:t>Γενικά Διοικητικά Έξοδα</w:t>
            </w:r>
          </w:p>
        </w:tc>
        <w:tc>
          <w:tcPr>
            <w:tcW w:w="522"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(91</w:t>
            </w:r>
            <w:r w:rsidRPr="005744FA">
              <w:rPr>
                <w:rFonts w:eastAsiaTheme="minorEastAsia" w:cs="Calibri"/>
                <w:sz w:val="16"/>
                <w:szCs w:val="16"/>
                <w:lang w:val="en-US"/>
              </w:rPr>
              <w:t>)</w:t>
            </w:r>
          </w:p>
        </w:tc>
        <w:tc>
          <w:tcPr>
            <w:tcW w:w="521"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0000" w:themeColor="text1"/>
                <w:sz w:val="16"/>
                <w:szCs w:val="16"/>
                <w:lang w:val="en-US"/>
              </w:rPr>
            </w:pPr>
            <w:r>
              <w:rPr>
                <w:rFonts w:eastAsiaTheme="minorEastAsia" w:cs="Calibri"/>
                <w:color w:val="000000" w:themeColor="text1"/>
                <w:sz w:val="16"/>
                <w:szCs w:val="16"/>
                <w:lang w:val="en-US"/>
              </w:rPr>
              <w:t>(91</w:t>
            </w:r>
            <w:r w:rsidRPr="005744FA">
              <w:rPr>
                <w:rFonts w:eastAsiaTheme="minorEastAsia" w:cs="Calibri"/>
                <w:color w:val="000000" w:themeColor="text1"/>
                <w:sz w:val="16"/>
                <w:szCs w:val="16"/>
                <w:lang w:val="en-US"/>
              </w:rPr>
              <w:t>)</w:t>
            </w:r>
          </w:p>
        </w:tc>
        <w:tc>
          <w:tcPr>
            <w:tcW w:w="521" w:type="pct"/>
            <w:tcBorders>
              <w:left w:val="single" w:sz="4" w:space="0" w:color="FFC000"/>
              <w:right w:val="single" w:sz="18"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0</w:t>
            </w:r>
            <w:r w:rsidRPr="005744FA">
              <w:rPr>
                <w:rFonts w:eastAsiaTheme="minorEastAsia" w:cs="Calibri"/>
                <w:sz w:val="16"/>
                <w:szCs w:val="16"/>
                <w:lang w:val="en-US"/>
              </w:rPr>
              <w:t>%</w:t>
            </w:r>
          </w:p>
        </w:tc>
        <w:tc>
          <w:tcPr>
            <w:tcW w:w="532" w:type="pct"/>
            <w:tcBorders>
              <w:left w:val="single" w:sz="18"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(182)</w:t>
            </w:r>
          </w:p>
        </w:tc>
        <w:tc>
          <w:tcPr>
            <w:tcW w:w="530" w:type="pct"/>
            <w:tcBorders>
              <w:left w:val="single" w:sz="4" w:space="0" w:color="FFC000"/>
              <w:right w:val="single" w:sz="4" w:space="0" w:color="FFC000"/>
            </w:tcBorders>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(172)</w:t>
            </w:r>
          </w:p>
        </w:tc>
        <w:tc>
          <w:tcPr>
            <w:tcW w:w="449" w:type="pct"/>
            <w:tcBorders>
              <w:left w:val="single" w:sz="4" w:space="0" w:color="FFC000"/>
              <w:right w:val="single" w:sz="4" w:space="0" w:color="FFC000"/>
            </w:tcBorders>
            <w:shd w:val="clear" w:color="auto" w:fill="auto"/>
            <w:vAlign w:val="center"/>
          </w:tcPr>
          <w:p w:rsidR="00F43416"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6%</w:t>
            </w:r>
          </w:p>
        </w:tc>
      </w:tr>
      <w:tr w:rsidR="00F43416" w:rsidRPr="005744FA" w:rsidTr="00CE6D49">
        <w:trPr>
          <w:trHeight w:val="264"/>
        </w:trPr>
        <w:tc>
          <w:tcPr>
            <w:tcW w:w="1925" w:type="pct"/>
            <w:tcBorders>
              <w:left w:val="single" w:sz="4" w:space="0" w:color="FFC000"/>
              <w:right w:val="single" w:sz="4" w:space="0" w:color="FFC000"/>
            </w:tcBorders>
            <w:shd w:val="clear" w:color="auto" w:fill="auto"/>
            <w:tcMar>
              <w:right w:w="113" w:type="dxa"/>
            </w:tcMar>
            <w:vAlign w:val="center"/>
          </w:tcPr>
          <w:p w:rsidR="00F43416" w:rsidRPr="007316DD" w:rsidRDefault="00F43416" w:rsidP="00CE6D49">
            <w:pPr>
              <w:tabs>
                <w:tab w:val="left" w:pos="284"/>
              </w:tabs>
              <w:spacing w:after="0"/>
              <w:rPr>
                <w:rFonts w:eastAsiaTheme="minorEastAsia" w:cs="Calibri"/>
                <w:sz w:val="16"/>
                <w:szCs w:val="16"/>
                <w:lang w:val="en-US"/>
              </w:rPr>
            </w:pPr>
            <w:r w:rsidRPr="007316DD">
              <w:rPr>
                <w:rFonts w:ascii="Calibri" w:eastAsiaTheme="minorEastAsia" w:hAnsi="Calibri" w:cs="Calibri"/>
                <w:sz w:val="16"/>
                <w:szCs w:val="16"/>
              </w:rPr>
              <w:t>Αποσβέσεις και Λοιπά Έξοδα</w:t>
            </w:r>
          </w:p>
        </w:tc>
        <w:tc>
          <w:tcPr>
            <w:tcW w:w="522"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(29</w:t>
            </w:r>
            <w:r w:rsidRPr="005744FA">
              <w:rPr>
                <w:rFonts w:eastAsiaTheme="minorEastAsia" w:cs="Calibri"/>
                <w:sz w:val="16"/>
                <w:szCs w:val="16"/>
                <w:lang w:val="en-US"/>
              </w:rPr>
              <w:t>)</w:t>
            </w:r>
          </w:p>
        </w:tc>
        <w:tc>
          <w:tcPr>
            <w:tcW w:w="521"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0000" w:themeColor="text1"/>
                <w:sz w:val="16"/>
                <w:szCs w:val="16"/>
                <w:lang w:val="en-US"/>
              </w:rPr>
            </w:pPr>
            <w:r>
              <w:rPr>
                <w:rFonts w:eastAsiaTheme="minorEastAsia" w:cs="Calibri"/>
                <w:color w:val="000000" w:themeColor="text1"/>
                <w:sz w:val="16"/>
                <w:szCs w:val="16"/>
                <w:lang w:val="en-US"/>
              </w:rPr>
              <w:t>(29</w:t>
            </w:r>
            <w:r w:rsidRPr="005744FA">
              <w:rPr>
                <w:rFonts w:eastAsiaTheme="minorEastAsia" w:cs="Calibri"/>
                <w:color w:val="000000" w:themeColor="text1"/>
                <w:sz w:val="16"/>
                <w:szCs w:val="16"/>
                <w:lang w:val="en-US"/>
              </w:rPr>
              <w:t>)</w:t>
            </w:r>
          </w:p>
        </w:tc>
        <w:tc>
          <w:tcPr>
            <w:tcW w:w="521" w:type="pct"/>
            <w:tcBorders>
              <w:left w:val="single" w:sz="4" w:space="0" w:color="FFC000"/>
              <w:right w:val="single" w:sz="18"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-1%</w:t>
            </w:r>
          </w:p>
        </w:tc>
        <w:tc>
          <w:tcPr>
            <w:tcW w:w="532" w:type="pct"/>
            <w:tcBorders>
              <w:left w:val="single" w:sz="18"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(58)</w:t>
            </w:r>
          </w:p>
        </w:tc>
        <w:tc>
          <w:tcPr>
            <w:tcW w:w="530" w:type="pct"/>
            <w:tcBorders>
              <w:left w:val="single" w:sz="4" w:space="0" w:color="FFC000"/>
              <w:right w:val="single" w:sz="4" w:space="0" w:color="FFC000"/>
            </w:tcBorders>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(61)</w:t>
            </w:r>
          </w:p>
        </w:tc>
        <w:tc>
          <w:tcPr>
            <w:tcW w:w="449" w:type="pct"/>
            <w:tcBorders>
              <w:left w:val="single" w:sz="4" w:space="0" w:color="FFC000"/>
              <w:right w:val="single" w:sz="4" w:space="0" w:color="FFC000"/>
            </w:tcBorders>
            <w:shd w:val="clear" w:color="auto" w:fill="auto"/>
            <w:vAlign w:val="center"/>
          </w:tcPr>
          <w:p w:rsidR="00F43416"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-4%</w:t>
            </w:r>
          </w:p>
        </w:tc>
      </w:tr>
      <w:tr w:rsidR="00F43416" w:rsidRPr="005744FA" w:rsidTr="00CE6D49">
        <w:trPr>
          <w:trHeight w:val="264"/>
        </w:trPr>
        <w:tc>
          <w:tcPr>
            <w:tcW w:w="1925" w:type="pct"/>
            <w:tcBorders>
              <w:left w:val="single" w:sz="4" w:space="0" w:color="FFC000"/>
              <w:right w:val="single" w:sz="4" w:space="0" w:color="FFC000"/>
            </w:tcBorders>
            <w:shd w:val="clear" w:color="auto" w:fill="auto"/>
            <w:tcMar>
              <w:right w:w="113" w:type="dxa"/>
            </w:tcMar>
            <w:vAlign w:val="center"/>
          </w:tcPr>
          <w:p w:rsidR="00F43416" w:rsidRPr="007316DD" w:rsidRDefault="00F43416" w:rsidP="00CE6D49">
            <w:pPr>
              <w:tabs>
                <w:tab w:val="left" w:pos="284"/>
              </w:tabs>
              <w:spacing w:after="0"/>
              <w:rPr>
                <w:rFonts w:eastAsiaTheme="minorEastAsia" w:cs="Calibri"/>
                <w:i/>
                <w:sz w:val="16"/>
                <w:szCs w:val="16"/>
                <w:lang w:val="en-GB"/>
              </w:rPr>
            </w:pPr>
            <w:r w:rsidRPr="007316DD">
              <w:rPr>
                <w:rFonts w:ascii="Calibri" w:eastAsiaTheme="minorEastAsia" w:hAnsi="Calibri" w:cs="Calibri"/>
                <w:sz w:val="16"/>
                <w:szCs w:val="16"/>
              </w:rPr>
              <w:t>Σύνολο Λειτουργικών Εξόδων</w:t>
            </w:r>
          </w:p>
        </w:tc>
        <w:tc>
          <w:tcPr>
            <w:tcW w:w="522"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(225</w:t>
            </w:r>
            <w:r w:rsidRPr="005744FA">
              <w:rPr>
                <w:rFonts w:eastAsiaTheme="minorEastAsia" w:cs="Calibri"/>
                <w:sz w:val="16"/>
                <w:szCs w:val="16"/>
                <w:lang w:val="en-US"/>
              </w:rPr>
              <w:t>)</w:t>
            </w:r>
          </w:p>
        </w:tc>
        <w:tc>
          <w:tcPr>
            <w:tcW w:w="521"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0000" w:themeColor="text1"/>
                <w:sz w:val="16"/>
                <w:szCs w:val="16"/>
                <w:lang w:val="en-US"/>
              </w:rPr>
            </w:pPr>
            <w:r>
              <w:rPr>
                <w:rFonts w:eastAsiaTheme="minorEastAsia" w:cs="Calibri"/>
                <w:color w:val="000000" w:themeColor="text1"/>
                <w:sz w:val="16"/>
                <w:szCs w:val="16"/>
                <w:lang w:val="en-US"/>
              </w:rPr>
              <w:t>(227</w:t>
            </w:r>
            <w:r w:rsidRPr="005744FA">
              <w:rPr>
                <w:rFonts w:eastAsiaTheme="minorEastAsia" w:cs="Calibri"/>
                <w:color w:val="000000" w:themeColor="text1"/>
                <w:sz w:val="16"/>
                <w:szCs w:val="16"/>
                <w:lang w:val="en-US"/>
              </w:rPr>
              <w:t>)</w:t>
            </w:r>
          </w:p>
        </w:tc>
        <w:tc>
          <w:tcPr>
            <w:tcW w:w="521" w:type="pct"/>
            <w:tcBorders>
              <w:left w:val="single" w:sz="4" w:space="0" w:color="FFC000"/>
              <w:right w:val="single" w:sz="18"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-1</w:t>
            </w:r>
            <w:r w:rsidRPr="005744FA">
              <w:rPr>
                <w:rFonts w:eastAsiaTheme="minorEastAsia" w:cs="Calibri"/>
                <w:sz w:val="16"/>
                <w:szCs w:val="16"/>
                <w:lang w:val="en-US"/>
              </w:rPr>
              <w:t>%</w:t>
            </w:r>
          </w:p>
        </w:tc>
        <w:tc>
          <w:tcPr>
            <w:tcW w:w="532" w:type="pct"/>
            <w:tcBorders>
              <w:left w:val="single" w:sz="18"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(452)</w:t>
            </w:r>
          </w:p>
        </w:tc>
        <w:tc>
          <w:tcPr>
            <w:tcW w:w="530" w:type="pct"/>
            <w:tcBorders>
              <w:left w:val="single" w:sz="4" w:space="0" w:color="FFC000"/>
              <w:right w:val="single" w:sz="4" w:space="0" w:color="FFC000"/>
            </w:tcBorders>
            <w:vAlign w:val="center"/>
          </w:tcPr>
          <w:p w:rsidR="00F43416" w:rsidRPr="005744FA"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(492)</w:t>
            </w:r>
          </w:p>
        </w:tc>
        <w:tc>
          <w:tcPr>
            <w:tcW w:w="449" w:type="pct"/>
            <w:tcBorders>
              <w:left w:val="single" w:sz="4" w:space="0" w:color="FFC000"/>
              <w:right w:val="single" w:sz="4" w:space="0" w:color="FFC000"/>
            </w:tcBorders>
            <w:shd w:val="clear" w:color="auto" w:fill="auto"/>
            <w:vAlign w:val="center"/>
          </w:tcPr>
          <w:p w:rsidR="00F43416"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-8%</w:t>
            </w:r>
          </w:p>
        </w:tc>
      </w:tr>
      <w:tr w:rsidR="00F43416" w:rsidRPr="005744FA" w:rsidTr="00CE6D49">
        <w:trPr>
          <w:trHeight w:val="264"/>
        </w:trPr>
        <w:tc>
          <w:tcPr>
            <w:tcW w:w="1925" w:type="pct"/>
            <w:tcBorders>
              <w:left w:val="single" w:sz="4" w:space="0" w:color="FFC000"/>
              <w:right w:val="single" w:sz="4" w:space="0" w:color="FFC000"/>
            </w:tcBorders>
            <w:shd w:val="clear" w:color="auto" w:fill="auto"/>
            <w:tcMar>
              <w:right w:w="113" w:type="dxa"/>
            </w:tcMar>
            <w:vAlign w:val="center"/>
          </w:tcPr>
          <w:p w:rsidR="00F43416" w:rsidRPr="007316DD" w:rsidRDefault="00F43416" w:rsidP="00CE6D49">
            <w:pPr>
              <w:tabs>
                <w:tab w:val="left" w:pos="284"/>
              </w:tabs>
              <w:spacing w:after="0"/>
              <w:rPr>
                <w:rFonts w:eastAsiaTheme="minorEastAsia" w:cs="Calibri"/>
                <w:sz w:val="16"/>
                <w:szCs w:val="16"/>
                <w:lang w:val="en-US"/>
              </w:rPr>
            </w:pPr>
            <w:r w:rsidRPr="007316DD">
              <w:rPr>
                <w:rFonts w:eastAsiaTheme="minorEastAsia" w:cs="Calibri"/>
                <w:color w:val="003C96" w:themeColor="text2"/>
                <w:sz w:val="16"/>
                <w:szCs w:val="16"/>
                <w:lang w:val="en-US"/>
              </w:rPr>
              <w:t xml:space="preserve">- </w:t>
            </w:r>
            <w:r w:rsidRPr="007316DD">
              <w:rPr>
                <w:rFonts w:eastAsiaTheme="minorEastAsia" w:cs="Calibri"/>
                <w:color w:val="003C96" w:themeColor="text2"/>
                <w:sz w:val="16"/>
                <w:szCs w:val="16"/>
              </w:rPr>
              <w:t xml:space="preserve">εξαιρουμένωνεκτάκτωνεξόδων </w:t>
            </w:r>
            <w:r w:rsidRPr="007316DD">
              <w:rPr>
                <w:rFonts w:eastAsiaTheme="minorEastAsia" w:cs="Calibri"/>
                <w:color w:val="003C96" w:themeColor="text2"/>
                <w:sz w:val="16"/>
                <w:szCs w:val="16"/>
                <w:vertAlign w:val="superscript"/>
              </w:rPr>
              <w:t>1</w:t>
            </w:r>
          </w:p>
        </w:tc>
        <w:tc>
          <w:tcPr>
            <w:tcW w:w="522"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3C96" w:themeColor="text2"/>
                <w:sz w:val="16"/>
                <w:szCs w:val="16"/>
              </w:rPr>
            </w:pPr>
            <w:r>
              <w:rPr>
                <w:rFonts w:eastAsiaTheme="minorEastAsia" w:cs="Calibri"/>
                <w:color w:val="003C96" w:themeColor="text2"/>
                <w:sz w:val="16"/>
                <w:szCs w:val="16"/>
              </w:rPr>
              <w:t>(</w:t>
            </w:r>
            <w:r>
              <w:rPr>
                <w:rFonts w:eastAsiaTheme="minorEastAsia" w:cs="Calibri"/>
                <w:color w:val="003C96" w:themeColor="text2"/>
                <w:sz w:val="16"/>
                <w:szCs w:val="16"/>
                <w:lang w:val="en-US"/>
              </w:rPr>
              <w:t>225</w:t>
            </w:r>
            <w:r w:rsidRPr="005744FA">
              <w:rPr>
                <w:rFonts w:eastAsiaTheme="minorEastAsia" w:cs="Calibri"/>
                <w:color w:val="003C96" w:themeColor="text2"/>
                <w:sz w:val="16"/>
                <w:szCs w:val="16"/>
              </w:rPr>
              <w:t>)</w:t>
            </w:r>
          </w:p>
        </w:tc>
        <w:tc>
          <w:tcPr>
            <w:tcW w:w="521"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(227</w:t>
            </w:r>
            <w:r w:rsidRPr="005744FA">
              <w:rPr>
                <w:rFonts w:eastAsiaTheme="minorEastAsia" w:cs="Calibri"/>
                <w:color w:val="003C96" w:themeColor="text2"/>
                <w:sz w:val="16"/>
                <w:szCs w:val="16"/>
                <w:lang w:val="en-US"/>
              </w:rPr>
              <w:t>)</w:t>
            </w:r>
          </w:p>
        </w:tc>
        <w:tc>
          <w:tcPr>
            <w:tcW w:w="521" w:type="pct"/>
            <w:tcBorders>
              <w:left w:val="single" w:sz="4" w:space="0" w:color="FFC000"/>
              <w:right w:val="single" w:sz="18"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-1</w:t>
            </w:r>
            <w:r w:rsidRPr="00297E8B">
              <w:rPr>
                <w:rFonts w:eastAsiaTheme="minorEastAsia" w:cs="Calibri"/>
                <w:color w:val="003C96" w:themeColor="text2"/>
                <w:sz w:val="16"/>
                <w:szCs w:val="16"/>
                <w:lang w:val="en-US"/>
              </w:rPr>
              <w:t>%</w:t>
            </w:r>
          </w:p>
        </w:tc>
        <w:tc>
          <w:tcPr>
            <w:tcW w:w="532" w:type="pct"/>
            <w:tcBorders>
              <w:left w:val="single" w:sz="18"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(452)</w:t>
            </w:r>
          </w:p>
        </w:tc>
        <w:tc>
          <w:tcPr>
            <w:tcW w:w="530" w:type="pct"/>
            <w:tcBorders>
              <w:left w:val="single" w:sz="4" w:space="0" w:color="FFC000"/>
              <w:right w:val="single" w:sz="4" w:space="0" w:color="FFC000"/>
            </w:tcBorders>
            <w:vAlign w:val="center"/>
          </w:tcPr>
          <w:p w:rsidR="00F43416" w:rsidRPr="005744FA" w:rsidRDefault="00F43416" w:rsidP="00CE6D49">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(476)</w:t>
            </w:r>
          </w:p>
        </w:tc>
        <w:tc>
          <w:tcPr>
            <w:tcW w:w="449" w:type="pct"/>
            <w:tcBorders>
              <w:left w:val="single" w:sz="4" w:space="0" w:color="FFC000"/>
              <w:right w:val="single" w:sz="4" w:space="0" w:color="FFC000"/>
            </w:tcBorders>
            <w:shd w:val="clear" w:color="auto" w:fill="auto"/>
            <w:vAlign w:val="center"/>
          </w:tcPr>
          <w:p w:rsidR="00F43416" w:rsidRDefault="00F43416" w:rsidP="00CE6D49">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-5%</w:t>
            </w:r>
          </w:p>
        </w:tc>
      </w:tr>
      <w:tr w:rsidR="00F43416" w:rsidRPr="005744FA" w:rsidTr="00CE6D49">
        <w:trPr>
          <w:trHeight w:val="63"/>
        </w:trPr>
        <w:tc>
          <w:tcPr>
            <w:tcW w:w="1925" w:type="pct"/>
            <w:tcBorders>
              <w:left w:val="single" w:sz="4" w:space="0" w:color="FFC000"/>
              <w:right w:val="single" w:sz="4" w:space="0" w:color="FFC000"/>
            </w:tcBorders>
            <w:shd w:val="clear" w:color="auto" w:fill="auto"/>
            <w:tcMar>
              <w:right w:w="113" w:type="dxa"/>
            </w:tcMar>
            <w:vAlign w:val="center"/>
          </w:tcPr>
          <w:p w:rsidR="00F43416" w:rsidRPr="007316DD" w:rsidRDefault="00F43416" w:rsidP="00CE6D49">
            <w:pPr>
              <w:tabs>
                <w:tab w:val="left" w:pos="284"/>
              </w:tabs>
              <w:spacing w:after="0"/>
              <w:rPr>
                <w:rFonts w:eastAsiaTheme="minorEastAsia" w:cs="Calibri"/>
                <w:sz w:val="16"/>
                <w:szCs w:val="16"/>
                <w:lang w:val="en-US"/>
              </w:rPr>
            </w:pPr>
          </w:p>
        </w:tc>
        <w:tc>
          <w:tcPr>
            <w:tcW w:w="522"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sz w:val="16"/>
                <w:szCs w:val="16"/>
                <w:highlight w:val="green"/>
                <w:lang w:val="en-US"/>
              </w:rPr>
            </w:pPr>
          </w:p>
        </w:tc>
        <w:tc>
          <w:tcPr>
            <w:tcW w:w="521"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3C96" w:themeColor="text2"/>
                <w:sz w:val="16"/>
                <w:szCs w:val="16"/>
                <w:highlight w:val="green"/>
                <w:lang w:val="en-US"/>
              </w:rPr>
            </w:pPr>
          </w:p>
        </w:tc>
        <w:tc>
          <w:tcPr>
            <w:tcW w:w="521" w:type="pct"/>
            <w:tcBorders>
              <w:left w:val="single" w:sz="4" w:space="0" w:color="FFC000"/>
              <w:right w:val="single" w:sz="18"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3C96" w:themeColor="text2"/>
                <w:sz w:val="16"/>
                <w:szCs w:val="16"/>
                <w:highlight w:val="green"/>
                <w:lang w:val="en-US"/>
              </w:rPr>
            </w:pPr>
          </w:p>
        </w:tc>
        <w:tc>
          <w:tcPr>
            <w:tcW w:w="532" w:type="pct"/>
            <w:tcBorders>
              <w:left w:val="single" w:sz="18"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3C96" w:themeColor="text2"/>
                <w:sz w:val="16"/>
                <w:szCs w:val="16"/>
                <w:lang w:val="en-US"/>
              </w:rPr>
            </w:pPr>
          </w:p>
        </w:tc>
        <w:tc>
          <w:tcPr>
            <w:tcW w:w="530" w:type="pct"/>
            <w:tcBorders>
              <w:left w:val="single" w:sz="4" w:space="0" w:color="FFC000"/>
              <w:right w:val="single" w:sz="4" w:space="0" w:color="FFC000"/>
            </w:tcBorders>
            <w:vAlign w:val="center"/>
          </w:tcPr>
          <w:p w:rsidR="00F43416" w:rsidRPr="005744FA" w:rsidRDefault="00F43416" w:rsidP="00CE6D49">
            <w:pPr>
              <w:tabs>
                <w:tab w:val="left" w:pos="284"/>
              </w:tabs>
              <w:spacing w:after="0"/>
              <w:jc w:val="center"/>
              <w:rPr>
                <w:rFonts w:eastAsiaTheme="minorEastAsia" w:cs="Calibri"/>
                <w:color w:val="003C96" w:themeColor="text2"/>
                <w:sz w:val="16"/>
                <w:szCs w:val="16"/>
                <w:lang w:val="en-US"/>
              </w:rPr>
            </w:pPr>
          </w:p>
        </w:tc>
        <w:tc>
          <w:tcPr>
            <w:tcW w:w="449" w:type="pct"/>
            <w:tcBorders>
              <w:left w:val="single" w:sz="4" w:space="0" w:color="FFC000"/>
              <w:right w:val="single" w:sz="4" w:space="0" w:color="FFC000"/>
            </w:tcBorders>
            <w:shd w:val="clear" w:color="auto" w:fill="auto"/>
            <w:vAlign w:val="center"/>
          </w:tcPr>
          <w:p w:rsidR="00F43416" w:rsidRPr="005744FA" w:rsidRDefault="00F43416" w:rsidP="00CE6D49">
            <w:pPr>
              <w:tabs>
                <w:tab w:val="left" w:pos="284"/>
              </w:tabs>
              <w:spacing w:after="0"/>
              <w:jc w:val="right"/>
              <w:rPr>
                <w:rFonts w:eastAsiaTheme="minorEastAsia" w:cs="Calibri"/>
                <w:color w:val="003C96" w:themeColor="text2"/>
                <w:sz w:val="16"/>
                <w:szCs w:val="16"/>
                <w:lang w:val="en-US"/>
              </w:rPr>
            </w:pPr>
          </w:p>
        </w:tc>
      </w:tr>
      <w:tr w:rsidR="00F43416" w:rsidRPr="005744FA" w:rsidTr="00CE6D49">
        <w:trPr>
          <w:trHeight w:val="252"/>
        </w:trPr>
        <w:tc>
          <w:tcPr>
            <w:tcW w:w="1925" w:type="pct"/>
            <w:tcBorders>
              <w:left w:val="single" w:sz="4" w:space="0" w:color="FFC000"/>
              <w:right w:val="single" w:sz="4" w:space="0" w:color="FFC000"/>
            </w:tcBorders>
            <w:shd w:val="clear" w:color="auto" w:fill="auto"/>
            <w:tcMar>
              <w:right w:w="113" w:type="dxa"/>
            </w:tcMar>
            <w:vAlign w:val="bottom"/>
          </w:tcPr>
          <w:p w:rsidR="00F43416" w:rsidRPr="007316DD" w:rsidRDefault="00F43416" w:rsidP="00CE6D49">
            <w:pPr>
              <w:tabs>
                <w:tab w:val="left" w:pos="284"/>
              </w:tabs>
              <w:spacing w:after="0"/>
              <w:rPr>
                <w:rFonts w:eastAsiaTheme="minorEastAsia" w:cs="Calibri"/>
                <w:sz w:val="16"/>
                <w:szCs w:val="16"/>
                <w:lang w:val="en-US"/>
              </w:rPr>
            </w:pPr>
            <w:r w:rsidRPr="007316DD">
              <w:rPr>
                <w:rFonts w:ascii="Calibri" w:eastAsiaTheme="minorEastAsia" w:hAnsi="Calibri" w:cs="Calibri"/>
                <w:sz w:val="16"/>
                <w:szCs w:val="16"/>
              </w:rPr>
              <w:t>Κέρδη Προ Φόρων &amp; Προβλέψεων</w:t>
            </w:r>
          </w:p>
        </w:tc>
        <w:tc>
          <w:tcPr>
            <w:tcW w:w="522" w:type="pct"/>
            <w:tcBorders>
              <w:left w:val="single" w:sz="4" w:space="0" w:color="FFC000"/>
              <w:right w:val="single" w:sz="4" w:space="0" w:color="FFC000"/>
            </w:tcBorders>
            <w:shd w:val="clear" w:color="auto" w:fill="auto"/>
            <w:vAlign w:val="center"/>
          </w:tcPr>
          <w:p w:rsidR="00F43416" w:rsidRPr="007116A1"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285</w:t>
            </w:r>
          </w:p>
        </w:tc>
        <w:tc>
          <w:tcPr>
            <w:tcW w:w="521" w:type="pct"/>
            <w:tcBorders>
              <w:left w:val="single" w:sz="4" w:space="0" w:color="FFC000"/>
              <w:right w:val="single" w:sz="4" w:space="0" w:color="FFC000"/>
            </w:tcBorders>
            <w:shd w:val="clear" w:color="auto" w:fill="auto"/>
            <w:vAlign w:val="center"/>
          </w:tcPr>
          <w:p w:rsidR="00F43416" w:rsidRPr="007116A1"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185</w:t>
            </w:r>
          </w:p>
        </w:tc>
        <w:tc>
          <w:tcPr>
            <w:tcW w:w="521" w:type="pct"/>
            <w:tcBorders>
              <w:left w:val="single" w:sz="4" w:space="0" w:color="FFC000"/>
              <w:right w:val="single" w:sz="18" w:space="0" w:color="FFC000"/>
            </w:tcBorders>
            <w:shd w:val="clear" w:color="auto" w:fill="auto"/>
            <w:vAlign w:val="center"/>
          </w:tcPr>
          <w:p w:rsidR="00F43416" w:rsidRPr="007116A1"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54</w:t>
            </w:r>
            <w:r w:rsidRPr="007116A1">
              <w:rPr>
                <w:rFonts w:eastAsiaTheme="minorEastAsia" w:cs="Calibri"/>
                <w:sz w:val="16"/>
                <w:szCs w:val="16"/>
                <w:lang w:val="en-US"/>
              </w:rPr>
              <w:t>%</w:t>
            </w:r>
          </w:p>
        </w:tc>
        <w:tc>
          <w:tcPr>
            <w:tcW w:w="532" w:type="pct"/>
            <w:tcBorders>
              <w:left w:val="single" w:sz="18" w:space="0" w:color="FFC000"/>
              <w:right w:val="single" w:sz="4" w:space="0" w:color="FFC000"/>
            </w:tcBorders>
            <w:shd w:val="clear" w:color="auto" w:fill="auto"/>
            <w:vAlign w:val="center"/>
          </w:tcPr>
          <w:p w:rsidR="00F43416" w:rsidRPr="007116A1"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470</w:t>
            </w:r>
          </w:p>
        </w:tc>
        <w:tc>
          <w:tcPr>
            <w:tcW w:w="530" w:type="pct"/>
            <w:tcBorders>
              <w:left w:val="single" w:sz="4" w:space="0" w:color="FFC000"/>
              <w:right w:val="single" w:sz="4" w:space="0" w:color="FFC000"/>
            </w:tcBorders>
            <w:vAlign w:val="center"/>
          </w:tcPr>
          <w:p w:rsidR="00F43416" w:rsidRPr="007116A1"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402</w:t>
            </w:r>
          </w:p>
        </w:tc>
        <w:tc>
          <w:tcPr>
            <w:tcW w:w="449" w:type="pct"/>
            <w:tcBorders>
              <w:left w:val="single" w:sz="4" w:space="0" w:color="FFC000"/>
              <w:right w:val="single" w:sz="4" w:space="0" w:color="FFC000"/>
            </w:tcBorders>
            <w:shd w:val="clear" w:color="auto" w:fill="auto"/>
            <w:vAlign w:val="center"/>
          </w:tcPr>
          <w:p w:rsidR="00F43416"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17%</w:t>
            </w:r>
          </w:p>
        </w:tc>
      </w:tr>
      <w:tr w:rsidR="00F43416" w:rsidRPr="005744FA" w:rsidTr="00CE6D49">
        <w:trPr>
          <w:trHeight w:val="252"/>
        </w:trPr>
        <w:tc>
          <w:tcPr>
            <w:tcW w:w="1925" w:type="pct"/>
            <w:tcBorders>
              <w:left w:val="single" w:sz="4" w:space="0" w:color="FFC000"/>
              <w:right w:val="single" w:sz="4" w:space="0" w:color="FFC000"/>
            </w:tcBorders>
            <w:shd w:val="clear" w:color="auto" w:fill="auto"/>
            <w:tcMar>
              <w:right w:w="113" w:type="dxa"/>
            </w:tcMar>
            <w:vAlign w:val="center"/>
          </w:tcPr>
          <w:p w:rsidR="00F43416" w:rsidRPr="007316DD" w:rsidRDefault="00F43416" w:rsidP="00CE6D49">
            <w:pPr>
              <w:tabs>
                <w:tab w:val="left" w:pos="284"/>
              </w:tabs>
              <w:spacing w:after="0"/>
              <w:rPr>
                <w:rFonts w:eastAsiaTheme="minorEastAsia" w:cs="Calibri"/>
                <w:sz w:val="16"/>
                <w:szCs w:val="16"/>
              </w:rPr>
            </w:pPr>
            <w:r w:rsidRPr="007316DD">
              <w:rPr>
                <w:rFonts w:cs="Calibri"/>
                <w:color w:val="003C96" w:themeColor="text2"/>
                <w:sz w:val="16"/>
                <w:szCs w:val="16"/>
              </w:rPr>
              <w:t>- εξαιρουμένων εκτάκτων εσόδων και εξόδων</w:t>
            </w:r>
          </w:p>
        </w:tc>
        <w:tc>
          <w:tcPr>
            <w:tcW w:w="522" w:type="pct"/>
            <w:tcBorders>
              <w:left w:val="single" w:sz="4" w:space="0" w:color="FFC000"/>
              <w:right w:val="single" w:sz="4" w:space="0" w:color="FFC000"/>
            </w:tcBorders>
            <w:shd w:val="clear" w:color="auto" w:fill="auto"/>
            <w:vAlign w:val="center"/>
          </w:tcPr>
          <w:p w:rsidR="00F43416" w:rsidRPr="00E73EF8" w:rsidRDefault="00F43416" w:rsidP="00CE6D49">
            <w:pPr>
              <w:tabs>
                <w:tab w:val="left" w:pos="284"/>
              </w:tabs>
              <w:spacing w:after="0"/>
              <w:jc w:val="right"/>
              <w:rPr>
                <w:rFonts w:eastAsiaTheme="minorEastAsia" w:cs="Calibri"/>
                <w:color w:val="003C96" w:themeColor="text2"/>
                <w:sz w:val="16"/>
                <w:szCs w:val="16"/>
                <w:lang w:val="en-US"/>
              </w:rPr>
            </w:pPr>
            <w:r w:rsidRPr="007116A1">
              <w:rPr>
                <w:rFonts w:eastAsiaTheme="minorEastAsia" w:cs="Calibri"/>
                <w:color w:val="003C96" w:themeColor="text2"/>
                <w:sz w:val="16"/>
                <w:szCs w:val="16"/>
              </w:rPr>
              <w:t>2</w:t>
            </w:r>
            <w:r>
              <w:rPr>
                <w:rFonts w:eastAsiaTheme="minorEastAsia" w:cs="Calibri"/>
                <w:color w:val="003C96" w:themeColor="text2"/>
                <w:sz w:val="16"/>
                <w:szCs w:val="16"/>
                <w:lang w:val="en-US"/>
              </w:rPr>
              <w:t>85</w:t>
            </w:r>
          </w:p>
        </w:tc>
        <w:tc>
          <w:tcPr>
            <w:tcW w:w="521" w:type="pct"/>
            <w:tcBorders>
              <w:left w:val="single" w:sz="4" w:space="0" w:color="FFC000"/>
              <w:right w:val="single" w:sz="4" w:space="0" w:color="FFC000"/>
            </w:tcBorders>
            <w:shd w:val="clear" w:color="auto" w:fill="auto"/>
            <w:vAlign w:val="center"/>
          </w:tcPr>
          <w:p w:rsidR="00F43416" w:rsidRPr="00E73EF8" w:rsidRDefault="00F43416" w:rsidP="00CE6D49">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rPr>
              <w:t>185</w:t>
            </w:r>
          </w:p>
        </w:tc>
        <w:tc>
          <w:tcPr>
            <w:tcW w:w="521" w:type="pct"/>
            <w:tcBorders>
              <w:left w:val="single" w:sz="4" w:space="0" w:color="FFC000"/>
              <w:right w:val="single" w:sz="18" w:space="0" w:color="FFC000"/>
            </w:tcBorders>
            <w:shd w:val="clear" w:color="auto" w:fill="auto"/>
            <w:vAlign w:val="center"/>
          </w:tcPr>
          <w:p w:rsidR="00F43416" w:rsidRPr="007116A1" w:rsidRDefault="00F43416" w:rsidP="00CE6D49">
            <w:pPr>
              <w:tabs>
                <w:tab w:val="left" w:pos="284"/>
              </w:tabs>
              <w:spacing w:after="0"/>
              <w:jc w:val="right"/>
              <w:rPr>
                <w:rFonts w:eastAsiaTheme="minorEastAsia" w:cs="Calibri"/>
                <w:color w:val="003C96" w:themeColor="text2"/>
                <w:sz w:val="16"/>
                <w:szCs w:val="16"/>
              </w:rPr>
            </w:pPr>
            <w:r>
              <w:rPr>
                <w:rFonts w:eastAsiaTheme="minorEastAsia" w:cs="Calibri"/>
                <w:color w:val="003C96" w:themeColor="text2"/>
                <w:sz w:val="16"/>
                <w:szCs w:val="16"/>
              </w:rPr>
              <w:t>54</w:t>
            </w:r>
            <w:r w:rsidRPr="007116A1">
              <w:rPr>
                <w:rFonts w:eastAsiaTheme="minorEastAsia" w:cs="Calibri"/>
                <w:color w:val="003C96" w:themeColor="text2"/>
                <w:sz w:val="16"/>
                <w:szCs w:val="16"/>
              </w:rPr>
              <w:t>%</w:t>
            </w:r>
          </w:p>
        </w:tc>
        <w:tc>
          <w:tcPr>
            <w:tcW w:w="532" w:type="pct"/>
            <w:tcBorders>
              <w:left w:val="single" w:sz="18" w:space="0" w:color="FFC000"/>
              <w:right w:val="single" w:sz="4" w:space="0" w:color="FFC000"/>
            </w:tcBorders>
            <w:shd w:val="clear" w:color="auto" w:fill="auto"/>
            <w:vAlign w:val="center"/>
          </w:tcPr>
          <w:p w:rsidR="00F43416" w:rsidRPr="00A52D7B" w:rsidRDefault="00F43416" w:rsidP="00CE6D49">
            <w:pPr>
              <w:tabs>
                <w:tab w:val="left" w:pos="284"/>
              </w:tabs>
              <w:spacing w:after="0"/>
              <w:jc w:val="right"/>
              <w:rPr>
                <w:rFonts w:eastAsiaTheme="minorEastAsia" w:cs="Calibri"/>
                <w:color w:val="003C96" w:themeColor="text2"/>
                <w:sz w:val="16"/>
                <w:szCs w:val="16"/>
              </w:rPr>
            </w:pPr>
            <w:r>
              <w:rPr>
                <w:rFonts w:eastAsiaTheme="minorEastAsia" w:cs="Calibri"/>
                <w:color w:val="003C96" w:themeColor="text2"/>
                <w:sz w:val="16"/>
                <w:szCs w:val="16"/>
              </w:rPr>
              <w:t>470</w:t>
            </w:r>
          </w:p>
        </w:tc>
        <w:tc>
          <w:tcPr>
            <w:tcW w:w="530" w:type="pct"/>
            <w:tcBorders>
              <w:left w:val="single" w:sz="4" w:space="0" w:color="FFC000"/>
              <w:right w:val="single" w:sz="4" w:space="0" w:color="FFC000"/>
            </w:tcBorders>
            <w:vAlign w:val="center"/>
          </w:tcPr>
          <w:p w:rsidR="00F43416" w:rsidRPr="004045AC" w:rsidRDefault="00F43416" w:rsidP="00CE6D49">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417</w:t>
            </w:r>
          </w:p>
        </w:tc>
        <w:tc>
          <w:tcPr>
            <w:tcW w:w="449" w:type="pct"/>
            <w:tcBorders>
              <w:left w:val="single" w:sz="4" w:space="0" w:color="FFC000"/>
              <w:right w:val="single" w:sz="4" w:space="0" w:color="FFC000"/>
            </w:tcBorders>
            <w:shd w:val="clear" w:color="auto" w:fill="auto"/>
            <w:vAlign w:val="center"/>
          </w:tcPr>
          <w:p w:rsidR="00F43416" w:rsidRPr="004045AC" w:rsidRDefault="00F43416" w:rsidP="00CE6D49">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13%</w:t>
            </w:r>
          </w:p>
        </w:tc>
      </w:tr>
      <w:tr w:rsidR="00F43416" w:rsidRPr="005744FA" w:rsidTr="00CE6D49">
        <w:trPr>
          <w:trHeight w:val="87"/>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7316DD" w:rsidRDefault="00F43416" w:rsidP="00CE6D49">
            <w:pPr>
              <w:tabs>
                <w:tab w:val="left" w:pos="284"/>
              </w:tabs>
              <w:spacing w:after="0"/>
              <w:rPr>
                <w:rFonts w:eastAsiaTheme="minorEastAsia" w:cs="Calibri"/>
                <w:sz w:val="10"/>
                <w:szCs w:val="16"/>
                <w:lang w:val="en-US"/>
              </w:rPr>
            </w:pPr>
          </w:p>
        </w:tc>
        <w:tc>
          <w:tcPr>
            <w:tcW w:w="522" w:type="pct"/>
            <w:tcBorders>
              <w:left w:val="single" w:sz="4" w:space="0" w:color="FFC000"/>
              <w:right w:val="single" w:sz="4" w:space="0" w:color="FFC000"/>
            </w:tcBorders>
            <w:shd w:val="clear" w:color="auto" w:fill="FFFFFF" w:themeFill="background1"/>
            <w:vAlign w:val="center"/>
          </w:tcPr>
          <w:p w:rsidR="00F43416" w:rsidRPr="006C7864" w:rsidRDefault="00F43416" w:rsidP="00CE6D49">
            <w:pPr>
              <w:tabs>
                <w:tab w:val="left" w:pos="284"/>
              </w:tabs>
              <w:spacing w:after="0"/>
              <w:jc w:val="right"/>
              <w:rPr>
                <w:rFonts w:eastAsiaTheme="minorEastAsia" w:cs="Calibri"/>
                <w:color w:val="FF0000"/>
                <w:sz w:val="10"/>
                <w:szCs w:val="16"/>
                <w:highlight w:val="green"/>
                <w:lang w:val="en-US"/>
              </w:rPr>
            </w:pPr>
          </w:p>
        </w:tc>
        <w:tc>
          <w:tcPr>
            <w:tcW w:w="521" w:type="pct"/>
            <w:tcBorders>
              <w:left w:val="single" w:sz="4" w:space="0" w:color="FFC000"/>
              <w:right w:val="single" w:sz="4" w:space="0" w:color="FFC000"/>
            </w:tcBorders>
            <w:shd w:val="clear" w:color="auto" w:fill="FFFFFF" w:themeFill="background1"/>
            <w:vAlign w:val="center"/>
          </w:tcPr>
          <w:p w:rsidR="00F43416" w:rsidRPr="006C7864" w:rsidRDefault="00F43416" w:rsidP="00CE6D49">
            <w:pPr>
              <w:tabs>
                <w:tab w:val="left" w:pos="284"/>
              </w:tabs>
              <w:spacing w:after="0"/>
              <w:jc w:val="right"/>
              <w:rPr>
                <w:rFonts w:eastAsiaTheme="minorEastAsia" w:cs="Calibri"/>
                <w:color w:val="FF0000"/>
                <w:sz w:val="10"/>
                <w:szCs w:val="16"/>
                <w:highlight w:val="green"/>
                <w:lang w:val="en-US"/>
              </w:rPr>
            </w:pPr>
          </w:p>
        </w:tc>
        <w:tc>
          <w:tcPr>
            <w:tcW w:w="521" w:type="pct"/>
            <w:tcBorders>
              <w:left w:val="single" w:sz="4" w:space="0" w:color="FFC000"/>
              <w:right w:val="single" w:sz="18" w:space="0" w:color="FFC000"/>
            </w:tcBorders>
            <w:shd w:val="clear" w:color="auto" w:fill="FFFFFF" w:themeFill="background1"/>
            <w:vAlign w:val="center"/>
          </w:tcPr>
          <w:p w:rsidR="00F43416" w:rsidRPr="006C7864" w:rsidRDefault="00F43416" w:rsidP="00CE6D49">
            <w:pPr>
              <w:tabs>
                <w:tab w:val="left" w:pos="284"/>
              </w:tabs>
              <w:spacing w:after="0"/>
              <w:jc w:val="right"/>
              <w:rPr>
                <w:rFonts w:eastAsiaTheme="minorEastAsia" w:cs="Calibri"/>
                <w:color w:val="FF0000"/>
                <w:sz w:val="10"/>
                <w:szCs w:val="16"/>
                <w:highlight w:val="green"/>
                <w:lang w:val="en-US"/>
              </w:rPr>
            </w:pPr>
          </w:p>
        </w:tc>
        <w:tc>
          <w:tcPr>
            <w:tcW w:w="532" w:type="pct"/>
            <w:tcBorders>
              <w:left w:val="single" w:sz="18" w:space="0" w:color="FFC000"/>
              <w:right w:val="single" w:sz="4" w:space="0" w:color="FFC000"/>
            </w:tcBorders>
            <w:shd w:val="clear" w:color="auto" w:fill="FFFFFF" w:themeFill="background1"/>
            <w:vAlign w:val="center"/>
          </w:tcPr>
          <w:p w:rsidR="00F43416" w:rsidRPr="006C7864" w:rsidRDefault="00F43416" w:rsidP="00CE6D49">
            <w:pPr>
              <w:tabs>
                <w:tab w:val="left" w:pos="284"/>
              </w:tabs>
              <w:spacing w:after="0"/>
              <w:jc w:val="right"/>
              <w:rPr>
                <w:rFonts w:eastAsiaTheme="minorEastAsia" w:cs="Calibri"/>
                <w:color w:val="FF0000"/>
                <w:sz w:val="10"/>
                <w:szCs w:val="16"/>
                <w:lang w:val="en-US"/>
              </w:rPr>
            </w:pPr>
          </w:p>
        </w:tc>
        <w:tc>
          <w:tcPr>
            <w:tcW w:w="530" w:type="pct"/>
            <w:tcBorders>
              <w:left w:val="single" w:sz="4" w:space="0" w:color="FFC000"/>
              <w:right w:val="single" w:sz="4" w:space="0" w:color="FFC000"/>
            </w:tcBorders>
            <w:shd w:val="clear" w:color="auto" w:fill="FFFFFF" w:themeFill="background1"/>
            <w:vAlign w:val="center"/>
          </w:tcPr>
          <w:p w:rsidR="00F43416" w:rsidRPr="006C7864" w:rsidRDefault="00F43416" w:rsidP="00CE6D49">
            <w:pPr>
              <w:tabs>
                <w:tab w:val="left" w:pos="284"/>
              </w:tabs>
              <w:spacing w:after="0"/>
              <w:jc w:val="center"/>
              <w:rPr>
                <w:rFonts w:eastAsiaTheme="minorEastAsia" w:cs="Calibri"/>
                <w:color w:val="FF0000"/>
                <w:sz w:val="10"/>
                <w:szCs w:val="16"/>
                <w:lang w:val="en-US"/>
              </w:rPr>
            </w:pPr>
          </w:p>
        </w:tc>
        <w:tc>
          <w:tcPr>
            <w:tcW w:w="449" w:type="pct"/>
            <w:tcBorders>
              <w:left w:val="single" w:sz="4" w:space="0" w:color="FFC000"/>
              <w:right w:val="single" w:sz="4" w:space="0" w:color="FFC000"/>
            </w:tcBorders>
            <w:shd w:val="clear" w:color="auto" w:fill="FFFFFF" w:themeFill="background1"/>
            <w:vAlign w:val="center"/>
          </w:tcPr>
          <w:p w:rsidR="00F43416" w:rsidRPr="006C7864" w:rsidRDefault="00F43416" w:rsidP="00CE6D49">
            <w:pPr>
              <w:tabs>
                <w:tab w:val="left" w:pos="284"/>
              </w:tabs>
              <w:spacing w:after="0"/>
              <w:jc w:val="right"/>
              <w:rPr>
                <w:rFonts w:eastAsiaTheme="minorEastAsia" w:cs="Calibri"/>
                <w:color w:val="FF0000"/>
                <w:sz w:val="10"/>
                <w:szCs w:val="16"/>
                <w:lang w:val="en-US"/>
              </w:rPr>
            </w:pPr>
          </w:p>
        </w:tc>
      </w:tr>
      <w:tr w:rsidR="00F43416" w:rsidRPr="005744FA" w:rsidTr="00CE6D49">
        <w:trPr>
          <w:trHeight w:val="280"/>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7316DD" w:rsidRDefault="00F43416" w:rsidP="00CE6D49">
            <w:pPr>
              <w:tabs>
                <w:tab w:val="left" w:pos="284"/>
              </w:tabs>
              <w:spacing w:after="0"/>
              <w:rPr>
                <w:rFonts w:eastAsiaTheme="minorEastAsia" w:cs="Calibri"/>
                <w:sz w:val="10"/>
                <w:szCs w:val="16"/>
                <w:lang w:val="en-US"/>
              </w:rPr>
            </w:pPr>
            <w:r>
              <w:rPr>
                <w:rFonts w:ascii="Calibri" w:eastAsiaTheme="minorEastAsia" w:hAnsi="Calibri" w:cs="Calibri"/>
                <w:sz w:val="16"/>
                <w:szCs w:val="16"/>
              </w:rPr>
              <w:t>Έξοδο Προβλέψεων</w:t>
            </w:r>
          </w:p>
        </w:tc>
        <w:tc>
          <w:tcPr>
            <w:tcW w:w="522" w:type="pct"/>
            <w:tcBorders>
              <w:left w:val="single" w:sz="4" w:space="0" w:color="FFC000"/>
              <w:right w:val="single" w:sz="4" w:space="0" w:color="FFC000"/>
            </w:tcBorders>
            <w:shd w:val="clear" w:color="auto" w:fill="FFFFFF" w:themeFill="background1"/>
            <w:vAlign w:val="center"/>
          </w:tcPr>
          <w:p w:rsidR="00F43416" w:rsidRPr="004F4AFD" w:rsidRDefault="00F43416" w:rsidP="00CE6D49">
            <w:pPr>
              <w:tabs>
                <w:tab w:val="left" w:pos="284"/>
              </w:tabs>
              <w:spacing w:after="0"/>
              <w:jc w:val="right"/>
              <w:rPr>
                <w:rFonts w:eastAsiaTheme="minorEastAsia" w:cs="Calibri"/>
                <w:sz w:val="16"/>
                <w:szCs w:val="16"/>
                <w:lang w:val="en-US"/>
              </w:rPr>
            </w:pPr>
            <w:r w:rsidRPr="004F4AFD">
              <w:rPr>
                <w:rFonts w:eastAsiaTheme="minorEastAsia" w:cs="Calibri"/>
                <w:sz w:val="16"/>
                <w:szCs w:val="16"/>
                <w:lang w:val="en-US"/>
              </w:rPr>
              <w:t>(</w:t>
            </w:r>
            <w:r>
              <w:rPr>
                <w:rFonts w:eastAsiaTheme="minorEastAsia" w:cs="Calibri"/>
                <w:sz w:val="16"/>
                <w:szCs w:val="16"/>
              </w:rPr>
              <w:t>160</w:t>
            </w:r>
            <w:r w:rsidRPr="004F4AFD">
              <w:rPr>
                <w:rFonts w:eastAsiaTheme="minorEastAsia" w:cs="Calibri"/>
                <w:sz w:val="16"/>
                <w:szCs w:val="16"/>
                <w:lang w:val="en-US"/>
              </w:rPr>
              <w:t>)</w:t>
            </w:r>
          </w:p>
        </w:tc>
        <w:tc>
          <w:tcPr>
            <w:tcW w:w="521" w:type="pct"/>
            <w:tcBorders>
              <w:left w:val="single" w:sz="4" w:space="0" w:color="FFC000"/>
              <w:right w:val="single" w:sz="4" w:space="0" w:color="FFC000"/>
            </w:tcBorders>
            <w:shd w:val="clear" w:color="auto" w:fill="FFFFFF" w:themeFill="background1"/>
            <w:vAlign w:val="center"/>
          </w:tcPr>
          <w:p w:rsidR="00F43416" w:rsidRPr="004F4AFD" w:rsidRDefault="00F43416" w:rsidP="00CE6D49">
            <w:pPr>
              <w:tabs>
                <w:tab w:val="left" w:pos="284"/>
              </w:tabs>
              <w:spacing w:after="0"/>
              <w:jc w:val="right"/>
              <w:rPr>
                <w:rFonts w:eastAsiaTheme="minorEastAsia" w:cs="Calibri"/>
                <w:sz w:val="16"/>
                <w:szCs w:val="16"/>
                <w:lang w:val="en-US"/>
              </w:rPr>
            </w:pPr>
            <w:r w:rsidRPr="004F4AFD">
              <w:rPr>
                <w:rFonts w:eastAsiaTheme="minorEastAsia" w:cs="Calibri"/>
                <w:sz w:val="16"/>
                <w:szCs w:val="16"/>
                <w:lang w:val="en-US"/>
              </w:rPr>
              <w:t>(</w:t>
            </w:r>
            <w:r>
              <w:rPr>
                <w:rFonts w:eastAsiaTheme="minorEastAsia" w:cs="Calibri"/>
                <w:sz w:val="16"/>
                <w:szCs w:val="16"/>
              </w:rPr>
              <w:t>510</w:t>
            </w:r>
            <w:r w:rsidRPr="004F4AFD">
              <w:rPr>
                <w:rFonts w:eastAsiaTheme="minorEastAsia" w:cs="Calibri"/>
                <w:sz w:val="16"/>
                <w:szCs w:val="16"/>
                <w:lang w:val="en-US"/>
              </w:rPr>
              <w:t>)</w:t>
            </w:r>
            <w:r w:rsidRPr="00820553">
              <w:rPr>
                <w:rFonts w:eastAsiaTheme="minorEastAsia" w:cs="Calibri"/>
                <w:sz w:val="16"/>
                <w:szCs w:val="16"/>
                <w:vertAlign w:val="superscript"/>
                <w:lang w:val="en-US"/>
              </w:rPr>
              <w:t>2</w:t>
            </w:r>
          </w:p>
        </w:tc>
        <w:tc>
          <w:tcPr>
            <w:tcW w:w="521" w:type="pct"/>
            <w:tcBorders>
              <w:left w:val="single" w:sz="4" w:space="0" w:color="FFC000"/>
              <w:right w:val="single" w:sz="18" w:space="0" w:color="FFC000"/>
            </w:tcBorders>
            <w:shd w:val="clear" w:color="auto" w:fill="FFFFFF" w:themeFill="background1"/>
            <w:vAlign w:val="center"/>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w:t>
            </w:r>
          </w:p>
        </w:tc>
        <w:tc>
          <w:tcPr>
            <w:tcW w:w="532" w:type="pct"/>
            <w:tcBorders>
              <w:left w:val="single" w:sz="18" w:space="0" w:color="FFC000"/>
              <w:right w:val="single" w:sz="4" w:space="0" w:color="FFC000"/>
            </w:tcBorders>
            <w:shd w:val="clear" w:color="auto" w:fill="FFFFFF" w:themeFill="background1"/>
            <w:vAlign w:val="center"/>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w:t>
            </w:r>
            <w:r>
              <w:rPr>
                <w:rFonts w:eastAsiaTheme="minorEastAsia" w:cs="Calibri"/>
                <w:sz w:val="16"/>
                <w:szCs w:val="16"/>
              </w:rPr>
              <w:t>670</w:t>
            </w:r>
            <w:r>
              <w:rPr>
                <w:rFonts w:eastAsiaTheme="minorEastAsia" w:cs="Calibri"/>
                <w:sz w:val="16"/>
                <w:szCs w:val="16"/>
                <w:lang w:val="en-US"/>
              </w:rPr>
              <w:t>)</w:t>
            </w:r>
            <w:r w:rsidRPr="00820553">
              <w:rPr>
                <w:rFonts w:eastAsiaTheme="minorEastAsia" w:cs="Calibri"/>
                <w:sz w:val="16"/>
                <w:szCs w:val="16"/>
                <w:vertAlign w:val="superscript"/>
                <w:lang w:val="en-US"/>
              </w:rPr>
              <w:t>2</w:t>
            </w:r>
          </w:p>
        </w:tc>
        <w:tc>
          <w:tcPr>
            <w:tcW w:w="530" w:type="pct"/>
            <w:tcBorders>
              <w:left w:val="single" w:sz="4" w:space="0" w:color="FFC000"/>
              <w:right w:val="single" w:sz="4" w:space="0" w:color="FFC000"/>
            </w:tcBorders>
            <w:shd w:val="clear" w:color="auto" w:fill="FFFFFF" w:themeFill="background1"/>
            <w:vAlign w:val="center"/>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(33</w:t>
            </w:r>
            <w:r>
              <w:rPr>
                <w:rFonts w:eastAsiaTheme="minorEastAsia" w:cs="Calibri"/>
                <w:sz w:val="16"/>
                <w:szCs w:val="16"/>
              </w:rPr>
              <w:t>4</w:t>
            </w:r>
            <w:r>
              <w:rPr>
                <w:rFonts w:eastAsiaTheme="minorEastAsia" w:cs="Calibri"/>
                <w:sz w:val="16"/>
                <w:szCs w:val="16"/>
                <w:lang w:val="en-US"/>
              </w:rPr>
              <w:t>)</w:t>
            </w:r>
          </w:p>
        </w:tc>
        <w:tc>
          <w:tcPr>
            <w:tcW w:w="449" w:type="pct"/>
            <w:tcBorders>
              <w:left w:val="single" w:sz="4" w:space="0" w:color="FFC000"/>
              <w:right w:val="single" w:sz="4" w:space="0" w:color="FFC000"/>
            </w:tcBorders>
            <w:shd w:val="clear" w:color="auto" w:fill="FFFFFF" w:themeFill="background1"/>
            <w:vAlign w:val="center"/>
          </w:tcPr>
          <w:p w:rsidR="00F43416" w:rsidRPr="00C67B04" w:rsidRDefault="00F43416" w:rsidP="00CE6D49">
            <w:pPr>
              <w:tabs>
                <w:tab w:val="left" w:pos="284"/>
              </w:tabs>
              <w:spacing w:after="0"/>
              <w:jc w:val="right"/>
              <w:rPr>
                <w:rFonts w:eastAsiaTheme="minorEastAsia" w:cs="Calibri"/>
                <w:sz w:val="16"/>
                <w:szCs w:val="16"/>
              </w:rPr>
            </w:pPr>
            <w:r>
              <w:rPr>
                <w:rFonts w:eastAsiaTheme="minorEastAsia" w:cs="Calibri"/>
                <w:sz w:val="16"/>
                <w:szCs w:val="16"/>
              </w:rPr>
              <w:t>-</w:t>
            </w:r>
          </w:p>
        </w:tc>
      </w:tr>
      <w:tr w:rsidR="00F43416" w:rsidRPr="005744FA" w:rsidTr="00CE6D49">
        <w:trPr>
          <w:trHeight w:val="280"/>
        </w:trPr>
        <w:tc>
          <w:tcPr>
            <w:tcW w:w="1925" w:type="pct"/>
            <w:tcBorders>
              <w:left w:val="single" w:sz="4" w:space="0" w:color="FFC000"/>
              <w:right w:val="single" w:sz="4" w:space="0" w:color="FFC000"/>
            </w:tcBorders>
            <w:shd w:val="clear" w:color="auto" w:fill="FFFFFF" w:themeFill="background1"/>
            <w:tcMar>
              <w:right w:w="113" w:type="dxa"/>
            </w:tcMar>
          </w:tcPr>
          <w:p w:rsidR="00F43416" w:rsidRPr="00C67B04" w:rsidRDefault="00F43416" w:rsidP="00CE6D49">
            <w:pPr>
              <w:tabs>
                <w:tab w:val="left" w:pos="284"/>
              </w:tabs>
              <w:rPr>
                <w:rFonts w:cs="Calibri"/>
                <w:sz w:val="16"/>
                <w:szCs w:val="16"/>
              </w:rPr>
            </w:pPr>
            <w:r>
              <w:rPr>
                <w:rFonts w:cs="Calibri"/>
                <w:sz w:val="16"/>
                <w:szCs w:val="16"/>
              </w:rPr>
              <w:t xml:space="preserve">-εκ των οποίων σχετιζόμενες με </w:t>
            </w:r>
            <w:r>
              <w:rPr>
                <w:rFonts w:cs="Calibri"/>
                <w:sz w:val="16"/>
                <w:szCs w:val="16"/>
                <w:lang w:val="en-US"/>
              </w:rPr>
              <w:t>Covid</w:t>
            </w:r>
            <w:r w:rsidRPr="00C67B04">
              <w:rPr>
                <w:rFonts w:cs="Calibri"/>
                <w:sz w:val="16"/>
                <w:szCs w:val="16"/>
              </w:rPr>
              <w:t>-19</w:t>
            </w:r>
          </w:p>
        </w:tc>
        <w:tc>
          <w:tcPr>
            <w:tcW w:w="522" w:type="pct"/>
            <w:tcBorders>
              <w:left w:val="single" w:sz="4" w:space="0" w:color="FFC000"/>
              <w:right w:val="single" w:sz="4" w:space="0" w:color="FFC000"/>
            </w:tcBorders>
            <w:shd w:val="clear" w:color="auto" w:fill="FFFFFF" w:themeFill="background1"/>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(17)</w:t>
            </w:r>
          </w:p>
        </w:tc>
        <w:tc>
          <w:tcPr>
            <w:tcW w:w="521" w:type="pct"/>
            <w:tcBorders>
              <w:left w:val="single" w:sz="4" w:space="0" w:color="FFC000"/>
              <w:right w:val="single" w:sz="4" w:space="0" w:color="FFC000"/>
            </w:tcBorders>
            <w:shd w:val="clear" w:color="auto" w:fill="FFFFFF" w:themeFill="background1"/>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(324)</w:t>
            </w:r>
          </w:p>
        </w:tc>
        <w:tc>
          <w:tcPr>
            <w:tcW w:w="521" w:type="pct"/>
            <w:tcBorders>
              <w:left w:val="single" w:sz="4" w:space="0" w:color="FFC000"/>
              <w:right w:val="single" w:sz="18" w:space="0" w:color="FFC000"/>
            </w:tcBorders>
            <w:shd w:val="clear" w:color="auto" w:fill="FFFFFF" w:themeFill="background1"/>
          </w:tcPr>
          <w:p w:rsidR="00F43416" w:rsidRPr="00820553"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w:t>
            </w:r>
          </w:p>
        </w:tc>
        <w:tc>
          <w:tcPr>
            <w:tcW w:w="532" w:type="pct"/>
            <w:tcBorders>
              <w:left w:val="single" w:sz="18" w:space="0" w:color="FFC000"/>
              <w:right w:val="single" w:sz="4" w:space="0" w:color="FFC000"/>
            </w:tcBorders>
            <w:shd w:val="clear" w:color="auto" w:fill="FFFFFF" w:themeFill="background1"/>
          </w:tcPr>
          <w:p w:rsidR="00F43416" w:rsidRPr="00820553"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(341)</w:t>
            </w:r>
          </w:p>
        </w:tc>
        <w:tc>
          <w:tcPr>
            <w:tcW w:w="530" w:type="pct"/>
            <w:tcBorders>
              <w:left w:val="single" w:sz="4" w:space="0" w:color="FFC000"/>
              <w:right w:val="single" w:sz="4" w:space="0" w:color="FFC000"/>
            </w:tcBorders>
            <w:shd w:val="clear" w:color="auto" w:fill="FFFFFF" w:themeFill="background1"/>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w:t>
            </w:r>
          </w:p>
        </w:tc>
        <w:tc>
          <w:tcPr>
            <w:tcW w:w="449" w:type="pct"/>
            <w:tcBorders>
              <w:left w:val="single" w:sz="4" w:space="0" w:color="FFC000"/>
              <w:right w:val="single" w:sz="4" w:space="0" w:color="FFC000"/>
            </w:tcBorders>
            <w:shd w:val="clear" w:color="auto" w:fill="FFFFFF" w:themeFill="background1"/>
          </w:tcPr>
          <w:p w:rsidR="00F43416"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w:t>
            </w:r>
          </w:p>
        </w:tc>
      </w:tr>
      <w:tr w:rsidR="00F43416" w:rsidRPr="005744FA" w:rsidTr="00CE6D49">
        <w:trPr>
          <w:trHeight w:val="280"/>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7316DD" w:rsidRDefault="00F43416" w:rsidP="00CE6D49">
            <w:pPr>
              <w:tabs>
                <w:tab w:val="left" w:pos="284"/>
              </w:tabs>
              <w:spacing w:after="0"/>
              <w:rPr>
                <w:rFonts w:eastAsiaTheme="minorEastAsia" w:cs="Calibri"/>
                <w:sz w:val="16"/>
                <w:szCs w:val="16"/>
                <w:lang w:val="en-US"/>
              </w:rPr>
            </w:pPr>
            <w:r w:rsidRPr="007316DD">
              <w:rPr>
                <w:rFonts w:ascii="Calibri" w:eastAsiaTheme="minorEastAsia" w:hAnsi="Calibri" w:cs="Calibri"/>
                <w:sz w:val="16"/>
                <w:szCs w:val="16"/>
              </w:rPr>
              <w:t>Έσοδα Συμμετοχών σε Συγγενείς</w:t>
            </w:r>
          </w:p>
        </w:tc>
        <w:tc>
          <w:tcPr>
            <w:tcW w:w="522" w:type="pct"/>
            <w:tcBorders>
              <w:left w:val="single" w:sz="4" w:space="0" w:color="FFC000"/>
              <w:right w:val="single" w:sz="4" w:space="0" w:color="FFC000"/>
            </w:tcBorders>
            <w:shd w:val="clear" w:color="auto" w:fill="FFFFFF" w:themeFill="background1"/>
            <w:vAlign w:val="center"/>
          </w:tcPr>
          <w:p w:rsidR="00F43416" w:rsidRPr="00323F92" w:rsidRDefault="00F43416" w:rsidP="00CE6D49">
            <w:pPr>
              <w:tabs>
                <w:tab w:val="left" w:pos="284"/>
              </w:tabs>
              <w:spacing w:after="0"/>
              <w:jc w:val="right"/>
              <w:rPr>
                <w:rFonts w:eastAsiaTheme="minorEastAsia" w:cs="Calibri"/>
                <w:sz w:val="16"/>
                <w:szCs w:val="16"/>
              </w:rPr>
            </w:pPr>
            <w:r>
              <w:rPr>
                <w:rFonts w:eastAsiaTheme="minorEastAsia" w:cs="Calibri"/>
                <w:sz w:val="16"/>
                <w:szCs w:val="16"/>
                <w:lang w:val="en-US"/>
              </w:rPr>
              <w:t>0</w:t>
            </w:r>
          </w:p>
        </w:tc>
        <w:tc>
          <w:tcPr>
            <w:tcW w:w="521" w:type="pct"/>
            <w:tcBorders>
              <w:left w:val="single" w:sz="4" w:space="0" w:color="FFC000"/>
              <w:right w:val="single" w:sz="4" w:space="0" w:color="FFC000"/>
            </w:tcBorders>
            <w:shd w:val="clear" w:color="auto" w:fill="FFFFFF" w:themeFill="background1"/>
            <w:vAlign w:val="center"/>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(16)</w:t>
            </w:r>
          </w:p>
        </w:tc>
        <w:tc>
          <w:tcPr>
            <w:tcW w:w="521" w:type="pct"/>
            <w:tcBorders>
              <w:left w:val="single" w:sz="4" w:space="0" w:color="FFC000"/>
              <w:right w:val="single" w:sz="18" w:space="0" w:color="FFC000"/>
            </w:tcBorders>
            <w:shd w:val="clear" w:color="auto" w:fill="FFFFFF" w:themeFill="background1"/>
            <w:vAlign w:val="center"/>
          </w:tcPr>
          <w:p w:rsidR="00F43416" w:rsidRPr="007F0F77"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rPr>
              <w:t>-</w:t>
            </w:r>
          </w:p>
        </w:tc>
        <w:tc>
          <w:tcPr>
            <w:tcW w:w="532" w:type="pct"/>
            <w:tcBorders>
              <w:left w:val="single" w:sz="18" w:space="0" w:color="FFC000"/>
              <w:right w:val="single" w:sz="4" w:space="0" w:color="FFC000"/>
            </w:tcBorders>
            <w:shd w:val="clear" w:color="auto" w:fill="FFFFFF" w:themeFill="background1"/>
            <w:vAlign w:val="center"/>
          </w:tcPr>
          <w:p w:rsidR="00F43416" w:rsidRPr="007F0F77"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(16)</w:t>
            </w:r>
          </w:p>
        </w:tc>
        <w:tc>
          <w:tcPr>
            <w:tcW w:w="530" w:type="pct"/>
            <w:tcBorders>
              <w:left w:val="single" w:sz="4" w:space="0" w:color="FFC000"/>
              <w:right w:val="single" w:sz="4" w:space="0" w:color="FFC000"/>
            </w:tcBorders>
            <w:shd w:val="clear" w:color="auto" w:fill="FFFFFF" w:themeFill="background1"/>
            <w:vAlign w:val="center"/>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(11)</w:t>
            </w:r>
          </w:p>
        </w:tc>
        <w:tc>
          <w:tcPr>
            <w:tcW w:w="449" w:type="pct"/>
            <w:tcBorders>
              <w:left w:val="single" w:sz="4" w:space="0" w:color="FFC000"/>
              <w:right w:val="single" w:sz="4" w:space="0" w:color="FFC000"/>
            </w:tcBorders>
            <w:shd w:val="clear" w:color="auto" w:fill="FFFFFF" w:themeFill="background1"/>
            <w:vAlign w:val="center"/>
          </w:tcPr>
          <w:p w:rsidR="00F43416"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rPr>
              <w:t>46%</w:t>
            </w:r>
          </w:p>
        </w:tc>
      </w:tr>
      <w:tr w:rsidR="00F43416" w:rsidRPr="005744FA" w:rsidTr="00CE6D49">
        <w:trPr>
          <w:trHeight w:val="122"/>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7316DD" w:rsidRDefault="00F43416" w:rsidP="00CE6D49">
            <w:pPr>
              <w:tabs>
                <w:tab w:val="left" w:pos="284"/>
              </w:tabs>
              <w:spacing w:after="0"/>
              <w:rPr>
                <w:rFonts w:eastAsiaTheme="minorEastAsia" w:cs="Calibri"/>
                <w:sz w:val="4"/>
                <w:szCs w:val="4"/>
              </w:rPr>
            </w:pPr>
          </w:p>
        </w:tc>
        <w:tc>
          <w:tcPr>
            <w:tcW w:w="522" w:type="pct"/>
            <w:tcBorders>
              <w:left w:val="single" w:sz="4" w:space="0" w:color="FFC000"/>
              <w:right w:val="single" w:sz="4" w:space="0" w:color="FFC000"/>
            </w:tcBorders>
            <w:shd w:val="clear" w:color="auto" w:fill="FFFFFF" w:themeFill="background1"/>
            <w:vAlign w:val="center"/>
          </w:tcPr>
          <w:p w:rsidR="00F43416" w:rsidRPr="006C7864" w:rsidDel="005B246A" w:rsidRDefault="00F43416" w:rsidP="00CE6D49">
            <w:pPr>
              <w:tabs>
                <w:tab w:val="left" w:pos="284"/>
              </w:tabs>
              <w:spacing w:after="0"/>
              <w:jc w:val="right"/>
              <w:rPr>
                <w:rFonts w:eastAsiaTheme="minorEastAsia" w:cs="Calibri"/>
                <w:color w:val="FF0000"/>
                <w:sz w:val="4"/>
                <w:szCs w:val="4"/>
                <w:highlight w:val="green"/>
              </w:rPr>
            </w:pPr>
          </w:p>
        </w:tc>
        <w:tc>
          <w:tcPr>
            <w:tcW w:w="521" w:type="pct"/>
            <w:tcBorders>
              <w:left w:val="single" w:sz="4" w:space="0" w:color="FFC000"/>
              <w:right w:val="single" w:sz="4" w:space="0" w:color="FFC000"/>
            </w:tcBorders>
            <w:shd w:val="clear" w:color="auto" w:fill="FFFFFF" w:themeFill="background1"/>
            <w:vAlign w:val="center"/>
          </w:tcPr>
          <w:p w:rsidR="00F43416" w:rsidRPr="006C7864" w:rsidDel="005B246A" w:rsidRDefault="00F43416" w:rsidP="00CE6D49">
            <w:pPr>
              <w:tabs>
                <w:tab w:val="left" w:pos="284"/>
              </w:tabs>
              <w:spacing w:after="0"/>
              <w:jc w:val="right"/>
              <w:rPr>
                <w:rFonts w:eastAsiaTheme="minorEastAsia" w:cs="Calibri"/>
                <w:color w:val="FF0000"/>
                <w:sz w:val="4"/>
                <w:szCs w:val="4"/>
                <w:highlight w:val="green"/>
              </w:rPr>
            </w:pPr>
          </w:p>
        </w:tc>
        <w:tc>
          <w:tcPr>
            <w:tcW w:w="521" w:type="pct"/>
            <w:tcBorders>
              <w:left w:val="single" w:sz="4" w:space="0" w:color="FFC000"/>
              <w:right w:val="single" w:sz="18" w:space="0" w:color="FFC000"/>
            </w:tcBorders>
            <w:shd w:val="clear" w:color="auto" w:fill="FFFFFF" w:themeFill="background1"/>
            <w:vAlign w:val="center"/>
          </w:tcPr>
          <w:p w:rsidR="00F43416" w:rsidRPr="006C7864" w:rsidDel="005B246A" w:rsidRDefault="00F43416" w:rsidP="00CE6D49">
            <w:pPr>
              <w:tabs>
                <w:tab w:val="left" w:pos="284"/>
              </w:tabs>
              <w:spacing w:after="0"/>
              <w:jc w:val="right"/>
              <w:rPr>
                <w:rFonts w:eastAsiaTheme="minorEastAsia" w:cs="Calibri"/>
                <w:color w:val="FF0000"/>
                <w:sz w:val="4"/>
                <w:szCs w:val="4"/>
                <w:highlight w:val="green"/>
              </w:rPr>
            </w:pPr>
          </w:p>
        </w:tc>
        <w:tc>
          <w:tcPr>
            <w:tcW w:w="532" w:type="pct"/>
            <w:tcBorders>
              <w:left w:val="single" w:sz="18" w:space="0" w:color="FFC000"/>
              <w:right w:val="single" w:sz="4" w:space="0" w:color="FFC000"/>
            </w:tcBorders>
            <w:shd w:val="clear" w:color="auto" w:fill="FFFFFF" w:themeFill="background1"/>
            <w:vAlign w:val="center"/>
          </w:tcPr>
          <w:p w:rsidR="00F43416" w:rsidRPr="006C7864" w:rsidDel="005B246A" w:rsidRDefault="00F43416" w:rsidP="00CE6D49">
            <w:pPr>
              <w:tabs>
                <w:tab w:val="left" w:pos="284"/>
              </w:tabs>
              <w:spacing w:after="0"/>
              <w:jc w:val="right"/>
              <w:rPr>
                <w:rFonts w:eastAsiaTheme="minorEastAsia" w:cs="Calibri"/>
                <w:color w:val="FF0000"/>
                <w:sz w:val="4"/>
                <w:szCs w:val="4"/>
              </w:rPr>
            </w:pPr>
          </w:p>
        </w:tc>
        <w:tc>
          <w:tcPr>
            <w:tcW w:w="530" w:type="pct"/>
            <w:tcBorders>
              <w:left w:val="single" w:sz="4" w:space="0" w:color="FFC000"/>
              <w:right w:val="single" w:sz="4" w:space="0" w:color="FFC000"/>
            </w:tcBorders>
            <w:shd w:val="clear" w:color="auto" w:fill="FFFFFF" w:themeFill="background1"/>
            <w:vAlign w:val="center"/>
          </w:tcPr>
          <w:p w:rsidR="00F43416" w:rsidRPr="006C7864" w:rsidDel="005B246A" w:rsidRDefault="00F43416" w:rsidP="00CE6D49">
            <w:pPr>
              <w:tabs>
                <w:tab w:val="left" w:pos="284"/>
              </w:tabs>
              <w:spacing w:after="0"/>
              <w:jc w:val="center"/>
              <w:rPr>
                <w:rFonts w:eastAsiaTheme="minorEastAsia" w:cs="Calibri"/>
                <w:color w:val="FF0000"/>
                <w:sz w:val="4"/>
                <w:szCs w:val="4"/>
              </w:rPr>
            </w:pPr>
          </w:p>
        </w:tc>
        <w:tc>
          <w:tcPr>
            <w:tcW w:w="449" w:type="pct"/>
            <w:tcBorders>
              <w:left w:val="single" w:sz="4" w:space="0" w:color="FFC000"/>
              <w:right w:val="single" w:sz="4" w:space="0" w:color="FFC000"/>
            </w:tcBorders>
            <w:shd w:val="clear" w:color="auto" w:fill="FFFFFF" w:themeFill="background1"/>
            <w:vAlign w:val="center"/>
          </w:tcPr>
          <w:p w:rsidR="00F43416" w:rsidRPr="006C7864" w:rsidDel="005B246A" w:rsidRDefault="00F43416" w:rsidP="00CE6D49">
            <w:pPr>
              <w:tabs>
                <w:tab w:val="left" w:pos="284"/>
              </w:tabs>
              <w:spacing w:after="0"/>
              <w:jc w:val="right"/>
              <w:rPr>
                <w:rFonts w:eastAsiaTheme="minorEastAsia" w:cs="Calibri"/>
                <w:color w:val="FF0000"/>
                <w:sz w:val="4"/>
                <w:szCs w:val="4"/>
              </w:rPr>
            </w:pPr>
          </w:p>
        </w:tc>
      </w:tr>
      <w:tr w:rsidR="00F43416" w:rsidRPr="005744FA" w:rsidTr="00CE6D49">
        <w:trPr>
          <w:trHeight w:val="280"/>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F72352" w:rsidRDefault="00F43416" w:rsidP="00CE6D49">
            <w:pPr>
              <w:tabs>
                <w:tab w:val="left" w:pos="284"/>
              </w:tabs>
              <w:spacing w:after="0"/>
              <w:rPr>
                <w:rFonts w:eastAsiaTheme="minorEastAsia" w:cs="Calibri"/>
                <w:sz w:val="16"/>
                <w:szCs w:val="16"/>
                <w:lang w:val="en-US"/>
              </w:rPr>
            </w:pPr>
            <w:r w:rsidRPr="00F72352">
              <w:rPr>
                <w:rFonts w:eastAsiaTheme="minorEastAsia" w:cs="Calibri"/>
                <w:sz w:val="16"/>
                <w:szCs w:val="16"/>
              </w:rPr>
              <w:t>Αποτελέσματα Προ Φόρων</w:t>
            </w:r>
          </w:p>
        </w:tc>
        <w:tc>
          <w:tcPr>
            <w:tcW w:w="522" w:type="pct"/>
            <w:tcBorders>
              <w:left w:val="single" w:sz="4" w:space="0" w:color="FFC000"/>
              <w:right w:val="single" w:sz="4" w:space="0" w:color="FFC000"/>
            </w:tcBorders>
            <w:shd w:val="clear" w:color="auto" w:fill="FFFFFF" w:themeFill="background1"/>
            <w:vAlign w:val="center"/>
          </w:tcPr>
          <w:p w:rsidR="00F43416" w:rsidRPr="00820553" w:rsidRDefault="00F43416" w:rsidP="00CE6D49">
            <w:pPr>
              <w:tabs>
                <w:tab w:val="left" w:pos="284"/>
              </w:tabs>
              <w:spacing w:after="0"/>
              <w:jc w:val="right"/>
              <w:rPr>
                <w:rFonts w:eastAsiaTheme="minorEastAsia" w:cs="Calibri"/>
                <w:sz w:val="16"/>
                <w:szCs w:val="16"/>
                <w:lang w:val="en-US"/>
              </w:rPr>
            </w:pPr>
            <w:r w:rsidRPr="00820553">
              <w:rPr>
                <w:rFonts w:eastAsiaTheme="minorEastAsia" w:cs="Calibri"/>
                <w:sz w:val="16"/>
                <w:szCs w:val="16"/>
                <w:lang w:val="en-US"/>
              </w:rPr>
              <w:t>125</w:t>
            </w:r>
          </w:p>
        </w:tc>
        <w:tc>
          <w:tcPr>
            <w:tcW w:w="521" w:type="pct"/>
            <w:tcBorders>
              <w:left w:val="single" w:sz="4" w:space="0" w:color="FFC000"/>
              <w:right w:val="single" w:sz="4" w:space="0" w:color="FFC000"/>
            </w:tcBorders>
            <w:shd w:val="clear" w:color="auto" w:fill="auto"/>
            <w:vAlign w:val="center"/>
          </w:tcPr>
          <w:p w:rsidR="00F43416" w:rsidRPr="00820553" w:rsidRDefault="00F43416" w:rsidP="00CE6D49">
            <w:pPr>
              <w:tabs>
                <w:tab w:val="left" w:pos="284"/>
              </w:tabs>
              <w:spacing w:after="0"/>
              <w:jc w:val="right"/>
              <w:rPr>
                <w:rFonts w:eastAsiaTheme="minorEastAsia" w:cs="Calibri"/>
                <w:sz w:val="16"/>
                <w:szCs w:val="16"/>
                <w:lang w:val="en-US"/>
              </w:rPr>
            </w:pPr>
            <w:r w:rsidRPr="00820553">
              <w:rPr>
                <w:rFonts w:eastAsiaTheme="minorEastAsia" w:cs="Calibri"/>
                <w:sz w:val="16"/>
                <w:szCs w:val="16"/>
                <w:lang w:val="en-US"/>
              </w:rPr>
              <w:t>(340)</w:t>
            </w:r>
            <w:r w:rsidRPr="00820553">
              <w:rPr>
                <w:rFonts w:eastAsiaTheme="minorEastAsia" w:cs="Calibri"/>
                <w:sz w:val="16"/>
                <w:szCs w:val="16"/>
                <w:vertAlign w:val="superscript"/>
                <w:lang w:val="en-US"/>
              </w:rPr>
              <w:t>2</w:t>
            </w:r>
          </w:p>
        </w:tc>
        <w:tc>
          <w:tcPr>
            <w:tcW w:w="521" w:type="pct"/>
            <w:tcBorders>
              <w:left w:val="single" w:sz="4" w:space="0" w:color="FFC000"/>
              <w:right w:val="single" w:sz="18" w:space="0" w:color="FFC000"/>
            </w:tcBorders>
            <w:shd w:val="clear" w:color="auto" w:fill="auto"/>
            <w:vAlign w:val="center"/>
          </w:tcPr>
          <w:p w:rsidR="00F43416" w:rsidRPr="00820553"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w:t>
            </w:r>
          </w:p>
        </w:tc>
        <w:tc>
          <w:tcPr>
            <w:tcW w:w="532" w:type="pct"/>
            <w:tcBorders>
              <w:left w:val="single" w:sz="18" w:space="0" w:color="FFC000"/>
              <w:right w:val="single" w:sz="4" w:space="0" w:color="FFC000"/>
            </w:tcBorders>
            <w:shd w:val="clear" w:color="auto" w:fill="FFFFFF" w:themeFill="background1"/>
            <w:vAlign w:val="center"/>
          </w:tcPr>
          <w:p w:rsidR="00F43416" w:rsidRPr="00820553"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(215)</w:t>
            </w:r>
            <w:r w:rsidRPr="00820553">
              <w:rPr>
                <w:rFonts w:eastAsiaTheme="minorEastAsia" w:cs="Calibri"/>
                <w:sz w:val="16"/>
                <w:szCs w:val="16"/>
                <w:vertAlign w:val="superscript"/>
                <w:lang w:val="en-US"/>
              </w:rPr>
              <w:t>2</w:t>
            </w:r>
          </w:p>
        </w:tc>
        <w:tc>
          <w:tcPr>
            <w:tcW w:w="530" w:type="pct"/>
            <w:tcBorders>
              <w:left w:val="single" w:sz="4" w:space="0" w:color="FFC000"/>
              <w:right w:val="single" w:sz="4" w:space="0" w:color="FFC000"/>
            </w:tcBorders>
            <w:shd w:val="clear" w:color="auto" w:fill="FFFFFF" w:themeFill="background1"/>
            <w:vAlign w:val="center"/>
          </w:tcPr>
          <w:p w:rsidR="00F43416" w:rsidRPr="00820553"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57</w:t>
            </w:r>
          </w:p>
        </w:tc>
        <w:tc>
          <w:tcPr>
            <w:tcW w:w="449" w:type="pct"/>
            <w:tcBorders>
              <w:left w:val="single" w:sz="4" w:space="0" w:color="FFC000"/>
              <w:right w:val="single" w:sz="4" w:space="0" w:color="FFC000"/>
            </w:tcBorders>
            <w:shd w:val="clear" w:color="auto" w:fill="FFFFFF" w:themeFill="background1"/>
            <w:vAlign w:val="center"/>
          </w:tcPr>
          <w:p w:rsidR="00F43416"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w:t>
            </w:r>
          </w:p>
        </w:tc>
      </w:tr>
      <w:tr w:rsidR="00F43416" w:rsidRPr="005744FA" w:rsidTr="00CE6D49">
        <w:trPr>
          <w:trHeight w:val="280"/>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7316DD" w:rsidRDefault="00F43416" w:rsidP="00CE6D49">
            <w:pPr>
              <w:tabs>
                <w:tab w:val="left" w:pos="284"/>
              </w:tabs>
              <w:spacing w:after="0"/>
              <w:rPr>
                <w:rFonts w:eastAsiaTheme="minorEastAsia" w:cs="Calibri"/>
                <w:color w:val="003C96" w:themeColor="text2"/>
                <w:sz w:val="16"/>
                <w:szCs w:val="16"/>
              </w:rPr>
            </w:pPr>
            <w:r w:rsidRPr="007316DD">
              <w:rPr>
                <w:rFonts w:cs="Calibri"/>
                <w:color w:val="003C96" w:themeColor="text2"/>
                <w:sz w:val="16"/>
                <w:szCs w:val="16"/>
              </w:rPr>
              <w:t>- εξαιρουμένων εκτάκτων εσόδων και εξόδων</w:t>
            </w:r>
          </w:p>
        </w:tc>
        <w:tc>
          <w:tcPr>
            <w:tcW w:w="522" w:type="pct"/>
            <w:tcBorders>
              <w:left w:val="single" w:sz="4" w:space="0" w:color="FFC000"/>
              <w:right w:val="single" w:sz="4" w:space="0" w:color="FFC000"/>
            </w:tcBorders>
            <w:shd w:val="clear" w:color="auto" w:fill="FFFFFF" w:themeFill="background1"/>
            <w:vAlign w:val="center"/>
          </w:tcPr>
          <w:p w:rsidR="00F43416" w:rsidRPr="007F0F77" w:rsidRDefault="00F43416" w:rsidP="00CE6D49">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142</w:t>
            </w:r>
          </w:p>
        </w:tc>
        <w:tc>
          <w:tcPr>
            <w:tcW w:w="521" w:type="pct"/>
            <w:tcBorders>
              <w:left w:val="single" w:sz="4" w:space="0" w:color="FFC000"/>
              <w:right w:val="single" w:sz="4" w:space="0" w:color="FFC000"/>
            </w:tcBorders>
            <w:shd w:val="clear" w:color="auto" w:fill="auto"/>
            <w:vAlign w:val="center"/>
          </w:tcPr>
          <w:p w:rsidR="00F43416" w:rsidRPr="00A52D7B" w:rsidRDefault="00F43416" w:rsidP="00CE6D49">
            <w:pPr>
              <w:tabs>
                <w:tab w:val="left" w:pos="284"/>
              </w:tabs>
              <w:spacing w:after="0"/>
              <w:jc w:val="right"/>
              <w:rPr>
                <w:rFonts w:eastAsiaTheme="minorEastAsia" w:cs="Calibri"/>
                <w:color w:val="003C96" w:themeColor="text2"/>
                <w:sz w:val="16"/>
                <w:szCs w:val="16"/>
              </w:rPr>
            </w:pPr>
            <w:r>
              <w:rPr>
                <w:rFonts w:eastAsiaTheme="minorEastAsia" w:cs="Calibri"/>
                <w:color w:val="003C96" w:themeColor="text2"/>
                <w:sz w:val="16"/>
                <w:szCs w:val="16"/>
              </w:rPr>
              <w:t>(16)</w:t>
            </w:r>
          </w:p>
        </w:tc>
        <w:tc>
          <w:tcPr>
            <w:tcW w:w="521" w:type="pct"/>
            <w:tcBorders>
              <w:left w:val="single" w:sz="4" w:space="0" w:color="FFC000"/>
              <w:right w:val="single" w:sz="18" w:space="0" w:color="FFC000"/>
            </w:tcBorders>
            <w:shd w:val="clear" w:color="auto" w:fill="auto"/>
            <w:vAlign w:val="center"/>
          </w:tcPr>
          <w:p w:rsidR="00F43416" w:rsidRPr="004F4AFD" w:rsidDel="005B246A" w:rsidRDefault="00F43416" w:rsidP="00CE6D49">
            <w:pPr>
              <w:tabs>
                <w:tab w:val="left" w:pos="284"/>
              </w:tabs>
              <w:spacing w:after="0"/>
              <w:jc w:val="right"/>
              <w:rPr>
                <w:rFonts w:eastAsiaTheme="minorEastAsia" w:cs="Calibri"/>
                <w:color w:val="003C96" w:themeColor="text2"/>
                <w:sz w:val="16"/>
                <w:szCs w:val="16"/>
              </w:rPr>
            </w:pPr>
            <w:r>
              <w:rPr>
                <w:rFonts w:eastAsiaTheme="minorEastAsia" w:cs="Calibri"/>
                <w:color w:val="003C96" w:themeColor="text2"/>
                <w:sz w:val="16"/>
                <w:szCs w:val="16"/>
                <w:lang w:val="en-US"/>
              </w:rPr>
              <w:t>-</w:t>
            </w:r>
          </w:p>
        </w:tc>
        <w:tc>
          <w:tcPr>
            <w:tcW w:w="532" w:type="pct"/>
            <w:tcBorders>
              <w:left w:val="single" w:sz="18" w:space="0" w:color="FFC000"/>
              <w:right w:val="single" w:sz="4" w:space="0" w:color="FFC000"/>
            </w:tcBorders>
            <w:shd w:val="clear" w:color="auto" w:fill="FFFFFF" w:themeFill="background1"/>
            <w:vAlign w:val="center"/>
          </w:tcPr>
          <w:p w:rsidR="00F43416" w:rsidRPr="004F4AFD" w:rsidDel="005B246A" w:rsidRDefault="00F43416" w:rsidP="00CE6D49">
            <w:pPr>
              <w:tabs>
                <w:tab w:val="left" w:pos="284"/>
              </w:tabs>
              <w:spacing w:after="0"/>
              <w:jc w:val="right"/>
              <w:rPr>
                <w:rFonts w:eastAsiaTheme="minorEastAsia" w:cs="Calibri"/>
                <w:color w:val="003C96" w:themeColor="text2"/>
                <w:sz w:val="16"/>
                <w:szCs w:val="16"/>
              </w:rPr>
            </w:pPr>
            <w:r>
              <w:rPr>
                <w:rFonts w:eastAsiaTheme="minorEastAsia" w:cs="Calibri"/>
                <w:color w:val="003C96" w:themeColor="text2"/>
                <w:sz w:val="16"/>
                <w:szCs w:val="16"/>
                <w:lang w:val="en-US"/>
              </w:rPr>
              <w:t>126</w:t>
            </w:r>
          </w:p>
        </w:tc>
        <w:tc>
          <w:tcPr>
            <w:tcW w:w="530" w:type="pct"/>
            <w:tcBorders>
              <w:left w:val="single" w:sz="4" w:space="0" w:color="FFC000"/>
              <w:right w:val="single" w:sz="4" w:space="0" w:color="FFC000"/>
            </w:tcBorders>
            <w:shd w:val="clear" w:color="auto" w:fill="FFFFFF" w:themeFill="background1"/>
            <w:vAlign w:val="center"/>
          </w:tcPr>
          <w:p w:rsidR="00F43416" w:rsidRPr="004045AC" w:rsidDel="005B246A" w:rsidRDefault="00F43416" w:rsidP="00CE6D49">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73</w:t>
            </w:r>
          </w:p>
        </w:tc>
        <w:tc>
          <w:tcPr>
            <w:tcW w:w="449" w:type="pct"/>
            <w:tcBorders>
              <w:left w:val="single" w:sz="4" w:space="0" w:color="FFC000"/>
              <w:right w:val="single" w:sz="4" w:space="0" w:color="FFC000"/>
            </w:tcBorders>
            <w:shd w:val="clear" w:color="auto" w:fill="FFFFFF" w:themeFill="background1"/>
            <w:vAlign w:val="center"/>
          </w:tcPr>
          <w:p w:rsidR="00F43416" w:rsidRPr="004045AC" w:rsidRDefault="00F43416" w:rsidP="00CE6D49">
            <w:pPr>
              <w:tabs>
                <w:tab w:val="left" w:pos="284"/>
              </w:tabs>
              <w:spacing w:after="0"/>
              <w:jc w:val="right"/>
              <w:rPr>
                <w:rFonts w:eastAsiaTheme="minorEastAsia" w:cs="Calibri"/>
                <w:color w:val="003C96" w:themeColor="text2"/>
                <w:sz w:val="16"/>
                <w:szCs w:val="16"/>
                <w:lang w:val="en-US"/>
              </w:rPr>
            </w:pPr>
            <w:r>
              <w:rPr>
                <w:rFonts w:eastAsiaTheme="minorEastAsia" w:cs="Calibri"/>
                <w:color w:val="003C96" w:themeColor="text2"/>
                <w:sz w:val="16"/>
                <w:szCs w:val="16"/>
                <w:lang w:val="en-US"/>
              </w:rPr>
              <w:t>-</w:t>
            </w:r>
          </w:p>
        </w:tc>
      </w:tr>
      <w:tr w:rsidR="00F43416" w:rsidRPr="00727E7D" w:rsidTr="00CE6D49">
        <w:trPr>
          <w:trHeight w:val="127"/>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F72352" w:rsidRDefault="00F43416" w:rsidP="00CE6D49">
            <w:pPr>
              <w:tabs>
                <w:tab w:val="left" w:pos="284"/>
              </w:tabs>
              <w:spacing w:after="0"/>
              <w:rPr>
                <w:rFonts w:eastAsiaTheme="minorEastAsia" w:cs="Calibri"/>
                <w:sz w:val="4"/>
                <w:szCs w:val="4"/>
              </w:rPr>
            </w:pPr>
          </w:p>
        </w:tc>
        <w:tc>
          <w:tcPr>
            <w:tcW w:w="522" w:type="pct"/>
            <w:tcBorders>
              <w:left w:val="single" w:sz="4" w:space="0" w:color="FFC000"/>
              <w:right w:val="single" w:sz="4" w:space="0" w:color="FFC000"/>
            </w:tcBorders>
            <w:shd w:val="clear" w:color="auto" w:fill="FFFFFF" w:themeFill="background1"/>
            <w:vAlign w:val="center"/>
          </w:tcPr>
          <w:p w:rsidR="00F43416" w:rsidRPr="00F72352" w:rsidRDefault="00F43416" w:rsidP="00CE6D49">
            <w:pPr>
              <w:tabs>
                <w:tab w:val="left" w:pos="284"/>
              </w:tabs>
              <w:spacing w:after="0"/>
              <w:jc w:val="right"/>
              <w:rPr>
                <w:rFonts w:eastAsiaTheme="minorEastAsia" w:cs="Calibri"/>
                <w:color w:val="FF0000"/>
                <w:sz w:val="4"/>
                <w:szCs w:val="4"/>
              </w:rPr>
            </w:pPr>
          </w:p>
        </w:tc>
        <w:tc>
          <w:tcPr>
            <w:tcW w:w="521" w:type="pct"/>
            <w:tcBorders>
              <w:left w:val="single" w:sz="4" w:space="0" w:color="FFC000"/>
              <w:right w:val="single" w:sz="4" w:space="0" w:color="FFC000"/>
            </w:tcBorders>
            <w:shd w:val="clear" w:color="auto" w:fill="FFFFFF" w:themeFill="background1"/>
            <w:vAlign w:val="center"/>
          </w:tcPr>
          <w:p w:rsidR="00F43416" w:rsidRPr="00F72352" w:rsidRDefault="00F43416" w:rsidP="00CE6D49">
            <w:pPr>
              <w:tabs>
                <w:tab w:val="left" w:pos="284"/>
              </w:tabs>
              <w:spacing w:after="0"/>
              <w:jc w:val="right"/>
              <w:rPr>
                <w:rFonts w:eastAsiaTheme="minorEastAsia" w:cs="Calibri"/>
                <w:color w:val="FF0000"/>
                <w:sz w:val="4"/>
                <w:szCs w:val="4"/>
              </w:rPr>
            </w:pPr>
          </w:p>
        </w:tc>
        <w:tc>
          <w:tcPr>
            <w:tcW w:w="521" w:type="pct"/>
            <w:tcBorders>
              <w:left w:val="single" w:sz="4" w:space="0" w:color="FFC000"/>
              <w:right w:val="single" w:sz="18" w:space="0" w:color="FFC000"/>
            </w:tcBorders>
            <w:shd w:val="clear" w:color="auto" w:fill="FFFFFF" w:themeFill="background1"/>
            <w:vAlign w:val="center"/>
          </w:tcPr>
          <w:p w:rsidR="00F43416" w:rsidRPr="00F72352" w:rsidRDefault="00F43416" w:rsidP="00CE6D49">
            <w:pPr>
              <w:tabs>
                <w:tab w:val="left" w:pos="284"/>
              </w:tabs>
              <w:spacing w:after="0"/>
              <w:jc w:val="right"/>
              <w:rPr>
                <w:rFonts w:eastAsiaTheme="minorEastAsia" w:cs="Calibri"/>
                <w:color w:val="FF0000"/>
                <w:sz w:val="4"/>
                <w:szCs w:val="4"/>
              </w:rPr>
            </w:pPr>
          </w:p>
        </w:tc>
        <w:tc>
          <w:tcPr>
            <w:tcW w:w="532" w:type="pct"/>
            <w:tcBorders>
              <w:left w:val="single" w:sz="18" w:space="0" w:color="FFC000"/>
              <w:right w:val="single" w:sz="4" w:space="0" w:color="FFC000"/>
            </w:tcBorders>
            <w:shd w:val="clear" w:color="auto" w:fill="FFFFFF" w:themeFill="background1"/>
            <w:vAlign w:val="center"/>
          </w:tcPr>
          <w:p w:rsidR="00F43416" w:rsidRPr="00F72352" w:rsidRDefault="00F43416" w:rsidP="00CE6D49">
            <w:pPr>
              <w:tabs>
                <w:tab w:val="left" w:pos="284"/>
              </w:tabs>
              <w:spacing w:after="0"/>
              <w:jc w:val="right"/>
              <w:rPr>
                <w:rFonts w:eastAsiaTheme="minorEastAsia" w:cs="Calibri"/>
                <w:color w:val="FF0000"/>
                <w:sz w:val="4"/>
                <w:szCs w:val="4"/>
              </w:rPr>
            </w:pPr>
          </w:p>
        </w:tc>
        <w:tc>
          <w:tcPr>
            <w:tcW w:w="530" w:type="pct"/>
            <w:tcBorders>
              <w:left w:val="single" w:sz="4" w:space="0" w:color="FFC000"/>
              <w:right w:val="single" w:sz="4" w:space="0" w:color="FFC000"/>
            </w:tcBorders>
            <w:shd w:val="clear" w:color="auto" w:fill="FFFFFF" w:themeFill="background1"/>
            <w:vAlign w:val="center"/>
          </w:tcPr>
          <w:p w:rsidR="00F43416" w:rsidRPr="00F72352" w:rsidRDefault="00F43416" w:rsidP="00CE6D49">
            <w:pPr>
              <w:tabs>
                <w:tab w:val="left" w:pos="284"/>
              </w:tabs>
              <w:spacing w:after="0"/>
              <w:jc w:val="center"/>
              <w:rPr>
                <w:rFonts w:eastAsiaTheme="minorEastAsia" w:cs="Calibri"/>
                <w:color w:val="FF0000"/>
                <w:sz w:val="4"/>
                <w:szCs w:val="4"/>
              </w:rPr>
            </w:pPr>
          </w:p>
        </w:tc>
        <w:tc>
          <w:tcPr>
            <w:tcW w:w="449" w:type="pct"/>
            <w:tcBorders>
              <w:left w:val="single" w:sz="4" w:space="0" w:color="FFC000"/>
              <w:right w:val="single" w:sz="4" w:space="0" w:color="FFC000"/>
            </w:tcBorders>
            <w:shd w:val="clear" w:color="auto" w:fill="FFFFFF" w:themeFill="background1"/>
            <w:vAlign w:val="center"/>
          </w:tcPr>
          <w:p w:rsidR="00F43416" w:rsidRPr="00F72352" w:rsidRDefault="00F43416" w:rsidP="00CE6D49">
            <w:pPr>
              <w:tabs>
                <w:tab w:val="left" w:pos="284"/>
              </w:tabs>
              <w:spacing w:after="0"/>
              <w:jc w:val="right"/>
              <w:rPr>
                <w:rFonts w:eastAsiaTheme="minorEastAsia" w:cs="Calibri"/>
                <w:color w:val="FF0000"/>
                <w:sz w:val="4"/>
                <w:szCs w:val="4"/>
              </w:rPr>
            </w:pPr>
          </w:p>
        </w:tc>
      </w:tr>
      <w:tr w:rsidR="00F43416" w:rsidRPr="00727E7D" w:rsidTr="00CE6D49">
        <w:trPr>
          <w:trHeight w:val="280"/>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7316DD" w:rsidRDefault="00F43416" w:rsidP="00CE6D49">
            <w:pPr>
              <w:tabs>
                <w:tab w:val="left" w:pos="284"/>
              </w:tabs>
              <w:spacing w:after="0"/>
              <w:rPr>
                <w:rFonts w:eastAsiaTheme="minorEastAsia" w:cs="Calibri"/>
                <w:sz w:val="16"/>
                <w:szCs w:val="16"/>
                <w:lang w:val="en-US"/>
              </w:rPr>
            </w:pPr>
            <w:r w:rsidRPr="007316DD">
              <w:rPr>
                <w:rFonts w:eastAsiaTheme="minorEastAsia" w:cs="Calibri"/>
                <w:sz w:val="16"/>
                <w:szCs w:val="16"/>
              </w:rPr>
              <w:t>Φόρος Εισοδήματος</w:t>
            </w:r>
          </w:p>
        </w:tc>
        <w:tc>
          <w:tcPr>
            <w:tcW w:w="522" w:type="pct"/>
            <w:tcBorders>
              <w:left w:val="single" w:sz="4" w:space="0" w:color="FFC000"/>
              <w:right w:val="single" w:sz="4" w:space="0" w:color="FFC000"/>
            </w:tcBorders>
            <w:shd w:val="clear" w:color="auto" w:fill="FFFFFF" w:themeFill="background1"/>
            <w:vAlign w:val="center"/>
          </w:tcPr>
          <w:p w:rsidR="00F43416" w:rsidRPr="004F4AFD" w:rsidRDefault="00F43416" w:rsidP="00CE6D49">
            <w:pPr>
              <w:tabs>
                <w:tab w:val="left" w:pos="284"/>
              </w:tabs>
              <w:spacing w:after="0"/>
              <w:jc w:val="right"/>
              <w:rPr>
                <w:rFonts w:eastAsiaTheme="minorEastAsia" w:cs="Calibri"/>
                <w:sz w:val="16"/>
                <w:szCs w:val="16"/>
                <w:lang w:val="en-US"/>
              </w:rPr>
            </w:pPr>
            <w:r w:rsidRPr="004F4AFD">
              <w:rPr>
                <w:rFonts w:eastAsiaTheme="minorEastAsia" w:cs="Calibri"/>
                <w:sz w:val="16"/>
                <w:szCs w:val="16"/>
                <w:lang w:val="en-US"/>
              </w:rPr>
              <w:t>(</w:t>
            </w:r>
            <w:r>
              <w:rPr>
                <w:rFonts w:eastAsiaTheme="minorEastAsia" w:cs="Calibri"/>
                <w:sz w:val="16"/>
                <w:szCs w:val="16"/>
                <w:lang w:val="en-US"/>
              </w:rPr>
              <w:t>41</w:t>
            </w:r>
            <w:r w:rsidRPr="004F4AFD">
              <w:rPr>
                <w:rFonts w:eastAsiaTheme="minorEastAsia" w:cs="Calibri"/>
                <w:sz w:val="16"/>
                <w:szCs w:val="16"/>
                <w:lang w:val="en-US"/>
              </w:rPr>
              <w:t>)</w:t>
            </w:r>
          </w:p>
        </w:tc>
        <w:tc>
          <w:tcPr>
            <w:tcW w:w="521" w:type="pct"/>
            <w:tcBorders>
              <w:left w:val="single" w:sz="4" w:space="0" w:color="FFC000"/>
              <w:right w:val="single" w:sz="4" w:space="0" w:color="FFC000"/>
            </w:tcBorders>
            <w:shd w:val="clear" w:color="auto" w:fill="FFFFFF" w:themeFill="background1"/>
            <w:vAlign w:val="center"/>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110</w:t>
            </w:r>
          </w:p>
        </w:tc>
        <w:tc>
          <w:tcPr>
            <w:tcW w:w="521" w:type="pct"/>
            <w:tcBorders>
              <w:left w:val="single" w:sz="4" w:space="0" w:color="FFC000"/>
              <w:right w:val="single" w:sz="18" w:space="0" w:color="FFC000"/>
            </w:tcBorders>
            <w:shd w:val="clear" w:color="auto" w:fill="FFFFFF" w:themeFill="background1"/>
            <w:vAlign w:val="center"/>
          </w:tcPr>
          <w:p w:rsidR="00F43416" w:rsidRPr="004F4AFD" w:rsidRDefault="00F43416" w:rsidP="00CE6D49">
            <w:pPr>
              <w:tabs>
                <w:tab w:val="left" w:pos="284"/>
              </w:tabs>
              <w:spacing w:after="0"/>
              <w:jc w:val="right"/>
              <w:rPr>
                <w:rFonts w:eastAsiaTheme="minorEastAsia" w:cs="Calibri"/>
                <w:sz w:val="16"/>
                <w:szCs w:val="16"/>
                <w:lang w:val="en-US"/>
              </w:rPr>
            </w:pPr>
            <w:r w:rsidRPr="004F4AFD">
              <w:rPr>
                <w:rFonts w:eastAsiaTheme="minorEastAsia" w:cs="Calibri"/>
                <w:sz w:val="16"/>
                <w:szCs w:val="16"/>
                <w:lang w:val="en-US"/>
              </w:rPr>
              <w:t>-</w:t>
            </w:r>
          </w:p>
        </w:tc>
        <w:tc>
          <w:tcPr>
            <w:tcW w:w="532" w:type="pct"/>
            <w:tcBorders>
              <w:left w:val="single" w:sz="18" w:space="0" w:color="FFC000"/>
              <w:right w:val="single" w:sz="4" w:space="0" w:color="FFC000"/>
            </w:tcBorders>
            <w:shd w:val="clear" w:color="auto" w:fill="FFFFFF" w:themeFill="background1"/>
            <w:vAlign w:val="center"/>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70</w:t>
            </w:r>
          </w:p>
        </w:tc>
        <w:tc>
          <w:tcPr>
            <w:tcW w:w="530" w:type="pct"/>
            <w:tcBorders>
              <w:left w:val="single" w:sz="4" w:space="0" w:color="FFC000"/>
              <w:right w:val="single" w:sz="4" w:space="0" w:color="FFC000"/>
            </w:tcBorders>
            <w:shd w:val="clear" w:color="auto" w:fill="FFFFFF" w:themeFill="background1"/>
            <w:vAlign w:val="center"/>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(25)</w:t>
            </w:r>
          </w:p>
        </w:tc>
        <w:tc>
          <w:tcPr>
            <w:tcW w:w="449" w:type="pct"/>
            <w:tcBorders>
              <w:left w:val="single" w:sz="4" w:space="0" w:color="FFC000"/>
              <w:right w:val="single" w:sz="4" w:space="0" w:color="FFC000"/>
            </w:tcBorders>
            <w:shd w:val="clear" w:color="auto" w:fill="FFFFFF" w:themeFill="background1"/>
            <w:vAlign w:val="center"/>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w:t>
            </w:r>
          </w:p>
        </w:tc>
      </w:tr>
      <w:tr w:rsidR="00F43416" w:rsidRPr="00727E7D" w:rsidTr="00CE6D49">
        <w:trPr>
          <w:trHeight w:val="147"/>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7316DD" w:rsidRDefault="00F43416" w:rsidP="00CE6D49">
            <w:pPr>
              <w:tabs>
                <w:tab w:val="left" w:pos="284"/>
              </w:tabs>
              <w:spacing w:after="0"/>
              <w:rPr>
                <w:rFonts w:eastAsiaTheme="minorEastAsia" w:cs="Calibri"/>
                <w:color w:val="003C96" w:themeColor="text2"/>
                <w:sz w:val="4"/>
                <w:szCs w:val="4"/>
                <w:lang w:val="en-US"/>
              </w:rPr>
            </w:pPr>
          </w:p>
        </w:tc>
        <w:tc>
          <w:tcPr>
            <w:tcW w:w="522" w:type="pct"/>
            <w:tcBorders>
              <w:left w:val="single" w:sz="4" w:space="0" w:color="FFC000"/>
              <w:right w:val="single" w:sz="4" w:space="0" w:color="FFC000"/>
            </w:tcBorders>
            <w:shd w:val="clear" w:color="auto" w:fill="FFFFFF" w:themeFill="background1"/>
            <w:vAlign w:val="center"/>
          </w:tcPr>
          <w:p w:rsidR="00F43416" w:rsidRPr="006C7864" w:rsidRDefault="00F43416" w:rsidP="00CE6D49">
            <w:pPr>
              <w:tabs>
                <w:tab w:val="left" w:pos="284"/>
              </w:tabs>
              <w:spacing w:after="0"/>
              <w:jc w:val="right"/>
              <w:rPr>
                <w:rFonts w:eastAsiaTheme="minorEastAsia" w:cs="Calibri"/>
                <w:color w:val="FF0000"/>
                <w:sz w:val="4"/>
                <w:szCs w:val="4"/>
                <w:highlight w:val="green"/>
                <w:lang w:val="en-US"/>
              </w:rPr>
            </w:pPr>
          </w:p>
        </w:tc>
        <w:tc>
          <w:tcPr>
            <w:tcW w:w="521" w:type="pct"/>
            <w:tcBorders>
              <w:left w:val="single" w:sz="4" w:space="0" w:color="FFC000"/>
              <w:right w:val="single" w:sz="4" w:space="0" w:color="FFC000"/>
            </w:tcBorders>
            <w:shd w:val="clear" w:color="auto" w:fill="FFFFFF" w:themeFill="background1"/>
            <w:vAlign w:val="center"/>
          </w:tcPr>
          <w:p w:rsidR="00F43416" w:rsidRPr="006C7864" w:rsidRDefault="00F43416" w:rsidP="00CE6D49">
            <w:pPr>
              <w:tabs>
                <w:tab w:val="left" w:pos="284"/>
              </w:tabs>
              <w:spacing w:after="0"/>
              <w:jc w:val="right"/>
              <w:rPr>
                <w:rFonts w:eastAsiaTheme="minorEastAsia" w:cs="Calibri"/>
                <w:color w:val="FF0000"/>
                <w:sz w:val="4"/>
                <w:szCs w:val="4"/>
                <w:highlight w:val="green"/>
                <w:lang w:val="en-US"/>
              </w:rPr>
            </w:pPr>
          </w:p>
        </w:tc>
        <w:tc>
          <w:tcPr>
            <w:tcW w:w="521" w:type="pct"/>
            <w:tcBorders>
              <w:left w:val="single" w:sz="4" w:space="0" w:color="FFC000"/>
              <w:right w:val="single" w:sz="18" w:space="0" w:color="FFC000"/>
            </w:tcBorders>
            <w:shd w:val="clear" w:color="auto" w:fill="FFFFFF" w:themeFill="background1"/>
            <w:vAlign w:val="center"/>
          </w:tcPr>
          <w:p w:rsidR="00F43416" w:rsidRPr="006C7864" w:rsidRDefault="00F43416" w:rsidP="00CE6D49">
            <w:pPr>
              <w:tabs>
                <w:tab w:val="left" w:pos="284"/>
              </w:tabs>
              <w:spacing w:after="0"/>
              <w:jc w:val="right"/>
              <w:rPr>
                <w:rFonts w:eastAsiaTheme="minorEastAsia" w:cs="Calibri"/>
                <w:color w:val="FF0000"/>
                <w:sz w:val="4"/>
                <w:szCs w:val="4"/>
                <w:highlight w:val="green"/>
                <w:lang w:val="en-US"/>
              </w:rPr>
            </w:pPr>
          </w:p>
        </w:tc>
        <w:tc>
          <w:tcPr>
            <w:tcW w:w="532" w:type="pct"/>
            <w:tcBorders>
              <w:left w:val="single" w:sz="18" w:space="0" w:color="FFC000"/>
              <w:right w:val="single" w:sz="4" w:space="0" w:color="FFC000"/>
            </w:tcBorders>
            <w:shd w:val="clear" w:color="auto" w:fill="FFFFFF" w:themeFill="background1"/>
            <w:vAlign w:val="center"/>
          </w:tcPr>
          <w:p w:rsidR="00F43416" w:rsidRPr="006C7864" w:rsidRDefault="00F43416" w:rsidP="00CE6D49">
            <w:pPr>
              <w:tabs>
                <w:tab w:val="left" w:pos="284"/>
              </w:tabs>
              <w:spacing w:after="0"/>
              <w:jc w:val="right"/>
              <w:rPr>
                <w:rFonts w:eastAsiaTheme="minorEastAsia" w:cs="Calibri"/>
                <w:color w:val="FF0000"/>
                <w:sz w:val="4"/>
                <w:szCs w:val="4"/>
                <w:lang w:val="en-US"/>
              </w:rPr>
            </w:pPr>
          </w:p>
        </w:tc>
        <w:tc>
          <w:tcPr>
            <w:tcW w:w="530" w:type="pct"/>
            <w:tcBorders>
              <w:left w:val="single" w:sz="4" w:space="0" w:color="FFC000"/>
              <w:right w:val="single" w:sz="4" w:space="0" w:color="FFC000"/>
            </w:tcBorders>
            <w:shd w:val="clear" w:color="auto" w:fill="FFFFFF" w:themeFill="background1"/>
            <w:vAlign w:val="center"/>
          </w:tcPr>
          <w:p w:rsidR="00F43416" w:rsidRPr="006C7864" w:rsidRDefault="00F43416" w:rsidP="00CE6D49">
            <w:pPr>
              <w:tabs>
                <w:tab w:val="left" w:pos="284"/>
              </w:tabs>
              <w:spacing w:after="0"/>
              <w:jc w:val="center"/>
              <w:rPr>
                <w:rFonts w:eastAsiaTheme="minorEastAsia" w:cs="Calibri"/>
                <w:color w:val="FF0000"/>
                <w:sz w:val="4"/>
                <w:szCs w:val="4"/>
                <w:lang w:val="en-US"/>
              </w:rPr>
            </w:pPr>
          </w:p>
        </w:tc>
        <w:tc>
          <w:tcPr>
            <w:tcW w:w="449" w:type="pct"/>
            <w:tcBorders>
              <w:left w:val="single" w:sz="4" w:space="0" w:color="FFC000"/>
              <w:right w:val="single" w:sz="4" w:space="0" w:color="FFC000"/>
            </w:tcBorders>
            <w:shd w:val="clear" w:color="auto" w:fill="FFFFFF" w:themeFill="background1"/>
            <w:vAlign w:val="center"/>
          </w:tcPr>
          <w:p w:rsidR="00F43416" w:rsidRPr="006C7864" w:rsidRDefault="00F43416" w:rsidP="00CE6D49">
            <w:pPr>
              <w:tabs>
                <w:tab w:val="left" w:pos="284"/>
              </w:tabs>
              <w:spacing w:after="0"/>
              <w:jc w:val="right"/>
              <w:rPr>
                <w:rFonts w:eastAsiaTheme="minorEastAsia" w:cs="Calibri"/>
                <w:color w:val="FF0000"/>
                <w:sz w:val="4"/>
                <w:szCs w:val="4"/>
                <w:lang w:val="en-US"/>
              </w:rPr>
            </w:pPr>
          </w:p>
        </w:tc>
      </w:tr>
      <w:tr w:rsidR="00F43416" w:rsidRPr="00037376" w:rsidTr="00CE6D49">
        <w:trPr>
          <w:trHeight w:val="280"/>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7316DD" w:rsidRDefault="00F43416" w:rsidP="00CE6D49">
            <w:pPr>
              <w:tabs>
                <w:tab w:val="left" w:pos="284"/>
              </w:tabs>
              <w:spacing w:after="0"/>
              <w:rPr>
                <w:rFonts w:eastAsiaTheme="minorEastAsia" w:cs="Calibri"/>
                <w:color w:val="003C96" w:themeColor="text2"/>
                <w:sz w:val="16"/>
                <w:szCs w:val="16"/>
              </w:rPr>
            </w:pPr>
            <w:r w:rsidRPr="007316DD">
              <w:rPr>
                <w:rFonts w:eastAsiaTheme="minorEastAsia" w:cs="Calibri"/>
                <w:color w:val="003C96" w:themeColor="text2"/>
                <w:sz w:val="16"/>
                <w:szCs w:val="16"/>
              </w:rPr>
              <w:t>Καθαρά Αποτελέσματα</w:t>
            </w:r>
          </w:p>
        </w:tc>
        <w:tc>
          <w:tcPr>
            <w:tcW w:w="522" w:type="pct"/>
            <w:tcBorders>
              <w:left w:val="single" w:sz="4" w:space="0" w:color="FFC000"/>
              <w:right w:val="single" w:sz="4" w:space="0" w:color="FFC000"/>
            </w:tcBorders>
            <w:shd w:val="clear" w:color="auto" w:fill="FFFFFF" w:themeFill="background1"/>
            <w:vAlign w:val="center"/>
          </w:tcPr>
          <w:p w:rsidR="00F43416" w:rsidRPr="00037376" w:rsidRDefault="00F43416" w:rsidP="00CE6D49">
            <w:pPr>
              <w:tabs>
                <w:tab w:val="left" w:pos="284"/>
              </w:tabs>
              <w:spacing w:after="0"/>
              <w:jc w:val="right"/>
              <w:rPr>
                <w:rFonts w:eastAsiaTheme="minorEastAsia" w:cs="Calibri"/>
                <w:color w:val="003C96" w:themeColor="text2"/>
                <w:sz w:val="16"/>
                <w:szCs w:val="16"/>
                <w:lang w:val="en-GB"/>
              </w:rPr>
            </w:pPr>
            <w:r>
              <w:rPr>
                <w:rFonts w:eastAsiaTheme="minorEastAsia" w:cs="Calibri"/>
                <w:color w:val="003C96" w:themeColor="text2"/>
                <w:sz w:val="16"/>
                <w:szCs w:val="16"/>
                <w:lang w:val="en-GB"/>
              </w:rPr>
              <w:t>82</w:t>
            </w:r>
          </w:p>
        </w:tc>
        <w:tc>
          <w:tcPr>
            <w:tcW w:w="521" w:type="pct"/>
            <w:tcBorders>
              <w:left w:val="single" w:sz="4" w:space="0" w:color="FFC000"/>
              <w:right w:val="single" w:sz="4" w:space="0" w:color="FFC000"/>
            </w:tcBorders>
            <w:shd w:val="clear" w:color="auto" w:fill="FFFFFF" w:themeFill="background1"/>
            <w:vAlign w:val="center"/>
          </w:tcPr>
          <w:p w:rsidR="00F43416" w:rsidRPr="00037376" w:rsidRDefault="00F43416" w:rsidP="00CE6D49">
            <w:pPr>
              <w:tabs>
                <w:tab w:val="left" w:pos="284"/>
              </w:tabs>
              <w:spacing w:after="0"/>
              <w:jc w:val="right"/>
              <w:rPr>
                <w:rFonts w:eastAsiaTheme="minorEastAsia" w:cs="Calibri"/>
                <w:color w:val="003C96" w:themeColor="text2"/>
                <w:sz w:val="16"/>
                <w:szCs w:val="16"/>
                <w:lang w:val="en-GB"/>
              </w:rPr>
            </w:pPr>
            <w:r>
              <w:rPr>
                <w:rFonts w:eastAsiaTheme="minorEastAsia" w:cs="Calibri"/>
                <w:color w:val="003C96" w:themeColor="text2"/>
                <w:sz w:val="16"/>
                <w:szCs w:val="16"/>
                <w:lang w:val="en-GB"/>
              </w:rPr>
              <w:t>(232)</w:t>
            </w:r>
            <w:r w:rsidRPr="00820553">
              <w:rPr>
                <w:rFonts w:eastAsiaTheme="minorEastAsia" w:cs="Calibri"/>
                <w:sz w:val="16"/>
                <w:szCs w:val="16"/>
                <w:vertAlign w:val="superscript"/>
                <w:lang w:val="en-US"/>
              </w:rPr>
              <w:t>2</w:t>
            </w:r>
          </w:p>
        </w:tc>
        <w:tc>
          <w:tcPr>
            <w:tcW w:w="521" w:type="pct"/>
            <w:tcBorders>
              <w:left w:val="single" w:sz="4" w:space="0" w:color="FFC000"/>
              <w:right w:val="single" w:sz="18" w:space="0" w:color="FFC000"/>
            </w:tcBorders>
            <w:shd w:val="clear" w:color="auto" w:fill="FFFFFF" w:themeFill="background1"/>
            <w:vAlign w:val="center"/>
          </w:tcPr>
          <w:p w:rsidR="00F43416" w:rsidRPr="00037376" w:rsidRDefault="00F43416" w:rsidP="00CE6D49">
            <w:pPr>
              <w:tabs>
                <w:tab w:val="left" w:pos="284"/>
              </w:tabs>
              <w:spacing w:after="0"/>
              <w:jc w:val="right"/>
              <w:rPr>
                <w:rFonts w:eastAsiaTheme="minorEastAsia" w:cs="Calibri"/>
                <w:color w:val="003C96" w:themeColor="text2"/>
                <w:sz w:val="16"/>
                <w:szCs w:val="16"/>
                <w:lang w:val="en-GB"/>
              </w:rPr>
            </w:pPr>
            <w:r>
              <w:rPr>
                <w:rFonts w:eastAsiaTheme="minorEastAsia" w:cs="Calibri"/>
                <w:color w:val="003C96" w:themeColor="text2"/>
                <w:sz w:val="16"/>
                <w:szCs w:val="16"/>
                <w:lang w:val="en-GB"/>
              </w:rPr>
              <w:t>-</w:t>
            </w:r>
          </w:p>
        </w:tc>
        <w:tc>
          <w:tcPr>
            <w:tcW w:w="532" w:type="pct"/>
            <w:tcBorders>
              <w:left w:val="single" w:sz="18" w:space="0" w:color="FFC000"/>
              <w:right w:val="single" w:sz="4" w:space="0" w:color="FFC000"/>
            </w:tcBorders>
            <w:shd w:val="clear" w:color="auto" w:fill="FFFFFF" w:themeFill="background1"/>
            <w:vAlign w:val="center"/>
          </w:tcPr>
          <w:p w:rsidR="00F43416" w:rsidRPr="00037376" w:rsidRDefault="00F43416" w:rsidP="00CE6D49">
            <w:pPr>
              <w:tabs>
                <w:tab w:val="left" w:pos="284"/>
              </w:tabs>
              <w:spacing w:after="0"/>
              <w:jc w:val="right"/>
              <w:rPr>
                <w:rFonts w:eastAsiaTheme="minorEastAsia" w:cs="Calibri"/>
                <w:color w:val="003C96" w:themeColor="text2"/>
                <w:sz w:val="16"/>
                <w:szCs w:val="16"/>
                <w:lang w:val="en-GB"/>
              </w:rPr>
            </w:pPr>
            <w:r>
              <w:rPr>
                <w:rFonts w:eastAsiaTheme="minorEastAsia" w:cs="Calibri"/>
                <w:color w:val="003C96" w:themeColor="text2"/>
                <w:sz w:val="16"/>
                <w:szCs w:val="16"/>
                <w:lang w:val="en-GB"/>
              </w:rPr>
              <w:t>(150)</w:t>
            </w:r>
            <w:r w:rsidRPr="00820553">
              <w:rPr>
                <w:rFonts w:eastAsiaTheme="minorEastAsia" w:cs="Calibri"/>
                <w:sz w:val="16"/>
                <w:szCs w:val="16"/>
                <w:vertAlign w:val="superscript"/>
                <w:lang w:val="en-US"/>
              </w:rPr>
              <w:t>2</w:t>
            </w:r>
          </w:p>
        </w:tc>
        <w:tc>
          <w:tcPr>
            <w:tcW w:w="530" w:type="pct"/>
            <w:tcBorders>
              <w:left w:val="single" w:sz="4" w:space="0" w:color="FFC000"/>
              <w:right w:val="single" w:sz="4" w:space="0" w:color="FFC000"/>
            </w:tcBorders>
            <w:shd w:val="clear" w:color="auto" w:fill="FFFFFF" w:themeFill="background1"/>
            <w:vAlign w:val="center"/>
          </w:tcPr>
          <w:p w:rsidR="00F43416" w:rsidRPr="00037376" w:rsidRDefault="00F43416" w:rsidP="00CE6D49">
            <w:pPr>
              <w:tabs>
                <w:tab w:val="left" w:pos="284"/>
              </w:tabs>
              <w:spacing w:after="0"/>
              <w:jc w:val="right"/>
              <w:rPr>
                <w:rFonts w:eastAsiaTheme="minorEastAsia" w:cs="Calibri"/>
                <w:color w:val="003C96" w:themeColor="text2"/>
                <w:sz w:val="16"/>
                <w:szCs w:val="16"/>
                <w:lang w:val="en-GB"/>
              </w:rPr>
            </w:pPr>
            <w:r>
              <w:rPr>
                <w:rFonts w:eastAsiaTheme="minorEastAsia" w:cs="Calibri"/>
                <w:color w:val="003C96" w:themeColor="text2"/>
                <w:sz w:val="16"/>
                <w:szCs w:val="16"/>
                <w:lang w:val="en-GB"/>
              </w:rPr>
              <w:t>38</w:t>
            </w:r>
          </w:p>
        </w:tc>
        <w:tc>
          <w:tcPr>
            <w:tcW w:w="449" w:type="pct"/>
            <w:tcBorders>
              <w:left w:val="single" w:sz="4" w:space="0" w:color="FFC000"/>
              <w:right w:val="single" w:sz="4" w:space="0" w:color="FFC000"/>
            </w:tcBorders>
            <w:shd w:val="clear" w:color="auto" w:fill="FFFFFF" w:themeFill="background1"/>
            <w:vAlign w:val="center"/>
          </w:tcPr>
          <w:p w:rsidR="00F43416" w:rsidRDefault="00F43416" w:rsidP="00CE6D49">
            <w:pPr>
              <w:tabs>
                <w:tab w:val="left" w:pos="284"/>
              </w:tabs>
              <w:spacing w:after="0"/>
              <w:jc w:val="right"/>
              <w:rPr>
                <w:rFonts w:eastAsiaTheme="minorEastAsia" w:cs="Calibri"/>
                <w:color w:val="003C96" w:themeColor="text2"/>
                <w:sz w:val="16"/>
                <w:szCs w:val="16"/>
                <w:lang w:val="en-GB"/>
              </w:rPr>
            </w:pPr>
            <w:r>
              <w:rPr>
                <w:rFonts w:eastAsiaTheme="minorEastAsia" w:cs="Calibri"/>
                <w:color w:val="003C96" w:themeColor="text2"/>
                <w:sz w:val="16"/>
                <w:szCs w:val="16"/>
                <w:lang w:val="en-GB"/>
              </w:rPr>
              <w:t>-</w:t>
            </w:r>
          </w:p>
        </w:tc>
      </w:tr>
      <w:tr w:rsidR="00F43416" w:rsidRPr="00037376" w:rsidTr="00CE6D49">
        <w:trPr>
          <w:trHeight w:val="280"/>
        </w:trPr>
        <w:tc>
          <w:tcPr>
            <w:tcW w:w="1925" w:type="pct"/>
            <w:tcBorders>
              <w:left w:val="single" w:sz="4" w:space="0" w:color="FFC000"/>
              <w:right w:val="single" w:sz="4" w:space="0" w:color="FFC000"/>
            </w:tcBorders>
            <w:shd w:val="clear" w:color="auto" w:fill="FFFFFF" w:themeFill="background1"/>
            <w:tcMar>
              <w:right w:w="113" w:type="dxa"/>
            </w:tcMar>
            <w:vAlign w:val="center"/>
          </w:tcPr>
          <w:p w:rsidR="00F43416" w:rsidRPr="007316DD" w:rsidRDefault="00F43416" w:rsidP="00CE6D49">
            <w:pPr>
              <w:tabs>
                <w:tab w:val="left" w:pos="284"/>
              </w:tabs>
              <w:spacing w:after="0"/>
              <w:rPr>
                <w:rFonts w:eastAsiaTheme="minorEastAsia" w:cs="Calibri"/>
                <w:color w:val="003C96" w:themeColor="text2"/>
                <w:sz w:val="16"/>
                <w:szCs w:val="16"/>
              </w:rPr>
            </w:pPr>
            <w:r w:rsidRPr="007316DD">
              <w:rPr>
                <w:rFonts w:eastAsiaTheme="minorEastAsia" w:cs="Calibri"/>
                <w:color w:val="003C96" w:themeColor="text2"/>
                <w:sz w:val="16"/>
                <w:szCs w:val="16"/>
              </w:rPr>
              <w:t>Αποτελέσματα Μετόχων από Συνεχ. Δραστ/τες</w:t>
            </w:r>
          </w:p>
        </w:tc>
        <w:tc>
          <w:tcPr>
            <w:tcW w:w="522" w:type="pct"/>
            <w:tcBorders>
              <w:left w:val="single" w:sz="4" w:space="0" w:color="FFC000"/>
              <w:right w:val="single" w:sz="4" w:space="0" w:color="FFC000"/>
            </w:tcBorders>
            <w:shd w:val="clear" w:color="auto" w:fill="FFFFFF" w:themeFill="background1"/>
            <w:vAlign w:val="center"/>
          </w:tcPr>
          <w:p w:rsidR="00F43416" w:rsidRPr="00037376" w:rsidRDefault="00F43416" w:rsidP="00CE6D49">
            <w:pPr>
              <w:tabs>
                <w:tab w:val="left" w:pos="284"/>
              </w:tabs>
              <w:spacing w:after="0"/>
              <w:jc w:val="right"/>
              <w:rPr>
                <w:rFonts w:eastAsiaTheme="minorEastAsia" w:cs="Calibri"/>
                <w:color w:val="003C96" w:themeColor="text2"/>
                <w:sz w:val="16"/>
                <w:szCs w:val="16"/>
                <w:lang w:val="en-GB"/>
              </w:rPr>
            </w:pPr>
            <w:r>
              <w:rPr>
                <w:rFonts w:eastAsiaTheme="minorEastAsia" w:cs="Calibri"/>
                <w:color w:val="003C96" w:themeColor="text2"/>
                <w:sz w:val="16"/>
                <w:szCs w:val="16"/>
                <w:lang w:val="en-GB"/>
              </w:rPr>
              <w:t>85</w:t>
            </w:r>
          </w:p>
        </w:tc>
        <w:tc>
          <w:tcPr>
            <w:tcW w:w="521" w:type="pct"/>
            <w:tcBorders>
              <w:left w:val="single" w:sz="4" w:space="0" w:color="FFC000"/>
              <w:right w:val="single" w:sz="4" w:space="0" w:color="FFC000"/>
            </w:tcBorders>
            <w:shd w:val="clear" w:color="auto" w:fill="FFFFFF" w:themeFill="background1"/>
            <w:vAlign w:val="center"/>
          </w:tcPr>
          <w:p w:rsidR="00F43416" w:rsidRPr="00037376" w:rsidRDefault="00F43416" w:rsidP="00CE6D49">
            <w:pPr>
              <w:tabs>
                <w:tab w:val="left" w:pos="284"/>
              </w:tabs>
              <w:spacing w:after="0"/>
              <w:jc w:val="right"/>
              <w:rPr>
                <w:rFonts w:eastAsiaTheme="minorEastAsia" w:cs="Calibri"/>
                <w:color w:val="003C96" w:themeColor="text2"/>
                <w:sz w:val="16"/>
                <w:szCs w:val="16"/>
                <w:lang w:val="en-GB"/>
              </w:rPr>
            </w:pPr>
            <w:r>
              <w:rPr>
                <w:rFonts w:eastAsiaTheme="minorEastAsia" w:cs="Calibri"/>
                <w:color w:val="003C96" w:themeColor="text2"/>
                <w:sz w:val="16"/>
                <w:szCs w:val="16"/>
                <w:lang w:val="en-GB"/>
              </w:rPr>
              <w:t>(230)</w:t>
            </w:r>
            <w:r w:rsidRPr="00820553">
              <w:rPr>
                <w:rFonts w:eastAsiaTheme="minorEastAsia" w:cs="Calibri"/>
                <w:sz w:val="16"/>
                <w:szCs w:val="16"/>
                <w:vertAlign w:val="superscript"/>
                <w:lang w:val="en-US"/>
              </w:rPr>
              <w:t>2</w:t>
            </w:r>
          </w:p>
        </w:tc>
        <w:tc>
          <w:tcPr>
            <w:tcW w:w="521" w:type="pct"/>
            <w:tcBorders>
              <w:left w:val="single" w:sz="4" w:space="0" w:color="FFC000"/>
              <w:right w:val="single" w:sz="18" w:space="0" w:color="FFC000"/>
            </w:tcBorders>
            <w:shd w:val="clear" w:color="auto" w:fill="FFFFFF" w:themeFill="background1"/>
            <w:vAlign w:val="center"/>
          </w:tcPr>
          <w:p w:rsidR="00F43416" w:rsidRPr="00037376" w:rsidRDefault="00F43416" w:rsidP="00CE6D49">
            <w:pPr>
              <w:tabs>
                <w:tab w:val="left" w:pos="284"/>
              </w:tabs>
              <w:spacing w:after="0"/>
              <w:jc w:val="right"/>
              <w:rPr>
                <w:rFonts w:eastAsiaTheme="minorEastAsia" w:cs="Calibri"/>
                <w:color w:val="003C96" w:themeColor="text2"/>
                <w:sz w:val="16"/>
                <w:szCs w:val="16"/>
                <w:lang w:val="en-GB"/>
              </w:rPr>
            </w:pPr>
            <w:r>
              <w:rPr>
                <w:rFonts w:eastAsiaTheme="minorEastAsia" w:cs="Calibri"/>
                <w:color w:val="003C96" w:themeColor="text2"/>
                <w:sz w:val="16"/>
                <w:szCs w:val="16"/>
                <w:lang w:val="en-GB"/>
              </w:rPr>
              <w:t>-</w:t>
            </w:r>
          </w:p>
        </w:tc>
        <w:tc>
          <w:tcPr>
            <w:tcW w:w="532" w:type="pct"/>
            <w:tcBorders>
              <w:left w:val="single" w:sz="18" w:space="0" w:color="FFC000"/>
              <w:right w:val="single" w:sz="4" w:space="0" w:color="FFC000"/>
            </w:tcBorders>
            <w:shd w:val="clear" w:color="auto" w:fill="FFFFFF" w:themeFill="background1"/>
            <w:vAlign w:val="center"/>
          </w:tcPr>
          <w:p w:rsidR="00F43416" w:rsidRPr="00037376" w:rsidRDefault="00F43416" w:rsidP="00CE6D49">
            <w:pPr>
              <w:tabs>
                <w:tab w:val="left" w:pos="284"/>
              </w:tabs>
              <w:spacing w:after="0"/>
              <w:jc w:val="right"/>
              <w:rPr>
                <w:rFonts w:eastAsiaTheme="minorEastAsia" w:cs="Calibri"/>
                <w:color w:val="003C96" w:themeColor="text2"/>
                <w:sz w:val="16"/>
                <w:szCs w:val="16"/>
                <w:lang w:val="en-GB"/>
              </w:rPr>
            </w:pPr>
            <w:r>
              <w:rPr>
                <w:rFonts w:eastAsiaTheme="minorEastAsia" w:cs="Calibri"/>
                <w:color w:val="003C96" w:themeColor="text2"/>
                <w:sz w:val="16"/>
                <w:szCs w:val="16"/>
                <w:lang w:val="en-GB"/>
              </w:rPr>
              <w:t>(14</w:t>
            </w:r>
            <w:r>
              <w:rPr>
                <w:rFonts w:eastAsiaTheme="minorEastAsia" w:cs="Calibri"/>
                <w:color w:val="003C96" w:themeColor="text2"/>
                <w:sz w:val="16"/>
                <w:szCs w:val="16"/>
              </w:rPr>
              <w:t>4</w:t>
            </w:r>
            <w:r>
              <w:rPr>
                <w:rFonts w:eastAsiaTheme="minorEastAsia" w:cs="Calibri"/>
                <w:color w:val="003C96" w:themeColor="text2"/>
                <w:sz w:val="16"/>
                <w:szCs w:val="16"/>
                <w:lang w:val="en-GB"/>
              </w:rPr>
              <w:t>)</w:t>
            </w:r>
            <w:r w:rsidRPr="00820553">
              <w:rPr>
                <w:rFonts w:eastAsiaTheme="minorEastAsia" w:cs="Calibri"/>
                <w:sz w:val="16"/>
                <w:szCs w:val="16"/>
                <w:vertAlign w:val="superscript"/>
                <w:lang w:val="en-US"/>
              </w:rPr>
              <w:t>2</w:t>
            </w:r>
          </w:p>
        </w:tc>
        <w:tc>
          <w:tcPr>
            <w:tcW w:w="530" w:type="pct"/>
            <w:tcBorders>
              <w:left w:val="single" w:sz="4" w:space="0" w:color="FFC000"/>
              <w:right w:val="single" w:sz="4" w:space="0" w:color="FFC000"/>
            </w:tcBorders>
            <w:shd w:val="clear" w:color="auto" w:fill="FFFFFF" w:themeFill="background1"/>
            <w:vAlign w:val="center"/>
          </w:tcPr>
          <w:p w:rsidR="00F43416" w:rsidRPr="00037376" w:rsidRDefault="00F43416" w:rsidP="00CE6D49">
            <w:pPr>
              <w:tabs>
                <w:tab w:val="left" w:pos="284"/>
              </w:tabs>
              <w:spacing w:after="0"/>
              <w:jc w:val="right"/>
              <w:rPr>
                <w:rFonts w:eastAsiaTheme="minorEastAsia" w:cs="Calibri"/>
                <w:color w:val="003C96" w:themeColor="text2"/>
                <w:sz w:val="16"/>
                <w:szCs w:val="16"/>
                <w:lang w:val="en-GB"/>
              </w:rPr>
            </w:pPr>
            <w:r>
              <w:rPr>
                <w:rFonts w:eastAsiaTheme="minorEastAsia" w:cs="Calibri"/>
                <w:color w:val="003C96" w:themeColor="text2"/>
                <w:sz w:val="16"/>
                <w:szCs w:val="16"/>
                <w:lang w:val="en-GB"/>
              </w:rPr>
              <w:t>34</w:t>
            </w:r>
          </w:p>
        </w:tc>
        <w:tc>
          <w:tcPr>
            <w:tcW w:w="449" w:type="pct"/>
            <w:tcBorders>
              <w:left w:val="single" w:sz="4" w:space="0" w:color="FFC000"/>
              <w:right w:val="single" w:sz="4" w:space="0" w:color="FFC000"/>
            </w:tcBorders>
            <w:shd w:val="clear" w:color="auto" w:fill="FFFFFF" w:themeFill="background1"/>
            <w:vAlign w:val="center"/>
          </w:tcPr>
          <w:p w:rsidR="00F43416" w:rsidRDefault="00F43416" w:rsidP="00CE6D49">
            <w:pPr>
              <w:tabs>
                <w:tab w:val="left" w:pos="284"/>
              </w:tabs>
              <w:spacing w:after="0"/>
              <w:jc w:val="right"/>
              <w:rPr>
                <w:rFonts w:eastAsiaTheme="minorEastAsia" w:cs="Calibri"/>
                <w:color w:val="003C96" w:themeColor="text2"/>
                <w:sz w:val="16"/>
                <w:szCs w:val="16"/>
                <w:lang w:val="en-GB"/>
              </w:rPr>
            </w:pPr>
            <w:r>
              <w:rPr>
                <w:rFonts w:eastAsiaTheme="minorEastAsia" w:cs="Calibri"/>
                <w:color w:val="003C96" w:themeColor="text2"/>
                <w:sz w:val="16"/>
                <w:szCs w:val="16"/>
                <w:lang w:val="en-GB"/>
              </w:rPr>
              <w:t>-</w:t>
            </w:r>
          </w:p>
        </w:tc>
      </w:tr>
      <w:tr w:rsidR="00F43416" w:rsidRPr="00037376" w:rsidTr="00CE6D49">
        <w:trPr>
          <w:trHeight w:val="280"/>
        </w:trPr>
        <w:tc>
          <w:tcPr>
            <w:tcW w:w="1925" w:type="pct"/>
            <w:tcBorders>
              <w:left w:val="single" w:sz="4" w:space="0" w:color="FFC000"/>
              <w:right w:val="single" w:sz="4" w:space="0" w:color="FFC000"/>
            </w:tcBorders>
            <w:shd w:val="clear" w:color="auto" w:fill="FFFFFF" w:themeFill="background1"/>
            <w:tcMar>
              <w:right w:w="113" w:type="dxa"/>
            </w:tcMar>
          </w:tcPr>
          <w:p w:rsidR="00F43416" w:rsidRPr="005744FA" w:rsidRDefault="00F43416" w:rsidP="00CE6D49">
            <w:pPr>
              <w:tabs>
                <w:tab w:val="left" w:pos="284"/>
              </w:tabs>
              <w:spacing w:after="0"/>
              <w:rPr>
                <w:rFonts w:ascii="Calibri" w:eastAsiaTheme="minorEastAsia" w:hAnsi="Calibri" w:cs="Calibri"/>
                <w:sz w:val="16"/>
                <w:szCs w:val="16"/>
                <w:lang w:val="en-US"/>
              </w:rPr>
            </w:pPr>
          </w:p>
        </w:tc>
        <w:tc>
          <w:tcPr>
            <w:tcW w:w="522" w:type="pct"/>
            <w:tcBorders>
              <w:left w:val="single" w:sz="4" w:space="0" w:color="FFC000"/>
              <w:right w:val="single" w:sz="4" w:space="0" w:color="FFC000"/>
            </w:tcBorders>
            <w:shd w:val="clear" w:color="auto" w:fill="FFFFFF" w:themeFill="background1"/>
            <w:vAlign w:val="center"/>
          </w:tcPr>
          <w:p w:rsidR="00F43416" w:rsidRPr="006C7864" w:rsidRDefault="00F43416" w:rsidP="00CE6D49">
            <w:pPr>
              <w:tabs>
                <w:tab w:val="left" w:pos="284"/>
              </w:tabs>
              <w:spacing w:after="0"/>
              <w:jc w:val="right"/>
              <w:rPr>
                <w:rFonts w:eastAsiaTheme="minorEastAsia" w:cs="Calibri"/>
                <w:color w:val="FF0000"/>
                <w:sz w:val="16"/>
                <w:szCs w:val="16"/>
                <w:lang w:val="en-US"/>
              </w:rPr>
            </w:pPr>
          </w:p>
        </w:tc>
        <w:tc>
          <w:tcPr>
            <w:tcW w:w="521" w:type="pct"/>
            <w:tcBorders>
              <w:left w:val="single" w:sz="4" w:space="0" w:color="FFC000"/>
              <w:right w:val="single" w:sz="4" w:space="0" w:color="FFC000"/>
            </w:tcBorders>
            <w:shd w:val="clear" w:color="auto" w:fill="FFFFFF" w:themeFill="background1"/>
            <w:vAlign w:val="center"/>
          </w:tcPr>
          <w:p w:rsidR="00F43416" w:rsidRPr="006C7864" w:rsidRDefault="00F43416" w:rsidP="00CE6D49">
            <w:pPr>
              <w:tabs>
                <w:tab w:val="left" w:pos="284"/>
              </w:tabs>
              <w:spacing w:after="0"/>
              <w:jc w:val="right"/>
              <w:rPr>
                <w:rFonts w:eastAsiaTheme="minorEastAsia" w:cs="Calibri"/>
                <w:color w:val="FF0000"/>
                <w:sz w:val="16"/>
                <w:szCs w:val="16"/>
                <w:lang w:val="en-US"/>
              </w:rPr>
            </w:pPr>
          </w:p>
        </w:tc>
        <w:tc>
          <w:tcPr>
            <w:tcW w:w="521" w:type="pct"/>
            <w:tcBorders>
              <w:left w:val="single" w:sz="4" w:space="0" w:color="FFC000"/>
              <w:right w:val="single" w:sz="18" w:space="0" w:color="FFC000"/>
            </w:tcBorders>
            <w:shd w:val="clear" w:color="auto" w:fill="FFFFFF" w:themeFill="background1"/>
            <w:vAlign w:val="center"/>
          </w:tcPr>
          <w:p w:rsidR="00F43416" w:rsidRPr="006C7864" w:rsidRDefault="00F43416" w:rsidP="00CE6D49">
            <w:pPr>
              <w:tabs>
                <w:tab w:val="left" w:pos="284"/>
              </w:tabs>
              <w:spacing w:after="0"/>
              <w:jc w:val="right"/>
              <w:rPr>
                <w:rFonts w:eastAsiaTheme="minorEastAsia" w:cs="Calibri"/>
                <w:color w:val="FF0000"/>
                <w:sz w:val="16"/>
                <w:szCs w:val="16"/>
                <w:lang w:val="en-US"/>
              </w:rPr>
            </w:pPr>
          </w:p>
        </w:tc>
        <w:tc>
          <w:tcPr>
            <w:tcW w:w="532" w:type="pct"/>
            <w:tcBorders>
              <w:left w:val="single" w:sz="18" w:space="0" w:color="FFC000"/>
              <w:right w:val="single" w:sz="4" w:space="0" w:color="FFC000"/>
            </w:tcBorders>
            <w:shd w:val="clear" w:color="auto" w:fill="FFFFFF" w:themeFill="background1"/>
            <w:vAlign w:val="center"/>
          </w:tcPr>
          <w:p w:rsidR="00F43416" w:rsidRPr="006C7864" w:rsidRDefault="00F43416" w:rsidP="00CE6D49">
            <w:pPr>
              <w:tabs>
                <w:tab w:val="left" w:pos="284"/>
              </w:tabs>
              <w:spacing w:after="0"/>
              <w:jc w:val="right"/>
              <w:rPr>
                <w:rFonts w:eastAsiaTheme="minorEastAsia" w:cs="Calibri"/>
                <w:color w:val="FF0000"/>
                <w:sz w:val="16"/>
                <w:szCs w:val="16"/>
                <w:lang w:val="en-US"/>
              </w:rPr>
            </w:pPr>
          </w:p>
        </w:tc>
        <w:tc>
          <w:tcPr>
            <w:tcW w:w="530" w:type="pct"/>
            <w:tcBorders>
              <w:left w:val="single" w:sz="4" w:space="0" w:color="FFC000"/>
              <w:right w:val="single" w:sz="4" w:space="0" w:color="FFC000"/>
            </w:tcBorders>
            <w:shd w:val="clear" w:color="auto" w:fill="FFFFFF" w:themeFill="background1"/>
            <w:vAlign w:val="center"/>
          </w:tcPr>
          <w:p w:rsidR="00F43416" w:rsidRPr="006C7864" w:rsidRDefault="00F43416" w:rsidP="00CE6D49">
            <w:pPr>
              <w:tabs>
                <w:tab w:val="left" w:pos="284"/>
              </w:tabs>
              <w:spacing w:after="0"/>
              <w:jc w:val="center"/>
              <w:rPr>
                <w:rFonts w:eastAsiaTheme="minorEastAsia" w:cs="Calibri"/>
                <w:color w:val="FF0000"/>
                <w:sz w:val="16"/>
                <w:szCs w:val="16"/>
                <w:lang w:val="en-US"/>
              </w:rPr>
            </w:pPr>
          </w:p>
        </w:tc>
        <w:tc>
          <w:tcPr>
            <w:tcW w:w="449" w:type="pct"/>
            <w:tcBorders>
              <w:left w:val="single" w:sz="4" w:space="0" w:color="FFC000"/>
              <w:right w:val="single" w:sz="4" w:space="0" w:color="FFC000"/>
            </w:tcBorders>
            <w:shd w:val="clear" w:color="auto" w:fill="FFFFFF" w:themeFill="background1"/>
            <w:vAlign w:val="center"/>
          </w:tcPr>
          <w:p w:rsidR="00F43416" w:rsidRPr="006C7864" w:rsidRDefault="00F43416" w:rsidP="00CE6D49">
            <w:pPr>
              <w:tabs>
                <w:tab w:val="left" w:pos="284"/>
              </w:tabs>
              <w:spacing w:after="0"/>
              <w:jc w:val="right"/>
              <w:rPr>
                <w:rFonts w:eastAsiaTheme="minorEastAsia" w:cs="Calibri"/>
                <w:color w:val="FF0000"/>
                <w:sz w:val="16"/>
                <w:szCs w:val="16"/>
                <w:lang w:val="en-US"/>
              </w:rPr>
            </w:pPr>
          </w:p>
        </w:tc>
      </w:tr>
      <w:tr w:rsidR="00F43416" w:rsidRPr="004825F8" w:rsidTr="00CE6D49">
        <w:trPr>
          <w:trHeight w:val="280"/>
        </w:trPr>
        <w:tc>
          <w:tcPr>
            <w:tcW w:w="1925" w:type="pct"/>
            <w:tcBorders>
              <w:left w:val="single" w:sz="4" w:space="0" w:color="FFC000"/>
              <w:right w:val="single" w:sz="4" w:space="0" w:color="FFC000"/>
            </w:tcBorders>
            <w:shd w:val="clear" w:color="auto" w:fill="FFFFFF" w:themeFill="background1"/>
            <w:tcMar>
              <w:right w:w="113" w:type="dxa"/>
            </w:tcMar>
          </w:tcPr>
          <w:p w:rsidR="00F43416" w:rsidRPr="003844B2" w:rsidRDefault="00F43416" w:rsidP="00CE6D49">
            <w:pPr>
              <w:tabs>
                <w:tab w:val="left" w:pos="284"/>
              </w:tabs>
              <w:spacing w:after="0"/>
              <w:rPr>
                <w:rFonts w:ascii="Calibri" w:eastAsiaTheme="minorEastAsia" w:hAnsi="Calibri" w:cs="Calibri"/>
                <w:sz w:val="16"/>
                <w:szCs w:val="16"/>
              </w:rPr>
            </w:pPr>
            <w:r w:rsidRPr="003844B2">
              <w:rPr>
                <w:rFonts w:ascii="Calibri" w:eastAsiaTheme="minorEastAsia" w:hAnsi="Calibri" w:cs="Calibri"/>
                <w:sz w:val="16"/>
                <w:szCs w:val="16"/>
              </w:rPr>
              <w:t>Δικαιώματα Μειοψηφίας από Συνεχ. Δραστ/τες</w:t>
            </w:r>
          </w:p>
        </w:tc>
        <w:tc>
          <w:tcPr>
            <w:tcW w:w="522" w:type="pct"/>
            <w:tcBorders>
              <w:left w:val="single" w:sz="4" w:space="0" w:color="FFC000"/>
              <w:right w:val="single" w:sz="4" w:space="0" w:color="FFC000"/>
            </w:tcBorders>
            <w:shd w:val="clear" w:color="auto" w:fill="FFFFFF" w:themeFill="background1"/>
            <w:vAlign w:val="center"/>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(1)</w:t>
            </w:r>
          </w:p>
        </w:tc>
        <w:tc>
          <w:tcPr>
            <w:tcW w:w="521" w:type="pct"/>
            <w:tcBorders>
              <w:left w:val="single" w:sz="4" w:space="0" w:color="FFC000"/>
              <w:right w:val="single" w:sz="4" w:space="0" w:color="FFC000"/>
            </w:tcBorders>
            <w:shd w:val="clear" w:color="auto" w:fill="FFFFFF" w:themeFill="background1"/>
            <w:vAlign w:val="center"/>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0</w:t>
            </w:r>
          </w:p>
        </w:tc>
        <w:tc>
          <w:tcPr>
            <w:tcW w:w="521" w:type="pct"/>
            <w:tcBorders>
              <w:left w:val="single" w:sz="4" w:space="0" w:color="FFC000"/>
              <w:right w:val="single" w:sz="18" w:space="0" w:color="FFC000"/>
            </w:tcBorders>
            <w:shd w:val="clear" w:color="auto" w:fill="FFFFFF" w:themeFill="background1"/>
            <w:vAlign w:val="center"/>
          </w:tcPr>
          <w:p w:rsidR="00F43416" w:rsidRPr="004F4AFD" w:rsidRDefault="00F43416" w:rsidP="00CE6D49">
            <w:pPr>
              <w:tabs>
                <w:tab w:val="left" w:pos="284"/>
              </w:tabs>
              <w:spacing w:after="0"/>
              <w:jc w:val="right"/>
              <w:rPr>
                <w:rFonts w:eastAsiaTheme="minorEastAsia" w:cs="Calibri"/>
                <w:sz w:val="16"/>
                <w:szCs w:val="16"/>
                <w:lang w:val="en-US"/>
              </w:rPr>
            </w:pPr>
            <w:r w:rsidRPr="004F4AFD">
              <w:rPr>
                <w:rFonts w:eastAsiaTheme="minorEastAsia" w:cs="Calibri"/>
                <w:sz w:val="16"/>
                <w:szCs w:val="16"/>
                <w:lang w:val="en-US"/>
              </w:rPr>
              <w:t>-</w:t>
            </w:r>
          </w:p>
        </w:tc>
        <w:tc>
          <w:tcPr>
            <w:tcW w:w="532" w:type="pct"/>
            <w:tcBorders>
              <w:left w:val="single" w:sz="18" w:space="0" w:color="FFC000"/>
              <w:right w:val="single" w:sz="4" w:space="0" w:color="FFC000"/>
            </w:tcBorders>
            <w:shd w:val="clear" w:color="auto" w:fill="FFFFFF" w:themeFill="background1"/>
            <w:vAlign w:val="center"/>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(1)</w:t>
            </w:r>
          </w:p>
        </w:tc>
        <w:tc>
          <w:tcPr>
            <w:tcW w:w="530" w:type="pct"/>
            <w:tcBorders>
              <w:left w:val="single" w:sz="4" w:space="0" w:color="FFC000"/>
              <w:right w:val="single" w:sz="4" w:space="0" w:color="FFC000"/>
            </w:tcBorders>
            <w:shd w:val="clear" w:color="auto" w:fill="FFFFFF" w:themeFill="background1"/>
            <w:vAlign w:val="center"/>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(2)</w:t>
            </w:r>
          </w:p>
        </w:tc>
        <w:tc>
          <w:tcPr>
            <w:tcW w:w="449" w:type="pct"/>
            <w:tcBorders>
              <w:left w:val="single" w:sz="4" w:space="0" w:color="FFC000"/>
              <w:right w:val="single" w:sz="4" w:space="0" w:color="FFC000"/>
            </w:tcBorders>
            <w:shd w:val="clear" w:color="auto" w:fill="FFFFFF" w:themeFill="background1"/>
            <w:vAlign w:val="center"/>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w:t>
            </w:r>
          </w:p>
        </w:tc>
      </w:tr>
      <w:tr w:rsidR="00F43416" w:rsidRPr="005744FA" w:rsidTr="00CE6D49">
        <w:trPr>
          <w:trHeight w:val="280"/>
        </w:trPr>
        <w:tc>
          <w:tcPr>
            <w:tcW w:w="1925" w:type="pct"/>
            <w:tcBorders>
              <w:left w:val="single" w:sz="4" w:space="0" w:color="FFC000"/>
              <w:bottom w:val="single" w:sz="12" w:space="0" w:color="3A73AE" w:themeColor="accent1"/>
              <w:right w:val="single" w:sz="4" w:space="0" w:color="FFC000"/>
            </w:tcBorders>
            <w:shd w:val="clear" w:color="auto" w:fill="FFFFFF" w:themeFill="background1"/>
            <w:tcMar>
              <w:right w:w="113" w:type="dxa"/>
            </w:tcMar>
          </w:tcPr>
          <w:p w:rsidR="00F43416" w:rsidRPr="005744FA" w:rsidRDefault="00F43416" w:rsidP="00CE6D49">
            <w:pPr>
              <w:tabs>
                <w:tab w:val="left" w:pos="284"/>
              </w:tabs>
              <w:spacing w:after="0"/>
              <w:rPr>
                <w:rFonts w:eastAsiaTheme="minorEastAsia" w:cs="Calibri"/>
                <w:sz w:val="16"/>
                <w:szCs w:val="16"/>
                <w:lang w:val="en-US"/>
              </w:rPr>
            </w:pPr>
            <w:r w:rsidRPr="003844B2">
              <w:rPr>
                <w:rFonts w:ascii="Calibri" w:eastAsiaTheme="minorEastAsia" w:hAnsi="Calibri" w:cs="Calibri"/>
                <w:sz w:val="16"/>
                <w:szCs w:val="16"/>
                <w:lang w:val="en-US"/>
              </w:rPr>
              <w:t>Αποτελέσματα Διακοπτόμενων Δραστηριοτήτων</w:t>
            </w:r>
          </w:p>
        </w:tc>
        <w:tc>
          <w:tcPr>
            <w:tcW w:w="522" w:type="pct"/>
            <w:tcBorders>
              <w:left w:val="single" w:sz="4" w:space="0" w:color="FFC000"/>
              <w:bottom w:val="single" w:sz="12" w:space="0" w:color="3A73AE" w:themeColor="accent1"/>
              <w:right w:val="single" w:sz="4" w:space="0" w:color="FFC000"/>
            </w:tcBorders>
            <w:shd w:val="clear" w:color="auto" w:fill="FFFFFF" w:themeFill="background1"/>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(2)</w:t>
            </w:r>
          </w:p>
        </w:tc>
        <w:tc>
          <w:tcPr>
            <w:tcW w:w="521" w:type="pct"/>
            <w:tcBorders>
              <w:left w:val="single" w:sz="4" w:space="0" w:color="FFC000"/>
              <w:bottom w:val="single" w:sz="12" w:space="0" w:color="3A73AE" w:themeColor="accent1"/>
              <w:right w:val="single" w:sz="4" w:space="0" w:color="FFC000"/>
            </w:tcBorders>
            <w:shd w:val="clear" w:color="auto" w:fill="FFFFFF" w:themeFill="background1"/>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(2)</w:t>
            </w:r>
          </w:p>
        </w:tc>
        <w:tc>
          <w:tcPr>
            <w:tcW w:w="521" w:type="pct"/>
            <w:tcBorders>
              <w:left w:val="single" w:sz="4" w:space="0" w:color="FFC000"/>
              <w:bottom w:val="single" w:sz="12" w:space="0" w:color="3A73AE" w:themeColor="accent1"/>
              <w:right w:val="single" w:sz="18" w:space="0" w:color="FFC000"/>
            </w:tcBorders>
            <w:shd w:val="clear" w:color="auto" w:fill="FFFFFF" w:themeFill="background1"/>
          </w:tcPr>
          <w:p w:rsidR="00F43416" w:rsidRPr="004F4AFD" w:rsidRDefault="00F43416" w:rsidP="00CE6D49">
            <w:pPr>
              <w:tabs>
                <w:tab w:val="left" w:pos="284"/>
              </w:tabs>
              <w:spacing w:after="0"/>
              <w:jc w:val="right"/>
              <w:rPr>
                <w:rFonts w:eastAsiaTheme="minorEastAsia" w:cs="Calibri"/>
                <w:sz w:val="16"/>
                <w:szCs w:val="16"/>
                <w:lang w:val="en-US"/>
              </w:rPr>
            </w:pPr>
            <w:r w:rsidRPr="004F4AFD">
              <w:rPr>
                <w:rFonts w:eastAsiaTheme="minorEastAsia" w:cs="Calibri"/>
                <w:sz w:val="16"/>
                <w:szCs w:val="16"/>
                <w:lang w:val="en-US"/>
              </w:rPr>
              <w:t>-</w:t>
            </w:r>
          </w:p>
        </w:tc>
        <w:tc>
          <w:tcPr>
            <w:tcW w:w="532" w:type="pct"/>
            <w:tcBorders>
              <w:left w:val="single" w:sz="18" w:space="0" w:color="FFC000"/>
              <w:bottom w:val="single" w:sz="12" w:space="0" w:color="3A73AE" w:themeColor="accent1"/>
              <w:right w:val="single" w:sz="4" w:space="0" w:color="FFC000"/>
            </w:tcBorders>
            <w:shd w:val="clear" w:color="auto" w:fill="FFFFFF" w:themeFill="background1"/>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(5)</w:t>
            </w:r>
          </w:p>
        </w:tc>
        <w:tc>
          <w:tcPr>
            <w:tcW w:w="530" w:type="pct"/>
            <w:tcBorders>
              <w:left w:val="single" w:sz="4" w:space="0" w:color="FFC000"/>
              <w:bottom w:val="single" w:sz="12" w:space="0" w:color="3A73AE" w:themeColor="accent1"/>
              <w:right w:val="single" w:sz="4" w:space="0" w:color="FFC000"/>
            </w:tcBorders>
            <w:shd w:val="clear" w:color="auto" w:fill="FFFFFF" w:themeFill="background1"/>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7</w:t>
            </w:r>
          </w:p>
        </w:tc>
        <w:tc>
          <w:tcPr>
            <w:tcW w:w="449" w:type="pct"/>
            <w:tcBorders>
              <w:left w:val="single" w:sz="4" w:space="0" w:color="FFC000"/>
              <w:bottom w:val="single" w:sz="12" w:space="0" w:color="3A73AE" w:themeColor="accent1"/>
              <w:right w:val="single" w:sz="4" w:space="0" w:color="FFC000"/>
            </w:tcBorders>
            <w:shd w:val="clear" w:color="auto" w:fill="FFFFFF" w:themeFill="background1"/>
          </w:tcPr>
          <w:p w:rsidR="00F43416" w:rsidRPr="004F4AFD" w:rsidRDefault="00F43416" w:rsidP="00CE6D49">
            <w:pPr>
              <w:tabs>
                <w:tab w:val="left" w:pos="284"/>
              </w:tabs>
              <w:spacing w:after="0"/>
              <w:jc w:val="right"/>
              <w:rPr>
                <w:rFonts w:eastAsiaTheme="minorEastAsia" w:cs="Calibri"/>
                <w:sz w:val="16"/>
                <w:szCs w:val="16"/>
                <w:lang w:val="en-US"/>
              </w:rPr>
            </w:pPr>
            <w:r>
              <w:rPr>
                <w:rFonts w:eastAsiaTheme="minorEastAsia" w:cs="Calibri"/>
                <w:sz w:val="16"/>
                <w:szCs w:val="16"/>
                <w:lang w:val="en-US"/>
              </w:rPr>
              <w:t>-</w:t>
            </w:r>
          </w:p>
        </w:tc>
      </w:tr>
    </w:tbl>
    <w:p w:rsidR="00F43416" w:rsidRPr="00905C9B" w:rsidRDefault="00F43416" w:rsidP="00D44AFC">
      <w:pPr>
        <w:keepNext/>
        <w:keepLines/>
        <w:spacing w:after="0" w:line="240" w:lineRule="auto"/>
        <w:outlineLvl w:val="0"/>
        <w:rPr>
          <w:rFonts w:asciiTheme="majorHAnsi" w:eastAsiaTheme="majorEastAsia" w:hAnsiTheme="majorHAnsi" w:cstheme="majorBidi"/>
          <w:color w:val="2B5582" w:themeColor="accent1" w:themeShade="BF"/>
          <w:sz w:val="16"/>
          <w:szCs w:val="16"/>
        </w:rPr>
      </w:pPr>
    </w:p>
    <w:p w:rsidR="00F43416" w:rsidRDefault="00F43416" w:rsidP="00F43416">
      <w:pPr>
        <w:pStyle w:val="a6"/>
        <w:numPr>
          <w:ilvl w:val="0"/>
          <w:numId w:val="9"/>
        </w:numPr>
        <w:tabs>
          <w:tab w:val="left" w:pos="426"/>
          <w:tab w:val="left" w:pos="8262"/>
        </w:tabs>
        <w:spacing w:before="160" w:line="264" w:lineRule="auto"/>
        <w:ind w:left="-426" w:right="424" w:hanging="283"/>
        <w:jc w:val="both"/>
        <w:rPr>
          <w:rFonts w:cstheme="majorHAnsi"/>
          <w:sz w:val="12"/>
          <w:szCs w:val="14"/>
          <w:lang w:val="el-GR"/>
        </w:rPr>
      </w:pPr>
      <w:r>
        <w:rPr>
          <w:rFonts w:cstheme="majorHAnsi"/>
          <w:sz w:val="12"/>
          <w:szCs w:val="14"/>
          <w:lang w:val="el-GR"/>
        </w:rPr>
        <w:t>Ταέκτακτααποτελέσματααφορούνέξοδα του προγράμματος αποχώρησης το 2019</w:t>
      </w:r>
    </w:p>
    <w:p w:rsidR="00F43416" w:rsidRDefault="00F43416" w:rsidP="00F43416">
      <w:pPr>
        <w:pStyle w:val="a6"/>
        <w:numPr>
          <w:ilvl w:val="0"/>
          <w:numId w:val="9"/>
        </w:numPr>
        <w:tabs>
          <w:tab w:val="left" w:pos="8262"/>
        </w:tabs>
        <w:spacing w:before="160" w:line="264" w:lineRule="auto"/>
        <w:ind w:left="-426" w:right="424" w:hanging="283"/>
        <w:jc w:val="both"/>
        <w:rPr>
          <w:rFonts w:cstheme="majorHAnsi"/>
          <w:sz w:val="12"/>
          <w:szCs w:val="14"/>
          <w:lang w:val="el-GR"/>
        </w:rPr>
      </w:pPr>
      <w:r>
        <w:rPr>
          <w:rFonts w:cstheme="majorHAnsi"/>
          <w:sz w:val="12"/>
          <w:szCs w:val="14"/>
          <w:lang w:val="el-GR"/>
        </w:rPr>
        <w:t xml:space="preserve">Περιλαμβάνεται η επίδραση του </w:t>
      </w:r>
      <w:r>
        <w:rPr>
          <w:rFonts w:cstheme="majorHAnsi"/>
          <w:sz w:val="12"/>
          <w:szCs w:val="14"/>
        </w:rPr>
        <w:t>Covid</w:t>
      </w:r>
      <w:r w:rsidRPr="00F72352">
        <w:rPr>
          <w:rFonts w:cstheme="majorHAnsi"/>
          <w:sz w:val="12"/>
          <w:szCs w:val="14"/>
          <w:lang w:val="el-GR"/>
        </w:rPr>
        <w:t>-19</w:t>
      </w:r>
      <w:r>
        <w:rPr>
          <w:rFonts w:cstheme="majorHAnsi"/>
          <w:sz w:val="12"/>
          <w:szCs w:val="14"/>
          <w:lang w:val="el-GR"/>
        </w:rPr>
        <w:t xml:space="preserve"> στις απομειώσεις αξίας δανείωνκαι άλλων στοιχείων ενεργητικού</w:t>
      </w:r>
    </w:p>
    <w:p w:rsidR="00BD0744" w:rsidRPr="00D44AFC" w:rsidRDefault="00BD0744" w:rsidP="0028538D">
      <w:pPr>
        <w:spacing w:after="160" w:line="259" w:lineRule="auto"/>
        <w:jc w:val="both"/>
        <w:rPr>
          <w:rFonts w:ascii="Calibri" w:eastAsia="Calibri" w:hAnsi="Calibri" w:cs="Calibri"/>
          <w:color w:val="FF0000"/>
          <w:sz w:val="18"/>
          <w:szCs w:val="18"/>
        </w:rPr>
      </w:pPr>
    </w:p>
    <w:p w:rsidR="007E6937" w:rsidRPr="00D44AFC" w:rsidRDefault="007E6937" w:rsidP="007156C6">
      <w:pPr>
        <w:spacing w:after="0" w:line="240" w:lineRule="auto"/>
        <w:ind w:right="-284"/>
        <w:rPr>
          <w:rFonts w:eastAsia="Times New Roman" w:cs="Calibri"/>
          <w:b/>
          <w:color w:val="FF0000"/>
          <w:sz w:val="28"/>
          <w:szCs w:val="28"/>
        </w:rPr>
      </w:pPr>
    </w:p>
    <w:p w:rsidR="00F43416" w:rsidRPr="00D44AFC" w:rsidRDefault="00F43416" w:rsidP="00F43416">
      <w:pPr>
        <w:spacing w:after="0" w:line="240" w:lineRule="auto"/>
        <w:ind w:right="-284"/>
        <w:rPr>
          <w:rFonts w:eastAsia="Times New Roman" w:cs="Calibri"/>
          <w:b/>
          <w:color w:val="FF0000"/>
          <w:sz w:val="28"/>
          <w:szCs w:val="28"/>
        </w:rPr>
      </w:pPr>
    </w:p>
    <w:p w:rsidR="00F43416" w:rsidRPr="00D44AFC" w:rsidRDefault="009D3FB1" w:rsidP="00F43416">
      <w:pPr>
        <w:tabs>
          <w:tab w:val="left" w:pos="1701"/>
          <w:tab w:val="left" w:pos="8262"/>
        </w:tabs>
        <w:spacing w:before="120" w:after="0" w:line="264" w:lineRule="auto"/>
        <w:ind w:left="1701" w:right="-285"/>
        <w:contextualSpacing/>
        <w:jc w:val="both"/>
        <w:rPr>
          <w:rFonts w:eastAsiaTheme="minorEastAsia" w:cs="Calibri"/>
          <w:color w:val="FF0000"/>
          <w:sz w:val="26"/>
          <w:szCs w:val="26"/>
        </w:rPr>
      </w:pPr>
      <w:r w:rsidRPr="009D3FB1">
        <w:rPr>
          <w:rFonts w:ascii="Calibri" w:eastAsiaTheme="minorEastAsia" w:hAnsi="Calibri" w:cs="Calibri"/>
          <w:noProof/>
          <w:color w:val="FF0000"/>
          <w:sz w:val="14"/>
          <w:szCs w:val="18"/>
          <w:lang w:eastAsia="el-GR"/>
        </w:rPr>
        <w:pict>
          <v:shapetype id="_x0000_t202" coordsize="21600,21600" o:spt="202" path="m,l,21600r21600,l21600,xe">
            <v:stroke joinstyle="miter"/>
            <v:path gradientshapeok="t" o:connecttype="rect"/>
          </v:shapetype>
          <v:shape id="Text Box 35" o:spid="_x0000_s1029" type="#_x0000_t202" style="position:absolute;left:0;text-align:left;margin-left:332.2pt;margin-top:13.3pt;width:211.7pt;height:21.05pt;z-index:251784192;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" filled="f" stroked="f" strokeweight=".5pt">
            <v:textbox>
              <w:txbxContent>
                <w:p w:rsidR="002F1E93" w:rsidRPr="00217F9F" w:rsidRDefault="002F1E93" w:rsidP="00F43416">
                  <w:pPr>
                    <w:ind w:left="-142"/>
                    <w:rPr>
                      <w:rFonts w:eastAsiaTheme="minorEastAsia" w:cs="Calibri"/>
                      <w:b/>
                      <w:bCs/>
                      <w:color w:val="3A73AE" w:themeColor="accent1"/>
                      <w:sz w:val="18"/>
                      <w:szCs w:val="18"/>
                    </w:rPr>
                  </w:pPr>
                  <w:r w:rsidRPr="00AC14D9">
                    <w:rPr>
                      <w:rFonts w:eastAsiaTheme="minorEastAsia" w:cs="Calibri"/>
                      <w:b/>
                      <w:bCs/>
                      <w:color w:val="3A73AE" w:themeColor="accent1"/>
                      <w:sz w:val="18"/>
                      <w:szCs w:val="18"/>
                    </w:rPr>
                    <w:t xml:space="preserve">Καταθέσεις Ιδιωτικού Τομέα </w:t>
                  </w:r>
                  <w:r>
                    <w:rPr>
                      <w:rFonts w:eastAsiaTheme="minorEastAsia" w:cs="Calibri"/>
                      <w:b/>
                      <w:bCs/>
                      <w:color w:val="3A73AE" w:themeColor="accent1"/>
                      <w:sz w:val="18"/>
                      <w:szCs w:val="18"/>
                    </w:rPr>
                    <w:t>στην Ελλάδα</w:t>
                  </w:r>
                  <w:r w:rsidRPr="00217F9F">
                    <w:rPr>
                      <w:rFonts w:eastAsiaTheme="minorEastAsia" w:cs="Calibri"/>
                      <w:b/>
                      <w:bCs/>
                      <w:color w:val="3A73AE" w:themeColor="accent1"/>
                      <w:sz w:val="18"/>
                      <w:szCs w:val="18"/>
                    </w:rPr>
                    <w:t xml:space="preserve"> (€δι</w:t>
                  </w:r>
                  <w:r>
                    <w:rPr>
                      <w:rFonts w:eastAsiaTheme="minorEastAsia" w:cs="Calibri"/>
                      <w:b/>
                      <w:bCs/>
                      <w:color w:val="3A73AE" w:themeColor="accent1"/>
                      <w:sz w:val="18"/>
                      <w:szCs w:val="18"/>
                    </w:rPr>
                    <w:t>σ.</w:t>
                  </w:r>
                  <w:r w:rsidRPr="00217F9F">
                    <w:rPr>
                      <w:rFonts w:eastAsiaTheme="minorEastAsia" w:cs="Calibri"/>
                      <w:b/>
                      <w:bCs/>
                      <w:color w:val="3A73AE" w:themeColor="accent1"/>
                      <w:sz w:val="18"/>
                      <w:szCs w:val="18"/>
                    </w:rPr>
                    <w:t>)</w:t>
                  </w:r>
                </w:p>
              </w:txbxContent>
            </v:textbox>
            <w10:wrap anchorx="margin"/>
          </v:shape>
        </w:pict>
      </w:r>
      <w:r w:rsidRPr="009D3FB1">
        <w:rPr>
          <w:rFonts w:ascii="Calibri" w:eastAsiaTheme="minorEastAsia" w:hAnsi="Calibri" w:cs="Calibri"/>
          <w:noProof/>
          <w:color w:val="FF0000"/>
          <w:sz w:val="14"/>
          <w:szCs w:val="18"/>
          <w:lang w:eastAsia="el-GR"/>
        </w:rPr>
        <w:pict>
          <v:shape id="Text Box 22" o:spid="_x0000_s1030" type="#_x0000_t202" style="position:absolute;left:0;text-align:left;margin-left:-52.4pt;margin-top:13.7pt;width:163.95pt;height:21.05pt;z-index:251782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" filled="f" stroked="f" strokeweight=".5pt">
            <v:textbox>
              <w:txbxContent>
                <w:p w:rsidR="002F1E93" w:rsidRPr="00F515AD" w:rsidRDefault="002F1E93" w:rsidP="00F43416">
                  <w:pPr>
                    <w:ind w:left="-142"/>
                    <w:rPr>
                      <w:rFonts w:eastAsiaTheme="minorEastAsia" w:cs="Calibri"/>
                      <w:b/>
                      <w:bCs/>
                      <w:color w:val="3A73AE" w:themeColor="accent1"/>
                      <w:sz w:val="18"/>
                      <w:szCs w:val="18"/>
                      <w:lang w:val="en-US"/>
                    </w:rPr>
                  </w:pPr>
                  <w:r w:rsidRPr="00F515AD">
                    <w:rPr>
                      <w:rFonts w:eastAsiaTheme="minorEastAsia" w:cs="Calibri"/>
                      <w:b/>
                      <w:bCs/>
                      <w:color w:val="3A73AE" w:themeColor="accent1"/>
                      <w:sz w:val="18"/>
                      <w:szCs w:val="18"/>
                    </w:rPr>
                    <w:t>Νέες Εκταμιεύσεις Δανείων</w:t>
                  </w:r>
                  <w:r w:rsidRPr="00F515AD">
                    <w:rPr>
                      <w:rFonts w:eastAsiaTheme="minorEastAsia" w:cs="Calibri"/>
                      <w:b/>
                      <w:bCs/>
                      <w:color w:val="3A73AE" w:themeColor="accent1"/>
                      <w:sz w:val="18"/>
                      <w:szCs w:val="18"/>
                      <w:lang w:val="en-US"/>
                    </w:rPr>
                    <w:t xml:space="preserve"> (€</w:t>
                  </w:r>
                  <w:r w:rsidRPr="00F515AD">
                    <w:rPr>
                      <w:rFonts w:eastAsiaTheme="minorEastAsia" w:cs="Calibri"/>
                      <w:b/>
                      <w:bCs/>
                      <w:color w:val="3A73AE" w:themeColor="accent1"/>
                      <w:sz w:val="18"/>
                      <w:szCs w:val="18"/>
                    </w:rPr>
                    <w:t>δι</w:t>
                  </w:r>
                  <w:r>
                    <w:rPr>
                      <w:rFonts w:eastAsiaTheme="minorEastAsia" w:cs="Calibri"/>
                      <w:b/>
                      <w:bCs/>
                      <w:color w:val="3A73AE" w:themeColor="accent1"/>
                      <w:sz w:val="18"/>
                      <w:szCs w:val="18"/>
                    </w:rPr>
                    <w:t>σ.</w:t>
                  </w:r>
                  <w:r w:rsidRPr="00F515AD">
                    <w:rPr>
                      <w:rFonts w:eastAsiaTheme="minorEastAsia" w:cs="Calibri"/>
                      <w:b/>
                      <w:bCs/>
                      <w:color w:val="3A73AE" w:themeColor="accent1"/>
                      <w:sz w:val="18"/>
                      <w:szCs w:val="18"/>
                      <w:lang w:val="en-US"/>
                    </w:rPr>
                    <w:t xml:space="preserve">)                                                </w:t>
                  </w:r>
                </w:p>
              </w:txbxContent>
            </v:textbox>
          </v:shape>
        </w:pict>
      </w:r>
    </w:p>
    <w:p w:rsidR="00F43416" w:rsidRPr="00D44AFC" w:rsidRDefault="00F43416" w:rsidP="00F43416">
      <w:pPr>
        <w:tabs>
          <w:tab w:val="left" w:pos="1701"/>
          <w:tab w:val="left" w:pos="8262"/>
        </w:tabs>
        <w:spacing w:before="120" w:after="0" w:line="264" w:lineRule="auto"/>
        <w:ind w:left="1701" w:right="-285"/>
        <w:contextualSpacing/>
        <w:jc w:val="both"/>
        <w:rPr>
          <w:rFonts w:eastAsiaTheme="minorEastAsia" w:cs="Calibri"/>
          <w:color w:val="FF0000"/>
          <w:sz w:val="26"/>
          <w:szCs w:val="26"/>
        </w:rPr>
      </w:pPr>
    </w:p>
    <w:p w:rsidR="00F43416" w:rsidRPr="00D44AFC" w:rsidRDefault="00F43416" w:rsidP="00F43416">
      <w:pPr>
        <w:tabs>
          <w:tab w:val="left" w:pos="3686"/>
          <w:tab w:val="left" w:pos="3828"/>
        </w:tabs>
        <w:rPr>
          <w:rFonts w:cs="Calibri"/>
          <w:color w:val="FF0000"/>
          <w:sz w:val="19"/>
          <w:szCs w:val="19"/>
        </w:rPr>
      </w:pPr>
      <w:r w:rsidRPr="00CD2E41">
        <w:rPr>
          <w:rFonts w:eastAsiaTheme="minorEastAsia" w:cs="Calibri"/>
          <w:b/>
          <w:noProof/>
          <w:color w:val="FF0000"/>
          <w:sz w:val="16"/>
          <w:szCs w:val="16"/>
          <w:lang w:val="en-US"/>
        </w:rPr>
        <w:drawing>
          <wp:anchor distT="0" distB="0" distL="114300" distR="114300" simplePos="0" relativeHeight="251786240" behindDoc="0" locked="0" layoutInCell="1" allowOverlap="1">
            <wp:simplePos x="0" y="0"/>
            <wp:positionH relativeFrom="page">
              <wp:posOffset>4149725</wp:posOffset>
            </wp:positionH>
            <wp:positionV relativeFrom="page">
              <wp:posOffset>2481580</wp:posOffset>
            </wp:positionV>
            <wp:extent cx="2263873" cy="1354015"/>
            <wp:effectExtent l="0" t="0" r="0" b="0"/>
            <wp:wrapNone/>
            <wp:docPr id="36"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Pr="00CD2E41">
        <w:rPr>
          <w:rFonts w:eastAsiaTheme="minorEastAsia" w:cs="Calibri"/>
          <w:noProof/>
          <w:color w:val="FF0000"/>
          <w:sz w:val="26"/>
          <w:szCs w:val="26"/>
          <w:lang w:val="en-US"/>
        </w:rPr>
        <w:drawing>
          <wp:anchor distT="0" distB="0" distL="114300" distR="114300" simplePos="0" relativeHeight="251785216" behindDoc="1" locked="0" layoutInCell="1" allowOverlap="1">
            <wp:simplePos x="0" y="0"/>
            <wp:positionH relativeFrom="column">
              <wp:posOffset>-703385</wp:posOffset>
            </wp:positionH>
            <wp:positionV relativeFrom="paragraph">
              <wp:posOffset>124362</wp:posOffset>
            </wp:positionV>
            <wp:extent cx="1907540" cy="1374140"/>
            <wp:effectExtent l="0" t="0" r="0" b="0"/>
            <wp:wrapTight wrapText="bothSides">
              <wp:wrapPolygon edited="0">
                <wp:start x="17041" y="2695"/>
                <wp:lineTo x="2373" y="5989"/>
                <wp:lineTo x="2157" y="7786"/>
                <wp:lineTo x="2804" y="8983"/>
                <wp:lineTo x="1941" y="9882"/>
                <wp:lineTo x="2157" y="18566"/>
                <wp:lineTo x="13158" y="20362"/>
                <wp:lineTo x="17904" y="20961"/>
                <wp:lineTo x="20493" y="20961"/>
                <wp:lineTo x="20493" y="8085"/>
                <wp:lineTo x="19630" y="2695"/>
                <wp:lineTo x="17041" y="2695"/>
              </wp:wrapPolygon>
            </wp:wrapTight>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F43416" w:rsidRPr="00D44AFC" w:rsidRDefault="00F43416" w:rsidP="00F43416">
      <w:pPr>
        <w:tabs>
          <w:tab w:val="left" w:pos="8262"/>
        </w:tabs>
        <w:spacing w:before="120" w:after="120" w:line="240" w:lineRule="auto"/>
        <w:ind w:left="-993" w:right="74"/>
        <w:contextualSpacing/>
        <w:jc w:val="both"/>
        <w:rPr>
          <w:rFonts w:eastAsiaTheme="minorEastAsia" w:cs="Calibri"/>
          <w:color w:val="FF0000"/>
          <w:sz w:val="28"/>
          <w:szCs w:val="28"/>
        </w:rPr>
      </w:pPr>
    </w:p>
    <w:p w:rsidR="00F43416" w:rsidRPr="00D44AFC" w:rsidRDefault="00F43416" w:rsidP="00F43416">
      <w:pPr>
        <w:tabs>
          <w:tab w:val="left" w:pos="3119"/>
          <w:tab w:val="left" w:pos="3544"/>
          <w:tab w:val="left" w:pos="8262"/>
        </w:tabs>
        <w:spacing w:before="120" w:after="120" w:line="240" w:lineRule="auto"/>
        <w:ind w:left="-993" w:right="74"/>
        <w:contextualSpacing/>
        <w:jc w:val="both"/>
        <w:rPr>
          <w:rFonts w:eastAsiaTheme="minorEastAsia" w:cs="Calibri"/>
          <w:color w:val="FF0000"/>
          <w:sz w:val="28"/>
          <w:szCs w:val="28"/>
        </w:rPr>
      </w:pPr>
    </w:p>
    <w:p w:rsidR="00F43416" w:rsidRPr="00D44AFC" w:rsidRDefault="00F43416" w:rsidP="00F43416">
      <w:pPr>
        <w:tabs>
          <w:tab w:val="left" w:pos="8262"/>
        </w:tabs>
        <w:spacing w:before="120" w:after="120" w:line="240" w:lineRule="auto"/>
        <w:ind w:left="-993" w:right="74"/>
        <w:contextualSpacing/>
        <w:jc w:val="both"/>
        <w:rPr>
          <w:rFonts w:eastAsiaTheme="minorEastAsia" w:cs="Calibri"/>
          <w:color w:val="FF0000"/>
          <w:sz w:val="28"/>
          <w:szCs w:val="28"/>
        </w:rPr>
      </w:pPr>
    </w:p>
    <w:p w:rsidR="00F43416" w:rsidRPr="00D44AFC" w:rsidRDefault="00F43416" w:rsidP="00F43416">
      <w:pPr>
        <w:tabs>
          <w:tab w:val="left" w:pos="8262"/>
        </w:tabs>
        <w:spacing w:before="120" w:after="120" w:line="240" w:lineRule="auto"/>
        <w:ind w:left="-993" w:right="74"/>
        <w:contextualSpacing/>
        <w:jc w:val="center"/>
        <w:rPr>
          <w:rFonts w:eastAsiaTheme="minorEastAsia" w:cs="Calibri"/>
          <w:color w:val="FF0000"/>
          <w:sz w:val="28"/>
          <w:szCs w:val="28"/>
        </w:rPr>
      </w:pPr>
    </w:p>
    <w:p w:rsidR="00F43416" w:rsidRPr="00D44AFC" w:rsidRDefault="00F43416" w:rsidP="00F43416">
      <w:pPr>
        <w:tabs>
          <w:tab w:val="left" w:pos="8262"/>
        </w:tabs>
        <w:spacing w:before="120" w:after="120" w:line="240" w:lineRule="auto"/>
        <w:ind w:left="-993" w:right="74"/>
        <w:contextualSpacing/>
        <w:jc w:val="both"/>
        <w:rPr>
          <w:rFonts w:eastAsiaTheme="minorEastAsia" w:cs="Calibri"/>
          <w:color w:val="FF0000"/>
          <w:sz w:val="28"/>
          <w:szCs w:val="28"/>
        </w:rPr>
      </w:pPr>
    </w:p>
    <w:p w:rsidR="00F43416" w:rsidRPr="00D44AFC" w:rsidRDefault="00F43416" w:rsidP="00F43416">
      <w:pPr>
        <w:tabs>
          <w:tab w:val="left" w:pos="8262"/>
        </w:tabs>
        <w:spacing w:before="120" w:after="120" w:line="240" w:lineRule="auto"/>
        <w:ind w:left="-993" w:right="74"/>
        <w:contextualSpacing/>
        <w:jc w:val="both"/>
        <w:rPr>
          <w:rFonts w:eastAsiaTheme="minorEastAsia" w:cs="Calibri"/>
          <w:color w:val="FF0000"/>
          <w:sz w:val="28"/>
          <w:szCs w:val="28"/>
        </w:rPr>
      </w:pPr>
    </w:p>
    <w:p w:rsidR="00F43416" w:rsidRPr="00D44AFC" w:rsidRDefault="00F43416" w:rsidP="00F43416">
      <w:pPr>
        <w:tabs>
          <w:tab w:val="left" w:pos="8262"/>
        </w:tabs>
        <w:spacing w:before="120" w:after="120" w:line="240" w:lineRule="auto"/>
        <w:ind w:left="-993" w:right="74"/>
        <w:contextualSpacing/>
        <w:jc w:val="both"/>
        <w:rPr>
          <w:rFonts w:eastAsiaTheme="minorEastAsia" w:cs="Calibri"/>
          <w:color w:val="FF0000"/>
          <w:sz w:val="28"/>
          <w:szCs w:val="28"/>
        </w:rPr>
      </w:pPr>
    </w:p>
    <w:p w:rsidR="00F43416" w:rsidRPr="00D44AFC" w:rsidRDefault="00F43416" w:rsidP="00F43416">
      <w:pPr>
        <w:tabs>
          <w:tab w:val="left" w:pos="8262"/>
        </w:tabs>
        <w:spacing w:before="120" w:after="120" w:line="240" w:lineRule="auto"/>
        <w:ind w:left="-993" w:right="74"/>
        <w:contextualSpacing/>
        <w:jc w:val="both"/>
        <w:rPr>
          <w:rFonts w:eastAsiaTheme="minorEastAsia" w:cs="Calibri"/>
          <w:color w:val="FF0000"/>
          <w:sz w:val="28"/>
          <w:szCs w:val="28"/>
        </w:rPr>
      </w:pPr>
    </w:p>
    <w:p w:rsidR="00F43416" w:rsidRPr="00D44AFC" w:rsidRDefault="009D3FB1" w:rsidP="00F43416">
      <w:pPr>
        <w:tabs>
          <w:tab w:val="left" w:pos="8262"/>
        </w:tabs>
        <w:spacing w:before="120" w:after="120" w:line="240" w:lineRule="auto"/>
        <w:ind w:left="-993" w:right="74"/>
        <w:contextualSpacing/>
        <w:jc w:val="both"/>
        <w:rPr>
          <w:rFonts w:eastAsiaTheme="minorEastAsia" w:cs="Calibri"/>
          <w:color w:val="FF0000"/>
          <w:sz w:val="28"/>
          <w:szCs w:val="28"/>
        </w:rPr>
      </w:pPr>
      <w:r w:rsidRPr="009D3FB1">
        <w:rPr>
          <w:rFonts w:ascii="Calibri" w:eastAsiaTheme="minorEastAsia" w:hAnsi="Calibri" w:cs="Calibri"/>
          <w:noProof/>
          <w:color w:val="FF0000"/>
          <w:sz w:val="14"/>
          <w:szCs w:val="18"/>
          <w:lang w:eastAsia="el-GR"/>
        </w:rPr>
        <w:pict>
          <v:shape id="Text Box 75" o:spid="_x0000_s1031" type="#_x0000_t202" style="position:absolute;left:0;text-align:left;margin-left:183.2pt;margin-top:7.5pt;width:223pt;height:21.05pt;z-index:251779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" filled="f" stroked="f" strokeweight=".5pt">
            <v:textbox>
              <w:txbxContent>
                <w:p w:rsidR="002F1E93" w:rsidRPr="00F515AD" w:rsidRDefault="002F1E93" w:rsidP="00F43416">
                  <w:pPr>
                    <w:ind w:left="-142"/>
                    <w:rPr>
                      <w:rFonts w:eastAsiaTheme="minorEastAsia" w:cs="Calibri"/>
                      <w:b/>
                      <w:bCs/>
                      <w:color w:val="3A73AE" w:themeColor="accent1"/>
                      <w:sz w:val="18"/>
                      <w:szCs w:val="18"/>
                    </w:rPr>
                  </w:pPr>
                  <w:r w:rsidRPr="00F515AD">
                    <w:rPr>
                      <w:rFonts w:eastAsiaTheme="minorEastAsia" w:cs="Calibri"/>
                      <w:b/>
                      <w:bCs/>
                      <w:color w:val="3A73AE" w:themeColor="accent1"/>
                      <w:sz w:val="18"/>
                      <w:szCs w:val="18"/>
                    </w:rPr>
                    <w:t xml:space="preserve">Μη </w:t>
                  </w:r>
                  <w:r>
                    <w:rPr>
                      <w:rFonts w:eastAsiaTheme="minorEastAsia" w:cs="Calibri"/>
                      <w:b/>
                      <w:bCs/>
                      <w:color w:val="3A73AE" w:themeColor="accent1"/>
                      <w:sz w:val="18"/>
                      <w:szCs w:val="18"/>
                    </w:rPr>
                    <w:t>Ε</w:t>
                  </w:r>
                  <w:r w:rsidRPr="00F515AD">
                    <w:rPr>
                      <w:rFonts w:eastAsiaTheme="minorEastAsia" w:cs="Calibri"/>
                      <w:b/>
                      <w:bCs/>
                      <w:color w:val="3A73AE" w:themeColor="accent1"/>
                      <w:sz w:val="18"/>
                      <w:szCs w:val="18"/>
                    </w:rPr>
                    <w:t>ξυπηρετούμενα Ανοίγματα | Ελλάδα (€δι</w:t>
                  </w:r>
                  <w:r>
                    <w:rPr>
                      <w:rFonts w:eastAsiaTheme="minorEastAsia" w:cs="Calibri"/>
                      <w:b/>
                      <w:bCs/>
                      <w:color w:val="3A73AE" w:themeColor="accent1"/>
                      <w:sz w:val="18"/>
                      <w:szCs w:val="18"/>
                    </w:rPr>
                    <w:t>σ.</w:t>
                  </w:r>
                  <w:r w:rsidRPr="00F515AD">
                    <w:rPr>
                      <w:rFonts w:eastAsiaTheme="minorEastAsia" w:cs="Calibri"/>
                      <w:b/>
                      <w:bCs/>
                      <w:color w:val="3A73AE" w:themeColor="accent1"/>
                      <w:sz w:val="18"/>
                      <w:szCs w:val="18"/>
                    </w:rPr>
                    <w:t xml:space="preserve">)                                                </w:t>
                  </w:r>
                </w:p>
              </w:txbxContent>
            </v:textbox>
          </v:shape>
        </w:pict>
      </w:r>
      <w:r w:rsidRPr="009D3FB1">
        <w:rPr>
          <w:rFonts w:ascii="Calibri" w:eastAsiaTheme="minorEastAsia" w:hAnsi="Calibri" w:cs="Calibri"/>
          <w:noProof/>
          <w:color w:val="FF0000"/>
          <w:sz w:val="14"/>
          <w:szCs w:val="18"/>
          <w:lang w:eastAsia="el-GR"/>
        </w:rPr>
        <w:pict>
          <v:shape id="Text Box 20" o:spid="_x0000_s1032" type="#_x0000_t202" style="position:absolute;left:0;text-align:left;margin-left:-53.75pt;margin-top:9.6pt;width:175.7pt;height:21.05pt;z-index:251780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" filled="f" stroked="f" strokeweight=".5pt">
            <v:textbox>
              <w:txbxContent>
                <w:p w:rsidR="002F1E93" w:rsidRPr="00F515AD" w:rsidRDefault="002F1E93" w:rsidP="00F43416">
                  <w:pPr>
                    <w:ind w:left="-142"/>
                    <w:rPr>
                      <w:rFonts w:eastAsiaTheme="minorEastAsia" w:cs="Calibri"/>
                      <w:b/>
                      <w:bCs/>
                      <w:color w:val="3A73AE" w:themeColor="accent1"/>
                      <w:sz w:val="18"/>
                      <w:szCs w:val="18"/>
                      <w:lang w:val="en-US"/>
                    </w:rPr>
                  </w:pPr>
                  <w:r w:rsidRPr="00F515AD">
                    <w:rPr>
                      <w:rFonts w:eastAsiaTheme="minorEastAsia" w:cs="Calibri"/>
                      <w:b/>
                      <w:bCs/>
                      <w:color w:val="3A73AE" w:themeColor="accent1"/>
                      <w:sz w:val="18"/>
                      <w:szCs w:val="18"/>
                    </w:rPr>
                    <w:t>Εξυπηρετούμενα Δάνεια</w:t>
                  </w:r>
                  <w:r w:rsidRPr="00F515AD">
                    <w:rPr>
                      <w:rFonts w:eastAsiaTheme="minorEastAsia" w:cs="Calibri"/>
                      <w:b/>
                      <w:bCs/>
                      <w:color w:val="3A73AE" w:themeColor="accent1"/>
                      <w:sz w:val="18"/>
                      <w:szCs w:val="18"/>
                      <w:lang w:val="en-US"/>
                    </w:rPr>
                    <w:t xml:space="preserve"> | </w:t>
                  </w:r>
                  <w:r w:rsidRPr="00F515AD">
                    <w:rPr>
                      <w:rFonts w:eastAsiaTheme="minorEastAsia" w:cs="Calibri"/>
                      <w:b/>
                      <w:bCs/>
                      <w:color w:val="3A73AE" w:themeColor="accent1"/>
                      <w:sz w:val="18"/>
                      <w:szCs w:val="18"/>
                    </w:rPr>
                    <w:t>Ελλάδα</w:t>
                  </w:r>
                  <w:r w:rsidRPr="00F515AD">
                    <w:rPr>
                      <w:rFonts w:eastAsiaTheme="minorEastAsia" w:cs="Calibri"/>
                      <w:b/>
                      <w:bCs/>
                      <w:color w:val="3A73AE" w:themeColor="accent1"/>
                      <w:sz w:val="18"/>
                      <w:szCs w:val="18"/>
                      <w:lang w:val="en-US"/>
                    </w:rPr>
                    <w:t xml:space="preserve"> (€</w:t>
                  </w:r>
                  <w:r w:rsidRPr="00F515AD">
                    <w:rPr>
                      <w:rFonts w:eastAsiaTheme="minorEastAsia" w:cs="Calibri"/>
                      <w:b/>
                      <w:bCs/>
                      <w:color w:val="3A73AE" w:themeColor="accent1"/>
                      <w:sz w:val="18"/>
                      <w:szCs w:val="18"/>
                    </w:rPr>
                    <w:t>δι</w:t>
                  </w:r>
                  <w:r>
                    <w:rPr>
                      <w:rFonts w:eastAsiaTheme="minorEastAsia" w:cs="Calibri"/>
                      <w:b/>
                      <w:bCs/>
                      <w:color w:val="3A73AE" w:themeColor="accent1"/>
                      <w:sz w:val="18"/>
                      <w:szCs w:val="18"/>
                    </w:rPr>
                    <w:t>σ.</w:t>
                  </w:r>
                  <w:r w:rsidRPr="00F515AD">
                    <w:rPr>
                      <w:rFonts w:eastAsiaTheme="minorEastAsia" w:cs="Calibri"/>
                      <w:b/>
                      <w:bCs/>
                      <w:color w:val="3A73AE" w:themeColor="accent1"/>
                      <w:sz w:val="18"/>
                      <w:szCs w:val="18"/>
                      <w:lang w:val="en-US"/>
                    </w:rPr>
                    <w:t xml:space="preserve">)                                                </w:t>
                  </w:r>
                </w:p>
              </w:txbxContent>
            </v:textbox>
          </v:shape>
        </w:pict>
      </w:r>
    </w:p>
    <w:p w:rsidR="00F43416" w:rsidRPr="00D44AFC" w:rsidRDefault="00F43416" w:rsidP="00F43416">
      <w:pPr>
        <w:tabs>
          <w:tab w:val="left" w:pos="8262"/>
        </w:tabs>
        <w:spacing w:before="120" w:after="120" w:line="240" w:lineRule="auto"/>
        <w:ind w:left="-993" w:right="74"/>
        <w:contextualSpacing/>
        <w:jc w:val="both"/>
        <w:rPr>
          <w:rFonts w:eastAsiaTheme="minorEastAsia" w:cs="Calibri"/>
          <w:color w:val="FF0000"/>
          <w:sz w:val="28"/>
          <w:szCs w:val="28"/>
        </w:rPr>
      </w:pPr>
    </w:p>
    <w:p w:rsidR="00F43416" w:rsidRPr="00D44AFC" w:rsidRDefault="00F43416" w:rsidP="00F43416">
      <w:pPr>
        <w:tabs>
          <w:tab w:val="left" w:pos="8262"/>
        </w:tabs>
        <w:spacing w:before="120" w:after="120" w:line="240" w:lineRule="auto"/>
        <w:ind w:left="-993" w:right="74"/>
        <w:contextualSpacing/>
        <w:jc w:val="both"/>
        <w:rPr>
          <w:rFonts w:eastAsiaTheme="minorEastAsia" w:cs="Calibri"/>
          <w:color w:val="FF0000"/>
          <w:sz w:val="28"/>
          <w:szCs w:val="28"/>
        </w:rPr>
      </w:pPr>
      <w:r w:rsidRPr="00CD2E41">
        <w:rPr>
          <w:rFonts w:eastAsiaTheme="minorEastAsia" w:cs="Calibri"/>
          <w:noProof/>
          <w:color w:val="FF0000"/>
          <w:sz w:val="28"/>
          <w:szCs w:val="28"/>
          <w:lang w:val="en-US"/>
        </w:rPr>
        <w:drawing>
          <wp:anchor distT="0" distB="0" distL="114300" distR="114300" simplePos="0" relativeHeight="251788288" behindDoc="0" locked="0" layoutInCell="1" allowOverlap="1">
            <wp:simplePos x="0" y="0"/>
            <wp:positionH relativeFrom="page">
              <wp:posOffset>4281830</wp:posOffset>
            </wp:positionH>
            <wp:positionV relativeFrom="page">
              <wp:align>center</wp:align>
            </wp:positionV>
            <wp:extent cx="2231390" cy="1502410"/>
            <wp:effectExtent l="0" t="0" r="0" b="2540"/>
            <wp:wrapNone/>
            <wp:docPr id="15"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CD2E41">
        <w:rPr>
          <w:rFonts w:eastAsiaTheme="minorEastAsia" w:cs="Calibri"/>
          <w:noProof/>
          <w:color w:val="FF0000"/>
          <w:sz w:val="28"/>
          <w:szCs w:val="28"/>
          <w:lang w:val="en-US"/>
        </w:rPr>
        <w:drawing>
          <wp:anchor distT="0" distB="0" distL="114300" distR="114300" simplePos="0" relativeHeight="251787264" behindDoc="0" locked="0" layoutInCell="1" allowOverlap="1">
            <wp:simplePos x="0" y="0"/>
            <wp:positionH relativeFrom="page">
              <wp:posOffset>1157555</wp:posOffset>
            </wp:positionH>
            <wp:positionV relativeFrom="page">
              <wp:align>center</wp:align>
            </wp:positionV>
            <wp:extent cx="2231390" cy="1502410"/>
            <wp:effectExtent l="0" t="0" r="0" b="2540"/>
            <wp:wrapNone/>
            <wp:docPr id="16"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F43416" w:rsidRPr="00D44AFC" w:rsidRDefault="00F43416" w:rsidP="00F43416">
      <w:pPr>
        <w:tabs>
          <w:tab w:val="left" w:pos="8262"/>
        </w:tabs>
        <w:spacing w:before="120" w:after="120" w:line="240" w:lineRule="auto"/>
        <w:ind w:left="-993" w:right="74"/>
        <w:contextualSpacing/>
        <w:jc w:val="both"/>
        <w:rPr>
          <w:rFonts w:eastAsiaTheme="minorEastAsia" w:cs="Calibri"/>
          <w:color w:val="FF0000"/>
          <w:sz w:val="28"/>
          <w:szCs w:val="28"/>
        </w:rPr>
      </w:pPr>
    </w:p>
    <w:p w:rsidR="00F43416" w:rsidRPr="00D44AFC" w:rsidRDefault="009D3FB1" w:rsidP="00F43416">
      <w:pPr>
        <w:rPr>
          <w:rFonts w:eastAsiaTheme="minorEastAsia" w:cs="Calibri"/>
          <w:color w:val="FF0000"/>
          <w:sz w:val="28"/>
          <w:szCs w:val="28"/>
        </w:rPr>
      </w:pPr>
      <w:r w:rsidRPr="009D3FB1">
        <w:rPr>
          <w:rFonts w:ascii="Calibri" w:eastAsiaTheme="minorEastAsia" w:hAnsi="Calibri" w:cs="Calibri"/>
          <w:noProof/>
          <w:color w:val="FF0000"/>
          <w:sz w:val="14"/>
          <w:szCs w:val="18"/>
          <w:lang w:eastAsia="el-GR"/>
        </w:rPr>
        <w:pict>
          <v:shape id="Text Box 34" o:spid="_x0000_s1033" type="#_x0000_t202" style="position:absolute;margin-left:-47.9pt;margin-top:145.95pt;width:163.95pt;height:21.05pt;z-index:251783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" filled="f" stroked="f" strokeweight=".5pt">
            <v:textbox>
              <w:txbxContent>
                <w:p w:rsidR="002F1E93" w:rsidRPr="004272C5" w:rsidRDefault="002F1E93" w:rsidP="00F43416">
                  <w:pPr>
                    <w:suppressOverlap/>
                    <w:rPr>
                      <w:rFonts w:eastAsiaTheme="minorEastAsia" w:cs="Calibri"/>
                      <w:b/>
                      <w:bCs/>
                      <w:color w:val="3A73AE" w:themeColor="accent1"/>
                      <w:sz w:val="18"/>
                      <w:szCs w:val="18"/>
                      <w:lang w:val="en-GB"/>
                    </w:rPr>
                  </w:pPr>
                  <w:r w:rsidRPr="004272C5">
                    <w:rPr>
                      <w:rFonts w:eastAsiaTheme="minorEastAsia" w:cs="Calibri"/>
                      <w:b/>
                      <w:bCs/>
                      <w:color w:val="3A73AE" w:themeColor="accent1"/>
                      <w:sz w:val="18"/>
                      <w:szCs w:val="18"/>
                    </w:rPr>
                    <w:t xml:space="preserve">Βασικά Τραπεζικά </w:t>
                  </w:r>
                  <w:r>
                    <w:rPr>
                      <w:rFonts w:eastAsiaTheme="minorEastAsia" w:cs="Calibri"/>
                      <w:b/>
                      <w:bCs/>
                      <w:color w:val="3A73AE" w:themeColor="accent1"/>
                      <w:sz w:val="18"/>
                      <w:szCs w:val="18"/>
                    </w:rPr>
                    <w:t>Έ</w:t>
                  </w:r>
                  <w:r w:rsidRPr="004272C5">
                    <w:rPr>
                      <w:rFonts w:eastAsiaTheme="minorEastAsia" w:cs="Calibri"/>
                      <w:b/>
                      <w:bCs/>
                      <w:color w:val="3A73AE" w:themeColor="accent1"/>
                      <w:sz w:val="18"/>
                      <w:szCs w:val="18"/>
                    </w:rPr>
                    <w:t>σοδα</w:t>
                  </w:r>
                  <w:r w:rsidRPr="004272C5">
                    <w:rPr>
                      <w:rFonts w:eastAsiaTheme="minorEastAsia" w:cs="Calibri"/>
                      <w:b/>
                      <w:bCs/>
                      <w:color w:val="3A73AE" w:themeColor="accent1"/>
                      <w:sz w:val="18"/>
                      <w:szCs w:val="18"/>
                      <w:lang w:val="en-US"/>
                    </w:rPr>
                    <w:t xml:space="preserve"> (€</w:t>
                  </w:r>
                  <w:r w:rsidRPr="004272C5">
                    <w:rPr>
                      <w:rFonts w:eastAsiaTheme="minorEastAsia" w:cs="Calibri"/>
                      <w:b/>
                      <w:bCs/>
                      <w:color w:val="3A73AE" w:themeColor="accent1"/>
                      <w:sz w:val="18"/>
                      <w:szCs w:val="18"/>
                    </w:rPr>
                    <w:t>εκατ</w:t>
                  </w:r>
                  <w:r>
                    <w:rPr>
                      <w:rFonts w:eastAsiaTheme="minorEastAsia" w:cs="Calibri"/>
                      <w:b/>
                      <w:bCs/>
                      <w:color w:val="3A73AE" w:themeColor="accent1"/>
                      <w:sz w:val="18"/>
                      <w:szCs w:val="18"/>
                    </w:rPr>
                    <w:t>.</w:t>
                  </w:r>
                  <w:r w:rsidRPr="004272C5">
                    <w:rPr>
                      <w:rFonts w:eastAsiaTheme="minorEastAsia" w:cs="Calibri"/>
                      <w:b/>
                      <w:bCs/>
                      <w:color w:val="3A73AE" w:themeColor="accent1"/>
                      <w:sz w:val="18"/>
                      <w:szCs w:val="18"/>
                      <w:lang w:val="en-US"/>
                    </w:rPr>
                    <w:t>)</w:t>
                  </w:r>
                </w:p>
                <w:p w:rsidR="002F1E93" w:rsidRPr="004272C5" w:rsidRDefault="002F1E93" w:rsidP="00F43416">
                  <w:pPr>
                    <w:ind w:left="-142"/>
                    <w:rPr>
                      <w:rFonts w:eastAsiaTheme="minorEastAsia" w:cs="Calibri"/>
                      <w:b/>
                      <w:bCs/>
                      <w:color w:val="3A73AE" w:themeColor="accent1"/>
                      <w:sz w:val="18"/>
                      <w:szCs w:val="18"/>
                      <w:lang w:val="en-US"/>
                    </w:rPr>
                  </w:pPr>
                </w:p>
              </w:txbxContent>
            </v:textbox>
          </v:shape>
        </w:pict>
      </w:r>
      <w:r w:rsidRPr="009D3FB1">
        <w:rPr>
          <w:rFonts w:ascii="Calibri" w:eastAsiaTheme="minorEastAsia" w:hAnsi="Calibri" w:cs="Calibri"/>
          <w:noProof/>
          <w:color w:val="FF0000"/>
          <w:sz w:val="14"/>
          <w:szCs w:val="18"/>
          <w:lang w:eastAsia="el-GR"/>
        </w:rPr>
        <w:pict>
          <v:shape id="Text Box 17" o:spid="_x0000_s1034" type="#_x0000_t202" style="position:absolute;margin-left:188.05pt;margin-top:141.95pt;width:168.1pt;height:32.75pt;z-index:251781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" filled="f" stroked="f" strokeweight=".5pt">
            <v:textbox>
              <w:txbxContent>
                <w:p w:rsidR="002F1E93" w:rsidRPr="004272C5" w:rsidRDefault="002F1E93" w:rsidP="00F43416">
                  <w:pPr>
                    <w:rPr>
                      <w:rFonts w:eastAsiaTheme="minorEastAsia" w:cs="Calibri"/>
                      <w:b/>
                      <w:bCs/>
                      <w:color w:val="3A73AE" w:themeColor="accent1"/>
                      <w:sz w:val="18"/>
                      <w:szCs w:val="18"/>
                    </w:rPr>
                  </w:pPr>
                  <w:r w:rsidRPr="004272C5">
                    <w:rPr>
                      <w:rFonts w:eastAsiaTheme="minorEastAsia" w:cs="Calibri"/>
                      <w:b/>
                      <w:bCs/>
                      <w:color w:val="3A73AE" w:themeColor="accent1"/>
                      <w:sz w:val="18"/>
                      <w:szCs w:val="18"/>
                    </w:rPr>
                    <w:t xml:space="preserve">Επαναλαμβανόμενο Κόστος (€εκατ.)    (σε συγκρίσιμη βάση)                                        </w:t>
                  </w:r>
                </w:p>
              </w:txbxContent>
            </v:textbox>
          </v:shape>
        </w:pict>
      </w:r>
      <w:r w:rsidR="00F43416" w:rsidRPr="00CD2E41">
        <w:rPr>
          <w:rFonts w:eastAsiaTheme="minorEastAsia" w:cs="Calibri"/>
          <w:b/>
          <w:noProof/>
          <w:color w:val="FF0000"/>
          <w:sz w:val="16"/>
          <w:szCs w:val="16"/>
          <w:lang w:val="en-US"/>
        </w:rPr>
        <w:drawing>
          <wp:anchor distT="0" distB="0" distL="114300" distR="114300" simplePos="0" relativeHeight="251790336" behindDoc="0" locked="0" layoutInCell="1" allowOverlap="1">
            <wp:simplePos x="0" y="0"/>
            <wp:positionH relativeFrom="page">
              <wp:posOffset>4404995</wp:posOffset>
            </wp:positionH>
            <wp:positionV relativeFrom="page">
              <wp:posOffset>7501108</wp:posOffset>
            </wp:positionV>
            <wp:extent cx="2231390" cy="1502410"/>
            <wp:effectExtent l="0" t="0" r="0" b="2540"/>
            <wp:wrapNone/>
            <wp:docPr id="10"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F43416" w:rsidRPr="00CD2E41">
        <w:rPr>
          <w:rFonts w:eastAsiaTheme="minorEastAsia" w:cs="Calibri"/>
          <w:b/>
          <w:noProof/>
          <w:color w:val="FF0000"/>
          <w:sz w:val="16"/>
          <w:szCs w:val="16"/>
          <w:lang w:val="en-US"/>
        </w:rPr>
        <w:drawing>
          <wp:anchor distT="0" distB="0" distL="114300" distR="114300" simplePos="0" relativeHeight="251789312" behindDoc="0" locked="0" layoutInCell="1" allowOverlap="1">
            <wp:simplePos x="0" y="0"/>
            <wp:positionH relativeFrom="page">
              <wp:posOffset>1362857</wp:posOffset>
            </wp:positionH>
            <wp:positionV relativeFrom="page">
              <wp:posOffset>7501548</wp:posOffset>
            </wp:positionV>
            <wp:extent cx="2231390" cy="1502410"/>
            <wp:effectExtent l="0" t="0" r="0" b="2540"/>
            <wp:wrapNone/>
            <wp:docPr id="7"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EA63FF" w:rsidRPr="00D44AFC" w:rsidRDefault="00EA63FF" w:rsidP="007156C6">
      <w:pPr>
        <w:spacing w:after="0" w:line="240" w:lineRule="auto"/>
        <w:ind w:right="-284"/>
        <w:rPr>
          <w:rFonts w:eastAsia="Times New Roman" w:cs="Calibri"/>
          <w:b/>
          <w:color w:val="FF0000"/>
          <w:sz w:val="28"/>
          <w:szCs w:val="28"/>
        </w:rPr>
      </w:pPr>
    </w:p>
    <w:p w:rsidR="005744FA" w:rsidRPr="00D44AFC" w:rsidRDefault="005744FA" w:rsidP="0072071F">
      <w:pPr>
        <w:keepNext/>
        <w:keepLines/>
        <w:spacing w:after="0" w:line="240" w:lineRule="auto"/>
        <w:jc w:val="right"/>
        <w:outlineLvl w:val="0"/>
        <w:rPr>
          <w:rFonts w:asciiTheme="majorHAnsi" w:eastAsiaTheme="majorEastAsia" w:hAnsiTheme="majorHAnsi" w:cstheme="majorBidi"/>
          <w:color w:val="FF0000"/>
          <w:sz w:val="16"/>
          <w:szCs w:val="16"/>
        </w:rPr>
      </w:pPr>
    </w:p>
    <w:p w:rsidR="00F43416" w:rsidRDefault="00F43416" w:rsidP="00F43416">
      <w:pPr>
        <w:tabs>
          <w:tab w:val="left" w:pos="1701"/>
          <w:tab w:val="left" w:pos="8262"/>
        </w:tabs>
        <w:spacing w:before="120" w:after="0" w:line="264" w:lineRule="auto"/>
        <w:ind w:left="1701" w:right="-285"/>
        <w:contextualSpacing/>
        <w:jc w:val="both"/>
        <w:rPr>
          <w:rFonts w:eastAsiaTheme="minorEastAsia" w:cs="Calibri"/>
          <w:color w:val="FF0000"/>
          <w:sz w:val="28"/>
          <w:szCs w:val="28"/>
        </w:rPr>
      </w:pPr>
    </w:p>
    <w:p w:rsidR="00F43416" w:rsidRDefault="00F43416" w:rsidP="00F43416">
      <w:pPr>
        <w:tabs>
          <w:tab w:val="left" w:pos="1701"/>
          <w:tab w:val="left" w:pos="8262"/>
        </w:tabs>
        <w:spacing w:before="120" w:after="0" w:line="264" w:lineRule="auto"/>
        <w:ind w:left="1701" w:right="-285"/>
        <w:contextualSpacing/>
        <w:jc w:val="both"/>
        <w:rPr>
          <w:rFonts w:eastAsiaTheme="minorEastAsia" w:cs="Calibri"/>
          <w:color w:val="FF0000"/>
          <w:sz w:val="28"/>
          <w:szCs w:val="28"/>
        </w:rPr>
      </w:pPr>
    </w:p>
    <w:p w:rsidR="00F43416" w:rsidRDefault="00F43416" w:rsidP="00F43416">
      <w:pPr>
        <w:tabs>
          <w:tab w:val="left" w:pos="1701"/>
          <w:tab w:val="left" w:pos="8262"/>
        </w:tabs>
        <w:spacing w:before="120" w:after="0" w:line="264" w:lineRule="auto"/>
        <w:ind w:left="1701" w:right="-285"/>
        <w:contextualSpacing/>
        <w:jc w:val="both"/>
        <w:rPr>
          <w:rFonts w:eastAsiaTheme="minorEastAsia" w:cs="Calibri"/>
          <w:color w:val="FF0000"/>
          <w:sz w:val="28"/>
          <w:szCs w:val="28"/>
        </w:rPr>
      </w:pPr>
    </w:p>
    <w:p w:rsidR="00F43416" w:rsidRDefault="00F43416" w:rsidP="00F43416">
      <w:pPr>
        <w:tabs>
          <w:tab w:val="left" w:pos="1701"/>
          <w:tab w:val="left" w:pos="8262"/>
        </w:tabs>
        <w:spacing w:before="120" w:after="0" w:line="264" w:lineRule="auto"/>
        <w:ind w:left="1701" w:right="-285"/>
        <w:contextualSpacing/>
        <w:jc w:val="both"/>
        <w:rPr>
          <w:rFonts w:eastAsiaTheme="minorEastAsia" w:cs="Calibri"/>
          <w:color w:val="FF0000"/>
          <w:sz w:val="28"/>
          <w:szCs w:val="28"/>
        </w:rPr>
      </w:pPr>
    </w:p>
    <w:p w:rsidR="00F43416" w:rsidRDefault="00F43416" w:rsidP="00F43416">
      <w:pPr>
        <w:tabs>
          <w:tab w:val="left" w:pos="1701"/>
          <w:tab w:val="left" w:pos="8262"/>
        </w:tabs>
        <w:spacing w:before="120" w:after="0" w:line="264" w:lineRule="auto"/>
        <w:ind w:left="1701" w:right="-285"/>
        <w:contextualSpacing/>
        <w:jc w:val="both"/>
        <w:rPr>
          <w:rFonts w:eastAsiaTheme="minorEastAsia" w:cs="Calibri"/>
          <w:color w:val="FF0000"/>
          <w:sz w:val="28"/>
          <w:szCs w:val="28"/>
        </w:rPr>
      </w:pPr>
    </w:p>
    <w:p w:rsidR="00F43416" w:rsidRDefault="00F43416" w:rsidP="00F43416">
      <w:pPr>
        <w:tabs>
          <w:tab w:val="left" w:pos="1701"/>
          <w:tab w:val="left" w:pos="8262"/>
        </w:tabs>
        <w:spacing w:before="120" w:after="0" w:line="264" w:lineRule="auto"/>
        <w:ind w:left="1701" w:right="-285"/>
        <w:contextualSpacing/>
        <w:jc w:val="both"/>
        <w:rPr>
          <w:rFonts w:eastAsiaTheme="minorEastAsia" w:cs="Calibri"/>
          <w:color w:val="FF0000"/>
          <w:sz w:val="28"/>
          <w:szCs w:val="28"/>
        </w:rPr>
      </w:pPr>
    </w:p>
    <w:p w:rsidR="00F43416" w:rsidRDefault="00F43416" w:rsidP="00F43416">
      <w:pPr>
        <w:tabs>
          <w:tab w:val="left" w:pos="1701"/>
          <w:tab w:val="left" w:pos="8262"/>
        </w:tabs>
        <w:spacing w:before="120" w:after="0" w:line="264" w:lineRule="auto"/>
        <w:ind w:left="1701" w:right="-285"/>
        <w:contextualSpacing/>
        <w:jc w:val="both"/>
        <w:rPr>
          <w:rFonts w:eastAsiaTheme="minorEastAsia" w:cs="Calibri"/>
          <w:color w:val="FF0000"/>
          <w:sz w:val="28"/>
          <w:szCs w:val="28"/>
        </w:rPr>
      </w:pPr>
    </w:p>
    <w:p w:rsidR="00F43416" w:rsidRDefault="00F43416" w:rsidP="00F43416">
      <w:pPr>
        <w:tabs>
          <w:tab w:val="left" w:pos="1701"/>
          <w:tab w:val="left" w:pos="8262"/>
        </w:tabs>
        <w:spacing w:before="120" w:after="0" w:line="264" w:lineRule="auto"/>
        <w:ind w:left="1701" w:right="-285"/>
        <w:contextualSpacing/>
        <w:jc w:val="both"/>
        <w:rPr>
          <w:rFonts w:eastAsiaTheme="minorEastAsia" w:cs="Calibri"/>
          <w:color w:val="FF0000"/>
          <w:sz w:val="28"/>
          <w:szCs w:val="28"/>
        </w:rPr>
      </w:pPr>
    </w:p>
    <w:p w:rsidR="00F43416" w:rsidRDefault="00F43416" w:rsidP="00F43416">
      <w:pPr>
        <w:tabs>
          <w:tab w:val="left" w:pos="1701"/>
          <w:tab w:val="left" w:pos="8262"/>
        </w:tabs>
        <w:spacing w:before="120" w:after="0" w:line="264" w:lineRule="auto"/>
        <w:ind w:left="1701" w:right="-285"/>
        <w:contextualSpacing/>
        <w:jc w:val="both"/>
        <w:rPr>
          <w:rFonts w:eastAsiaTheme="minorEastAsia" w:cs="Calibri"/>
          <w:color w:val="FF0000"/>
          <w:sz w:val="28"/>
          <w:szCs w:val="28"/>
        </w:rPr>
      </w:pPr>
    </w:p>
    <w:p w:rsidR="00F43416" w:rsidRDefault="00F43416" w:rsidP="00F43416">
      <w:pPr>
        <w:tabs>
          <w:tab w:val="left" w:pos="1701"/>
          <w:tab w:val="left" w:pos="8262"/>
        </w:tabs>
        <w:spacing w:before="120" w:after="0" w:line="264" w:lineRule="auto"/>
        <w:ind w:left="1701" w:right="-285"/>
        <w:contextualSpacing/>
        <w:jc w:val="both"/>
        <w:rPr>
          <w:rFonts w:eastAsiaTheme="minorEastAsia" w:cs="Calibri"/>
          <w:color w:val="FF0000"/>
          <w:sz w:val="28"/>
          <w:szCs w:val="28"/>
        </w:rPr>
      </w:pPr>
    </w:p>
    <w:p w:rsidR="00F43416" w:rsidRDefault="00F43416" w:rsidP="00F43416">
      <w:pPr>
        <w:tabs>
          <w:tab w:val="left" w:pos="1701"/>
          <w:tab w:val="left" w:pos="8262"/>
        </w:tabs>
        <w:spacing w:before="120" w:after="0" w:line="264" w:lineRule="auto"/>
        <w:ind w:left="1701" w:right="-285"/>
        <w:contextualSpacing/>
        <w:jc w:val="both"/>
        <w:rPr>
          <w:rFonts w:eastAsiaTheme="minorEastAsia" w:cs="Calibri"/>
          <w:color w:val="FF0000"/>
          <w:sz w:val="28"/>
          <w:szCs w:val="28"/>
        </w:rPr>
      </w:pPr>
    </w:p>
    <w:p w:rsidR="00F43416" w:rsidRDefault="00F43416" w:rsidP="00F43416">
      <w:pPr>
        <w:tabs>
          <w:tab w:val="left" w:pos="1701"/>
          <w:tab w:val="left" w:pos="8262"/>
        </w:tabs>
        <w:spacing w:before="120" w:after="0" w:line="264" w:lineRule="auto"/>
        <w:ind w:left="1701" w:right="-285"/>
        <w:contextualSpacing/>
        <w:jc w:val="both"/>
        <w:rPr>
          <w:rFonts w:eastAsiaTheme="minorEastAsia" w:cs="Calibri"/>
          <w:color w:val="FF0000"/>
          <w:sz w:val="28"/>
          <w:szCs w:val="28"/>
        </w:rPr>
      </w:pPr>
    </w:p>
    <w:p w:rsidR="00F43416" w:rsidRDefault="00F43416" w:rsidP="00F43416">
      <w:pPr>
        <w:tabs>
          <w:tab w:val="left" w:pos="1701"/>
          <w:tab w:val="left" w:pos="8262"/>
        </w:tabs>
        <w:spacing w:before="120" w:after="0" w:line="264" w:lineRule="auto"/>
        <w:ind w:left="1701" w:right="-285"/>
        <w:contextualSpacing/>
        <w:jc w:val="both"/>
        <w:rPr>
          <w:rFonts w:eastAsiaTheme="minorEastAsia" w:cs="Calibri"/>
          <w:color w:val="FF0000"/>
          <w:sz w:val="28"/>
          <w:szCs w:val="28"/>
        </w:rPr>
      </w:pPr>
    </w:p>
    <w:p w:rsidR="00F43416" w:rsidRDefault="00F43416" w:rsidP="00F43416">
      <w:pPr>
        <w:tabs>
          <w:tab w:val="left" w:pos="1701"/>
          <w:tab w:val="left" w:pos="8262"/>
        </w:tabs>
        <w:spacing w:before="120" w:after="0" w:line="264" w:lineRule="auto"/>
        <w:ind w:left="1701" w:right="-285"/>
        <w:contextualSpacing/>
        <w:jc w:val="both"/>
        <w:rPr>
          <w:rFonts w:eastAsiaTheme="minorEastAsia" w:cs="Calibri"/>
          <w:color w:val="FF0000"/>
          <w:sz w:val="28"/>
          <w:szCs w:val="28"/>
        </w:rPr>
      </w:pPr>
    </w:p>
    <w:p w:rsidR="00F43416" w:rsidRDefault="00F43416" w:rsidP="00F43416">
      <w:pPr>
        <w:tabs>
          <w:tab w:val="left" w:pos="1701"/>
          <w:tab w:val="left" w:pos="8262"/>
        </w:tabs>
        <w:spacing w:before="120" w:after="0" w:line="264" w:lineRule="auto"/>
        <w:ind w:left="1701" w:right="-285"/>
        <w:contextualSpacing/>
        <w:jc w:val="both"/>
        <w:rPr>
          <w:rFonts w:eastAsiaTheme="minorEastAsia" w:cs="Calibri"/>
          <w:color w:val="FF0000"/>
          <w:sz w:val="28"/>
          <w:szCs w:val="28"/>
        </w:rPr>
      </w:pPr>
    </w:p>
    <w:p w:rsidR="00F43416" w:rsidRDefault="00F43416" w:rsidP="00F43416">
      <w:pPr>
        <w:tabs>
          <w:tab w:val="left" w:pos="1701"/>
          <w:tab w:val="left" w:pos="8262"/>
        </w:tabs>
        <w:spacing w:before="120" w:after="0" w:line="264" w:lineRule="auto"/>
        <w:ind w:left="1701" w:right="-285"/>
        <w:contextualSpacing/>
        <w:jc w:val="both"/>
        <w:rPr>
          <w:rFonts w:eastAsiaTheme="minorEastAsia" w:cs="Calibri"/>
          <w:color w:val="FF0000"/>
          <w:sz w:val="28"/>
          <w:szCs w:val="28"/>
        </w:rPr>
      </w:pPr>
    </w:p>
    <w:p w:rsidR="00A93588" w:rsidRPr="00211659" w:rsidRDefault="00A93588" w:rsidP="00F43416">
      <w:pPr>
        <w:ind w:left="-993"/>
        <w:rPr>
          <w:rFonts w:ascii="Calibri" w:eastAsia="Times New Roman" w:hAnsi="Calibri" w:cs="Calibri"/>
          <w:color w:val="003C96"/>
          <w:sz w:val="28"/>
          <w:szCs w:val="28"/>
        </w:rPr>
      </w:pPr>
      <w:r w:rsidRPr="00F43416">
        <w:rPr>
          <w:rFonts w:ascii="Calibri" w:eastAsia="Times New Roman" w:hAnsi="Calibri" w:cs="Calibri"/>
          <w:color w:val="003C96"/>
          <w:sz w:val="28"/>
          <w:szCs w:val="28"/>
        </w:rPr>
        <w:lastRenderedPageBreak/>
        <w:t>ΓΛΩΣΣΑΡΙ / ΕΝΑΛΛΑΚΤΙΚ</w:t>
      </w:r>
      <w:r w:rsidRPr="00F43416">
        <w:rPr>
          <w:rFonts w:ascii="Calibri" w:eastAsia="Times New Roman" w:hAnsi="Calibri" w:cs="Calibri"/>
          <w:color w:val="003C96"/>
          <w:sz w:val="28"/>
          <w:szCs w:val="28"/>
          <w:lang w:val="en-US"/>
        </w:rPr>
        <w:t>OI</w:t>
      </w:r>
      <w:r w:rsidRPr="00F43416">
        <w:rPr>
          <w:rFonts w:ascii="Calibri" w:eastAsia="Times New Roman" w:hAnsi="Calibri" w:cs="Calibri"/>
          <w:color w:val="003C96"/>
          <w:sz w:val="28"/>
          <w:szCs w:val="28"/>
        </w:rPr>
        <w:t xml:space="preserve"> ΔΕΙΚΤΕΣ ΜΕΤΡΗΣΗΣ ΑΠΟΔΟΣΗΣ (ΕΔΜΑ) ΣΕ ΕΠΙΠΕΔΟ ΟΜΙΛΟΥ</w:t>
      </w:r>
    </w:p>
    <w:tbl>
      <w:tblPr>
        <w:tblW w:w="8520" w:type="dxa"/>
        <w:tblInd w:w="-1005" w:type="dxa"/>
        <w:tblBorders>
          <w:top w:val="single" w:sz="4" w:space="0" w:color="001E4B"/>
          <w:left w:val="single" w:sz="4" w:space="0" w:color="001E4B"/>
          <w:bottom w:val="single" w:sz="4" w:space="0" w:color="001E4B"/>
          <w:right w:val="single" w:sz="4" w:space="0" w:color="001E4B"/>
          <w:insideH w:val="single" w:sz="4" w:space="0" w:color="001E4B"/>
          <w:insideV w:val="single" w:sz="4" w:space="0" w:color="001E4B"/>
        </w:tblBorders>
        <w:tblCellMar>
          <w:left w:w="0" w:type="dxa"/>
          <w:right w:w="0" w:type="dxa"/>
        </w:tblCellMar>
        <w:tblLook w:val="04A0"/>
      </w:tblPr>
      <w:tblGrid>
        <w:gridCol w:w="1155"/>
        <w:gridCol w:w="2295"/>
        <w:gridCol w:w="5070"/>
      </w:tblGrid>
      <w:tr w:rsidR="00D31973" w:rsidRPr="00211659" w:rsidTr="003E2EED">
        <w:trPr>
          <w:trHeight w:val="375"/>
        </w:trPr>
        <w:tc>
          <w:tcPr>
            <w:tcW w:w="1155" w:type="dxa"/>
            <w:shd w:val="clear" w:color="auto" w:fill="auto"/>
            <w:vAlign w:val="center"/>
            <w:hideMark/>
          </w:tcPr>
          <w:p w:rsidR="00D31973" w:rsidRPr="00211659" w:rsidRDefault="00D31973" w:rsidP="003E2EED">
            <w:pPr>
              <w:spacing w:after="0" w:line="240" w:lineRule="auto"/>
              <w:ind w:left="-105" w:right="-135"/>
              <w:jc w:val="center"/>
              <w:textAlignment w:val="baseline"/>
              <w:rPr>
                <w:rFonts w:ascii="Times New Roman" w:eastAsia="Times New Roman" w:hAnsi="Times New Roman" w:cs="Times New Roman"/>
                <w:sz w:val="24"/>
                <w:szCs w:val="24"/>
                <w:lang w:eastAsia="en-GB"/>
              </w:rPr>
            </w:pPr>
            <w:r w:rsidRPr="00211659">
              <w:rPr>
                <w:rFonts w:ascii="Calibri" w:eastAsia="Calibri" w:hAnsi="Calibri" w:cs="Times New Roman"/>
                <w:b/>
                <w:color w:val="002060"/>
                <w:sz w:val="16"/>
                <w:szCs w:val="16"/>
                <w:lang/>
              </w:rPr>
              <w:t>#</w:t>
            </w:r>
          </w:p>
        </w:tc>
        <w:tc>
          <w:tcPr>
            <w:tcW w:w="2295" w:type="dxa"/>
            <w:shd w:val="clear" w:color="auto" w:fill="auto"/>
            <w:vAlign w:val="center"/>
            <w:hideMark/>
          </w:tcPr>
          <w:p w:rsidR="00D31973" w:rsidRPr="00211659" w:rsidRDefault="00D31973" w:rsidP="003E2EED">
            <w:pPr>
              <w:spacing w:after="0" w:line="240" w:lineRule="auto"/>
              <w:textAlignment w:val="baseline"/>
              <w:rPr>
                <w:rFonts w:ascii="Times New Roman" w:eastAsia="Times New Roman" w:hAnsi="Times New Roman" w:cs="Times New Roman"/>
                <w:sz w:val="24"/>
                <w:szCs w:val="24"/>
                <w:lang w:eastAsia="en-GB"/>
              </w:rPr>
            </w:pPr>
            <w:r w:rsidRPr="00211659">
              <w:rPr>
                <w:rFonts w:ascii="Calibri" w:eastAsia="Calibri" w:hAnsi="Calibri" w:cs="Times New Roman"/>
                <w:b/>
                <w:color w:val="002060"/>
                <w:sz w:val="16"/>
                <w:szCs w:val="16"/>
                <w:lang/>
              </w:rPr>
              <w:t>Δείκτης Μέτρησης Απόδοσης</w:t>
            </w:r>
          </w:p>
        </w:tc>
        <w:tc>
          <w:tcPr>
            <w:tcW w:w="5070" w:type="dxa"/>
            <w:shd w:val="clear" w:color="auto" w:fill="auto"/>
            <w:vAlign w:val="center"/>
            <w:hideMark/>
          </w:tcPr>
          <w:p w:rsidR="00D31973" w:rsidRPr="00211659" w:rsidRDefault="00D31973" w:rsidP="003E2EED">
            <w:pPr>
              <w:spacing w:after="0" w:line="240" w:lineRule="auto"/>
              <w:textAlignment w:val="baseline"/>
              <w:rPr>
                <w:rFonts w:ascii="Times New Roman" w:eastAsia="Times New Roman" w:hAnsi="Times New Roman" w:cs="Times New Roman"/>
                <w:sz w:val="24"/>
                <w:szCs w:val="24"/>
                <w:lang w:eastAsia="en-GB"/>
              </w:rPr>
            </w:pPr>
            <w:r w:rsidRPr="00211659">
              <w:rPr>
                <w:rFonts w:ascii="Calibri" w:eastAsia="Calibri" w:hAnsi="Calibri" w:cs="Times New Roman"/>
                <w:b/>
                <w:color w:val="002060"/>
                <w:sz w:val="16"/>
                <w:szCs w:val="16"/>
                <w:lang/>
              </w:rPr>
              <w:t>Επεξήγηση</w:t>
            </w:r>
          </w:p>
        </w:tc>
      </w:tr>
      <w:tr w:rsidR="00D31973" w:rsidRPr="00211659" w:rsidTr="003E2EED">
        <w:trPr>
          <w:trHeight w:val="454"/>
        </w:trPr>
        <w:tc>
          <w:tcPr>
            <w:tcW w:w="1155" w:type="dxa"/>
            <w:shd w:val="clear" w:color="auto" w:fill="auto"/>
            <w:vAlign w:val="center"/>
            <w:hideMark/>
          </w:tcPr>
          <w:p w:rsidR="00D31973" w:rsidRPr="00D61AF8" w:rsidRDefault="00D31973" w:rsidP="003E2EED">
            <w:pPr>
              <w:spacing w:after="0" w:line="240" w:lineRule="auto"/>
              <w:ind w:left="-105" w:right="-135"/>
              <w:jc w:val="center"/>
              <w:textAlignment w:val="baseline"/>
              <w:rPr>
                <w:rFonts w:ascii="Calibri" w:eastAsia="Calibri" w:hAnsi="Calibri" w:cs="Calibri"/>
                <w:color w:val="002060"/>
                <w:sz w:val="16"/>
                <w:szCs w:val="16"/>
              </w:rPr>
            </w:pPr>
            <w:r w:rsidRPr="00D61AF8">
              <w:rPr>
                <w:rFonts w:ascii="Calibri" w:eastAsia="Calibri" w:hAnsi="Calibri" w:cs="Calibri"/>
                <w:color w:val="002060"/>
                <w:sz w:val="16"/>
                <w:szCs w:val="16"/>
              </w:rPr>
              <w:t>1</w:t>
            </w:r>
          </w:p>
        </w:tc>
        <w:tc>
          <w:tcPr>
            <w:tcW w:w="2295" w:type="dxa"/>
            <w:shd w:val="clear" w:color="auto" w:fill="FFFFFF"/>
            <w:vAlign w:val="center"/>
            <w:hideMark/>
          </w:tcPr>
          <w:p w:rsidR="00D31973" w:rsidRPr="00847B30" w:rsidRDefault="00D31973" w:rsidP="003E2EED">
            <w:pPr>
              <w:spacing w:after="0" w:line="240" w:lineRule="auto"/>
              <w:textAlignment w:val="baseline"/>
              <w:rPr>
                <w:rFonts w:ascii="Calibri" w:eastAsia="Calibri" w:hAnsi="Calibri" w:cs="Calibri"/>
                <w:color w:val="002060"/>
                <w:sz w:val="16"/>
                <w:szCs w:val="16"/>
              </w:rPr>
            </w:pPr>
            <w:r w:rsidRPr="00847B30">
              <w:rPr>
                <w:rFonts w:ascii="Calibri" w:eastAsia="Calibri" w:hAnsi="Calibri" w:cs="Calibri"/>
                <w:color w:val="002060"/>
                <w:sz w:val="16"/>
                <w:szCs w:val="16"/>
                <w:lang/>
              </w:rPr>
              <w:t>Μη επαναλαμβανόμενα  (εφάπαξ) στοιχεία αποτελεσμάτων</w:t>
            </w:r>
          </w:p>
        </w:tc>
        <w:tc>
          <w:tcPr>
            <w:tcW w:w="5070" w:type="dxa"/>
            <w:shd w:val="clear" w:color="auto" w:fill="FFFFFF"/>
            <w:vAlign w:val="center"/>
            <w:hideMark/>
          </w:tcPr>
          <w:p w:rsidR="00D31973" w:rsidRPr="00847B30" w:rsidRDefault="00D31973" w:rsidP="003E2EED">
            <w:pPr>
              <w:shd w:val="clear" w:color="auto" w:fill="FFFFFF"/>
              <w:spacing w:before="100" w:beforeAutospacing="1" w:after="100" w:afterAutospacing="1" w:line="240" w:lineRule="auto"/>
              <w:rPr>
                <w:rFonts w:ascii="Calibri" w:eastAsia="Calibri" w:hAnsi="Calibri" w:cs="Calibri"/>
                <w:color w:val="002060"/>
                <w:sz w:val="16"/>
                <w:szCs w:val="16"/>
              </w:rPr>
            </w:pPr>
            <w:r w:rsidRPr="00847B30">
              <w:rPr>
                <w:rFonts w:ascii="Calibri" w:eastAsia="Times New Roman" w:hAnsi="Calibri" w:cs="Calibri"/>
                <w:sz w:val="16"/>
                <w:szCs w:val="16"/>
                <w:lang w:eastAsia="el-GR"/>
              </w:rPr>
              <w:t>Τα μη επαναλαμβανόμενα στοιχεία για το 2ο 3μηνο 2019 περιλαμβάνουν €16εκατ. δαπάνες προγράμματος εθελούσιας εξόδου VES</w:t>
            </w:r>
          </w:p>
        </w:tc>
      </w:tr>
      <w:tr w:rsidR="00D31973" w:rsidRPr="00211659" w:rsidTr="003E2EED">
        <w:trPr>
          <w:trHeight w:val="454"/>
        </w:trPr>
        <w:tc>
          <w:tcPr>
            <w:tcW w:w="1155" w:type="dxa"/>
            <w:shd w:val="clear" w:color="auto" w:fill="auto"/>
            <w:vAlign w:val="center"/>
            <w:hideMark/>
          </w:tcPr>
          <w:p w:rsidR="00D31973" w:rsidRPr="00A946C3" w:rsidRDefault="00D31973" w:rsidP="003E2EED">
            <w:pPr>
              <w:spacing w:after="0" w:line="240" w:lineRule="auto"/>
              <w:ind w:left="-105" w:right="-135"/>
              <w:jc w:val="center"/>
              <w:textAlignment w:val="baseline"/>
              <w:rPr>
                <w:rFonts w:ascii="Calibri" w:eastAsia="Calibri" w:hAnsi="Calibri" w:cs="Calibri"/>
                <w:color w:val="002060"/>
                <w:sz w:val="16"/>
                <w:szCs w:val="16"/>
                <w:highlight w:val="green"/>
                <w:lang/>
              </w:rPr>
            </w:pPr>
            <w:r w:rsidRPr="00847B30">
              <w:rPr>
                <w:rFonts w:ascii="Calibri" w:eastAsia="Calibri" w:hAnsi="Calibri" w:cs="Calibri"/>
                <w:color w:val="002060"/>
                <w:sz w:val="16"/>
                <w:szCs w:val="16"/>
                <w:lang/>
              </w:rPr>
              <w:t>2</w:t>
            </w:r>
          </w:p>
        </w:tc>
        <w:tc>
          <w:tcPr>
            <w:tcW w:w="2295" w:type="dxa"/>
            <w:shd w:val="clear" w:color="auto" w:fill="auto"/>
            <w:vAlign w:val="center"/>
            <w:hideMark/>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 xml:space="preserve">Συνολικό Προσαρμοσμένο Ενεργητικό </w:t>
            </w:r>
          </w:p>
        </w:tc>
        <w:tc>
          <w:tcPr>
            <w:tcW w:w="5070" w:type="dxa"/>
            <w:shd w:val="clear" w:color="auto" w:fill="FFFFFF"/>
            <w:hideMark/>
          </w:tcPr>
          <w:p w:rsidR="00D31973" w:rsidRPr="00847B30" w:rsidRDefault="00D31973" w:rsidP="003E2EED">
            <w:pPr>
              <w:spacing w:after="0" w:line="240" w:lineRule="auto"/>
              <w:textAlignment w:val="baseline"/>
              <w:rPr>
                <w:rFonts w:ascii="Calibri" w:eastAsia="Times New Roman" w:hAnsi="Calibri" w:cs="Calibri"/>
                <w:iCs/>
                <w:sz w:val="16"/>
                <w:szCs w:val="16"/>
                <w:lang w:eastAsia="en-GB"/>
              </w:rPr>
            </w:pPr>
            <w:r w:rsidRPr="00847B30">
              <w:rPr>
                <w:rFonts w:ascii="Calibri" w:eastAsia="Times New Roman" w:hAnsi="Calibri" w:cs="Calibri"/>
                <w:sz w:val="16"/>
                <w:szCs w:val="16"/>
                <w:lang w:eastAsia="en-GB"/>
              </w:rPr>
              <w:t xml:space="preserve">Σύνολο ενεργητικού εξαιρουμένων </w:t>
            </w:r>
            <w:r w:rsidRPr="00847B30">
              <w:rPr>
                <w:rFonts w:ascii="Calibri" w:eastAsia="Times New Roman" w:hAnsi="Calibri" w:cs="Calibri"/>
                <w:iCs/>
                <w:sz w:val="16"/>
                <w:szCs w:val="16"/>
                <w:lang w:eastAsia="en-GB"/>
              </w:rPr>
              <w:t>€0,1</w:t>
            </w:r>
            <w:r w:rsidRPr="00847B30">
              <w:rPr>
                <w:rFonts w:ascii="Calibri" w:eastAsia="Times New Roman" w:hAnsi="Calibri" w:cs="Calibri"/>
                <w:iCs/>
                <w:sz w:val="16"/>
                <w:szCs w:val="16"/>
                <w:lang w:eastAsia="en-GB"/>
              </w:rPr>
              <w:t>δισ.διακοπτόμενων δραστηριοτήτωνστις 30 Ιουνίου 2019, στις</w:t>
            </w:r>
            <w:r w:rsidRPr="00847B30">
              <w:rPr>
                <w:rFonts w:ascii="Calibri" w:eastAsia="Times New Roman" w:hAnsi="Calibri" w:cs="Calibri"/>
                <w:iCs/>
                <w:sz w:val="16"/>
                <w:szCs w:val="16"/>
                <w:lang w:eastAsia="en-GB"/>
              </w:rPr>
              <w:t xml:space="preserve"> 31 </w:t>
            </w:r>
            <w:r w:rsidRPr="00847B30">
              <w:rPr>
                <w:rFonts w:ascii="Calibri" w:eastAsia="Times New Roman" w:hAnsi="Calibri" w:cs="Calibri"/>
                <w:iCs/>
                <w:sz w:val="16"/>
                <w:szCs w:val="16"/>
                <w:lang w:eastAsia="en-GB"/>
              </w:rPr>
              <w:t>Μαρτίου</w:t>
            </w:r>
            <w:r w:rsidRPr="00847B30">
              <w:rPr>
                <w:rFonts w:ascii="Calibri" w:eastAsia="Times New Roman" w:hAnsi="Calibri" w:cs="Calibri"/>
                <w:iCs/>
                <w:sz w:val="16"/>
                <w:szCs w:val="16"/>
                <w:lang w:eastAsia="en-GB"/>
              </w:rPr>
              <w:t xml:space="preserve"> 2020 και στις 30 Ιουνίου 2020. </w:t>
            </w:r>
          </w:p>
        </w:tc>
      </w:tr>
      <w:tr w:rsidR="00D31973" w:rsidRPr="00211659" w:rsidTr="003E2EED">
        <w:trPr>
          <w:trHeight w:val="850"/>
        </w:trPr>
        <w:tc>
          <w:tcPr>
            <w:tcW w:w="1155" w:type="dxa"/>
            <w:shd w:val="clear" w:color="auto" w:fill="auto"/>
            <w:vAlign w:val="center"/>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lang/>
              </w:rPr>
            </w:pPr>
            <w:r w:rsidRPr="00211659">
              <w:rPr>
                <w:rFonts w:ascii="Calibri" w:eastAsia="Calibri" w:hAnsi="Calibri" w:cs="Calibri"/>
                <w:color w:val="002060"/>
                <w:sz w:val="16"/>
                <w:szCs w:val="16"/>
                <w:lang/>
              </w:rPr>
              <w:t>3</w:t>
            </w: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color w:val="002060"/>
                <w:sz w:val="16"/>
                <w:szCs w:val="16"/>
                <w:lang w:val="en-US"/>
              </w:rPr>
            </w:pPr>
            <w:r w:rsidRPr="00847B30">
              <w:rPr>
                <w:rFonts w:ascii="Calibri" w:eastAsia="Calibri" w:hAnsi="Calibri" w:cs="Calibri"/>
                <w:color w:val="002060"/>
                <w:sz w:val="16"/>
                <w:szCs w:val="16"/>
                <w:lang/>
              </w:rPr>
              <w:t xml:space="preserve">Επίπτωση του </w:t>
            </w:r>
            <w:r w:rsidRPr="00847B30">
              <w:rPr>
                <w:rFonts w:ascii="Calibri" w:eastAsia="Calibri" w:hAnsi="Calibri" w:cs="Calibri"/>
                <w:color w:val="002060"/>
                <w:sz w:val="16"/>
                <w:szCs w:val="16"/>
                <w:lang w:val="en-US"/>
              </w:rPr>
              <w:t>COVID-19</w:t>
            </w:r>
          </w:p>
        </w:tc>
        <w:tc>
          <w:tcPr>
            <w:tcW w:w="5070" w:type="dxa"/>
            <w:shd w:val="clear" w:color="auto" w:fill="FFFFFF"/>
          </w:tcPr>
          <w:p w:rsidR="00D31973" w:rsidRPr="00847B30" w:rsidRDefault="00D31973" w:rsidP="003E2EED">
            <w:pPr>
              <w:spacing w:after="0" w:line="240" w:lineRule="auto"/>
              <w:textAlignment w:val="baseline"/>
              <w:rPr>
                <w:rFonts w:ascii="Calibri" w:eastAsia="Times New Roman" w:hAnsi="Calibri" w:cs="Calibri"/>
                <w:iCs/>
                <w:sz w:val="16"/>
                <w:szCs w:val="16"/>
                <w:lang w:eastAsia="en-GB"/>
              </w:rPr>
            </w:pPr>
            <w:r w:rsidRPr="00847B30">
              <w:rPr>
                <w:rFonts w:ascii="Calibri" w:eastAsia="Times New Roman" w:hAnsi="Calibri" w:cs="Calibri"/>
                <w:iCs/>
                <w:sz w:val="16"/>
                <w:szCs w:val="16"/>
                <w:lang w:eastAsia="en-GB"/>
              </w:rPr>
              <w:t xml:space="preserve">Η επίπτωση του </w:t>
            </w:r>
            <w:r w:rsidRPr="00847B30">
              <w:rPr>
                <w:rFonts w:ascii="Calibri" w:eastAsia="Times New Roman" w:hAnsi="Calibri" w:cs="Calibri"/>
                <w:iCs/>
                <w:sz w:val="16"/>
                <w:szCs w:val="16"/>
                <w:lang w:val="en-US" w:eastAsia="en-GB"/>
              </w:rPr>
              <w:t>COVID</w:t>
            </w:r>
            <w:r w:rsidRPr="00847B30">
              <w:rPr>
                <w:rFonts w:ascii="Calibri" w:eastAsia="Times New Roman" w:hAnsi="Calibri" w:cs="Calibri"/>
                <w:iCs/>
                <w:sz w:val="16"/>
                <w:szCs w:val="16"/>
                <w:lang w:eastAsia="en-GB"/>
              </w:rPr>
              <w:t xml:space="preserve">-19 περιλαμβάνει €324εκατ. από επιπλέον αναμενόμενες ζημίες απομείωσης δανείων και άλλων στοιχείων ενεργητικού ώστε να αντικατοπτρίζουν τις επιδεινούμενες οικονομικές προοπτικές ως αποτέλεσμα του </w:t>
            </w:r>
            <w:r w:rsidRPr="00847B30">
              <w:rPr>
                <w:rFonts w:ascii="Calibri" w:eastAsia="Times New Roman" w:hAnsi="Calibri" w:cs="Calibri"/>
                <w:iCs/>
                <w:sz w:val="16"/>
                <w:szCs w:val="16"/>
                <w:lang w:val="en-US" w:eastAsia="en-GB"/>
              </w:rPr>
              <w:t>COVID</w:t>
            </w:r>
            <w:r w:rsidRPr="00847B30">
              <w:rPr>
                <w:rFonts w:ascii="Calibri" w:eastAsia="Times New Roman" w:hAnsi="Calibri" w:cs="Calibri"/>
                <w:iCs/>
                <w:sz w:val="16"/>
                <w:szCs w:val="16"/>
                <w:lang w:eastAsia="en-GB"/>
              </w:rPr>
              <w:t>-19 το 1</w:t>
            </w:r>
            <w:r w:rsidRPr="00847B30">
              <w:rPr>
                <w:rFonts w:ascii="Calibri" w:eastAsia="Times New Roman" w:hAnsi="Calibri" w:cs="Calibri"/>
                <w:iCs/>
                <w:sz w:val="16"/>
                <w:szCs w:val="16"/>
                <w:vertAlign w:val="superscript"/>
                <w:lang w:eastAsia="en-GB"/>
              </w:rPr>
              <w:t>ο</w:t>
            </w:r>
            <w:r w:rsidRPr="00847B30">
              <w:rPr>
                <w:rFonts w:ascii="Calibri" w:eastAsia="Times New Roman" w:hAnsi="Calibri" w:cs="Calibri"/>
                <w:iCs/>
                <w:sz w:val="16"/>
                <w:szCs w:val="16"/>
                <w:lang w:eastAsia="en-GB"/>
              </w:rPr>
              <w:t xml:space="preserve"> 3μηνο 2020 και €17εκατ. το 2</w:t>
            </w:r>
            <w:r w:rsidRPr="00847B30">
              <w:rPr>
                <w:rFonts w:ascii="Calibri" w:eastAsia="Times New Roman" w:hAnsi="Calibri" w:cs="Calibri"/>
                <w:iCs/>
                <w:sz w:val="16"/>
                <w:szCs w:val="16"/>
                <w:vertAlign w:val="superscript"/>
                <w:lang w:eastAsia="en-GB"/>
              </w:rPr>
              <w:t xml:space="preserve">ο </w:t>
            </w:r>
            <w:r w:rsidRPr="00847B30">
              <w:rPr>
                <w:rFonts w:ascii="Calibri" w:eastAsia="Times New Roman" w:hAnsi="Calibri" w:cs="Calibri"/>
                <w:iCs/>
                <w:sz w:val="16"/>
                <w:szCs w:val="16"/>
                <w:lang w:eastAsia="en-GB"/>
              </w:rPr>
              <w:t>3μηνο 2020</w:t>
            </w:r>
          </w:p>
        </w:tc>
      </w:tr>
      <w:tr w:rsidR="00D31973" w:rsidRPr="00211659" w:rsidTr="003E2EED">
        <w:trPr>
          <w:trHeight w:val="375"/>
        </w:trPr>
        <w:tc>
          <w:tcPr>
            <w:tcW w:w="1155" w:type="dxa"/>
            <w:shd w:val="clear" w:color="auto" w:fill="auto"/>
            <w:vAlign w:val="center"/>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rPr>
            </w:pPr>
            <w:r w:rsidRPr="00211659">
              <w:rPr>
                <w:rFonts w:ascii="Calibri" w:eastAsia="Calibri" w:hAnsi="Calibri" w:cs="Calibri"/>
                <w:color w:val="002060"/>
                <w:sz w:val="16"/>
                <w:szCs w:val="16"/>
              </w:rPr>
              <w:t>4</w:t>
            </w: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rPr>
              <w:t>Απομειώσεις</w:t>
            </w:r>
            <w:r w:rsidRPr="00847B30">
              <w:rPr>
                <w:rFonts w:ascii="Calibri" w:eastAsia="Calibri" w:hAnsi="Calibri" w:cs="Calibri"/>
                <w:color w:val="002060"/>
                <w:sz w:val="16"/>
                <w:szCs w:val="16"/>
                <w:lang/>
              </w:rPr>
              <w:t>ή Προβλέψεις</w:t>
            </w:r>
          </w:p>
        </w:tc>
        <w:tc>
          <w:tcPr>
            <w:tcW w:w="5070" w:type="dxa"/>
            <w:shd w:val="clear" w:color="auto" w:fill="auto"/>
            <w:vAlign w:val="center"/>
          </w:tcPr>
          <w:p w:rsidR="00D31973" w:rsidRPr="00847B30" w:rsidRDefault="00D31973" w:rsidP="003E2EED">
            <w:pPr>
              <w:shd w:val="clear" w:color="auto" w:fill="FFFFFF"/>
              <w:spacing w:before="100" w:beforeAutospacing="1" w:after="100" w:afterAutospacing="1" w:line="240" w:lineRule="auto"/>
              <w:rPr>
                <w:rFonts w:ascii="Calibri" w:eastAsia="Times New Roman" w:hAnsi="Calibri" w:cs="Calibri"/>
                <w:sz w:val="16"/>
                <w:szCs w:val="16"/>
                <w:lang w:eastAsia="el-GR"/>
              </w:rPr>
            </w:pPr>
            <w:r w:rsidRPr="00847B30">
              <w:rPr>
                <w:rFonts w:ascii="Calibri" w:eastAsia="Times New Roman" w:hAnsi="Calibri" w:cs="Calibri"/>
                <w:sz w:val="16"/>
                <w:szCs w:val="16"/>
                <w:lang w:eastAsia="el-GR"/>
              </w:rPr>
              <w:t>Αναμενόμενεςζημίεςαπομείωσηςδανείων και απαιτήσεωνκατά πελατών στο αποσβέσιμοκόστος συν (+) Ζημίες απομείωσης λοιπών στοιχείων ενεργητικού συν (+) Ζημίες απομειώσεων χρηματοοικονομικών μέσων στην εύλογη αξία μέσω λοιπών συνολικών εσόδων συν (+) Απομείωση αξίας θυγατρικών και συγγενών εταιρειών συν (+) Απομείωση αξίας ενσώματων παγίων και άυλων στοιχείων ενεργητικού συν (+) Λοιπές ζημίες απομειώσεων</w:t>
            </w:r>
          </w:p>
        </w:tc>
      </w:tr>
      <w:tr w:rsidR="00D31973" w:rsidRPr="00211659" w:rsidTr="003E2EED">
        <w:trPr>
          <w:trHeight w:val="375"/>
        </w:trPr>
        <w:tc>
          <w:tcPr>
            <w:tcW w:w="1155" w:type="dxa"/>
            <w:shd w:val="clear" w:color="auto" w:fill="auto"/>
            <w:vAlign w:val="center"/>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rPr>
            </w:pPr>
            <w:r>
              <w:rPr>
                <w:rFonts w:ascii="Calibri" w:eastAsia="Calibri" w:hAnsi="Calibri" w:cs="Calibri"/>
                <w:color w:val="002060"/>
                <w:sz w:val="16"/>
                <w:szCs w:val="16"/>
              </w:rPr>
              <w:t>5</w:t>
            </w: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 xml:space="preserve">Απομειώσεις (Έξοδο προβλέψεων) Δανείων </w:t>
            </w:r>
          </w:p>
        </w:tc>
        <w:tc>
          <w:tcPr>
            <w:tcW w:w="5070" w:type="dxa"/>
            <w:shd w:val="clear" w:color="auto" w:fill="auto"/>
            <w:vAlign w:val="center"/>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Times New Roman" w:hAnsi="Calibri" w:cs="Calibri"/>
                <w:sz w:val="16"/>
                <w:szCs w:val="16"/>
                <w:lang w:eastAsia="en-GB"/>
              </w:rPr>
              <w:t>Αναμενόμενεςζημίεςαπομείωσηςδανείων και απαιτήσεωνκατά πελατών στο αποσβέσιμοκόστος</w:t>
            </w:r>
          </w:p>
        </w:tc>
      </w:tr>
      <w:tr w:rsidR="00D31973" w:rsidRPr="00211659" w:rsidTr="003E2EED">
        <w:trPr>
          <w:trHeight w:val="375"/>
        </w:trPr>
        <w:tc>
          <w:tcPr>
            <w:tcW w:w="1155" w:type="dxa"/>
            <w:shd w:val="clear" w:color="auto" w:fill="auto"/>
            <w:vAlign w:val="center"/>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rPr>
            </w:pPr>
            <w:r w:rsidRPr="00211659">
              <w:rPr>
                <w:rFonts w:ascii="Calibri" w:eastAsia="Calibri" w:hAnsi="Calibri" w:cs="Calibri"/>
                <w:color w:val="002060"/>
                <w:sz w:val="16"/>
                <w:szCs w:val="16"/>
              </w:rPr>
              <w:t>6</w:t>
            </w: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 xml:space="preserve">Απομειώσεις (Έξοδο προβλέψεων) Δανείων προς Δάνεια μετά από Προβλέψεις </w:t>
            </w:r>
          </w:p>
        </w:tc>
        <w:tc>
          <w:tcPr>
            <w:tcW w:w="5070" w:type="dxa"/>
            <w:shd w:val="clear" w:color="auto" w:fill="auto"/>
            <w:vAlign w:val="center"/>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Times New Roman" w:hAnsi="Calibri" w:cs="Calibri"/>
                <w:sz w:val="16"/>
                <w:szCs w:val="16"/>
                <w:lang w:eastAsia="en-GB"/>
              </w:rPr>
              <w:t xml:space="preserve">Αναμενόμενεςζημίεςαπομείωσηςδανείων και απαιτήσεωνκατά πελατών στο αποσβέσιμοκόστος που σχετίζονται με την αντίστοιχη περίοδο σε ετησιοποιημένη βάση - εξαιρουμένης της επίπτωσης του </w:t>
            </w:r>
            <w:r w:rsidRPr="00847B30">
              <w:rPr>
                <w:rFonts w:ascii="Calibri" w:eastAsia="Times New Roman" w:hAnsi="Calibri" w:cs="Calibri"/>
                <w:sz w:val="16"/>
                <w:szCs w:val="16"/>
                <w:lang w:val="en-US" w:eastAsia="en-GB"/>
              </w:rPr>
              <w:t>Covid</w:t>
            </w:r>
            <w:r w:rsidRPr="00847B30">
              <w:rPr>
                <w:rFonts w:ascii="Calibri" w:eastAsia="Times New Roman" w:hAnsi="Calibri" w:cs="Calibri"/>
                <w:sz w:val="16"/>
                <w:szCs w:val="16"/>
                <w:lang w:eastAsia="en-GB"/>
              </w:rPr>
              <w:t xml:space="preserve">-19 που δεν ετησιοποιείται - προς (/) Δάνεια μετά από προβλέψεις </w:t>
            </w:r>
          </w:p>
        </w:tc>
      </w:tr>
      <w:tr w:rsidR="00D31973" w:rsidRPr="00211659" w:rsidTr="003E2EED">
        <w:trPr>
          <w:trHeight w:val="375"/>
        </w:trPr>
        <w:tc>
          <w:tcPr>
            <w:tcW w:w="1155" w:type="dxa"/>
            <w:shd w:val="clear" w:color="auto" w:fill="auto"/>
            <w:vAlign w:val="center"/>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rPr>
            </w:pPr>
            <w:r w:rsidRPr="00211659">
              <w:rPr>
                <w:rFonts w:ascii="Calibri" w:eastAsia="Calibri" w:hAnsi="Calibri" w:cs="Calibri"/>
                <w:color w:val="002060"/>
                <w:sz w:val="16"/>
                <w:szCs w:val="16"/>
              </w:rPr>
              <w:t>7</w:t>
            </w: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Αποτέλεσμα προ (φόρων και) προβλέψεων</w:t>
            </w:r>
          </w:p>
        </w:tc>
        <w:tc>
          <w:tcPr>
            <w:tcW w:w="5070" w:type="dxa"/>
            <w:shd w:val="clear" w:color="auto" w:fill="auto"/>
            <w:vAlign w:val="center"/>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Times New Roman" w:hAnsi="Calibri" w:cs="Calibri"/>
                <w:sz w:val="16"/>
                <w:szCs w:val="16"/>
                <w:lang w:eastAsia="en-GB"/>
              </w:rPr>
              <w:t>Κέρδη προ προβλέψεων, απομειώσεων και φόρου εισοδήματος</w:t>
            </w:r>
          </w:p>
        </w:tc>
      </w:tr>
      <w:tr w:rsidR="00D31973" w:rsidRPr="00211659" w:rsidTr="003E2EED">
        <w:trPr>
          <w:trHeight w:val="375"/>
        </w:trPr>
        <w:tc>
          <w:tcPr>
            <w:tcW w:w="1155" w:type="dxa"/>
            <w:shd w:val="clear" w:color="auto" w:fill="auto"/>
            <w:vAlign w:val="center"/>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rPr>
            </w:pPr>
            <w:r w:rsidRPr="00211659">
              <w:rPr>
                <w:rFonts w:ascii="Calibri" w:eastAsia="Calibri" w:hAnsi="Calibri" w:cs="Calibri"/>
                <w:color w:val="002060"/>
                <w:sz w:val="16"/>
                <w:szCs w:val="16"/>
              </w:rPr>
              <w:t>8</w:t>
            </w: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 xml:space="preserve">Αποτέλεσμα (κέρδη) προ φόρων, εξαιρουμένης της επίπτωσης του </w:t>
            </w:r>
            <w:r w:rsidRPr="00847B30">
              <w:rPr>
                <w:rFonts w:ascii="Calibri" w:eastAsia="Calibri" w:hAnsi="Calibri" w:cs="Calibri"/>
                <w:color w:val="002060"/>
                <w:sz w:val="16"/>
                <w:szCs w:val="16"/>
                <w:lang w:val="en-US"/>
              </w:rPr>
              <w:t>COVID</w:t>
            </w:r>
            <w:r w:rsidRPr="00847B30">
              <w:rPr>
                <w:rFonts w:ascii="Calibri" w:eastAsia="Calibri" w:hAnsi="Calibri" w:cs="Calibri"/>
                <w:color w:val="002060"/>
                <w:sz w:val="16"/>
                <w:szCs w:val="16"/>
              </w:rPr>
              <w:t>-19</w:t>
            </w:r>
          </w:p>
        </w:tc>
        <w:tc>
          <w:tcPr>
            <w:tcW w:w="5070" w:type="dxa"/>
            <w:shd w:val="clear" w:color="auto" w:fill="auto"/>
            <w:vAlign w:val="center"/>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Times New Roman" w:hAnsi="Calibri" w:cs="Calibri"/>
                <w:sz w:val="16"/>
                <w:szCs w:val="16"/>
                <w:lang w:eastAsia="en-GB"/>
              </w:rPr>
              <w:t xml:space="preserve">Κέρδη / ζημία προ φόρου εισοδήματος, εξαιρουμένης της επίπτωσης από τον </w:t>
            </w:r>
            <w:r w:rsidRPr="00847B30">
              <w:rPr>
                <w:rFonts w:ascii="Calibri" w:eastAsia="Times New Roman" w:hAnsi="Calibri" w:cs="Calibri"/>
                <w:sz w:val="16"/>
                <w:szCs w:val="16"/>
                <w:lang w:val="en-US" w:eastAsia="en-GB"/>
              </w:rPr>
              <w:t>COVID</w:t>
            </w:r>
            <w:r w:rsidRPr="00847B30">
              <w:rPr>
                <w:rFonts w:ascii="Calibri" w:eastAsia="Times New Roman" w:hAnsi="Calibri" w:cs="Calibri"/>
                <w:sz w:val="16"/>
                <w:szCs w:val="16"/>
                <w:lang w:eastAsia="en-GB"/>
              </w:rPr>
              <w:t>-19 σύμφωνα με το στοιχείο #3</w:t>
            </w:r>
          </w:p>
        </w:tc>
      </w:tr>
      <w:tr w:rsidR="00D31973" w:rsidRPr="00211659" w:rsidTr="003E2EED">
        <w:trPr>
          <w:trHeight w:val="375"/>
        </w:trPr>
        <w:tc>
          <w:tcPr>
            <w:tcW w:w="1155" w:type="dxa"/>
            <w:shd w:val="clear" w:color="auto" w:fill="auto"/>
            <w:vAlign w:val="center"/>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rPr>
            </w:pPr>
            <w:r w:rsidRPr="00211659">
              <w:rPr>
                <w:rFonts w:ascii="Calibri" w:eastAsia="Calibri" w:hAnsi="Calibri" w:cs="Calibri"/>
                <w:color w:val="002060"/>
                <w:sz w:val="16"/>
                <w:szCs w:val="16"/>
              </w:rPr>
              <w:t>9</w:t>
            </w: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Βασικά τραπεζικά έσοδα μείον  Επαναλαμβανόμενα Λειτουργικά Έξοδα</w:t>
            </w:r>
          </w:p>
        </w:tc>
        <w:tc>
          <w:tcPr>
            <w:tcW w:w="5070" w:type="dxa"/>
            <w:shd w:val="clear" w:color="auto" w:fill="auto"/>
            <w:vAlign w:val="center"/>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Times New Roman" w:hAnsi="Calibri" w:cs="Calibri"/>
                <w:sz w:val="16"/>
                <w:szCs w:val="16"/>
                <w:lang w:eastAsia="en-GB"/>
              </w:rPr>
              <w:t xml:space="preserve">Καθαρά έσοδα τόκων συν (+) καθαρά έσοδα προμηθειών μείον (-) λειτουργικά έξοδα εξαιρουμένων των μη επαναλαμβανόμενων στοιχείων σύμφωνα με το στοιχείο #1  </w:t>
            </w:r>
          </w:p>
        </w:tc>
      </w:tr>
      <w:tr w:rsidR="00D31973" w:rsidRPr="00211659" w:rsidTr="003E2EED">
        <w:trPr>
          <w:trHeight w:val="375"/>
        </w:trPr>
        <w:tc>
          <w:tcPr>
            <w:tcW w:w="1155" w:type="dxa"/>
            <w:shd w:val="clear" w:color="auto" w:fill="auto"/>
            <w:vAlign w:val="center"/>
            <w:hideMark/>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rPr>
            </w:pPr>
            <w:r w:rsidRPr="00211659">
              <w:rPr>
                <w:rFonts w:ascii="Calibri" w:eastAsia="Calibri" w:hAnsi="Calibri" w:cs="Calibri"/>
                <w:color w:val="002060"/>
                <w:sz w:val="16"/>
                <w:szCs w:val="16"/>
                <w:lang/>
              </w:rPr>
              <w:t>10</w:t>
            </w:r>
          </w:p>
        </w:tc>
        <w:tc>
          <w:tcPr>
            <w:tcW w:w="2295" w:type="dxa"/>
            <w:shd w:val="clear" w:color="auto" w:fill="FFFFFF"/>
            <w:vAlign w:val="center"/>
            <w:hideMark/>
          </w:tcPr>
          <w:p w:rsidR="00D31973" w:rsidRPr="00847B30" w:rsidRDefault="00D31973" w:rsidP="003E2EED">
            <w:pPr>
              <w:spacing w:after="0" w:line="240" w:lineRule="auto"/>
              <w:textAlignment w:val="baseline"/>
              <w:rPr>
                <w:rFonts w:ascii="Calibri" w:eastAsia="Calibri" w:hAnsi="Calibri" w:cs="Calibri"/>
                <w:color w:val="002060"/>
                <w:sz w:val="16"/>
                <w:szCs w:val="16"/>
              </w:rPr>
            </w:pPr>
            <w:r w:rsidRPr="00847B30">
              <w:rPr>
                <w:rFonts w:ascii="Calibri" w:eastAsia="Calibri" w:hAnsi="Calibri" w:cs="Calibri"/>
                <w:color w:val="002060"/>
                <w:sz w:val="16"/>
                <w:szCs w:val="16"/>
                <w:lang/>
              </w:rPr>
              <w:t>ΔάνειαπροΠροβλέψεων</w:t>
            </w:r>
          </w:p>
        </w:tc>
        <w:tc>
          <w:tcPr>
            <w:tcW w:w="5070" w:type="dxa"/>
            <w:shd w:val="clear" w:color="auto" w:fill="auto"/>
            <w:vAlign w:val="center"/>
            <w:hideMark/>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Times New Roman" w:hAnsi="Calibri" w:cs="Calibri"/>
                <w:sz w:val="16"/>
                <w:szCs w:val="16"/>
                <w:lang w:eastAsia="en-GB"/>
              </w:rPr>
              <w:t>Δάνεια και απαιτήσεις κατά πελατών στο αποσβέσιμο κόστος προ αναμενόμενων πιστωτικών ζημιών</w:t>
            </w:r>
          </w:p>
        </w:tc>
      </w:tr>
      <w:tr w:rsidR="00D31973" w:rsidRPr="00211659" w:rsidTr="003E2EED">
        <w:trPr>
          <w:trHeight w:val="375"/>
        </w:trPr>
        <w:tc>
          <w:tcPr>
            <w:tcW w:w="1155" w:type="dxa"/>
            <w:shd w:val="clear" w:color="auto" w:fill="auto"/>
            <w:vAlign w:val="center"/>
            <w:hideMark/>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rPr>
            </w:pPr>
            <w:r w:rsidRPr="00211659">
              <w:rPr>
                <w:rFonts w:ascii="Calibri" w:eastAsia="Calibri" w:hAnsi="Calibri" w:cs="Calibri"/>
                <w:color w:val="002060"/>
                <w:sz w:val="16"/>
                <w:szCs w:val="16"/>
                <w:lang/>
              </w:rPr>
              <w:t>11</w:t>
            </w:r>
          </w:p>
        </w:tc>
        <w:tc>
          <w:tcPr>
            <w:tcW w:w="2295" w:type="dxa"/>
            <w:hideMark/>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 xml:space="preserve">Δάνειαμετά από Προβλέψεις </w:t>
            </w:r>
          </w:p>
        </w:tc>
        <w:tc>
          <w:tcPr>
            <w:tcW w:w="5070" w:type="dxa"/>
            <w:hideMark/>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Times New Roman" w:hAnsi="Calibri" w:cs="Calibri"/>
                <w:sz w:val="16"/>
                <w:szCs w:val="16"/>
                <w:lang w:eastAsia="en-GB"/>
              </w:rPr>
              <w:t xml:space="preserve">Δάνεια μετά από προβλέψεις στο αποσβέσιμο κόστος </w:t>
            </w:r>
          </w:p>
        </w:tc>
      </w:tr>
      <w:tr w:rsidR="00D31973" w:rsidRPr="00211659" w:rsidTr="003E2EED">
        <w:trPr>
          <w:trHeight w:val="375"/>
        </w:trPr>
        <w:tc>
          <w:tcPr>
            <w:tcW w:w="1155" w:type="dxa"/>
            <w:shd w:val="clear" w:color="auto" w:fill="auto"/>
            <w:vAlign w:val="center"/>
            <w:hideMark/>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lang/>
              </w:rPr>
            </w:pPr>
            <w:r w:rsidRPr="00211659">
              <w:rPr>
                <w:rFonts w:ascii="Calibri" w:eastAsia="Calibri" w:hAnsi="Calibri" w:cs="Calibri"/>
                <w:color w:val="002060"/>
                <w:sz w:val="16"/>
                <w:szCs w:val="16"/>
                <w:lang/>
              </w:rPr>
              <w:t>12</w:t>
            </w:r>
          </w:p>
        </w:tc>
        <w:tc>
          <w:tcPr>
            <w:tcW w:w="2295" w:type="dxa"/>
            <w:shd w:val="clear" w:color="auto" w:fill="auto"/>
            <w:vAlign w:val="center"/>
            <w:hideMark/>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Δείκτης δανείων προς καταθέσεις</w:t>
            </w:r>
          </w:p>
        </w:tc>
        <w:tc>
          <w:tcPr>
            <w:tcW w:w="5070" w:type="dxa"/>
            <w:shd w:val="clear" w:color="auto" w:fill="auto"/>
            <w:vAlign w:val="center"/>
            <w:hideMark/>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Times New Roman" w:hAnsi="Calibri" w:cs="Calibri"/>
                <w:sz w:val="16"/>
                <w:szCs w:val="16"/>
                <w:lang w:eastAsia="en-GB"/>
              </w:rPr>
              <w:t xml:space="preserve">Δάνεια μετά από προβλέψεις προς (/) Καταθέσεις  </w:t>
            </w:r>
          </w:p>
        </w:tc>
      </w:tr>
      <w:tr w:rsidR="00D31973" w:rsidRPr="00211659" w:rsidTr="003E2EED">
        <w:trPr>
          <w:trHeight w:val="375"/>
        </w:trPr>
        <w:tc>
          <w:tcPr>
            <w:tcW w:w="1155" w:type="dxa"/>
            <w:shd w:val="clear" w:color="auto" w:fill="auto"/>
            <w:vAlign w:val="center"/>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lang/>
              </w:rPr>
            </w:pPr>
            <w:r w:rsidRPr="00211659">
              <w:rPr>
                <w:rFonts w:ascii="Calibri" w:eastAsia="Calibri" w:hAnsi="Calibri" w:cs="Calibri"/>
                <w:color w:val="002060"/>
                <w:sz w:val="16"/>
                <w:szCs w:val="16"/>
                <w:lang/>
              </w:rPr>
              <w:t>13</w:t>
            </w: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Δείκτης Κάλυψης ΜΕΑ από αναμενόμενες πιστωτικές ζημιές</w:t>
            </w:r>
          </w:p>
        </w:tc>
        <w:tc>
          <w:tcPr>
            <w:tcW w:w="5070" w:type="dxa"/>
            <w:shd w:val="clear" w:color="auto" w:fill="auto"/>
            <w:vAlign w:val="center"/>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Times New Roman" w:hAnsi="Calibri" w:cs="Calibri"/>
                <w:sz w:val="16"/>
                <w:szCs w:val="16"/>
                <w:lang w:eastAsia="en-GB"/>
              </w:rPr>
              <w:t>Αναμενόμενες πιστωτικές ζημιές προς (/) ΜΕΑ</w:t>
            </w:r>
          </w:p>
        </w:tc>
      </w:tr>
      <w:tr w:rsidR="00D31973" w:rsidRPr="00211659" w:rsidTr="003E2EED">
        <w:trPr>
          <w:trHeight w:val="375"/>
        </w:trPr>
        <w:tc>
          <w:tcPr>
            <w:tcW w:w="1155" w:type="dxa"/>
            <w:shd w:val="clear" w:color="auto" w:fill="auto"/>
            <w:vAlign w:val="center"/>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lang/>
              </w:rPr>
            </w:pPr>
            <w:r w:rsidRPr="00211659">
              <w:rPr>
                <w:rFonts w:ascii="Calibri" w:eastAsia="Calibri" w:hAnsi="Calibri" w:cs="Calibri"/>
                <w:color w:val="002060"/>
                <w:sz w:val="16"/>
                <w:szCs w:val="16"/>
                <w:lang/>
              </w:rPr>
              <w:t>14</w:t>
            </w: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color w:val="002060"/>
                <w:sz w:val="16"/>
                <w:szCs w:val="16"/>
                <w:lang w:val="en-US"/>
              </w:rPr>
            </w:pPr>
            <w:r w:rsidRPr="00847B30">
              <w:rPr>
                <w:rFonts w:ascii="Calibri" w:eastAsia="Calibri" w:hAnsi="Calibri" w:cs="Calibri"/>
                <w:color w:val="002060"/>
                <w:sz w:val="16"/>
                <w:szCs w:val="16"/>
                <w:lang/>
              </w:rPr>
              <w:t>Δείκτης κάλυψης ρευστότητας (</w:t>
            </w:r>
            <w:r w:rsidRPr="00847B30">
              <w:rPr>
                <w:rFonts w:ascii="Calibri" w:eastAsia="Calibri" w:hAnsi="Calibri" w:cs="Calibri"/>
                <w:color w:val="002060"/>
                <w:sz w:val="16"/>
                <w:szCs w:val="16"/>
                <w:lang w:val="en-US"/>
              </w:rPr>
              <w:t>LCR)</w:t>
            </w:r>
          </w:p>
        </w:tc>
        <w:tc>
          <w:tcPr>
            <w:tcW w:w="5070" w:type="dxa"/>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Times New Roman" w:hAnsi="Calibri" w:cs="Calibri"/>
                <w:sz w:val="16"/>
                <w:szCs w:val="16"/>
                <w:lang w:eastAsia="en-GB"/>
              </w:rPr>
              <w:t>Ο δείκτης κάλυψης ρευστότητας είναι το ποσό του επαρκούς αποθέματος ασφαλείας ρευστότητας ώστε μια τράπεζα να επιβιώσει από ένα σημαντικό σενάριο ακραίων καταστάσεων που διαρκεί έναν μήνα</w:t>
            </w:r>
          </w:p>
        </w:tc>
      </w:tr>
      <w:tr w:rsidR="00D31973" w:rsidRPr="00211659" w:rsidTr="003E2EED">
        <w:trPr>
          <w:trHeight w:val="375"/>
        </w:trPr>
        <w:tc>
          <w:tcPr>
            <w:tcW w:w="1155" w:type="dxa"/>
            <w:shd w:val="clear" w:color="auto" w:fill="auto"/>
            <w:vAlign w:val="center"/>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lang/>
              </w:rPr>
            </w:pP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Δείκτης κόστους προς έσοδα (Επαναλαμβανόμενος)</w:t>
            </w:r>
          </w:p>
        </w:tc>
        <w:tc>
          <w:tcPr>
            <w:tcW w:w="5070" w:type="dxa"/>
            <w:shd w:val="clear" w:color="auto" w:fill="auto"/>
            <w:vAlign w:val="center"/>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Times New Roman" w:hAnsi="Calibri" w:cs="Calibri"/>
                <w:sz w:val="16"/>
                <w:szCs w:val="16"/>
                <w:lang w:eastAsia="en-GB"/>
              </w:rPr>
              <w:t>Σύνολο λειτουργικών εξόδων πριν από προβλέψεις προς (/) Συνολικά καθαρά έσοδα, εξαιρουμένων των εφάπαξ στοιχείων που σχετίζονται με την αντίστοιχη περίοδο, σύμφωνα με το στοιχείο #1</w:t>
            </w:r>
          </w:p>
        </w:tc>
      </w:tr>
      <w:tr w:rsidR="00D31973" w:rsidRPr="00211659" w:rsidTr="003E2EED">
        <w:trPr>
          <w:trHeight w:val="375"/>
        </w:trPr>
        <w:tc>
          <w:tcPr>
            <w:tcW w:w="1155" w:type="dxa"/>
            <w:shd w:val="clear" w:color="auto" w:fill="auto"/>
            <w:vAlign w:val="center"/>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lang/>
              </w:rPr>
            </w:pPr>
            <w:r w:rsidRPr="00211659">
              <w:rPr>
                <w:rFonts w:ascii="Calibri" w:eastAsia="Calibri" w:hAnsi="Calibri" w:cs="Calibri"/>
                <w:color w:val="002060"/>
                <w:sz w:val="16"/>
                <w:szCs w:val="16"/>
                <w:lang/>
              </w:rPr>
              <w:t>15</w:t>
            </w: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Δείκτης ΜΕΑ</w:t>
            </w:r>
          </w:p>
        </w:tc>
        <w:tc>
          <w:tcPr>
            <w:tcW w:w="5070" w:type="dxa"/>
            <w:shd w:val="clear" w:color="auto" w:fill="auto"/>
            <w:vAlign w:val="center"/>
          </w:tcPr>
          <w:p w:rsidR="00D31973" w:rsidRPr="00847B30" w:rsidRDefault="00D31973" w:rsidP="003E2EED">
            <w:pPr>
              <w:shd w:val="clear" w:color="auto" w:fill="FFFFFF"/>
              <w:spacing w:before="100" w:beforeAutospacing="1" w:after="100" w:afterAutospacing="1" w:line="240" w:lineRule="auto"/>
              <w:rPr>
                <w:rFonts w:ascii="Calibri" w:eastAsia="Times New Roman" w:hAnsi="Calibri" w:cs="Calibri"/>
                <w:sz w:val="16"/>
                <w:szCs w:val="16"/>
                <w:lang w:eastAsia="el-GR"/>
              </w:rPr>
            </w:pPr>
            <w:r w:rsidRPr="00847B30">
              <w:rPr>
                <w:rFonts w:ascii="Calibri" w:eastAsia="Times New Roman" w:hAnsi="Calibri" w:cs="Calibri"/>
                <w:sz w:val="16"/>
                <w:szCs w:val="16"/>
                <w:lang w:eastAsia="el-GR"/>
              </w:rPr>
              <w:t>Μη εξυπηρετούμεναανοίγματα προς (/) Δάνεια προ προβλέψεων</w:t>
            </w:r>
          </w:p>
        </w:tc>
      </w:tr>
      <w:tr w:rsidR="00D31973" w:rsidRPr="00211659" w:rsidTr="003E2EED">
        <w:trPr>
          <w:trHeight w:val="375"/>
        </w:trPr>
        <w:tc>
          <w:tcPr>
            <w:tcW w:w="1155" w:type="dxa"/>
            <w:shd w:val="clear" w:color="auto" w:fill="auto"/>
            <w:vAlign w:val="center"/>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lang/>
              </w:rPr>
            </w:pPr>
            <w:r w:rsidRPr="00211659">
              <w:rPr>
                <w:rFonts w:ascii="Calibri" w:eastAsia="Calibri" w:hAnsi="Calibri" w:cs="Calibri"/>
                <w:color w:val="002060"/>
                <w:sz w:val="16"/>
                <w:szCs w:val="16"/>
                <w:lang/>
              </w:rPr>
              <w:t>16</w:t>
            </w: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Εξυπηρετούμενα Δάνεια</w:t>
            </w:r>
          </w:p>
        </w:tc>
        <w:tc>
          <w:tcPr>
            <w:tcW w:w="5070" w:type="dxa"/>
            <w:shd w:val="clear" w:color="auto" w:fill="auto"/>
            <w:vAlign w:val="center"/>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Times New Roman" w:hAnsi="Calibri" w:cs="Calibri"/>
                <w:sz w:val="16"/>
                <w:szCs w:val="16"/>
                <w:lang w:eastAsia="en-GB"/>
              </w:rPr>
              <w:t>Δάνεια προ προβλέψεων μείον (-) ΜΕΑ</w:t>
            </w:r>
          </w:p>
        </w:tc>
      </w:tr>
      <w:tr w:rsidR="00D31973" w:rsidRPr="00211659" w:rsidTr="003E2EED">
        <w:trPr>
          <w:trHeight w:val="375"/>
        </w:trPr>
        <w:tc>
          <w:tcPr>
            <w:tcW w:w="1155" w:type="dxa"/>
            <w:shd w:val="clear" w:color="auto" w:fill="auto"/>
            <w:vAlign w:val="center"/>
            <w:hideMark/>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lang/>
              </w:rPr>
            </w:pPr>
            <w:r w:rsidRPr="00211659">
              <w:rPr>
                <w:rFonts w:ascii="Calibri" w:eastAsia="Calibri" w:hAnsi="Calibri" w:cs="Calibri"/>
                <w:color w:val="002060"/>
                <w:sz w:val="16"/>
                <w:szCs w:val="16"/>
                <w:lang/>
              </w:rPr>
              <w:t>17</w:t>
            </w:r>
          </w:p>
        </w:tc>
        <w:tc>
          <w:tcPr>
            <w:tcW w:w="2295" w:type="dxa"/>
            <w:shd w:val="clear" w:color="auto" w:fill="auto"/>
            <w:vAlign w:val="center"/>
            <w:hideMark/>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Έσοδα προ προβλέψεων σε επαναλαμβανόμενη βάση</w:t>
            </w:r>
          </w:p>
        </w:tc>
        <w:tc>
          <w:tcPr>
            <w:tcW w:w="5070" w:type="dxa"/>
            <w:shd w:val="clear" w:color="auto" w:fill="auto"/>
            <w:vAlign w:val="center"/>
            <w:hideMark/>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Times New Roman" w:hAnsi="Calibri" w:cs="Calibri"/>
                <w:sz w:val="16"/>
                <w:szCs w:val="16"/>
                <w:lang w:eastAsia="en-GB"/>
              </w:rPr>
              <w:t>Αποτελέσματα προ προβλέψεων, απομειώσεων και φόρου εισοδήματος, εξαιρουμένων των έκτακτων στοιχείων που σχετίζονται με την αντίστοιχη περίοδο, σύμφωνα με το στοιχείο #1</w:t>
            </w:r>
          </w:p>
        </w:tc>
      </w:tr>
      <w:tr w:rsidR="00D31973" w:rsidRPr="00211659" w:rsidTr="003E2EED">
        <w:trPr>
          <w:trHeight w:val="375"/>
        </w:trPr>
        <w:tc>
          <w:tcPr>
            <w:tcW w:w="1155" w:type="dxa"/>
            <w:shd w:val="clear" w:color="auto" w:fill="auto"/>
            <w:vAlign w:val="center"/>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lang/>
              </w:rPr>
            </w:pPr>
            <w:r w:rsidRPr="00211659">
              <w:rPr>
                <w:rFonts w:ascii="Calibri" w:eastAsia="Calibri" w:hAnsi="Calibri" w:cs="Calibri"/>
                <w:color w:val="002060"/>
                <w:sz w:val="16"/>
                <w:szCs w:val="16"/>
                <w:lang/>
              </w:rPr>
              <w:t>18</w:t>
            </w: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Έσοδα προ προβλέψεων σε συγκρίσιμη βάση</w:t>
            </w:r>
          </w:p>
        </w:tc>
        <w:tc>
          <w:tcPr>
            <w:tcW w:w="5070" w:type="dxa"/>
            <w:shd w:val="clear" w:color="auto" w:fill="auto"/>
            <w:vAlign w:val="center"/>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Times New Roman" w:hAnsi="Calibri" w:cs="Calibri"/>
                <w:sz w:val="16"/>
                <w:szCs w:val="16"/>
                <w:lang w:eastAsia="en-GB"/>
              </w:rPr>
              <w:t xml:space="preserve">Αποτελέσματα προ προβλέψεων, απομειώσεων και φόρου εισοδήματος, εξαιρουμένης της επίπτωσης του </w:t>
            </w:r>
            <w:r w:rsidRPr="00847B30">
              <w:rPr>
                <w:rFonts w:ascii="Calibri" w:eastAsia="Times New Roman" w:hAnsi="Calibri" w:cs="Calibri"/>
                <w:sz w:val="16"/>
                <w:szCs w:val="16"/>
                <w:lang w:val="en-US" w:eastAsia="en-GB"/>
              </w:rPr>
              <w:t>COVID</w:t>
            </w:r>
            <w:r w:rsidRPr="00847B30">
              <w:rPr>
                <w:rFonts w:ascii="Calibri" w:eastAsia="Times New Roman" w:hAnsi="Calibri" w:cs="Calibri"/>
                <w:sz w:val="16"/>
                <w:szCs w:val="16"/>
                <w:lang w:eastAsia="en-GB"/>
              </w:rPr>
              <w:t>-19 σύμφωνα με το στοιχείο #3 και της προμήθειας διαχείρισης προς τ</w:t>
            </w:r>
            <w:r w:rsidRPr="00847B30">
              <w:rPr>
                <w:rFonts w:ascii="Calibri" w:eastAsia="Times New Roman" w:hAnsi="Calibri" w:cs="Calibri"/>
                <w:iCs/>
                <w:sz w:val="16"/>
                <w:szCs w:val="16"/>
                <w:lang w:eastAsia="en-GB"/>
              </w:rPr>
              <w:t>ον διαχειριστή των ΜΕΑ σύμφωνα με το στοιχείο #23</w:t>
            </w:r>
          </w:p>
        </w:tc>
      </w:tr>
      <w:tr w:rsidR="00D31973" w:rsidRPr="00211659" w:rsidTr="003E2EED">
        <w:trPr>
          <w:trHeight w:val="375"/>
        </w:trPr>
        <w:tc>
          <w:tcPr>
            <w:tcW w:w="1155" w:type="dxa"/>
            <w:shd w:val="clear" w:color="auto" w:fill="auto"/>
            <w:vAlign w:val="center"/>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lang/>
              </w:rPr>
            </w:pPr>
            <w:r w:rsidRPr="00211659">
              <w:rPr>
                <w:rFonts w:ascii="Calibri" w:eastAsia="Calibri" w:hAnsi="Calibri" w:cs="Calibri"/>
                <w:color w:val="002060"/>
                <w:sz w:val="16"/>
                <w:szCs w:val="16"/>
                <w:lang/>
              </w:rPr>
              <w:t>17</w:t>
            </w: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Καθαρό περιθώριο επιτοκίου (NIM)</w:t>
            </w:r>
          </w:p>
        </w:tc>
        <w:tc>
          <w:tcPr>
            <w:tcW w:w="5070" w:type="dxa"/>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Times New Roman" w:hAnsi="Calibri" w:cs="Calibri"/>
                <w:sz w:val="16"/>
                <w:szCs w:val="16"/>
                <w:lang w:eastAsia="en-GB"/>
              </w:rPr>
              <w:t xml:space="preserve">Καθαρά έσοδα τόκων σε ετησιοποιημένη βάση προς (/) Συνολικό προσαρμοσμένο ενεργητικό σύμφωνα με το στοιχείο #2 </w:t>
            </w:r>
          </w:p>
        </w:tc>
      </w:tr>
      <w:tr w:rsidR="00D31973" w:rsidRPr="00211659" w:rsidTr="003E2EED">
        <w:trPr>
          <w:trHeight w:val="375"/>
        </w:trPr>
        <w:tc>
          <w:tcPr>
            <w:tcW w:w="1155" w:type="dxa"/>
            <w:shd w:val="clear" w:color="auto" w:fill="auto"/>
            <w:vAlign w:val="center"/>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lang/>
              </w:rPr>
            </w:pPr>
            <w:r w:rsidRPr="00211659">
              <w:rPr>
                <w:rFonts w:ascii="Calibri" w:eastAsia="Calibri" w:hAnsi="Calibri" w:cs="Calibri"/>
                <w:color w:val="002060"/>
                <w:sz w:val="16"/>
                <w:szCs w:val="16"/>
                <w:lang/>
              </w:rPr>
              <w:t>18</w:t>
            </w: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Καθαρά έσοδα</w:t>
            </w:r>
          </w:p>
        </w:tc>
        <w:tc>
          <w:tcPr>
            <w:tcW w:w="5070" w:type="dxa"/>
            <w:shd w:val="clear" w:color="auto" w:fill="auto"/>
            <w:vAlign w:val="center"/>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Times New Roman" w:hAnsi="Calibri" w:cs="Calibri"/>
                <w:sz w:val="16"/>
                <w:szCs w:val="16"/>
                <w:lang w:eastAsia="en-GB"/>
              </w:rPr>
              <w:t>Σύνολο καθαρών εσόδων</w:t>
            </w:r>
          </w:p>
        </w:tc>
      </w:tr>
      <w:tr w:rsidR="00D31973" w:rsidRPr="00211659" w:rsidTr="003E2EED">
        <w:trPr>
          <w:trHeight w:val="375"/>
        </w:trPr>
        <w:tc>
          <w:tcPr>
            <w:tcW w:w="1155" w:type="dxa"/>
            <w:shd w:val="clear" w:color="auto" w:fill="auto"/>
            <w:vAlign w:val="center"/>
          </w:tcPr>
          <w:p w:rsidR="00D31973" w:rsidRPr="003C4AC0" w:rsidRDefault="00D31973" w:rsidP="003E2EED">
            <w:pPr>
              <w:spacing w:after="0" w:line="240" w:lineRule="auto"/>
              <w:ind w:left="-105" w:right="-135"/>
              <w:jc w:val="center"/>
              <w:textAlignment w:val="baseline"/>
              <w:rPr>
                <w:rFonts w:ascii="Calibri" w:eastAsia="Calibri" w:hAnsi="Calibri" w:cs="Calibri"/>
                <w:color w:val="002060"/>
                <w:sz w:val="16"/>
                <w:szCs w:val="16"/>
                <w:highlight w:val="green"/>
                <w:lang/>
              </w:rPr>
            </w:pPr>
            <w:r w:rsidRPr="00847B30">
              <w:rPr>
                <w:rFonts w:ascii="Calibri" w:eastAsia="Calibri" w:hAnsi="Calibri" w:cs="Calibri"/>
                <w:color w:val="002060"/>
                <w:sz w:val="16"/>
                <w:szCs w:val="16"/>
                <w:lang/>
              </w:rPr>
              <w:lastRenderedPageBreak/>
              <w:t>19</w:t>
            </w: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color w:val="002060"/>
                <w:sz w:val="16"/>
                <w:szCs w:val="16"/>
              </w:rPr>
            </w:pPr>
            <w:r w:rsidRPr="00847B30">
              <w:rPr>
                <w:rFonts w:ascii="Calibri" w:eastAsia="Calibri" w:hAnsi="Calibri" w:cs="Calibri"/>
                <w:color w:val="002060"/>
                <w:sz w:val="16"/>
                <w:szCs w:val="16"/>
              </w:rPr>
              <w:t xml:space="preserve">Καθαρό κέρδος </w:t>
            </w:r>
          </w:p>
        </w:tc>
        <w:tc>
          <w:tcPr>
            <w:tcW w:w="5070" w:type="dxa"/>
            <w:shd w:val="clear" w:color="auto" w:fill="auto"/>
            <w:vAlign w:val="center"/>
          </w:tcPr>
          <w:p w:rsidR="00D31973" w:rsidRPr="00847B30" w:rsidRDefault="00D31973" w:rsidP="003E2EED">
            <w:pPr>
              <w:shd w:val="clear" w:color="auto" w:fill="FFFFFF"/>
              <w:spacing w:before="100" w:beforeAutospacing="1" w:after="100" w:afterAutospacing="1" w:line="240" w:lineRule="auto"/>
              <w:rPr>
                <w:rFonts w:ascii="Calibri" w:eastAsia="Times New Roman" w:hAnsi="Calibri" w:cs="Calibri"/>
                <w:sz w:val="16"/>
                <w:szCs w:val="16"/>
                <w:lang w:eastAsia="el-GR"/>
              </w:rPr>
            </w:pPr>
            <w:r w:rsidRPr="00847B30">
              <w:rPr>
                <w:rFonts w:ascii="Calibri" w:eastAsia="Times New Roman" w:hAnsi="Calibri" w:cs="Calibri"/>
                <w:sz w:val="16"/>
                <w:szCs w:val="16"/>
                <w:lang w:eastAsia="el-GR"/>
              </w:rPr>
              <w:t>Κέρδη/(Ζημίες) από συνεχιζόμενες δραστηριότητες αναλογούντα στους μετόχους της Τράπεζας</w:t>
            </w:r>
          </w:p>
        </w:tc>
      </w:tr>
      <w:tr w:rsidR="00D31973" w:rsidRPr="00211659" w:rsidTr="003E2EED">
        <w:trPr>
          <w:trHeight w:val="375"/>
        </w:trPr>
        <w:tc>
          <w:tcPr>
            <w:tcW w:w="1155" w:type="dxa"/>
            <w:shd w:val="clear" w:color="auto" w:fill="auto"/>
            <w:vAlign w:val="center"/>
            <w:hideMark/>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lang/>
              </w:rPr>
            </w:pPr>
            <w:r w:rsidRPr="00483157">
              <w:rPr>
                <w:rFonts w:ascii="Calibri" w:eastAsia="Calibri" w:hAnsi="Calibri" w:cs="Calibri"/>
                <w:color w:val="002060"/>
                <w:sz w:val="16"/>
                <w:szCs w:val="16"/>
                <w:lang/>
              </w:rPr>
              <w:t>20</w:t>
            </w:r>
          </w:p>
        </w:tc>
        <w:tc>
          <w:tcPr>
            <w:tcW w:w="2295" w:type="dxa"/>
            <w:shd w:val="clear" w:color="auto" w:fill="auto"/>
            <w:vAlign w:val="center"/>
            <w:hideMark/>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Καταθέσεις ή Καταθέσεις Πελατών</w:t>
            </w:r>
          </w:p>
        </w:tc>
        <w:tc>
          <w:tcPr>
            <w:tcW w:w="5070" w:type="dxa"/>
            <w:shd w:val="clear" w:color="auto" w:fill="auto"/>
            <w:vAlign w:val="center"/>
            <w:hideMark/>
          </w:tcPr>
          <w:p w:rsidR="00D31973" w:rsidRPr="00847B30" w:rsidRDefault="00D31973" w:rsidP="003E2EED">
            <w:pPr>
              <w:shd w:val="clear" w:color="auto" w:fill="FFFFFF"/>
              <w:spacing w:before="100" w:beforeAutospacing="1" w:after="100" w:afterAutospacing="1" w:line="240" w:lineRule="auto"/>
              <w:rPr>
                <w:rFonts w:ascii="Calibri" w:eastAsia="Times New Roman" w:hAnsi="Calibri" w:cs="Calibri"/>
                <w:sz w:val="16"/>
                <w:szCs w:val="16"/>
                <w:lang w:eastAsia="el-GR"/>
              </w:rPr>
            </w:pPr>
            <w:r w:rsidRPr="00847B30">
              <w:rPr>
                <w:rFonts w:ascii="Calibri" w:eastAsia="Times New Roman" w:hAnsi="Calibri" w:cs="Calibri"/>
                <w:sz w:val="16"/>
                <w:szCs w:val="16"/>
                <w:lang w:eastAsia="el-GR"/>
              </w:rPr>
              <w:t>Υποχρεώσεις προς πελάτες</w:t>
            </w:r>
          </w:p>
        </w:tc>
      </w:tr>
      <w:tr w:rsidR="00D31973" w:rsidRPr="00211659" w:rsidTr="003E2EED">
        <w:trPr>
          <w:trHeight w:val="375"/>
        </w:trPr>
        <w:tc>
          <w:tcPr>
            <w:tcW w:w="1155" w:type="dxa"/>
            <w:shd w:val="clear" w:color="auto" w:fill="auto"/>
            <w:vAlign w:val="center"/>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lang/>
              </w:rPr>
            </w:pPr>
            <w:r>
              <w:rPr>
                <w:rFonts w:ascii="Calibri" w:eastAsia="Calibri" w:hAnsi="Calibri" w:cs="Calibri"/>
                <w:color w:val="002060"/>
                <w:sz w:val="16"/>
                <w:szCs w:val="16"/>
                <w:lang/>
              </w:rPr>
              <w:t>21</w:t>
            </w: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color w:val="002060"/>
                <w:sz w:val="16"/>
                <w:szCs w:val="16"/>
              </w:rPr>
            </w:pPr>
            <w:r w:rsidRPr="00847B30">
              <w:rPr>
                <w:rFonts w:ascii="Calibri" w:eastAsia="Calibri" w:hAnsi="Calibri" w:cs="Calibri"/>
                <w:color w:val="002060"/>
                <w:sz w:val="16"/>
                <w:szCs w:val="16"/>
              </w:rPr>
              <w:t xml:space="preserve">Καταθέσεις Ιδιωτικού Τομέα </w:t>
            </w:r>
          </w:p>
        </w:tc>
        <w:tc>
          <w:tcPr>
            <w:tcW w:w="5070" w:type="dxa"/>
            <w:shd w:val="clear" w:color="auto" w:fill="auto"/>
            <w:vAlign w:val="center"/>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Times New Roman" w:hAnsi="Calibri" w:cs="Calibri"/>
                <w:sz w:val="16"/>
                <w:szCs w:val="16"/>
                <w:lang w:eastAsia="en-GB"/>
              </w:rPr>
              <w:t>Καταθέσεις πελατών εξαιρουμένων των καταθέσεων του Ελληνικού Δημοσίου στην Τράπεζα Πειραιώς</w:t>
            </w:r>
          </w:p>
        </w:tc>
      </w:tr>
      <w:tr w:rsidR="00D31973" w:rsidRPr="00211659" w:rsidTr="003E2EED">
        <w:trPr>
          <w:trHeight w:val="375"/>
        </w:trPr>
        <w:tc>
          <w:tcPr>
            <w:tcW w:w="1155" w:type="dxa"/>
            <w:shd w:val="clear" w:color="auto" w:fill="auto"/>
            <w:vAlign w:val="center"/>
          </w:tcPr>
          <w:p w:rsidR="00D31973" w:rsidRPr="00051507" w:rsidRDefault="00D31973" w:rsidP="003E2EED">
            <w:pPr>
              <w:spacing w:after="0" w:line="240" w:lineRule="auto"/>
              <w:ind w:left="-105" w:right="-135"/>
              <w:jc w:val="center"/>
              <w:textAlignment w:val="baseline"/>
              <w:rPr>
                <w:rFonts w:ascii="Calibri" w:eastAsia="Calibri" w:hAnsi="Calibri" w:cs="Calibri"/>
                <w:color w:val="002060"/>
                <w:sz w:val="16"/>
                <w:szCs w:val="16"/>
                <w:lang/>
              </w:rPr>
            </w:pPr>
            <w:r w:rsidRPr="00051507">
              <w:rPr>
                <w:rFonts w:ascii="Calibri" w:eastAsia="Calibri" w:hAnsi="Calibri" w:cs="Calibri"/>
                <w:color w:val="002060"/>
                <w:sz w:val="16"/>
                <w:szCs w:val="16"/>
                <w:lang/>
              </w:rPr>
              <w:t>22</w:t>
            </w: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Λειτουργικά Έξοδα (</w:t>
            </w:r>
            <w:r w:rsidRPr="00847B30">
              <w:rPr>
                <w:rFonts w:ascii="Calibri" w:eastAsia="Calibri" w:hAnsi="Calibri" w:cs="Calibri"/>
                <w:color w:val="002060"/>
                <w:sz w:val="16"/>
                <w:szCs w:val="16"/>
              </w:rPr>
              <w:t>κόστος)</w:t>
            </w:r>
          </w:p>
        </w:tc>
        <w:tc>
          <w:tcPr>
            <w:tcW w:w="5070" w:type="dxa"/>
            <w:shd w:val="clear" w:color="auto" w:fill="auto"/>
            <w:vAlign w:val="center"/>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Times New Roman" w:hAnsi="Calibri" w:cs="Calibri"/>
                <w:sz w:val="16"/>
                <w:szCs w:val="16"/>
                <w:lang w:eastAsia="en-GB"/>
              </w:rPr>
              <w:t xml:space="preserve">Σύνολο λειτουργικών εξόδων πριν από τις προβλέψεις </w:t>
            </w:r>
          </w:p>
        </w:tc>
      </w:tr>
      <w:tr w:rsidR="00D31973" w:rsidRPr="00211659" w:rsidTr="003E2EED">
        <w:trPr>
          <w:trHeight w:val="375"/>
        </w:trPr>
        <w:tc>
          <w:tcPr>
            <w:tcW w:w="1155" w:type="dxa"/>
            <w:shd w:val="clear" w:color="auto" w:fill="auto"/>
            <w:vAlign w:val="center"/>
          </w:tcPr>
          <w:p w:rsidR="00D31973" w:rsidRPr="00211659" w:rsidRDefault="00D31973" w:rsidP="003E2EED">
            <w:pPr>
              <w:spacing w:after="0" w:line="240" w:lineRule="auto"/>
              <w:ind w:left="-105" w:right="-135"/>
              <w:jc w:val="center"/>
              <w:textAlignment w:val="baseline"/>
              <w:rPr>
                <w:rFonts w:ascii="Calibri" w:eastAsia="Calibri" w:hAnsi="Calibri" w:cs="Calibri"/>
                <w:sz w:val="16"/>
                <w:szCs w:val="16"/>
                <w:lang/>
              </w:rPr>
            </w:pPr>
            <w:r w:rsidRPr="00051507">
              <w:rPr>
                <w:rFonts w:ascii="Calibri" w:eastAsia="Calibri" w:hAnsi="Calibri" w:cs="Calibri"/>
                <w:color w:val="002060"/>
                <w:sz w:val="16"/>
                <w:szCs w:val="16"/>
                <w:lang/>
              </w:rPr>
              <w:t>23</w:t>
            </w: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Λειτουργικά Έξοδα (κόστος) σε συγκρίσιμη βάση</w:t>
            </w:r>
          </w:p>
        </w:tc>
        <w:tc>
          <w:tcPr>
            <w:tcW w:w="5070"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b/>
                <w:color w:val="002060"/>
                <w:sz w:val="16"/>
                <w:szCs w:val="16"/>
                <w:lang/>
              </w:rPr>
            </w:pPr>
            <w:r w:rsidRPr="00847B30">
              <w:rPr>
                <w:rFonts w:ascii="Calibri" w:eastAsia="Calibri" w:hAnsi="Calibri" w:cs="Calibri"/>
                <w:sz w:val="16"/>
                <w:szCs w:val="16"/>
                <w:lang/>
              </w:rPr>
              <w:t>Σύνολο λειτουργικών εξόδων πριν από τις προβλέψεις, εξαιρουμένης της προμήθειας διαχείρισης στον διαχειριστή ΜΕΑ το 1ο  και 2ο 3μηνο του 2020 ύψους €12 εκατ. και €11 εκατ. αντίστοιχα που καταγράφηκε στα έξοδα διοικητικής λειτουργίας</w:t>
            </w:r>
          </w:p>
        </w:tc>
      </w:tr>
      <w:tr w:rsidR="00D31973" w:rsidRPr="00211659" w:rsidTr="003E2EED">
        <w:trPr>
          <w:trHeight w:val="375"/>
        </w:trPr>
        <w:tc>
          <w:tcPr>
            <w:tcW w:w="1155" w:type="dxa"/>
            <w:shd w:val="clear" w:color="auto" w:fill="auto"/>
            <w:vAlign w:val="center"/>
            <w:hideMark/>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lang/>
              </w:rPr>
            </w:pPr>
            <w:r>
              <w:rPr>
                <w:rFonts w:ascii="Calibri" w:eastAsia="Calibri" w:hAnsi="Calibri" w:cs="Calibri"/>
                <w:color w:val="002060"/>
                <w:sz w:val="16"/>
                <w:szCs w:val="16"/>
                <w:lang/>
              </w:rPr>
              <w:t>24</w:t>
            </w: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Λειτουργικά Έξοδα (Επαναλαμβανόμενα)</w:t>
            </w:r>
          </w:p>
        </w:tc>
        <w:tc>
          <w:tcPr>
            <w:tcW w:w="5070" w:type="dxa"/>
            <w:shd w:val="clear" w:color="auto" w:fill="FFFFFF"/>
            <w:vAlign w:val="center"/>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Calibri" w:hAnsi="Calibri" w:cs="Calibri"/>
                <w:sz w:val="16"/>
                <w:szCs w:val="16"/>
                <w:lang/>
              </w:rPr>
              <w:t>Λειτουργικά έξοδα εξαιρουμένων των εφάπαξ στοιχείων σύμφωνα με το στοιχείο #1</w:t>
            </w:r>
          </w:p>
        </w:tc>
      </w:tr>
      <w:tr w:rsidR="00D31973" w:rsidRPr="00211659" w:rsidTr="003E2EED">
        <w:trPr>
          <w:trHeight w:val="315"/>
        </w:trPr>
        <w:tc>
          <w:tcPr>
            <w:tcW w:w="1155" w:type="dxa"/>
            <w:shd w:val="clear" w:color="auto" w:fill="auto"/>
            <w:vAlign w:val="center"/>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lang/>
              </w:rPr>
            </w:pPr>
            <w:r>
              <w:rPr>
                <w:rFonts w:ascii="Calibri" w:eastAsia="Calibri" w:hAnsi="Calibri" w:cs="Calibri"/>
                <w:color w:val="002060"/>
                <w:sz w:val="16"/>
                <w:szCs w:val="16"/>
                <w:lang/>
              </w:rPr>
              <w:t>25</w:t>
            </w: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Calibri" w:hAnsi="Calibri" w:cs="Calibri"/>
                <w:color w:val="002060"/>
                <w:sz w:val="16"/>
                <w:szCs w:val="16"/>
                <w:lang/>
              </w:rPr>
              <w:t>LCR (Δείκτης Κάλυψης Ρευστότητας)</w:t>
            </w:r>
          </w:p>
        </w:tc>
        <w:tc>
          <w:tcPr>
            <w:tcW w:w="5070" w:type="dxa"/>
            <w:shd w:val="clear" w:color="auto" w:fill="auto"/>
            <w:vAlign w:val="center"/>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Calibri" w:hAnsi="Calibri" w:cs="Calibri"/>
                <w:sz w:val="16"/>
                <w:szCs w:val="16"/>
                <w:lang/>
              </w:rPr>
              <w:t>Δείκτης κάλυψης ρευστότητας είναι το ποσό του επαρκούς αποθέματος ασφαλείας ρευστότητας για μια τράπεζα να επιβιώσει ένα σημαντικό σενάριο ακραίων καταστάσεων διάρκειας ενός μηνός</w:t>
            </w:r>
          </w:p>
        </w:tc>
      </w:tr>
      <w:tr w:rsidR="00D31973" w:rsidRPr="00211659" w:rsidTr="003E2EED">
        <w:trPr>
          <w:trHeight w:val="315"/>
        </w:trPr>
        <w:tc>
          <w:tcPr>
            <w:tcW w:w="1155" w:type="dxa"/>
            <w:shd w:val="clear" w:color="auto" w:fill="auto"/>
            <w:vAlign w:val="center"/>
            <w:hideMark/>
          </w:tcPr>
          <w:p w:rsidR="00D31973" w:rsidRPr="00211659" w:rsidRDefault="00D31973" w:rsidP="003E2EED">
            <w:pPr>
              <w:spacing w:after="0" w:line="240" w:lineRule="auto"/>
              <w:ind w:left="-105" w:right="-135"/>
              <w:jc w:val="center"/>
              <w:textAlignment w:val="baseline"/>
              <w:rPr>
                <w:rFonts w:ascii="Calibri" w:eastAsia="Calibri" w:hAnsi="Calibri" w:cs="Calibri"/>
                <w:color w:val="002060"/>
                <w:sz w:val="16"/>
                <w:szCs w:val="16"/>
                <w:lang/>
              </w:rPr>
            </w:pPr>
            <w:r>
              <w:rPr>
                <w:rFonts w:ascii="Calibri" w:eastAsia="Calibri" w:hAnsi="Calibri" w:cs="Calibri"/>
                <w:color w:val="002060"/>
                <w:sz w:val="16"/>
                <w:szCs w:val="16"/>
                <w:lang/>
              </w:rPr>
              <w:t>26</w:t>
            </w:r>
          </w:p>
        </w:tc>
        <w:tc>
          <w:tcPr>
            <w:tcW w:w="2295" w:type="dxa"/>
            <w:shd w:val="clear" w:color="auto" w:fill="auto"/>
            <w:vAlign w:val="center"/>
            <w:hideMark/>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Μη Εξυπηρετούμενα Ανοίγματα (MEA - NPE)</w:t>
            </w:r>
          </w:p>
        </w:tc>
        <w:tc>
          <w:tcPr>
            <w:tcW w:w="5070" w:type="dxa"/>
            <w:shd w:val="clear" w:color="auto" w:fill="auto"/>
            <w:vAlign w:val="center"/>
            <w:hideMark/>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Times New Roman" w:hAnsi="Calibri" w:cs="Calibri"/>
                <w:sz w:val="16"/>
                <w:szCs w:val="16"/>
                <w:lang w:eastAsia="en-GB"/>
              </w:rPr>
              <w:t>Πιστοδοτικά ανοίγματα εντός ισολογισμού προ προβλέψεων, τα οποία: (α) έχουν καθυστέρηση άνω των 90 ημερών (β) έχουν υποστεί απομείωση ή ο οφειλέτης κρίνεται απίθανο να αποπληρώσει τις υποχρεώσεις (UTP) του πλήρως χωρίς τη ρευστοποίηση καλυμμάτων, ανεξάρτητα από την ύπαρξη ποσού σε καθυστέρηση ή του αριθμού των ημερών καθυστέρησης (γ) έχουν υποστεί ρύθμιση και δεν έχει εκπνεύσει η περίοδος παρακολούθησης κατά τις προδιαγραφές της Ευρωπαϊκής Τραπεζικής Αρχής (δ) έχουν επιμόλυνση από τα (α) ποσά, κατά τις προδιαγραφές της Ευρωπαϊκής Τραπεζικής Αρχής ή UTP.</w:t>
            </w:r>
          </w:p>
        </w:tc>
      </w:tr>
      <w:tr w:rsidR="00D31973" w:rsidRPr="00211659" w:rsidTr="003E2EED">
        <w:trPr>
          <w:trHeight w:val="315"/>
        </w:trPr>
        <w:tc>
          <w:tcPr>
            <w:tcW w:w="1155" w:type="dxa"/>
            <w:shd w:val="clear" w:color="auto" w:fill="auto"/>
            <w:vAlign w:val="center"/>
          </w:tcPr>
          <w:p w:rsidR="00D31973" w:rsidRDefault="00D31973" w:rsidP="003E2EED">
            <w:pPr>
              <w:spacing w:after="0" w:line="240" w:lineRule="auto"/>
              <w:ind w:left="-105" w:right="-135"/>
              <w:jc w:val="center"/>
              <w:textAlignment w:val="baseline"/>
              <w:rPr>
                <w:rFonts w:ascii="Calibri" w:eastAsia="Calibri" w:hAnsi="Calibri" w:cs="Calibri"/>
                <w:color w:val="002060"/>
                <w:sz w:val="16"/>
                <w:szCs w:val="16"/>
                <w:lang/>
              </w:rPr>
            </w:pPr>
            <w:r>
              <w:rPr>
                <w:rFonts w:ascii="Calibri" w:eastAsia="Calibri" w:hAnsi="Calibri" w:cs="Calibri"/>
                <w:color w:val="002060"/>
                <w:sz w:val="16"/>
                <w:szCs w:val="16"/>
                <w:lang/>
              </w:rPr>
              <w:t>27</w:t>
            </w:r>
          </w:p>
        </w:tc>
        <w:tc>
          <w:tcPr>
            <w:tcW w:w="2295" w:type="dxa"/>
            <w:shd w:val="clear" w:color="auto" w:fill="auto"/>
            <w:vAlign w:val="center"/>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 xml:space="preserve">Pro-forma Συνολικός Δείκτης Κεφαλαιακής Επάρκειας </w:t>
            </w:r>
          </w:p>
        </w:tc>
        <w:tc>
          <w:tcPr>
            <w:tcW w:w="5070" w:type="dxa"/>
            <w:shd w:val="clear" w:color="auto" w:fill="FFFFFF"/>
            <w:vAlign w:val="center"/>
          </w:tcPr>
          <w:p w:rsidR="00D31973" w:rsidRPr="00847B30" w:rsidRDefault="00D31973" w:rsidP="003E2EED">
            <w:pPr>
              <w:spacing w:after="0" w:line="240" w:lineRule="auto"/>
              <w:textAlignment w:val="baseline"/>
              <w:rPr>
                <w:rFonts w:ascii="Calibri" w:eastAsia="Calibri" w:hAnsi="Calibri" w:cs="Calibri"/>
                <w:b/>
                <w:color w:val="002060"/>
                <w:sz w:val="16"/>
                <w:szCs w:val="16"/>
                <w:lang/>
              </w:rPr>
            </w:pPr>
            <w:r w:rsidRPr="00847B30">
              <w:rPr>
                <w:rFonts w:ascii="Calibri" w:eastAsia="Times New Roman" w:hAnsi="Calibri" w:cs="Calibri"/>
                <w:sz w:val="16"/>
                <w:szCs w:val="16"/>
                <w:lang w:eastAsia="en-GB"/>
              </w:rPr>
              <w:t xml:space="preserve">Συνολικά εποπτικά κεφάλαια, όπως ορίζονται από την Οδηγία (EU) No 575/2013, προσθέτοντας (+) στον αριθμητή την αναμενόμενη μεταβολή της προληπτικής αποτίμησης του λογισμικού (περίπου €30 εκατ.) και αφαιρώντας (-) €0,2δις από τον παρονομαστή για την αναμενόμενη ελάφρυνση του σταθμισμένου έναντι κινδύνων ενεργητικού από τις πωλήσεις χαρτοφυλακίων δανείων ΜΕΑ </w:t>
            </w:r>
          </w:p>
        </w:tc>
      </w:tr>
      <w:tr w:rsidR="00D31973" w:rsidRPr="00211659" w:rsidTr="003E2EED">
        <w:trPr>
          <w:trHeight w:val="315"/>
        </w:trPr>
        <w:tc>
          <w:tcPr>
            <w:tcW w:w="1155" w:type="dxa"/>
            <w:shd w:val="clear" w:color="auto" w:fill="auto"/>
            <w:vAlign w:val="center"/>
          </w:tcPr>
          <w:p w:rsidR="00D31973" w:rsidRDefault="00D31973" w:rsidP="003E2EED">
            <w:pPr>
              <w:spacing w:after="0" w:line="240" w:lineRule="auto"/>
              <w:ind w:left="-105" w:right="-135"/>
              <w:jc w:val="center"/>
              <w:textAlignment w:val="baseline"/>
              <w:rPr>
                <w:rFonts w:ascii="Calibri" w:eastAsia="Calibri" w:hAnsi="Calibri" w:cs="Calibri"/>
                <w:color w:val="002060"/>
                <w:sz w:val="16"/>
                <w:szCs w:val="16"/>
                <w:lang/>
              </w:rPr>
            </w:pPr>
            <w:r>
              <w:rPr>
                <w:rFonts w:ascii="Calibri" w:eastAsia="Calibri" w:hAnsi="Calibri" w:cs="Calibri"/>
                <w:color w:val="002060"/>
                <w:sz w:val="16"/>
                <w:szCs w:val="16"/>
                <w:lang/>
              </w:rPr>
              <w:t>28</w:t>
            </w:r>
          </w:p>
        </w:tc>
        <w:tc>
          <w:tcPr>
            <w:tcW w:w="2295" w:type="dxa"/>
            <w:shd w:val="clear" w:color="auto" w:fill="auto"/>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Pro-forma Δείκτης Κεφαλαιακής Επάρκειας CET-1</w:t>
            </w:r>
          </w:p>
        </w:tc>
        <w:tc>
          <w:tcPr>
            <w:tcW w:w="5070" w:type="dxa"/>
            <w:shd w:val="clear" w:color="auto" w:fill="FFFFFF"/>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sidRPr="00847B30">
              <w:rPr>
                <w:rFonts w:ascii="Calibri" w:eastAsia="Times New Roman" w:hAnsi="Calibri" w:cs="Calibri"/>
                <w:sz w:val="16"/>
                <w:szCs w:val="16"/>
                <w:lang w:eastAsia="en-GB"/>
              </w:rPr>
              <w:t>Κεφάλαια CET1, όπως ορίζονται από την Οδηγία (EU) No 575/2013, προσθέτοντας (+) στον αριθμητή την αναμενόμενη μεταβολή της προληπτικής αποτίμησης του λογισμικού (περίπου €30 εκατ.) και αφαιρώντας (-) €0,2δις από τον παρονομαστή για την αναμενόμενη ελάφρυνση του σταθμισμένου έναντι κινδύνων ενεργητικού από τις πωλήσεις χαρτοφυλακίων δανείων ΜΕΑ</w:t>
            </w:r>
          </w:p>
        </w:tc>
      </w:tr>
      <w:tr w:rsidR="00D31973" w:rsidRPr="00211659" w:rsidTr="003E2EED">
        <w:trPr>
          <w:trHeight w:val="315"/>
        </w:trPr>
        <w:tc>
          <w:tcPr>
            <w:tcW w:w="1155" w:type="dxa"/>
            <w:shd w:val="clear" w:color="auto" w:fill="auto"/>
            <w:vAlign w:val="center"/>
          </w:tcPr>
          <w:p w:rsidR="00D31973" w:rsidRDefault="00D31973" w:rsidP="003E2EED">
            <w:pPr>
              <w:spacing w:after="0" w:line="240" w:lineRule="auto"/>
              <w:ind w:left="-105" w:right="-135"/>
              <w:jc w:val="center"/>
              <w:textAlignment w:val="baseline"/>
              <w:rPr>
                <w:rFonts w:ascii="Calibri" w:eastAsia="Calibri" w:hAnsi="Calibri" w:cs="Calibri"/>
                <w:color w:val="002060"/>
                <w:sz w:val="16"/>
                <w:szCs w:val="16"/>
                <w:lang/>
              </w:rPr>
            </w:pPr>
            <w:r>
              <w:rPr>
                <w:rFonts w:ascii="Calibri" w:eastAsia="Calibri" w:hAnsi="Calibri" w:cs="Calibri"/>
                <w:color w:val="002060"/>
                <w:sz w:val="16"/>
                <w:szCs w:val="16"/>
                <w:lang/>
              </w:rPr>
              <w:t>29</w:t>
            </w:r>
          </w:p>
        </w:tc>
        <w:tc>
          <w:tcPr>
            <w:tcW w:w="2295" w:type="dxa"/>
            <w:shd w:val="clear" w:color="auto" w:fill="auto"/>
          </w:tcPr>
          <w:p w:rsidR="00D31973" w:rsidRPr="00847B30" w:rsidRDefault="00D31973" w:rsidP="003E2EED">
            <w:pPr>
              <w:spacing w:after="0" w:line="240" w:lineRule="auto"/>
              <w:textAlignment w:val="baseline"/>
              <w:rPr>
                <w:rFonts w:ascii="Calibri" w:eastAsia="Calibri" w:hAnsi="Calibri" w:cs="Calibri"/>
                <w:color w:val="002060"/>
                <w:sz w:val="16"/>
                <w:szCs w:val="16"/>
                <w:lang/>
              </w:rPr>
            </w:pPr>
            <w:r w:rsidRPr="00847B30">
              <w:rPr>
                <w:rFonts w:ascii="Calibri" w:eastAsia="Calibri" w:hAnsi="Calibri" w:cs="Calibri"/>
                <w:color w:val="002060"/>
                <w:sz w:val="16"/>
                <w:szCs w:val="16"/>
                <w:lang/>
              </w:rPr>
              <w:t>Σωρευμένες Προβλέψεις</w:t>
            </w:r>
          </w:p>
        </w:tc>
        <w:tc>
          <w:tcPr>
            <w:tcW w:w="5070" w:type="dxa"/>
            <w:shd w:val="clear" w:color="auto" w:fill="FFFFFF"/>
          </w:tcPr>
          <w:p w:rsidR="00D31973" w:rsidRPr="00847B30" w:rsidRDefault="00D31973" w:rsidP="003E2EED">
            <w:pPr>
              <w:spacing w:after="0" w:line="240" w:lineRule="auto"/>
              <w:textAlignment w:val="baseline"/>
              <w:rPr>
                <w:rFonts w:ascii="Calibri" w:eastAsia="Times New Roman" w:hAnsi="Calibri" w:cs="Calibri"/>
                <w:sz w:val="16"/>
                <w:szCs w:val="16"/>
                <w:lang w:eastAsia="en-GB"/>
              </w:rPr>
            </w:pPr>
            <w:r>
              <w:rPr>
                <w:rFonts w:ascii="Calibri" w:eastAsia="Times New Roman" w:hAnsi="Calibri" w:cs="Calibri"/>
                <w:sz w:val="16"/>
                <w:szCs w:val="16"/>
                <w:lang w:eastAsia="en-GB"/>
              </w:rPr>
              <w:t>Ανα</w:t>
            </w:r>
            <w:r w:rsidRPr="00847B30">
              <w:rPr>
                <w:rFonts w:ascii="Calibri" w:eastAsia="Times New Roman" w:hAnsi="Calibri" w:cs="Calibri"/>
                <w:sz w:val="16"/>
                <w:szCs w:val="16"/>
                <w:lang w:eastAsia="en-GB"/>
              </w:rPr>
              <w:t>μενόμενες πιστωτικές ζημιές</w:t>
            </w:r>
          </w:p>
        </w:tc>
      </w:tr>
    </w:tbl>
    <w:p w:rsidR="00A93588" w:rsidRPr="00211659" w:rsidRDefault="00A93588" w:rsidP="00A93588">
      <w:pPr>
        <w:spacing w:line="300" w:lineRule="exact"/>
        <w:ind w:left="-142" w:right="282"/>
        <w:jc w:val="both"/>
        <w:rPr>
          <w:rFonts w:ascii="Calibri" w:eastAsia="Calibri" w:hAnsi="Calibri" w:cs="Times New Roman"/>
          <w:color w:val="3C3B2F"/>
          <w:kern w:val="24"/>
          <w:sz w:val="15"/>
          <w:szCs w:val="15"/>
        </w:rPr>
      </w:pPr>
    </w:p>
    <w:p w:rsidR="00A93588" w:rsidRDefault="00A93588" w:rsidP="00A93588"/>
    <w:p w:rsidR="00E5750E" w:rsidRPr="00A17FD4" w:rsidRDefault="00E5750E">
      <w:pPr>
        <w:rPr>
          <w:rFonts w:ascii="Calibri" w:eastAsia="Calibri" w:hAnsi="Calibri"/>
          <w:color w:val="FF0000"/>
          <w:kern w:val="24"/>
          <w:sz w:val="15"/>
          <w:szCs w:val="15"/>
        </w:rPr>
      </w:pPr>
      <w:r w:rsidRPr="00A17FD4">
        <w:rPr>
          <w:rFonts w:ascii="Calibri" w:eastAsia="Calibri" w:hAnsi="Calibri"/>
          <w:color w:val="FF0000"/>
          <w:kern w:val="24"/>
          <w:sz w:val="15"/>
          <w:szCs w:val="15"/>
        </w:rPr>
        <w:br w:type="page"/>
      </w:r>
    </w:p>
    <w:p w:rsidR="005A7986" w:rsidRPr="00FA0F02" w:rsidRDefault="005A7986" w:rsidP="005A7986">
      <w:pPr>
        <w:spacing w:line="300" w:lineRule="exact"/>
        <w:ind w:left="-142"/>
        <w:jc w:val="both"/>
        <w:rPr>
          <w:rFonts w:ascii="Calibri" w:eastAsia="Calibri" w:hAnsi="Calibri"/>
          <w:kern w:val="24"/>
          <w:sz w:val="15"/>
          <w:szCs w:val="15"/>
        </w:rPr>
      </w:pPr>
      <w:r w:rsidRPr="00FA0F02">
        <w:rPr>
          <w:rFonts w:ascii="Calibri" w:eastAsia="Calibri" w:hAnsi="Calibri"/>
          <w:kern w:val="24"/>
          <w:sz w:val="15"/>
          <w:szCs w:val="15"/>
        </w:rPr>
        <w:lastRenderedPageBreak/>
        <w:t>Η παρούσα ανακοίνωση έχει συνταχθεί αποκλειστικά για ενημερωτικούς σκοπούς. Οποιεσδήποτε προβλέψεις ή άλλες εκτιμήσεις στην παρούσα ανακοίνωση, συμπεριλαμβανομένων εκτιμήσεων αναφορικά με την απόδοση και την επίδοσή μας και παρατηρήσεων αναφορικά με τους στόχους και τη στρατηγική μας ή τα αποτελέσματα των δραστηριοτήτων και επιχειρήσεών μας, υπερισχύουν τυχόν προηγούμενων σχετικών προβλέψεων ή άλλων εκτιμήσεων και αποτελούν δηλώσεις για μελλοντικές εκτιμήσεις βασισμένες σε υποθέσεις και πεποιθήσεις, σε συνάρτηση με πληροφόρηση που είναι διαθέσιμη προς το παρόν στην Τράπεζα, η οποία μπορεί να μην είναι η ορθή. Αυτές οι υποθέσεις και πεποιθήσεις μπορεί να επηρεάζονται από παράγοντες που βρίσκονται εντός ή εκτός του ελέγχου μας και τα πραγματικά αποτελέσματα μπορεί να αποκλίνουν σημαντικά από οποιεσδήποτε εκτιμήσεις και προβλέψεις. Παράγοντες που επηρεάζουν τα πραγματικά αποτελέσματα περιλαμβάνουν, μεταξύ άλλων, διακυμάνσεις των επιτοκίων και των χρηματιστηριακών δεικτών, τις επιπτώσεις του ανταγωνισμού στους τομείς στους οποίους δραστηριοποιούμαστε και τις αλλαγές στις οικονομικές συνθήκες και στο κανονιστικό πλαίσιο.</w:t>
      </w:r>
    </w:p>
    <w:p w:rsidR="005A7986" w:rsidRPr="00FA0F02" w:rsidRDefault="005A7986" w:rsidP="005A7986">
      <w:pPr>
        <w:spacing w:after="120" w:line="300" w:lineRule="exact"/>
        <w:ind w:left="-142"/>
        <w:jc w:val="both"/>
        <w:rPr>
          <w:rFonts w:ascii="Calibri" w:eastAsia="Calibri" w:hAnsi="Calibri"/>
          <w:kern w:val="24"/>
          <w:sz w:val="15"/>
          <w:szCs w:val="15"/>
        </w:rPr>
      </w:pPr>
      <w:r w:rsidRPr="00FA0F02">
        <w:rPr>
          <w:rFonts w:ascii="Calibri" w:eastAsia="Calibri" w:hAnsi="Calibri"/>
          <w:kern w:val="24"/>
          <w:sz w:val="15"/>
          <w:szCs w:val="15"/>
        </w:rPr>
        <w:t>Αυτό το δελτίο τύπου δεν αποτελεί προσφορά αγοράς ή πώλησης ή διαμεσολάβηση προσφοράς για αγορά ή πώληση οποιουδήποτε χρεογράφου ή μέσου ή για συμμετοχή σε οποιαδήποτε επενδυτική στρατηγική. Κανένα μέρος αυτού του δελτίου τύπου δεν μπορεί να θεωρηθεί ως επενδυτική συμβουλή ή σύσταση για πραγματοποίηση οποιασδήποτε συναλλαγής. Δεν παρέχεται καμία δήλωση ή εγγύηση σχετικά με την ακρίβεια ή την πληρότητα των πληροφοριών που περιέχονται σε αυτό το δελτίο τύπου και κανένας ισχυρισμός δεν γίνεται ότι οποιαδήποτε μελλοντική προσφορά για συναλλαγή οποιωνδήποτε χρεογράφων θα συμμορφώνεται με τυχόν όρους που πιθανόν να περιλαμβάνονται στο παρόν. Πριν από οποιαδήποτε συναλλαγή, οι επενδυτές θα πρέπει να προσδιορίσουν τους οικονομικούς κινδύνους και τα οφέλη, καθώς και τις νομικές, φορολογικές και λογιστικές συνέπειες, καθώς και την ικανότητά τους να αναλάβουν τέτοιους κινδύνους, χωρίς να βασίζονται στις πληροφορίες που περιέχονται στ</w:t>
      </w:r>
      <w:r w:rsidR="00714123">
        <w:rPr>
          <w:rFonts w:ascii="Calibri" w:eastAsia="Calibri" w:hAnsi="Calibri"/>
          <w:kern w:val="24"/>
          <w:sz w:val="15"/>
          <w:szCs w:val="15"/>
        </w:rPr>
        <w:t>ο</w:t>
      </w:r>
      <w:r w:rsidRPr="00FA0F02">
        <w:rPr>
          <w:rFonts w:ascii="Calibri" w:eastAsia="Calibri" w:hAnsi="Calibri"/>
          <w:kern w:val="24"/>
          <w:sz w:val="15"/>
          <w:szCs w:val="15"/>
        </w:rPr>
        <w:t xml:space="preserve"> παρ</w:t>
      </w:r>
      <w:r w:rsidR="00714123">
        <w:rPr>
          <w:rFonts w:ascii="Calibri" w:eastAsia="Calibri" w:hAnsi="Calibri"/>
          <w:kern w:val="24"/>
          <w:sz w:val="15"/>
          <w:szCs w:val="15"/>
        </w:rPr>
        <w:t>όνδελτίο τύπου.</w:t>
      </w:r>
    </w:p>
    <w:p w:rsidR="005A7986" w:rsidRPr="00FA0F02" w:rsidRDefault="005A7986" w:rsidP="005A7986">
      <w:pPr>
        <w:spacing w:after="120"/>
        <w:ind w:left="-142"/>
        <w:jc w:val="both"/>
        <w:rPr>
          <w:rFonts w:ascii="Calibri" w:eastAsia="Calibri" w:hAnsi="Calibri"/>
          <w:b/>
          <w:kern w:val="24"/>
          <w:sz w:val="18"/>
          <w:szCs w:val="18"/>
        </w:rPr>
      </w:pPr>
    </w:p>
    <w:p w:rsidR="005A7986" w:rsidRDefault="005A7986" w:rsidP="005A7986">
      <w:pPr>
        <w:spacing w:after="120"/>
        <w:ind w:left="-142"/>
        <w:jc w:val="both"/>
        <w:rPr>
          <w:rFonts w:ascii="Calibri" w:eastAsia="Calibri" w:hAnsi="Calibri"/>
          <w:b/>
          <w:kern w:val="24"/>
          <w:sz w:val="18"/>
          <w:szCs w:val="18"/>
        </w:rPr>
      </w:pPr>
    </w:p>
    <w:p w:rsidR="00DE6EC3" w:rsidRDefault="00DE6EC3" w:rsidP="005A7986">
      <w:pPr>
        <w:spacing w:after="120"/>
        <w:ind w:left="-142"/>
        <w:jc w:val="both"/>
        <w:rPr>
          <w:rFonts w:ascii="Calibri" w:eastAsia="Calibri" w:hAnsi="Calibri"/>
          <w:b/>
          <w:kern w:val="24"/>
          <w:sz w:val="18"/>
          <w:szCs w:val="18"/>
        </w:rPr>
      </w:pPr>
    </w:p>
    <w:p w:rsidR="00DE6EC3" w:rsidRDefault="00DE6EC3" w:rsidP="005A7986">
      <w:pPr>
        <w:spacing w:after="120"/>
        <w:ind w:left="-142"/>
        <w:jc w:val="both"/>
        <w:rPr>
          <w:rFonts w:ascii="Calibri" w:eastAsia="Calibri" w:hAnsi="Calibri"/>
          <w:b/>
          <w:kern w:val="24"/>
          <w:sz w:val="18"/>
          <w:szCs w:val="18"/>
        </w:rPr>
      </w:pPr>
    </w:p>
    <w:p w:rsidR="00DE6EC3" w:rsidRDefault="00DE6EC3" w:rsidP="005A7986">
      <w:pPr>
        <w:spacing w:after="120"/>
        <w:ind w:left="-142"/>
        <w:jc w:val="both"/>
        <w:rPr>
          <w:rFonts w:ascii="Calibri" w:eastAsia="Calibri" w:hAnsi="Calibri"/>
          <w:b/>
          <w:kern w:val="24"/>
          <w:sz w:val="18"/>
          <w:szCs w:val="18"/>
        </w:rPr>
      </w:pPr>
    </w:p>
    <w:p w:rsidR="00DE6EC3" w:rsidRDefault="00DE6EC3" w:rsidP="005A7986">
      <w:pPr>
        <w:spacing w:after="120"/>
        <w:ind w:left="-142"/>
        <w:jc w:val="both"/>
        <w:rPr>
          <w:rFonts w:ascii="Calibri" w:eastAsia="Calibri" w:hAnsi="Calibri"/>
          <w:b/>
          <w:kern w:val="24"/>
          <w:sz w:val="18"/>
          <w:szCs w:val="18"/>
        </w:rPr>
      </w:pPr>
    </w:p>
    <w:p w:rsidR="00DE6EC3" w:rsidRDefault="00DE6EC3" w:rsidP="005A7986">
      <w:pPr>
        <w:spacing w:after="120"/>
        <w:ind w:left="-142"/>
        <w:jc w:val="both"/>
        <w:rPr>
          <w:rFonts w:ascii="Calibri" w:eastAsia="Calibri" w:hAnsi="Calibri"/>
          <w:b/>
          <w:kern w:val="24"/>
          <w:sz w:val="18"/>
          <w:szCs w:val="18"/>
        </w:rPr>
      </w:pPr>
    </w:p>
    <w:p w:rsidR="00DE6EC3" w:rsidRDefault="00DE6EC3" w:rsidP="005A7986">
      <w:pPr>
        <w:spacing w:after="120"/>
        <w:ind w:left="-142"/>
        <w:jc w:val="both"/>
        <w:rPr>
          <w:rFonts w:ascii="Calibri" w:eastAsia="Calibri" w:hAnsi="Calibri"/>
          <w:b/>
          <w:kern w:val="24"/>
          <w:sz w:val="18"/>
          <w:szCs w:val="18"/>
        </w:rPr>
      </w:pPr>
    </w:p>
    <w:p w:rsidR="00DE6EC3" w:rsidRDefault="00DE6EC3" w:rsidP="005A7986">
      <w:pPr>
        <w:spacing w:after="120"/>
        <w:ind w:left="-142"/>
        <w:jc w:val="both"/>
        <w:rPr>
          <w:rFonts w:ascii="Calibri" w:eastAsia="Calibri" w:hAnsi="Calibri"/>
          <w:b/>
          <w:kern w:val="24"/>
          <w:sz w:val="18"/>
          <w:szCs w:val="18"/>
        </w:rPr>
      </w:pPr>
    </w:p>
    <w:p w:rsidR="00DE6EC3" w:rsidRDefault="00DE6EC3" w:rsidP="005A7986">
      <w:pPr>
        <w:spacing w:after="120"/>
        <w:ind w:left="-142"/>
        <w:jc w:val="both"/>
        <w:rPr>
          <w:rFonts w:ascii="Calibri" w:eastAsia="Calibri" w:hAnsi="Calibri"/>
          <w:b/>
          <w:kern w:val="24"/>
          <w:sz w:val="18"/>
          <w:szCs w:val="18"/>
        </w:rPr>
      </w:pPr>
    </w:p>
    <w:p w:rsidR="00DE6EC3" w:rsidRDefault="00DE6EC3" w:rsidP="005A7986">
      <w:pPr>
        <w:spacing w:after="120"/>
        <w:ind w:left="-142"/>
        <w:jc w:val="both"/>
        <w:rPr>
          <w:rFonts w:ascii="Calibri" w:eastAsia="Calibri" w:hAnsi="Calibri"/>
          <w:b/>
          <w:kern w:val="24"/>
          <w:sz w:val="18"/>
          <w:szCs w:val="18"/>
        </w:rPr>
      </w:pPr>
    </w:p>
    <w:p w:rsidR="00DE6EC3" w:rsidRDefault="00DE6EC3" w:rsidP="005A7986">
      <w:pPr>
        <w:spacing w:after="120"/>
        <w:ind w:left="-142"/>
        <w:jc w:val="both"/>
        <w:rPr>
          <w:rFonts w:ascii="Calibri" w:eastAsia="Calibri" w:hAnsi="Calibri"/>
          <w:b/>
          <w:kern w:val="24"/>
          <w:sz w:val="18"/>
          <w:szCs w:val="18"/>
        </w:rPr>
      </w:pPr>
    </w:p>
    <w:p w:rsidR="005A7986" w:rsidRPr="00FA0F02" w:rsidRDefault="005A7986" w:rsidP="005A7986">
      <w:pPr>
        <w:spacing w:after="120"/>
        <w:ind w:left="-142"/>
        <w:jc w:val="both"/>
        <w:rPr>
          <w:rFonts w:ascii="Calibri" w:eastAsia="Calibri" w:hAnsi="Calibri"/>
          <w:b/>
          <w:kern w:val="24"/>
          <w:sz w:val="18"/>
          <w:szCs w:val="18"/>
          <w:lang w:val="en-US"/>
        </w:rPr>
      </w:pPr>
      <w:bookmarkStart w:id="0" w:name="_GoBack"/>
      <w:bookmarkEnd w:id="0"/>
      <w:r w:rsidRPr="00FA0F02">
        <w:rPr>
          <w:rFonts w:ascii="Calibri" w:eastAsia="Calibri" w:hAnsi="Calibri"/>
          <w:b/>
          <w:kern w:val="24"/>
          <w:sz w:val="18"/>
          <w:szCs w:val="18"/>
          <w:lang w:val="en-US"/>
        </w:rPr>
        <w:t>Corporate Development &amp; Investor Relations</w:t>
      </w:r>
    </w:p>
    <w:p w:rsidR="005A7986" w:rsidRPr="00FA0F02" w:rsidRDefault="005A7986" w:rsidP="005A7986">
      <w:pPr>
        <w:spacing w:after="120"/>
        <w:ind w:left="-142"/>
        <w:jc w:val="both"/>
        <w:rPr>
          <w:rFonts w:ascii="Calibri" w:eastAsia="Calibri" w:hAnsi="Calibri"/>
          <w:kern w:val="24"/>
          <w:sz w:val="15"/>
          <w:szCs w:val="15"/>
          <w:lang w:val="en-US"/>
        </w:rPr>
      </w:pPr>
      <w:r w:rsidRPr="00FA0F02">
        <w:rPr>
          <w:rFonts w:ascii="Calibri" w:eastAsia="Calibri" w:hAnsi="Calibri"/>
          <w:kern w:val="24"/>
          <w:sz w:val="15"/>
          <w:szCs w:val="15"/>
        </w:rPr>
        <w:t>Αμερικής</w:t>
      </w:r>
      <w:r w:rsidRPr="00FA0F02">
        <w:rPr>
          <w:rFonts w:ascii="Calibri" w:eastAsia="Calibri" w:hAnsi="Calibri"/>
          <w:kern w:val="24"/>
          <w:sz w:val="15"/>
          <w:szCs w:val="15"/>
          <w:lang w:val="en-US"/>
        </w:rPr>
        <w:t xml:space="preserve"> 4, 105 64 Αθ</w:t>
      </w:r>
      <w:r w:rsidRPr="00FA0F02">
        <w:rPr>
          <w:rFonts w:ascii="Calibri" w:eastAsia="Calibri" w:hAnsi="Calibri"/>
          <w:kern w:val="24"/>
          <w:sz w:val="15"/>
          <w:szCs w:val="15"/>
        </w:rPr>
        <w:t>ήνα</w:t>
      </w:r>
    </w:p>
    <w:p w:rsidR="005A7986" w:rsidRPr="00FA0F02" w:rsidRDefault="005A7986" w:rsidP="005A7986">
      <w:pPr>
        <w:spacing w:after="120"/>
        <w:ind w:left="-142"/>
        <w:jc w:val="both"/>
        <w:rPr>
          <w:rFonts w:ascii="Calibri" w:eastAsia="Calibri" w:hAnsi="Calibri"/>
          <w:kern w:val="24"/>
          <w:sz w:val="15"/>
          <w:szCs w:val="15"/>
          <w:lang w:val="en-US"/>
        </w:rPr>
      </w:pPr>
      <w:r w:rsidRPr="00FA0F02">
        <w:rPr>
          <w:rFonts w:ascii="Calibri" w:eastAsia="Calibri" w:hAnsi="Calibri"/>
          <w:kern w:val="24"/>
          <w:sz w:val="15"/>
          <w:szCs w:val="15"/>
          <w:lang w:val="en-US"/>
        </w:rPr>
        <w:t>Τηλ. : (+30 ) 210 3335026</w:t>
      </w:r>
    </w:p>
    <w:p w:rsidR="005A7986" w:rsidRPr="00FA0F02" w:rsidRDefault="005A7986" w:rsidP="005A7986">
      <w:pPr>
        <w:spacing w:after="120"/>
        <w:ind w:left="-142"/>
        <w:jc w:val="both"/>
        <w:rPr>
          <w:rFonts w:ascii="Calibri" w:eastAsia="Calibri" w:hAnsi="Calibri"/>
          <w:kern w:val="24"/>
          <w:sz w:val="15"/>
          <w:szCs w:val="15"/>
          <w:lang w:val="en-US"/>
        </w:rPr>
      </w:pPr>
      <w:r w:rsidRPr="00FA0F02">
        <w:rPr>
          <w:rFonts w:ascii="Calibri" w:eastAsia="Calibri" w:hAnsi="Calibri"/>
          <w:kern w:val="24"/>
          <w:sz w:val="15"/>
          <w:szCs w:val="15"/>
          <w:lang w:val="en-US"/>
        </w:rPr>
        <w:t xml:space="preserve">Bloomberg: TPEIR GA | Reuters: BOPr.AT </w:t>
      </w:r>
    </w:p>
    <w:p w:rsidR="005A7986" w:rsidRPr="00FA0F02" w:rsidRDefault="005A7986" w:rsidP="005A7986">
      <w:pPr>
        <w:spacing w:after="120"/>
        <w:ind w:left="-142"/>
        <w:jc w:val="both"/>
        <w:rPr>
          <w:rFonts w:ascii="Calibri" w:eastAsia="Calibri" w:hAnsi="Calibri"/>
          <w:kern w:val="24"/>
          <w:sz w:val="15"/>
          <w:szCs w:val="15"/>
          <w:lang w:val="en-US"/>
        </w:rPr>
      </w:pPr>
      <w:r w:rsidRPr="00FA0F02">
        <w:rPr>
          <w:rFonts w:ascii="Calibri" w:eastAsia="Calibri" w:hAnsi="Calibri"/>
          <w:kern w:val="24"/>
          <w:sz w:val="15"/>
          <w:szCs w:val="15"/>
          <w:lang w:val="en-US"/>
        </w:rPr>
        <w:t xml:space="preserve">ISIN: GRS014003024  </w:t>
      </w:r>
    </w:p>
    <w:p w:rsidR="005A7986" w:rsidRPr="00FA0F02" w:rsidRDefault="005A7986" w:rsidP="005A7986">
      <w:pPr>
        <w:spacing w:after="120"/>
        <w:ind w:left="-142"/>
        <w:jc w:val="both"/>
        <w:rPr>
          <w:rFonts w:ascii="Calibri" w:eastAsia="Calibri" w:hAnsi="Calibri"/>
          <w:kern w:val="24"/>
          <w:sz w:val="15"/>
          <w:szCs w:val="15"/>
          <w:lang w:val="en-US"/>
        </w:rPr>
      </w:pPr>
      <w:r w:rsidRPr="00FA0F02">
        <w:rPr>
          <w:rFonts w:ascii="Calibri" w:eastAsia="Calibri" w:hAnsi="Calibri"/>
          <w:kern w:val="24"/>
          <w:sz w:val="15"/>
          <w:szCs w:val="15"/>
          <w:lang w:val="en-US"/>
        </w:rPr>
        <w:t>investor_relations@piraeusbank.gr</w:t>
      </w:r>
    </w:p>
    <w:p w:rsidR="005A7986" w:rsidRPr="00FA0F02" w:rsidRDefault="005A7986" w:rsidP="005A7986">
      <w:pPr>
        <w:spacing w:after="120"/>
        <w:ind w:left="-142"/>
        <w:jc w:val="both"/>
        <w:rPr>
          <w:rFonts w:ascii="Calibri" w:eastAsia="Calibri" w:hAnsi="Calibri"/>
          <w:kern w:val="24"/>
          <w:sz w:val="15"/>
          <w:szCs w:val="15"/>
          <w:lang w:val="en-US"/>
        </w:rPr>
      </w:pPr>
      <w:r w:rsidRPr="00FA0F02">
        <w:rPr>
          <w:rFonts w:ascii="Calibri" w:eastAsia="Calibri" w:hAnsi="Calibri"/>
          <w:kern w:val="24"/>
          <w:sz w:val="15"/>
          <w:szCs w:val="15"/>
          <w:lang w:val="en-US"/>
        </w:rPr>
        <w:t>www.piraeusbankgroup.com</w:t>
      </w:r>
    </w:p>
    <w:p w:rsidR="005A7986" w:rsidRPr="004945B8" w:rsidRDefault="005A7986" w:rsidP="005A7986">
      <w:pPr>
        <w:spacing w:line="300" w:lineRule="exact"/>
        <w:ind w:left="-142" w:right="282"/>
        <w:jc w:val="both"/>
        <w:rPr>
          <w:rFonts w:ascii="Calibri" w:eastAsia="Calibri" w:hAnsi="Calibri"/>
          <w:color w:val="3C3B2F"/>
          <w:kern w:val="24"/>
          <w:sz w:val="15"/>
          <w:szCs w:val="15"/>
          <w:lang w:val="en-US"/>
        </w:rPr>
      </w:pPr>
    </w:p>
    <w:p w:rsidR="00CA0A30" w:rsidRPr="00CD2E41" w:rsidRDefault="00CA0A30" w:rsidP="005A7986">
      <w:pPr>
        <w:spacing w:line="300" w:lineRule="exact"/>
        <w:ind w:left="-142" w:right="282"/>
        <w:jc w:val="both"/>
        <w:rPr>
          <w:rFonts w:ascii="Calibri" w:eastAsia="Calibri" w:hAnsi="Calibri"/>
          <w:color w:val="FF0000"/>
          <w:kern w:val="24"/>
          <w:sz w:val="15"/>
          <w:szCs w:val="15"/>
          <w:lang w:val="en-US"/>
        </w:rPr>
      </w:pPr>
    </w:p>
    <w:sectPr w:rsidR="00CA0A30" w:rsidRPr="00CD2E41" w:rsidSect="005828D6">
      <w:headerReference w:type="default" r:id="rId19"/>
      <w:footerReference w:type="default" r:id="rId20"/>
      <w:headerReference w:type="first" r:id="rId21"/>
      <w:footerReference w:type="first" r:id="rId22"/>
      <w:pgSz w:w="11906" w:h="16838" w:code="9"/>
      <w:pgMar w:top="2410" w:right="849" w:bottom="1134" w:left="2977" w:header="70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C8D" w:rsidRDefault="00622C8D" w:rsidP="00A14E18">
      <w:pPr>
        <w:spacing w:after="0" w:line="240" w:lineRule="auto"/>
      </w:pPr>
      <w:r>
        <w:separator/>
      </w:r>
    </w:p>
  </w:endnote>
  <w:endnote w:type="continuationSeparator" w:id="1">
    <w:p w:rsidR="00622C8D" w:rsidRDefault="00622C8D" w:rsidP="00A14E18">
      <w:pPr>
        <w:spacing w:after="0" w:line="240" w:lineRule="auto"/>
      </w:pPr>
      <w:r>
        <w:continuationSeparator/>
      </w:r>
    </w:p>
  </w:endnote>
  <w:endnote w:type="continuationNotice" w:id="2">
    <w:p w:rsidR="00622C8D" w:rsidRDefault="00622C8D">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iraeus Sans">
    <w:altName w:val="Calibri"/>
    <w:charset w:val="00"/>
    <w:family w:val="swiss"/>
    <w:pitch w:val="variable"/>
    <w:sig w:usb0="00000001" w:usb1="4000205A"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E93" w:rsidRDefault="002F1E93" w:rsidP="006E0C7E">
    <w:pPr>
      <w:pStyle w:val="a4"/>
      <w:ind w:right="-427"/>
      <w:jc w:val="right"/>
    </w:pPr>
    <w:r w:rsidRPr="00570C53">
      <w:rPr>
        <w:noProof/>
        <w:lang w:val="en-US"/>
      </w:rPr>
      <w:drawing>
        <wp:anchor distT="0" distB="0" distL="114300" distR="114300" simplePos="0" relativeHeight="251715584" behindDoc="0" locked="0" layoutInCell="1" allowOverlap="1">
          <wp:simplePos x="0" y="0"/>
          <wp:positionH relativeFrom="column">
            <wp:posOffset>4446905</wp:posOffset>
          </wp:positionH>
          <wp:positionV relativeFrom="paragraph">
            <wp:posOffset>133350</wp:posOffset>
          </wp:positionV>
          <wp:extent cx="791845" cy="334645"/>
          <wp:effectExtent l="0" t="0" r="8255" b="8255"/>
          <wp:wrapNone/>
          <wp:docPr id="48"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upakia.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1845" cy="334645"/>
                  </a:xfrm>
                  <a:prstGeom prst="rect">
                    <a:avLst/>
                  </a:prstGeom>
                </pic:spPr>
              </pic:pic>
            </a:graphicData>
          </a:graphic>
        </wp:anchor>
      </w:drawing>
    </w:r>
    <w:r w:rsidRPr="00570C53">
      <w:rPr>
        <w:noProof/>
        <w:lang w:val="en-US"/>
      </w:rPr>
      <w:drawing>
        <wp:anchor distT="0" distB="0" distL="114300" distR="114300" simplePos="0" relativeHeight="251696127" behindDoc="0" locked="0" layoutInCell="1" allowOverlap="1">
          <wp:simplePos x="0" y="0"/>
          <wp:positionH relativeFrom="column">
            <wp:posOffset>-1895475</wp:posOffset>
          </wp:positionH>
          <wp:positionV relativeFrom="paragraph">
            <wp:posOffset>269875</wp:posOffset>
          </wp:positionV>
          <wp:extent cx="7571740" cy="400050"/>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71740" cy="400050"/>
                  </a:xfrm>
                  <a:prstGeom prst="rect">
                    <a:avLst/>
                  </a:prstGeom>
                  <a:noFill/>
                </pic:spPr>
              </pic:pic>
            </a:graphicData>
          </a:graphic>
        </wp:anchor>
      </w:drawing>
    </w:r>
    <w:r w:rsidR="009D3FB1" w:rsidRPr="009D3FB1">
      <w:rPr>
        <w:noProof/>
        <w:lang w:eastAsia="el-GR"/>
      </w:rPr>
      <w:pict>
        <v:group id="Group 15" o:spid="_x0000_s2052" style="position:absolute;left:0;text-align:left;margin-left:-88.95pt;margin-top:22.45pt;width:362.5pt;height:30.1pt;z-index:251697152;mso-position-horizontal-relative:text;mso-position-vertical-relative:text" coordorigin="2176,16133" coordsize="7196,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">
          <v:shapetype id="_x0000_t202" coordsize="21600,21600" o:spt="202" path="m,l,21600r21600,l21600,xe">
            <v:stroke joinstyle="miter"/>
            <v:path gradientshapeok="t" o:connecttype="rect"/>
          </v:shapetype>
          <v:shape id="Text Box 13" o:spid="_x0000_s2054" type="#_x0000_t202" style="position:absolute;left:2176;top:16133;width:686;height:5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" filled="f" stroked="f">
            <v:textbox inset=",,0">
              <w:txbxContent>
                <w:p w:rsidR="002F1E93" w:rsidRPr="00867605" w:rsidRDefault="009D3FB1" w:rsidP="00C33762">
                  <w:pPr>
                    <w:jc w:val="right"/>
                    <w:rPr>
                      <w:color w:val="FFC000"/>
                    </w:rPr>
                  </w:pPr>
                  <w:r w:rsidRPr="00867605">
                    <w:rPr>
                      <w:color w:val="FFC000"/>
                    </w:rPr>
                    <w:fldChar w:fldCharType="begin"/>
                  </w:r>
                  <w:r w:rsidR="002F1E93" w:rsidRPr="00867605">
                    <w:rPr>
                      <w:color w:val="FFC000"/>
                    </w:rPr>
                    <w:instrText xml:space="preserve"> PAGE   \* MERGEFORMAT </w:instrText>
                  </w:r>
                  <w:r w:rsidRPr="00867605">
                    <w:rPr>
                      <w:color w:val="FFC000"/>
                    </w:rPr>
                    <w:fldChar w:fldCharType="separate"/>
                  </w:r>
                  <w:r w:rsidR="00E13C8F">
                    <w:rPr>
                      <w:noProof/>
                      <w:color w:val="FFC000"/>
                    </w:rPr>
                    <w:t>2</w:t>
                  </w:r>
                  <w:r w:rsidRPr="00867605">
                    <w:rPr>
                      <w:noProof/>
                      <w:color w:val="FFC000"/>
                    </w:rPr>
                    <w:fldChar w:fldCharType="end"/>
                  </w:r>
                </w:p>
              </w:txbxContent>
            </v:textbox>
          </v:shape>
          <v:shape id="Text Box 14" o:spid="_x0000_s2053" type="#_x0000_t202" style="position:absolute;left:2944;top:16136;width:6428;height:5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" filled="f" stroked="f">
            <v:textbox inset="0">
              <w:txbxContent>
                <w:p w:rsidR="002F1E93" w:rsidRPr="00796D7D" w:rsidRDefault="002F1E93">
                  <w:pPr>
                    <w:rPr>
                      <w:color w:val="FFFFFF" w:themeColor="background1"/>
                      <w:lang w:val="en-US"/>
                    </w:rPr>
                  </w:pPr>
                  <w:r w:rsidRPr="00D87750">
                    <w:rPr>
                      <w:color w:val="FFFFFF" w:themeColor="background1"/>
                    </w:rPr>
                    <w:t>|</w:t>
                  </w:r>
                  <w:r>
                    <w:rPr>
                      <w:color w:val="FFFFFF" w:themeColor="background1"/>
                      <w:lang w:val="en-US"/>
                    </w:rPr>
                    <w:t xml:space="preserve"> 4</w:t>
                  </w:r>
                  <w:r>
                    <w:rPr>
                      <w:color w:val="FFFFFF" w:themeColor="background1"/>
                    </w:rPr>
                    <w:t xml:space="preserve"> Αυγούστου</w:t>
                  </w:r>
                  <w:r w:rsidRPr="00D87750">
                    <w:rPr>
                      <w:color w:val="FFFFFF" w:themeColor="background1"/>
                      <w:lang w:val="en-US"/>
                    </w:rPr>
                    <w:t xml:space="preserve"> 2</w:t>
                  </w:r>
                  <w:r w:rsidRPr="00D87750">
                    <w:rPr>
                      <w:color w:val="FFFFFF" w:themeColor="background1"/>
                    </w:rPr>
                    <w:t>0</w:t>
                  </w:r>
                  <w:r>
                    <w:rPr>
                      <w:color w:val="FFFFFF" w:themeColor="background1"/>
                      <w:lang w:val="en-US"/>
                    </w:rPr>
                    <w:t>20</w:t>
                  </w:r>
                </w:p>
              </w:txbxContent>
            </v:textbox>
          </v:shap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E93" w:rsidRDefault="002F1E93">
    <w:pPr>
      <w:pStyle w:val="a4"/>
    </w:pPr>
    <w:r>
      <w:rPr>
        <w:noProof/>
        <w:lang w:val="en-US"/>
      </w:rPr>
      <w:drawing>
        <wp:anchor distT="0" distB="0" distL="114300" distR="114300" simplePos="0" relativeHeight="251706367" behindDoc="0" locked="0" layoutInCell="1" allowOverlap="1">
          <wp:simplePos x="0" y="0"/>
          <wp:positionH relativeFrom="column">
            <wp:posOffset>-1899920</wp:posOffset>
          </wp:positionH>
          <wp:positionV relativeFrom="paragraph">
            <wp:posOffset>212725</wp:posOffset>
          </wp:positionV>
          <wp:extent cx="7571740" cy="400050"/>
          <wp:effectExtent l="0" t="0" r="0"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71740" cy="400050"/>
                  </a:xfrm>
                  <a:prstGeom prst="rect">
                    <a:avLst/>
                  </a:prstGeom>
                  <a:noFill/>
                </pic:spPr>
              </pic:pic>
            </a:graphicData>
          </a:graphic>
        </wp:anchor>
      </w:drawing>
    </w:r>
    <w:r>
      <w:rPr>
        <w:noProof/>
        <w:lang w:val="en-US"/>
      </w:rPr>
      <w:drawing>
        <wp:anchor distT="0" distB="0" distL="114300" distR="114300" simplePos="0" relativeHeight="251707392" behindDoc="0" locked="0" layoutInCell="1" allowOverlap="1">
          <wp:simplePos x="0" y="0"/>
          <wp:positionH relativeFrom="column">
            <wp:posOffset>4442460</wp:posOffset>
          </wp:positionH>
          <wp:positionV relativeFrom="paragraph">
            <wp:posOffset>114300</wp:posOffset>
          </wp:positionV>
          <wp:extent cx="791845" cy="334645"/>
          <wp:effectExtent l="0" t="0" r="8255" b="8255"/>
          <wp:wrapNone/>
          <wp:docPr id="54"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upakia.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1845" cy="33464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C8D" w:rsidRDefault="00622C8D" w:rsidP="00A14E18">
      <w:pPr>
        <w:spacing w:after="0" w:line="240" w:lineRule="auto"/>
      </w:pPr>
      <w:r>
        <w:separator/>
      </w:r>
    </w:p>
  </w:footnote>
  <w:footnote w:type="continuationSeparator" w:id="1">
    <w:p w:rsidR="00622C8D" w:rsidRDefault="00622C8D" w:rsidP="00A14E18">
      <w:pPr>
        <w:spacing w:after="0" w:line="240" w:lineRule="auto"/>
      </w:pPr>
      <w:r>
        <w:continuationSeparator/>
      </w:r>
    </w:p>
  </w:footnote>
  <w:footnote w:type="continuationNotice" w:id="2">
    <w:p w:rsidR="00622C8D" w:rsidRDefault="00622C8D">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E93" w:rsidRPr="00910B3C" w:rsidRDefault="009D3FB1" w:rsidP="00B23C31">
    <w:pPr>
      <w:pStyle w:val="a3"/>
      <w:ind w:right="-285"/>
      <w:rPr>
        <w:b/>
        <w:lang w:val="en-US"/>
      </w:rPr>
    </w:pPr>
    <w:r w:rsidRPr="009D3FB1">
      <w:rPr>
        <w:b/>
        <w:i/>
        <w:noProof/>
        <w:color w:val="FF0000"/>
        <w:sz w:val="24"/>
        <w:szCs w:val="24"/>
        <w:u w:val="single"/>
        <w:lang w:eastAsia="el-GR"/>
      </w:rPr>
      <w:pict>
        <v:group id="Group 5" o:spid="_x0000_s2055" style="position:absolute;margin-left:306.25pt;margin-top:-14.3pt;width:86.4pt;height:79.05pt;z-index:-251596800;mso-width-relative:margin;mso-height-relative:margin" coordorigin="-477" coordsize="10979,10039" wrapcoords="563 0 563 21394 21037 21394 21037 0 563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7" type="#_x0000_t75" alt="tetragono.png" style="position:absolute;width:10160;height:10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">
            <v:imagedata r:id="rId1" o:title="tetragono"/>
            <v:path arrowok="t"/>
          </v:shape>
          <v:shapetype id="_x0000_t202" coordsize="21600,21600" o:spt="202" path="m,l,21600r21600,l21600,xe">
            <v:stroke joinstyle="miter"/>
            <v:path gradientshapeok="t" o:connecttype="rect"/>
          </v:shapetype>
          <v:shape id="Τίτλος 9" o:spid="_x0000_s2056" type="#_x0000_t202" style="position:absolute;left:-477;top:2094;width:10978;height:4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" filled="f" stroked="f">
            <v:path arrowok="t"/>
            <v:textbox style="mso-fit-shape-to-text:t" inset="2.04597mm,1.023mm,2.04597mm,1.023mm">
              <w:txbxContent>
                <w:p w:rsidR="00CE6D49" w:rsidRDefault="00CE6D49" w:rsidP="008A3E9E">
                  <w:pPr>
                    <w:pStyle w:val="Web"/>
                    <w:spacing w:before="0" w:beforeAutospacing="0" w:after="0" w:afterAutospacing="0" w:line="200" w:lineRule="exact"/>
                    <w:jc w:val="center"/>
                  </w:pPr>
                  <w:r>
                    <w:rPr>
                      <w:rFonts w:asciiTheme="minorHAnsi" w:hAnsi="Calibri" w:cstheme="minorBidi"/>
                      <w:b/>
                      <w:bCs/>
                      <w:color w:val="FFFFFF" w:themeColor="background1"/>
                      <w:kern w:val="24"/>
                      <w:sz w:val="21"/>
                      <w:szCs w:val="21"/>
                    </w:rPr>
                    <w:t>ΑΠΟΤΕΛΕΣΜΑΤΑ  1</w:t>
                  </w:r>
                  <w:r w:rsidRPr="008A3E9E">
                    <w:rPr>
                      <w:rFonts w:asciiTheme="minorHAnsi" w:hAnsi="Calibri" w:cstheme="minorBidi"/>
                      <w:b/>
                      <w:bCs/>
                      <w:color w:val="FFFFFF" w:themeColor="background1"/>
                      <w:kern w:val="24"/>
                      <w:sz w:val="21"/>
                      <w:szCs w:val="21"/>
                      <w:vertAlign w:val="superscript"/>
                    </w:rPr>
                    <w:t>ΟΥ</w:t>
                  </w:r>
                  <w:r>
                    <w:rPr>
                      <w:rFonts w:asciiTheme="minorHAnsi" w:hAnsi="Calibri" w:cstheme="minorBidi"/>
                      <w:b/>
                      <w:bCs/>
                      <w:color w:val="FFFFFF" w:themeColor="background1"/>
                      <w:kern w:val="24"/>
                      <w:sz w:val="21"/>
                      <w:szCs w:val="21"/>
                    </w:rPr>
                    <w:t xml:space="preserve"> 6ΜΗΝΟΥ </w:t>
                  </w:r>
                  <w:r>
                    <w:rPr>
                      <w:rFonts w:asciiTheme="minorHAnsi" w:hAnsi="Calibri" w:cstheme="minorBidi"/>
                      <w:b/>
                      <w:bCs/>
                      <w:color w:val="FFFFFF" w:themeColor="background1"/>
                      <w:kern w:val="24"/>
                      <w:sz w:val="21"/>
                      <w:szCs w:val="21"/>
                      <w:lang w:val="en-US"/>
                    </w:rPr>
                    <w:t>2020</w:t>
                  </w:r>
                </w:p>
              </w:txbxContent>
            </v:textbox>
          </v:shape>
          <w10:wrap type="tight"/>
        </v:group>
      </w:pict>
    </w:r>
    <w:r w:rsidR="002F1E93">
      <w:rPr>
        <w:b/>
        <w:i/>
        <w:noProof/>
        <w:color w:val="FF0000"/>
        <w:sz w:val="24"/>
        <w:szCs w:val="24"/>
        <w:u w:val="single"/>
        <w:lang w:val="en-US"/>
      </w:rPr>
      <w:drawing>
        <wp:anchor distT="0" distB="0" distL="114300" distR="114300" simplePos="0" relativeHeight="251721728" behindDoc="0" locked="0" layoutInCell="1" allowOverlap="1">
          <wp:simplePos x="0" y="0"/>
          <wp:positionH relativeFrom="column">
            <wp:posOffset>-1378424</wp:posOffset>
          </wp:positionH>
          <wp:positionV relativeFrom="paragraph">
            <wp:posOffset>6406</wp:posOffset>
          </wp:positionV>
          <wp:extent cx="2005200" cy="608400"/>
          <wp:effectExtent l="0" t="0" r="0" b="127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HORIZONTAL-GR.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5200" cy="6084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E93" w:rsidRPr="00910B3C" w:rsidRDefault="002F1E93" w:rsidP="00910B3C">
    <w:pPr>
      <w:pStyle w:val="a3"/>
      <w:tabs>
        <w:tab w:val="left" w:pos="1843"/>
      </w:tabs>
      <w:ind w:right="-427"/>
      <w:rPr>
        <w:b/>
        <w:i/>
        <w:color w:val="FF0000"/>
        <w:sz w:val="24"/>
        <w:szCs w:val="24"/>
        <w:highlight w:val="yellow"/>
        <w:u w:val="single"/>
        <w:lang w:val="en-US"/>
      </w:rPr>
    </w:pPr>
    <w:r w:rsidRPr="00A07456">
      <w:rPr>
        <w:b/>
        <w:i/>
        <w:noProof/>
        <w:color w:val="FF0000"/>
        <w:sz w:val="24"/>
        <w:szCs w:val="24"/>
        <w:u w:val="single"/>
        <w:lang w:val="en-US"/>
      </w:rPr>
      <w:drawing>
        <wp:anchor distT="0" distB="0" distL="114300" distR="114300" simplePos="0" relativeHeight="251724800" behindDoc="0" locked="0" layoutInCell="1" allowOverlap="1">
          <wp:simplePos x="0" y="0"/>
          <wp:positionH relativeFrom="column">
            <wp:posOffset>-1296670</wp:posOffset>
          </wp:positionH>
          <wp:positionV relativeFrom="paragraph">
            <wp:posOffset>-33020</wp:posOffset>
          </wp:positionV>
          <wp:extent cx="2004695" cy="608330"/>
          <wp:effectExtent l="0" t="0" r="0" b="127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HORIZONTAL-G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4695" cy="608330"/>
                  </a:xfrm>
                  <a:prstGeom prst="rect">
                    <a:avLst/>
                  </a:prstGeom>
                </pic:spPr>
              </pic:pic>
            </a:graphicData>
          </a:graphic>
        </wp:anchor>
      </w:drawing>
    </w:r>
    <w:r w:rsidR="009D3FB1" w:rsidRPr="009D3FB1">
      <w:rPr>
        <w:b/>
        <w:i/>
        <w:noProof/>
        <w:color w:val="FF0000"/>
        <w:sz w:val="24"/>
        <w:szCs w:val="24"/>
        <w:u w:val="single"/>
        <w:lang w:eastAsia="el-GR"/>
      </w:rPr>
      <w:pict>
        <v:group id="Group 12" o:spid="_x0000_s2049" style="position:absolute;margin-left:312.65pt;margin-top:-17.3pt;width:86.35pt;height:79.05pt;z-index:-251592704;mso-position-horizontal-relative:text;mso-position-vertical-relative:text;mso-width-relative:margin;mso-height-relative:margin" coordorigin="-477" coordsize="10973,10039" wrapcoords="563 0 563 21394 21037 21394 21037 0 563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1" type="#_x0000_t75" alt="tetragono.png" style="position:absolute;width:10160;height:10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">
            <v:imagedata r:id="rId2" o:title="tetragono"/>
            <v:path arrowok="t"/>
          </v:shape>
          <v:shapetype id="_x0000_t202" coordsize="21600,21600" o:spt="202" path="m,l,21600r21600,l21600,xe">
            <v:stroke joinstyle="miter"/>
            <v:path gradientshapeok="t" o:connecttype="rect"/>
          </v:shapetype>
          <v:shape id="Τίτλος 9" o:spid="_x0000_s2050" type="#_x0000_t202" style="position:absolute;left:-477;top:2094;width:10972;height:4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" filled="f" stroked="f">
            <v:path arrowok="t"/>
            <v:textbox style="mso-fit-shape-to-text:t" inset="2.04597mm,1.023mm,2.04597mm,1.023mm">
              <w:txbxContent>
                <w:p w:rsidR="00CE6D49" w:rsidRDefault="00CE6D49" w:rsidP="00A07456">
                  <w:pPr>
                    <w:spacing w:after="0" w:line="200" w:lineRule="exact"/>
                    <w:jc w:val="center"/>
                    <w:rPr>
                      <w:rFonts w:hAnsi="Calibri"/>
                      <w:b/>
                      <w:bCs/>
                      <w:color w:val="FFFFFF" w:themeColor="background1"/>
                      <w:kern w:val="24"/>
                      <w:sz w:val="21"/>
                      <w:szCs w:val="21"/>
                    </w:rPr>
                  </w:pPr>
                  <w:r>
                    <w:rPr>
                      <w:rFonts w:hAnsi="Calibri"/>
                      <w:b/>
                      <w:bCs/>
                      <w:color w:val="FFFFFF" w:themeColor="background1"/>
                      <w:kern w:val="24"/>
                      <w:sz w:val="21"/>
                      <w:szCs w:val="21"/>
                    </w:rPr>
                    <w:t>ΑΠΟΤΕΛΕΣΜΑΤΑ  1</w:t>
                  </w:r>
                  <w:r w:rsidRPr="008A3E9E">
                    <w:rPr>
                      <w:rFonts w:hAnsi="Calibri"/>
                      <w:b/>
                      <w:bCs/>
                      <w:color w:val="FFFFFF" w:themeColor="background1"/>
                      <w:kern w:val="24"/>
                      <w:sz w:val="21"/>
                      <w:szCs w:val="21"/>
                      <w:vertAlign w:val="superscript"/>
                    </w:rPr>
                    <w:t>ΟΥ</w:t>
                  </w:r>
                  <w:r>
                    <w:rPr>
                      <w:rFonts w:hAnsi="Calibri"/>
                      <w:b/>
                      <w:bCs/>
                      <w:color w:val="FFFFFF" w:themeColor="background1"/>
                      <w:kern w:val="24"/>
                      <w:sz w:val="21"/>
                      <w:szCs w:val="21"/>
                    </w:rPr>
                    <w:t xml:space="preserve"> 6ΜΗΝΟΥ</w:t>
                  </w:r>
                </w:p>
                <w:p w:rsidR="00CE6D49" w:rsidRDefault="00CE6D49" w:rsidP="00A07456">
                  <w:pPr>
                    <w:spacing w:after="0" w:line="200" w:lineRule="exact"/>
                    <w:jc w:val="center"/>
                  </w:pPr>
                  <w:r>
                    <w:rPr>
                      <w:rFonts w:hAnsi="Calibri"/>
                      <w:b/>
                      <w:bCs/>
                      <w:color w:val="FFFFFF" w:themeColor="background1"/>
                      <w:kern w:val="24"/>
                      <w:sz w:val="21"/>
                      <w:szCs w:val="21"/>
                      <w:lang w:val="en-US"/>
                    </w:rPr>
                    <w:t>2020</w:t>
                  </w:r>
                </w:p>
              </w:txbxContent>
            </v:textbox>
          </v:shape>
          <w10:wrap type="tight"/>
        </v:group>
      </w:pict>
    </w:r>
  </w:p>
  <w:p w:rsidR="002F1E93" w:rsidRDefault="002F1E9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3pt;height:23pt" o:bullet="t">
        <v:imagedata r:id="rId1" o:title="BulletTick"/>
      </v:shape>
    </w:pict>
  </w:numPicBullet>
  <w:numPicBullet w:numPicBulletId="1">
    <w:pict>
      <v:shape id="_x0000_i1030" type="#_x0000_t75" style="width:17pt;height:17pt;visibility:visible;mso-wrap-style:square" o:bullet="t">
        <v:imagedata r:id="rId2" o:title=""/>
      </v:shape>
    </w:pict>
  </w:numPicBullet>
  <w:numPicBullet w:numPicBulletId="2">
    <w:pict>
      <v:shape id="_x0000_i1031" type="#_x0000_t75" style="width:21.5pt;height:15.5pt;visibility:visible;mso-wrap-style:square" o:bullet="t">
        <v:imagedata r:id="rId3" o:title=""/>
      </v:shape>
    </w:pict>
  </w:numPicBullet>
  <w:abstractNum w:abstractNumId="0">
    <w:nsid w:val="0A132918"/>
    <w:multiLevelType w:val="hybridMultilevel"/>
    <w:tmpl w:val="8352520A"/>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1">
    <w:nsid w:val="0BFD2BE2"/>
    <w:multiLevelType w:val="hybridMultilevel"/>
    <w:tmpl w:val="458EC884"/>
    <w:lvl w:ilvl="0" w:tplc="80384A9A">
      <w:start w:val="2"/>
      <w:numFmt w:val="bullet"/>
      <w:lvlText w:val=""/>
      <w:lvlJc w:val="left"/>
      <w:pPr>
        <w:ind w:left="720" w:hanging="360"/>
      </w:pPr>
      <w:rPr>
        <w:rFonts w:ascii="Wingdings" w:eastAsiaTheme="minorEastAsia" w:hAnsi="Wingdings"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FB24FE3"/>
    <w:multiLevelType w:val="hybridMultilevel"/>
    <w:tmpl w:val="0C2445B6"/>
    <w:lvl w:ilvl="0" w:tplc="465A8084">
      <w:start w:val="1"/>
      <w:numFmt w:val="bullet"/>
      <w:lvlText w:val=""/>
      <w:lvlJc w:val="left"/>
      <w:pPr>
        <w:ind w:left="720" w:hanging="360"/>
      </w:pPr>
      <w:rPr>
        <w:rFonts w:ascii="Symbol" w:hAnsi="Symbol" w:hint="default"/>
        <w:color w:val="3A73AE" w:themeColor="accen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0427779"/>
    <w:multiLevelType w:val="hybridMultilevel"/>
    <w:tmpl w:val="51B632D6"/>
    <w:lvl w:ilvl="0" w:tplc="465A8084">
      <w:start w:val="1"/>
      <w:numFmt w:val="bullet"/>
      <w:lvlText w:val=""/>
      <w:lvlJc w:val="left"/>
      <w:pPr>
        <w:ind w:left="1288" w:hanging="360"/>
      </w:pPr>
      <w:rPr>
        <w:rFonts w:ascii="Symbol" w:hAnsi="Symbol" w:hint="default"/>
        <w:color w:val="3A73AE" w:themeColor="accent1"/>
      </w:rPr>
    </w:lvl>
    <w:lvl w:ilvl="1" w:tplc="04080003" w:tentative="1">
      <w:start w:val="1"/>
      <w:numFmt w:val="bullet"/>
      <w:lvlText w:val="o"/>
      <w:lvlJc w:val="left"/>
      <w:pPr>
        <w:ind w:left="2008" w:hanging="360"/>
      </w:pPr>
      <w:rPr>
        <w:rFonts w:ascii="Courier New" w:hAnsi="Courier New" w:cs="Courier New" w:hint="default"/>
      </w:rPr>
    </w:lvl>
    <w:lvl w:ilvl="2" w:tplc="04080005" w:tentative="1">
      <w:start w:val="1"/>
      <w:numFmt w:val="bullet"/>
      <w:lvlText w:val=""/>
      <w:lvlJc w:val="left"/>
      <w:pPr>
        <w:ind w:left="2728" w:hanging="360"/>
      </w:pPr>
      <w:rPr>
        <w:rFonts w:ascii="Wingdings" w:hAnsi="Wingdings" w:hint="default"/>
      </w:rPr>
    </w:lvl>
    <w:lvl w:ilvl="3" w:tplc="04080001" w:tentative="1">
      <w:start w:val="1"/>
      <w:numFmt w:val="bullet"/>
      <w:lvlText w:val=""/>
      <w:lvlJc w:val="left"/>
      <w:pPr>
        <w:ind w:left="3448" w:hanging="360"/>
      </w:pPr>
      <w:rPr>
        <w:rFonts w:ascii="Symbol" w:hAnsi="Symbol" w:hint="default"/>
      </w:rPr>
    </w:lvl>
    <w:lvl w:ilvl="4" w:tplc="04080003" w:tentative="1">
      <w:start w:val="1"/>
      <w:numFmt w:val="bullet"/>
      <w:lvlText w:val="o"/>
      <w:lvlJc w:val="left"/>
      <w:pPr>
        <w:ind w:left="4168" w:hanging="360"/>
      </w:pPr>
      <w:rPr>
        <w:rFonts w:ascii="Courier New" w:hAnsi="Courier New" w:cs="Courier New" w:hint="default"/>
      </w:rPr>
    </w:lvl>
    <w:lvl w:ilvl="5" w:tplc="04080005" w:tentative="1">
      <w:start w:val="1"/>
      <w:numFmt w:val="bullet"/>
      <w:lvlText w:val=""/>
      <w:lvlJc w:val="left"/>
      <w:pPr>
        <w:ind w:left="4888" w:hanging="360"/>
      </w:pPr>
      <w:rPr>
        <w:rFonts w:ascii="Wingdings" w:hAnsi="Wingdings" w:hint="default"/>
      </w:rPr>
    </w:lvl>
    <w:lvl w:ilvl="6" w:tplc="04080001" w:tentative="1">
      <w:start w:val="1"/>
      <w:numFmt w:val="bullet"/>
      <w:lvlText w:val=""/>
      <w:lvlJc w:val="left"/>
      <w:pPr>
        <w:ind w:left="5608" w:hanging="360"/>
      </w:pPr>
      <w:rPr>
        <w:rFonts w:ascii="Symbol" w:hAnsi="Symbol" w:hint="default"/>
      </w:rPr>
    </w:lvl>
    <w:lvl w:ilvl="7" w:tplc="04080003" w:tentative="1">
      <w:start w:val="1"/>
      <w:numFmt w:val="bullet"/>
      <w:lvlText w:val="o"/>
      <w:lvlJc w:val="left"/>
      <w:pPr>
        <w:ind w:left="6328" w:hanging="360"/>
      </w:pPr>
      <w:rPr>
        <w:rFonts w:ascii="Courier New" w:hAnsi="Courier New" w:cs="Courier New" w:hint="default"/>
      </w:rPr>
    </w:lvl>
    <w:lvl w:ilvl="8" w:tplc="04080005" w:tentative="1">
      <w:start w:val="1"/>
      <w:numFmt w:val="bullet"/>
      <w:lvlText w:val=""/>
      <w:lvlJc w:val="left"/>
      <w:pPr>
        <w:ind w:left="7048" w:hanging="360"/>
      </w:pPr>
      <w:rPr>
        <w:rFonts w:ascii="Wingdings" w:hAnsi="Wingdings" w:hint="default"/>
      </w:rPr>
    </w:lvl>
  </w:abstractNum>
  <w:abstractNum w:abstractNumId="4">
    <w:nsid w:val="136407D0"/>
    <w:multiLevelType w:val="hybridMultilevel"/>
    <w:tmpl w:val="103C4E28"/>
    <w:lvl w:ilvl="0" w:tplc="AAF885EA">
      <w:start w:val="1"/>
      <w:numFmt w:val="bullet"/>
      <w:lvlText w:val=""/>
      <w:lvlPicBulletId w:val="0"/>
      <w:lvlJc w:val="left"/>
      <w:pPr>
        <w:ind w:left="720" w:hanging="360"/>
      </w:pPr>
      <w:rPr>
        <w:rFonts w:ascii="Symbol" w:hAnsi="Symbol" w:hint="default"/>
        <w:color w:val="auto"/>
        <w:sz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3E858EA"/>
    <w:multiLevelType w:val="hybridMultilevel"/>
    <w:tmpl w:val="A8CE7D00"/>
    <w:lvl w:ilvl="0" w:tplc="0408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AC189C"/>
    <w:multiLevelType w:val="hybridMultilevel"/>
    <w:tmpl w:val="99C6DFD0"/>
    <w:lvl w:ilvl="0" w:tplc="465A8084">
      <w:start w:val="1"/>
      <w:numFmt w:val="bullet"/>
      <w:lvlText w:val=""/>
      <w:lvlJc w:val="left"/>
      <w:pPr>
        <w:ind w:left="720" w:hanging="360"/>
      </w:pPr>
      <w:rPr>
        <w:rFonts w:ascii="Symbol" w:hAnsi="Symbol" w:hint="default"/>
        <w:color w:val="3A73AE" w:themeColor="accen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F99769E"/>
    <w:multiLevelType w:val="hybridMultilevel"/>
    <w:tmpl w:val="709EFB7A"/>
    <w:lvl w:ilvl="0" w:tplc="30F0F338">
      <w:start w:val="1"/>
      <w:numFmt w:val="decimal"/>
      <w:lvlText w:val="%1."/>
      <w:lvlJc w:val="left"/>
      <w:pPr>
        <w:ind w:left="502" w:hanging="360"/>
      </w:pPr>
      <w:rPr>
        <w:b/>
        <w:color w:val="FFC000"/>
      </w:rPr>
    </w:lvl>
    <w:lvl w:ilvl="1" w:tplc="04080019">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8">
    <w:nsid w:val="2445150B"/>
    <w:multiLevelType w:val="hybridMultilevel"/>
    <w:tmpl w:val="FB86E068"/>
    <w:lvl w:ilvl="0" w:tplc="04080003">
      <w:start w:val="1"/>
      <w:numFmt w:val="bullet"/>
      <w:lvlText w:val="o"/>
      <w:lvlJc w:val="left"/>
      <w:pPr>
        <w:ind w:left="578" w:hanging="360"/>
      </w:pPr>
      <w:rPr>
        <w:rFonts w:ascii="Courier New" w:hAnsi="Courier New" w:cs="Courier New"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9">
    <w:nsid w:val="26D1596D"/>
    <w:multiLevelType w:val="hybridMultilevel"/>
    <w:tmpl w:val="DA5E072A"/>
    <w:lvl w:ilvl="0" w:tplc="A3D48850">
      <w:numFmt w:val="bullet"/>
      <w:lvlText w:val="•"/>
      <w:lvlJc w:val="left"/>
      <w:pPr>
        <w:ind w:left="1080" w:hanging="720"/>
      </w:pPr>
      <w:rPr>
        <w:rFonts w:ascii="Calibri" w:eastAsiaTheme="minorHAnsi" w:hAnsi="Calibr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8BF58A9"/>
    <w:multiLevelType w:val="hybridMultilevel"/>
    <w:tmpl w:val="4D44A104"/>
    <w:lvl w:ilvl="0" w:tplc="04080001">
      <w:start w:val="1"/>
      <w:numFmt w:val="bullet"/>
      <w:lvlText w:val=""/>
      <w:lvlJc w:val="left"/>
      <w:pPr>
        <w:ind w:left="1288" w:hanging="360"/>
      </w:pPr>
      <w:rPr>
        <w:rFonts w:ascii="Symbol" w:hAnsi="Symbol" w:hint="default"/>
      </w:rPr>
    </w:lvl>
    <w:lvl w:ilvl="1" w:tplc="04080003" w:tentative="1">
      <w:start w:val="1"/>
      <w:numFmt w:val="bullet"/>
      <w:lvlText w:val="o"/>
      <w:lvlJc w:val="left"/>
      <w:pPr>
        <w:ind w:left="2008" w:hanging="360"/>
      </w:pPr>
      <w:rPr>
        <w:rFonts w:ascii="Courier New" w:hAnsi="Courier New" w:cs="Courier New" w:hint="default"/>
      </w:rPr>
    </w:lvl>
    <w:lvl w:ilvl="2" w:tplc="04080005" w:tentative="1">
      <w:start w:val="1"/>
      <w:numFmt w:val="bullet"/>
      <w:lvlText w:val=""/>
      <w:lvlJc w:val="left"/>
      <w:pPr>
        <w:ind w:left="2728" w:hanging="360"/>
      </w:pPr>
      <w:rPr>
        <w:rFonts w:ascii="Wingdings" w:hAnsi="Wingdings" w:hint="default"/>
      </w:rPr>
    </w:lvl>
    <w:lvl w:ilvl="3" w:tplc="04080001" w:tentative="1">
      <w:start w:val="1"/>
      <w:numFmt w:val="bullet"/>
      <w:lvlText w:val=""/>
      <w:lvlJc w:val="left"/>
      <w:pPr>
        <w:ind w:left="3448" w:hanging="360"/>
      </w:pPr>
      <w:rPr>
        <w:rFonts w:ascii="Symbol" w:hAnsi="Symbol" w:hint="default"/>
      </w:rPr>
    </w:lvl>
    <w:lvl w:ilvl="4" w:tplc="04080003" w:tentative="1">
      <w:start w:val="1"/>
      <w:numFmt w:val="bullet"/>
      <w:lvlText w:val="o"/>
      <w:lvlJc w:val="left"/>
      <w:pPr>
        <w:ind w:left="4168" w:hanging="360"/>
      </w:pPr>
      <w:rPr>
        <w:rFonts w:ascii="Courier New" w:hAnsi="Courier New" w:cs="Courier New" w:hint="default"/>
      </w:rPr>
    </w:lvl>
    <w:lvl w:ilvl="5" w:tplc="04080005" w:tentative="1">
      <w:start w:val="1"/>
      <w:numFmt w:val="bullet"/>
      <w:lvlText w:val=""/>
      <w:lvlJc w:val="left"/>
      <w:pPr>
        <w:ind w:left="4888" w:hanging="360"/>
      </w:pPr>
      <w:rPr>
        <w:rFonts w:ascii="Wingdings" w:hAnsi="Wingdings" w:hint="default"/>
      </w:rPr>
    </w:lvl>
    <w:lvl w:ilvl="6" w:tplc="04080001" w:tentative="1">
      <w:start w:val="1"/>
      <w:numFmt w:val="bullet"/>
      <w:lvlText w:val=""/>
      <w:lvlJc w:val="left"/>
      <w:pPr>
        <w:ind w:left="5608" w:hanging="360"/>
      </w:pPr>
      <w:rPr>
        <w:rFonts w:ascii="Symbol" w:hAnsi="Symbol" w:hint="default"/>
      </w:rPr>
    </w:lvl>
    <w:lvl w:ilvl="7" w:tplc="04080003" w:tentative="1">
      <w:start w:val="1"/>
      <w:numFmt w:val="bullet"/>
      <w:lvlText w:val="o"/>
      <w:lvlJc w:val="left"/>
      <w:pPr>
        <w:ind w:left="6328" w:hanging="360"/>
      </w:pPr>
      <w:rPr>
        <w:rFonts w:ascii="Courier New" w:hAnsi="Courier New" w:cs="Courier New" w:hint="default"/>
      </w:rPr>
    </w:lvl>
    <w:lvl w:ilvl="8" w:tplc="04080005" w:tentative="1">
      <w:start w:val="1"/>
      <w:numFmt w:val="bullet"/>
      <w:lvlText w:val=""/>
      <w:lvlJc w:val="left"/>
      <w:pPr>
        <w:ind w:left="7048" w:hanging="360"/>
      </w:pPr>
      <w:rPr>
        <w:rFonts w:ascii="Wingdings" w:hAnsi="Wingdings" w:hint="default"/>
      </w:rPr>
    </w:lvl>
  </w:abstractNum>
  <w:abstractNum w:abstractNumId="11">
    <w:nsid w:val="2CE17B85"/>
    <w:multiLevelType w:val="hybridMultilevel"/>
    <w:tmpl w:val="D64CD0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D234FF1"/>
    <w:multiLevelType w:val="hybridMultilevel"/>
    <w:tmpl w:val="4D506F0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3">
    <w:nsid w:val="31413EE6"/>
    <w:multiLevelType w:val="hybridMultilevel"/>
    <w:tmpl w:val="B2DC309E"/>
    <w:lvl w:ilvl="0" w:tplc="244E0644">
      <w:start w:val="33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C54981"/>
    <w:multiLevelType w:val="hybridMultilevel"/>
    <w:tmpl w:val="1BEE0378"/>
    <w:lvl w:ilvl="0" w:tplc="8F10FF4E">
      <w:start w:val="1"/>
      <w:numFmt w:val="bullet"/>
      <w:lvlText w:val=""/>
      <w:lvlPicBulletId w:val="2"/>
      <w:lvlJc w:val="left"/>
      <w:pPr>
        <w:tabs>
          <w:tab w:val="num" w:pos="720"/>
        </w:tabs>
        <w:ind w:left="720" w:hanging="360"/>
      </w:pPr>
      <w:rPr>
        <w:rFonts w:ascii="Symbol" w:hAnsi="Symbol" w:hint="default"/>
      </w:rPr>
    </w:lvl>
    <w:lvl w:ilvl="1" w:tplc="131EDA48" w:tentative="1">
      <w:start w:val="1"/>
      <w:numFmt w:val="bullet"/>
      <w:lvlText w:val=""/>
      <w:lvlJc w:val="left"/>
      <w:pPr>
        <w:tabs>
          <w:tab w:val="num" w:pos="1440"/>
        </w:tabs>
        <w:ind w:left="1440" w:hanging="360"/>
      </w:pPr>
      <w:rPr>
        <w:rFonts w:ascii="Symbol" w:hAnsi="Symbol" w:hint="default"/>
      </w:rPr>
    </w:lvl>
    <w:lvl w:ilvl="2" w:tplc="885237D6" w:tentative="1">
      <w:start w:val="1"/>
      <w:numFmt w:val="bullet"/>
      <w:lvlText w:val=""/>
      <w:lvlJc w:val="left"/>
      <w:pPr>
        <w:tabs>
          <w:tab w:val="num" w:pos="2160"/>
        </w:tabs>
        <w:ind w:left="2160" w:hanging="360"/>
      </w:pPr>
      <w:rPr>
        <w:rFonts w:ascii="Symbol" w:hAnsi="Symbol" w:hint="default"/>
      </w:rPr>
    </w:lvl>
    <w:lvl w:ilvl="3" w:tplc="8602A346" w:tentative="1">
      <w:start w:val="1"/>
      <w:numFmt w:val="bullet"/>
      <w:lvlText w:val=""/>
      <w:lvlJc w:val="left"/>
      <w:pPr>
        <w:tabs>
          <w:tab w:val="num" w:pos="2880"/>
        </w:tabs>
        <w:ind w:left="2880" w:hanging="360"/>
      </w:pPr>
      <w:rPr>
        <w:rFonts w:ascii="Symbol" w:hAnsi="Symbol" w:hint="default"/>
      </w:rPr>
    </w:lvl>
    <w:lvl w:ilvl="4" w:tplc="267E0538" w:tentative="1">
      <w:start w:val="1"/>
      <w:numFmt w:val="bullet"/>
      <w:lvlText w:val=""/>
      <w:lvlJc w:val="left"/>
      <w:pPr>
        <w:tabs>
          <w:tab w:val="num" w:pos="3600"/>
        </w:tabs>
        <w:ind w:left="3600" w:hanging="360"/>
      </w:pPr>
      <w:rPr>
        <w:rFonts w:ascii="Symbol" w:hAnsi="Symbol" w:hint="default"/>
      </w:rPr>
    </w:lvl>
    <w:lvl w:ilvl="5" w:tplc="A668941A" w:tentative="1">
      <w:start w:val="1"/>
      <w:numFmt w:val="bullet"/>
      <w:lvlText w:val=""/>
      <w:lvlJc w:val="left"/>
      <w:pPr>
        <w:tabs>
          <w:tab w:val="num" w:pos="4320"/>
        </w:tabs>
        <w:ind w:left="4320" w:hanging="360"/>
      </w:pPr>
      <w:rPr>
        <w:rFonts w:ascii="Symbol" w:hAnsi="Symbol" w:hint="default"/>
      </w:rPr>
    </w:lvl>
    <w:lvl w:ilvl="6" w:tplc="4B16EC44" w:tentative="1">
      <w:start w:val="1"/>
      <w:numFmt w:val="bullet"/>
      <w:lvlText w:val=""/>
      <w:lvlJc w:val="left"/>
      <w:pPr>
        <w:tabs>
          <w:tab w:val="num" w:pos="5040"/>
        </w:tabs>
        <w:ind w:left="5040" w:hanging="360"/>
      </w:pPr>
      <w:rPr>
        <w:rFonts w:ascii="Symbol" w:hAnsi="Symbol" w:hint="default"/>
      </w:rPr>
    </w:lvl>
    <w:lvl w:ilvl="7" w:tplc="87C4F5F4" w:tentative="1">
      <w:start w:val="1"/>
      <w:numFmt w:val="bullet"/>
      <w:lvlText w:val=""/>
      <w:lvlJc w:val="left"/>
      <w:pPr>
        <w:tabs>
          <w:tab w:val="num" w:pos="5760"/>
        </w:tabs>
        <w:ind w:left="5760" w:hanging="360"/>
      </w:pPr>
      <w:rPr>
        <w:rFonts w:ascii="Symbol" w:hAnsi="Symbol" w:hint="default"/>
      </w:rPr>
    </w:lvl>
    <w:lvl w:ilvl="8" w:tplc="33103EAE" w:tentative="1">
      <w:start w:val="1"/>
      <w:numFmt w:val="bullet"/>
      <w:lvlText w:val=""/>
      <w:lvlJc w:val="left"/>
      <w:pPr>
        <w:tabs>
          <w:tab w:val="num" w:pos="6480"/>
        </w:tabs>
        <w:ind w:left="6480" w:hanging="360"/>
      </w:pPr>
      <w:rPr>
        <w:rFonts w:ascii="Symbol" w:hAnsi="Symbol" w:hint="default"/>
      </w:rPr>
    </w:lvl>
  </w:abstractNum>
  <w:abstractNum w:abstractNumId="15">
    <w:nsid w:val="3A576187"/>
    <w:multiLevelType w:val="hybridMultilevel"/>
    <w:tmpl w:val="91A8593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nsid w:val="3B4D3594"/>
    <w:multiLevelType w:val="hybridMultilevel"/>
    <w:tmpl w:val="C3EE1B5C"/>
    <w:lvl w:ilvl="0" w:tplc="4620A314">
      <w:start w:val="1"/>
      <w:numFmt w:val="low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nsid w:val="40413A68"/>
    <w:multiLevelType w:val="hybridMultilevel"/>
    <w:tmpl w:val="C1EC35EA"/>
    <w:lvl w:ilvl="0" w:tplc="50285DF2">
      <w:start w:val="1"/>
      <w:numFmt w:val="bullet"/>
      <w:lvlText w:val=""/>
      <w:lvlJc w:val="left"/>
      <w:pPr>
        <w:ind w:left="720" w:hanging="360"/>
      </w:pPr>
      <w:rPr>
        <w:rFonts w:ascii="Symbol" w:hAnsi="Symbol" w:hint="default"/>
        <w:color w:val="FFC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52720F6"/>
    <w:multiLevelType w:val="hybridMultilevel"/>
    <w:tmpl w:val="54E695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524200F5"/>
    <w:multiLevelType w:val="hybridMultilevel"/>
    <w:tmpl w:val="8BA48B6E"/>
    <w:lvl w:ilvl="0" w:tplc="900EE7D4">
      <w:start w:val="1"/>
      <w:numFmt w:val="bullet"/>
      <w:lvlText w:val=""/>
      <w:lvlPicBulletId w:val="0"/>
      <w:lvlJc w:val="left"/>
      <w:pPr>
        <w:ind w:left="720" w:hanging="360"/>
      </w:pPr>
      <w:rPr>
        <w:rFonts w:ascii="Symbol" w:hAnsi="Symbol" w:hint="default"/>
        <w:color w:val="auto"/>
        <w:sz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4492C81"/>
    <w:multiLevelType w:val="hybridMultilevel"/>
    <w:tmpl w:val="1DFA62FE"/>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nsid w:val="5A4A0C45"/>
    <w:multiLevelType w:val="hybridMultilevel"/>
    <w:tmpl w:val="FEACAAB6"/>
    <w:lvl w:ilvl="0" w:tplc="7B42F334">
      <w:start w:val="1"/>
      <w:numFmt w:val="bullet"/>
      <w:lvlText w:val=""/>
      <w:lvlJc w:val="left"/>
      <w:pPr>
        <w:ind w:left="720" w:hanging="360"/>
      </w:pPr>
      <w:rPr>
        <w:rFonts w:ascii="Wingdings" w:hAnsi="Wingdings" w:hint="default"/>
        <w:lang w:val="el-GR"/>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C991070"/>
    <w:multiLevelType w:val="hybridMultilevel"/>
    <w:tmpl w:val="9C3AFD44"/>
    <w:lvl w:ilvl="0" w:tplc="E3442374">
      <w:start w:val="231"/>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4C10099"/>
    <w:multiLevelType w:val="hybridMultilevel"/>
    <w:tmpl w:val="33A6B04A"/>
    <w:lvl w:ilvl="0" w:tplc="0408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2505C1"/>
    <w:multiLevelType w:val="hybridMultilevel"/>
    <w:tmpl w:val="C33C81BC"/>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892046E"/>
    <w:multiLevelType w:val="hybridMultilevel"/>
    <w:tmpl w:val="1B04D692"/>
    <w:lvl w:ilvl="0" w:tplc="50E01FD0">
      <w:start w:val="1"/>
      <w:numFmt w:val="decimal"/>
      <w:lvlText w:val="(%1)"/>
      <w:lvlJc w:val="left"/>
      <w:pPr>
        <w:ind w:left="360" w:hanging="360"/>
      </w:pPr>
      <w:rPr>
        <w:rFonts w:asciiTheme="minorHAnsi" w:eastAsiaTheme="minorHAnsi" w:hAnsiTheme="minorHAnsi" w:cstheme="majorHAnsi"/>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nsid w:val="6E032BE8"/>
    <w:multiLevelType w:val="hybridMultilevel"/>
    <w:tmpl w:val="5FB885AC"/>
    <w:lvl w:ilvl="0" w:tplc="6C3E16C0">
      <w:start w:val="1"/>
      <w:numFmt w:val="bullet"/>
      <w:lvlText w:val=""/>
      <w:lvlJc w:val="left"/>
      <w:pPr>
        <w:ind w:left="720" w:hanging="360"/>
      </w:pPr>
      <w:rPr>
        <w:rFonts w:ascii="Symbol" w:hAnsi="Symbol" w:hint="default"/>
        <w:color w:val="0070C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F9F7C09"/>
    <w:multiLevelType w:val="hybridMultilevel"/>
    <w:tmpl w:val="7338B3F2"/>
    <w:lvl w:ilvl="0" w:tplc="465A8084">
      <w:start w:val="1"/>
      <w:numFmt w:val="bullet"/>
      <w:lvlText w:val=""/>
      <w:lvlJc w:val="left"/>
      <w:pPr>
        <w:ind w:left="720" w:hanging="360"/>
      </w:pPr>
      <w:rPr>
        <w:rFonts w:ascii="Symbol" w:hAnsi="Symbol" w:hint="default"/>
        <w:color w:val="3A73AE"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7775BAB"/>
    <w:multiLevelType w:val="hybridMultilevel"/>
    <w:tmpl w:val="D0EEB1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7B1E02A8"/>
    <w:multiLevelType w:val="hybridMultilevel"/>
    <w:tmpl w:val="9FA02D84"/>
    <w:lvl w:ilvl="0" w:tplc="EE143012">
      <w:start w:val="231"/>
      <w:numFmt w:val="bullet"/>
      <w:lvlText w:val="-"/>
      <w:lvlJc w:val="left"/>
      <w:pPr>
        <w:ind w:left="384" w:hanging="360"/>
      </w:pPr>
      <w:rPr>
        <w:rFonts w:ascii="Calibri" w:eastAsiaTheme="minorEastAsia" w:hAnsi="Calibri" w:cs="Calibri" w:hint="default"/>
      </w:rPr>
    </w:lvl>
    <w:lvl w:ilvl="1" w:tplc="04080003" w:tentative="1">
      <w:start w:val="1"/>
      <w:numFmt w:val="bullet"/>
      <w:lvlText w:val="o"/>
      <w:lvlJc w:val="left"/>
      <w:pPr>
        <w:ind w:left="1104" w:hanging="360"/>
      </w:pPr>
      <w:rPr>
        <w:rFonts w:ascii="Courier New" w:hAnsi="Courier New" w:cs="Courier New" w:hint="default"/>
      </w:rPr>
    </w:lvl>
    <w:lvl w:ilvl="2" w:tplc="04080005" w:tentative="1">
      <w:start w:val="1"/>
      <w:numFmt w:val="bullet"/>
      <w:lvlText w:val=""/>
      <w:lvlJc w:val="left"/>
      <w:pPr>
        <w:ind w:left="1824" w:hanging="360"/>
      </w:pPr>
      <w:rPr>
        <w:rFonts w:ascii="Wingdings" w:hAnsi="Wingdings" w:hint="default"/>
      </w:rPr>
    </w:lvl>
    <w:lvl w:ilvl="3" w:tplc="04080001" w:tentative="1">
      <w:start w:val="1"/>
      <w:numFmt w:val="bullet"/>
      <w:lvlText w:val=""/>
      <w:lvlJc w:val="left"/>
      <w:pPr>
        <w:ind w:left="2544" w:hanging="360"/>
      </w:pPr>
      <w:rPr>
        <w:rFonts w:ascii="Symbol" w:hAnsi="Symbol" w:hint="default"/>
      </w:rPr>
    </w:lvl>
    <w:lvl w:ilvl="4" w:tplc="04080003" w:tentative="1">
      <w:start w:val="1"/>
      <w:numFmt w:val="bullet"/>
      <w:lvlText w:val="o"/>
      <w:lvlJc w:val="left"/>
      <w:pPr>
        <w:ind w:left="3264" w:hanging="360"/>
      </w:pPr>
      <w:rPr>
        <w:rFonts w:ascii="Courier New" w:hAnsi="Courier New" w:cs="Courier New" w:hint="default"/>
      </w:rPr>
    </w:lvl>
    <w:lvl w:ilvl="5" w:tplc="04080005" w:tentative="1">
      <w:start w:val="1"/>
      <w:numFmt w:val="bullet"/>
      <w:lvlText w:val=""/>
      <w:lvlJc w:val="left"/>
      <w:pPr>
        <w:ind w:left="3984" w:hanging="360"/>
      </w:pPr>
      <w:rPr>
        <w:rFonts w:ascii="Wingdings" w:hAnsi="Wingdings" w:hint="default"/>
      </w:rPr>
    </w:lvl>
    <w:lvl w:ilvl="6" w:tplc="04080001" w:tentative="1">
      <w:start w:val="1"/>
      <w:numFmt w:val="bullet"/>
      <w:lvlText w:val=""/>
      <w:lvlJc w:val="left"/>
      <w:pPr>
        <w:ind w:left="4704" w:hanging="360"/>
      </w:pPr>
      <w:rPr>
        <w:rFonts w:ascii="Symbol" w:hAnsi="Symbol" w:hint="default"/>
      </w:rPr>
    </w:lvl>
    <w:lvl w:ilvl="7" w:tplc="04080003" w:tentative="1">
      <w:start w:val="1"/>
      <w:numFmt w:val="bullet"/>
      <w:lvlText w:val="o"/>
      <w:lvlJc w:val="left"/>
      <w:pPr>
        <w:ind w:left="5424" w:hanging="360"/>
      </w:pPr>
      <w:rPr>
        <w:rFonts w:ascii="Courier New" w:hAnsi="Courier New" w:cs="Courier New" w:hint="default"/>
      </w:rPr>
    </w:lvl>
    <w:lvl w:ilvl="8" w:tplc="04080005" w:tentative="1">
      <w:start w:val="1"/>
      <w:numFmt w:val="bullet"/>
      <w:lvlText w:val=""/>
      <w:lvlJc w:val="left"/>
      <w:pPr>
        <w:ind w:left="6144" w:hanging="360"/>
      </w:pPr>
      <w:rPr>
        <w:rFonts w:ascii="Wingdings" w:hAnsi="Wingdings" w:hint="default"/>
      </w:rPr>
    </w:lvl>
  </w:abstractNum>
  <w:abstractNum w:abstractNumId="30">
    <w:nsid w:val="7DA5056F"/>
    <w:multiLevelType w:val="hybridMultilevel"/>
    <w:tmpl w:val="31060A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F7E61CD"/>
    <w:multiLevelType w:val="hybridMultilevel"/>
    <w:tmpl w:val="67CC7CE8"/>
    <w:lvl w:ilvl="0" w:tplc="1108CC74">
      <w:start w:val="1"/>
      <w:numFmt w:val="bullet"/>
      <w:lvlText w:val=""/>
      <w:lvlJc w:val="left"/>
      <w:pPr>
        <w:ind w:left="720" w:hanging="360"/>
      </w:pPr>
      <w:rPr>
        <w:rFonts w:ascii="Symbol" w:hAnsi="Symbol" w:hint="default"/>
        <w:color w:val="003C96" w:themeColor="text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23"/>
  </w:num>
  <w:num w:numId="4">
    <w:abstractNumId w:val="5"/>
  </w:num>
  <w:num w:numId="5">
    <w:abstractNumId w:val="21"/>
  </w:num>
  <w:num w:numId="6">
    <w:abstractNumId w:val="26"/>
  </w:num>
  <w:num w:numId="7">
    <w:abstractNumId w:val="9"/>
  </w:num>
  <w:num w:numId="8">
    <w:abstractNumId w:val="31"/>
  </w:num>
  <w:num w:numId="9">
    <w:abstractNumId w:val="25"/>
  </w:num>
  <w:num w:numId="10">
    <w:abstractNumId w:val="28"/>
  </w:num>
  <w:num w:numId="11">
    <w:abstractNumId w:val="27"/>
  </w:num>
  <w:num w:numId="12">
    <w:abstractNumId w:val="14"/>
  </w:num>
  <w:num w:numId="13">
    <w:abstractNumId w:val="27"/>
  </w:num>
  <w:num w:numId="14">
    <w:abstractNumId w:val="12"/>
  </w:num>
  <w:num w:numId="15">
    <w:abstractNumId w:val="20"/>
  </w:num>
  <w:num w:numId="16">
    <w:abstractNumId w:val="1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7"/>
  </w:num>
  <w:num w:numId="20">
    <w:abstractNumId w:val="7"/>
  </w:num>
  <w:num w:numId="21">
    <w:abstractNumId w:val="1"/>
  </w:num>
  <w:num w:numId="22">
    <w:abstractNumId w:val="22"/>
  </w:num>
  <w:num w:numId="23">
    <w:abstractNumId w:val="29"/>
  </w:num>
  <w:num w:numId="24">
    <w:abstractNumId w:val="3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1"/>
  </w:num>
  <w:num w:numId="28">
    <w:abstractNumId w:val="8"/>
  </w:num>
  <w:num w:numId="29">
    <w:abstractNumId w:val="13"/>
  </w:num>
  <w:num w:numId="30">
    <w:abstractNumId w:val="6"/>
  </w:num>
  <w:num w:numId="31">
    <w:abstractNumId w:val="2"/>
  </w:num>
  <w:num w:numId="32">
    <w:abstractNumId w:val="18"/>
  </w:num>
  <w:num w:numId="33">
    <w:abstractNumId w:val="3"/>
  </w:num>
  <w:num w:numId="3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characterSpacingControl w:val="doNotCompress"/>
  <w:hdrShapeDefaults>
    <o:shapedefaults v:ext="edit" spidmax="3074"/>
    <o:shapelayout v:ext="edit">
      <o:idmap v:ext="edit" data="2"/>
    </o:shapelayout>
  </w:hdrShapeDefaults>
  <w:footnotePr>
    <w:footnote w:id="0"/>
    <w:footnote w:id="1"/>
    <w:footnote w:id="2"/>
  </w:footnotePr>
  <w:endnotePr>
    <w:endnote w:id="0"/>
    <w:endnote w:id="1"/>
    <w:endnote w:id="2"/>
  </w:endnotePr>
  <w:compat/>
  <w:rsids>
    <w:rsidRoot w:val="00A14E18"/>
    <w:rsid w:val="000007A3"/>
    <w:rsid w:val="0000082A"/>
    <w:rsid w:val="00000BC6"/>
    <w:rsid w:val="00000F68"/>
    <w:rsid w:val="00001E6E"/>
    <w:rsid w:val="00002FDD"/>
    <w:rsid w:val="0000346D"/>
    <w:rsid w:val="00003672"/>
    <w:rsid w:val="00003855"/>
    <w:rsid w:val="00003A09"/>
    <w:rsid w:val="00003FFC"/>
    <w:rsid w:val="0000442A"/>
    <w:rsid w:val="0000443E"/>
    <w:rsid w:val="00004ACD"/>
    <w:rsid w:val="0000575F"/>
    <w:rsid w:val="0000595D"/>
    <w:rsid w:val="00005BE9"/>
    <w:rsid w:val="00005CA5"/>
    <w:rsid w:val="00005CB6"/>
    <w:rsid w:val="00005E5E"/>
    <w:rsid w:val="00006029"/>
    <w:rsid w:val="000062A0"/>
    <w:rsid w:val="000063E4"/>
    <w:rsid w:val="000077D1"/>
    <w:rsid w:val="0000782E"/>
    <w:rsid w:val="00007940"/>
    <w:rsid w:val="00007A6A"/>
    <w:rsid w:val="00010393"/>
    <w:rsid w:val="00010908"/>
    <w:rsid w:val="00010B68"/>
    <w:rsid w:val="00011CB8"/>
    <w:rsid w:val="00012EA5"/>
    <w:rsid w:val="00013051"/>
    <w:rsid w:val="00013564"/>
    <w:rsid w:val="0001359E"/>
    <w:rsid w:val="0001438C"/>
    <w:rsid w:val="00015386"/>
    <w:rsid w:val="00015854"/>
    <w:rsid w:val="00015FAE"/>
    <w:rsid w:val="00016980"/>
    <w:rsid w:val="000178E4"/>
    <w:rsid w:val="00020371"/>
    <w:rsid w:val="0002067A"/>
    <w:rsid w:val="00020A2A"/>
    <w:rsid w:val="00021226"/>
    <w:rsid w:val="0002147D"/>
    <w:rsid w:val="00021A4E"/>
    <w:rsid w:val="00021BD0"/>
    <w:rsid w:val="00022A88"/>
    <w:rsid w:val="00022CCE"/>
    <w:rsid w:val="00023546"/>
    <w:rsid w:val="000238A4"/>
    <w:rsid w:val="00024A56"/>
    <w:rsid w:val="00024B63"/>
    <w:rsid w:val="00025755"/>
    <w:rsid w:val="00025D14"/>
    <w:rsid w:val="0002706C"/>
    <w:rsid w:val="00027255"/>
    <w:rsid w:val="00027BA6"/>
    <w:rsid w:val="00030364"/>
    <w:rsid w:val="00030D02"/>
    <w:rsid w:val="000310AD"/>
    <w:rsid w:val="00031657"/>
    <w:rsid w:val="00031F12"/>
    <w:rsid w:val="00032B67"/>
    <w:rsid w:val="00032E03"/>
    <w:rsid w:val="00033976"/>
    <w:rsid w:val="00034112"/>
    <w:rsid w:val="00034117"/>
    <w:rsid w:val="00034737"/>
    <w:rsid w:val="00034F63"/>
    <w:rsid w:val="00034F7D"/>
    <w:rsid w:val="00035782"/>
    <w:rsid w:val="00035CFC"/>
    <w:rsid w:val="000361FC"/>
    <w:rsid w:val="00036CAB"/>
    <w:rsid w:val="00036DFB"/>
    <w:rsid w:val="00037365"/>
    <w:rsid w:val="00037376"/>
    <w:rsid w:val="00037ABB"/>
    <w:rsid w:val="00037C92"/>
    <w:rsid w:val="00037E16"/>
    <w:rsid w:val="00040A98"/>
    <w:rsid w:val="00040D15"/>
    <w:rsid w:val="00040F71"/>
    <w:rsid w:val="0004223A"/>
    <w:rsid w:val="00042251"/>
    <w:rsid w:val="0004347B"/>
    <w:rsid w:val="000435B4"/>
    <w:rsid w:val="00043933"/>
    <w:rsid w:val="000439BB"/>
    <w:rsid w:val="0004427A"/>
    <w:rsid w:val="0004461D"/>
    <w:rsid w:val="00044B60"/>
    <w:rsid w:val="0004528A"/>
    <w:rsid w:val="00045C2B"/>
    <w:rsid w:val="00045F04"/>
    <w:rsid w:val="00046277"/>
    <w:rsid w:val="000470B3"/>
    <w:rsid w:val="0004746D"/>
    <w:rsid w:val="00047535"/>
    <w:rsid w:val="0004776F"/>
    <w:rsid w:val="00047D79"/>
    <w:rsid w:val="00051587"/>
    <w:rsid w:val="00052957"/>
    <w:rsid w:val="0005319A"/>
    <w:rsid w:val="000532FB"/>
    <w:rsid w:val="00053E04"/>
    <w:rsid w:val="00053F76"/>
    <w:rsid w:val="000541AA"/>
    <w:rsid w:val="000547B5"/>
    <w:rsid w:val="00054A25"/>
    <w:rsid w:val="00054E9E"/>
    <w:rsid w:val="00055403"/>
    <w:rsid w:val="00056E3C"/>
    <w:rsid w:val="000571A8"/>
    <w:rsid w:val="00057B20"/>
    <w:rsid w:val="0006028B"/>
    <w:rsid w:val="00060B9A"/>
    <w:rsid w:val="00061186"/>
    <w:rsid w:val="000611B9"/>
    <w:rsid w:val="0006140B"/>
    <w:rsid w:val="000614F8"/>
    <w:rsid w:val="0006190D"/>
    <w:rsid w:val="00061B16"/>
    <w:rsid w:val="000620E3"/>
    <w:rsid w:val="00062C19"/>
    <w:rsid w:val="00062C84"/>
    <w:rsid w:val="000634DB"/>
    <w:rsid w:val="000635FC"/>
    <w:rsid w:val="000638E1"/>
    <w:rsid w:val="000645D7"/>
    <w:rsid w:val="0006468F"/>
    <w:rsid w:val="0006496A"/>
    <w:rsid w:val="00064E07"/>
    <w:rsid w:val="00065838"/>
    <w:rsid w:val="00065917"/>
    <w:rsid w:val="00066296"/>
    <w:rsid w:val="00066A63"/>
    <w:rsid w:val="00066F7F"/>
    <w:rsid w:val="00067250"/>
    <w:rsid w:val="00070028"/>
    <w:rsid w:val="00070112"/>
    <w:rsid w:val="000702FC"/>
    <w:rsid w:val="000703B6"/>
    <w:rsid w:val="0007076B"/>
    <w:rsid w:val="0007081D"/>
    <w:rsid w:val="000709DA"/>
    <w:rsid w:val="00070EAC"/>
    <w:rsid w:val="0007175D"/>
    <w:rsid w:val="00071F3F"/>
    <w:rsid w:val="00072780"/>
    <w:rsid w:val="00072FE2"/>
    <w:rsid w:val="000731A4"/>
    <w:rsid w:val="00073603"/>
    <w:rsid w:val="000736B0"/>
    <w:rsid w:val="0007418C"/>
    <w:rsid w:val="00075AC2"/>
    <w:rsid w:val="00075AD9"/>
    <w:rsid w:val="00075D3E"/>
    <w:rsid w:val="00077508"/>
    <w:rsid w:val="00077517"/>
    <w:rsid w:val="00077AE3"/>
    <w:rsid w:val="00080132"/>
    <w:rsid w:val="000803B4"/>
    <w:rsid w:val="000806D6"/>
    <w:rsid w:val="000806E0"/>
    <w:rsid w:val="00081584"/>
    <w:rsid w:val="000821CE"/>
    <w:rsid w:val="00083046"/>
    <w:rsid w:val="000835D6"/>
    <w:rsid w:val="000837A3"/>
    <w:rsid w:val="00083DE1"/>
    <w:rsid w:val="00083E77"/>
    <w:rsid w:val="000840A9"/>
    <w:rsid w:val="0008436B"/>
    <w:rsid w:val="000848BE"/>
    <w:rsid w:val="00085105"/>
    <w:rsid w:val="00085298"/>
    <w:rsid w:val="000863E3"/>
    <w:rsid w:val="000865AE"/>
    <w:rsid w:val="000865E1"/>
    <w:rsid w:val="000869B6"/>
    <w:rsid w:val="00087B01"/>
    <w:rsid w:val="00090C5F"/>
    <w:rsid w:val="00090EFC"/>
    <w:rsid w:val="00092097"/>
    <w:rsid w:val="000926A9"/>
    <w:rsid w:val="0009287B"/>
    <w:rsid w:val="00093CCF"/>
    <w:rsid w:val="00093E7E"/>
    <w:rsid w:val="00094182"/>
    <w:rsid w:val="00094323"/>
    <w:rsid w:val="00094746"/>
    <w:rsid w:val="00094C99"/>
    <w:rsid w:val="000965B3"/>
    <w:rsid w:val="0009699F"/>
    <w:rsid w:val="00096DBA"/>
    <w:rsid w:val="00096FF2"/>
    <w:rsid w:val="00097435"/>
    <w:rsid w:val="000979EF"/>
    <w:rsid w:val="00097B3E"/>
    <w:rsid w:val="00097C2B"/>
    <w:rsid w:val="000A0737"/>
    <w:rsid w:val="000A0FDC"/>
    <w:rsid w:val="000A26D2"/>
    <w:rsid w:val="000A2CA1"/>
    <w:rsid w:val="000A2E3D"/>
    <w:rsid w:val="000A2EC5"/>
    <w:rsid w:val="000A34C1"/>
    <w:rsid w:val="000A3A7F"/>
    <w:rsid w:val="000A3BD2"/>
    <w:rsid w:val="000A4C0E"/>
    <w:rsid w:val="000A5338"/>
    <w:rsid w:val="000A5649"/>
    <w:rsid w:val="000A5745"/>
    <w:rsid w:val="000A5780"/>
    <w:rsid w:val="000A5953"/>
    <w:rsid w:val="000A5BF6"/>
    <w:rsid w:val="000A6299"/>
    <w:rsid w:val="000A66CC"/>
    <w:rsid w:val="000A682D"/>
    <w:rsid w:val="000A6ABC"/>
    <w:rsid w:val="000B04E3"/>
    <w:rsid w:val="000B11E4"/>
    <w:rsid w:val="000B1781"/>
    <w:rsid w:val="000B1D47"/>
    <w:rsid w:val="000B2311"/>
    <w:rsid w:val="000B23AE"/>
    <w:rsid w:val="000B4FFB"/>
    <w:rsid w:val="000B5482"/>
    <w:rsid w:val="000B5812"/>
    <w:rsid w:val="000B5DF0"/>
    <w:rsid w:val="000B5FD8"/>
    <w:rsid w:val="000B692E"/>
    <w:rsid w:val="000B69AF"/>
    <w:rsid w:val="000B6B48"/>
    <w:rsid w:val="000B7117"/>
    <w:rsid w:val="000B7357"/>
    <w:rsid w:val="000B768D"/>
    <w:rsid w:val="000B7A2A"/>
    <w:rsid w:val="000B7C84"/>
    <w:rsid w:val="000C05C2"/>
    <w:rsid w:val="000C131A"/>
    <w:rsid w:val="000C17D2"/>
    <w:rsid w:val="000C186C"/>
    <w:rsid w:val="000C189C"/>
    <w:rsid w:val="000C2E3C"/>
    <w:rsid w:val="000C3119"/>
    <w:rsid w:val="000C31D9"/>
    <w:rsid w:val="000C3DEB"/>
    <w:rsid w:val="000C5F7B"/>
    <w:rsid w:val="000C620B"/>
    <w:rsid w:val="000C63E4"/>
    <w:rsid w:val="000C6468"/>
    <w:rsid w:val="000C66AE"/>
    <w:rsid w:val="000C6823"/>
    <w:rsid w:val="000C6CD9"/>
    <w:rsid w:val="000C6EFB"/>
    <w:rsid w:val="000C71D8"/>
    <w:rsid w:val="000C7F54"/>
    <w:rsid w:val="000D013B"/>
    <w:rsid w:val="000D06B7"/>
    <w:rsid w:val="000D1D28"/>
    <w:rsid w:val="000D2FE7"/>
    <w:rsid w:val="000D393F"/>
    <w:rsid w:val="000D3E67"/>
    <w:rsid w:val="000D41A8"/>
    <w:rsid w:val="000D428A"/>
    <w:rsid w:val="000D4925"/>
    <w:rsid w:val="000D4BD5"/>
    <w:rsid w:val="000D5169"/>
    <w:rsid w:val="000D5AE1"/>
    <w:rsid w:val="000D5D88"/>
    <w:rsid w:val="000D5D9E"/>
    <w:rsid w:val="000D6175"/>
    <w:rsid w:val="000D6280"/>
    <w:rsid w:val="000D6DFF"/>
    <w:rsid w:val="000D7422"/>
    <w:rsid w:val="000D74AE"/>
    <w:rsid w:val="000D7BD6"/>
    <w:rsid w:val="000E0506"/>
    <w:rsid w:val="000E0726"/>
    <w:rsid w:val="000E0AA4"/>
    <w:rsid w:val="000E0C15"/>
    <w:rsid w:val="000E1126"/>
    <w:rsid w:val="000E1289"/>
    <w:rsid w:val="000E187E"/>
    <w:rsid w:val="000E3038"/>
    <w:rsid w:val="000E3455"/>
    <w:rsid w:val="000E3E12"/>
    <w:rsid w:val="000E4147"/>
    <w:rsid w:val="000E42EC"/>
    <w:rsid w:val="000E4B00"/>
    <w:rsid w:val="000E4EBE"/>
    <w:rsid w:val="000E51D0"/>
    <w:rsid w:val="000E5FAD"/>
    <w:rsid w:val="000E6350"/>
    <w:rsid w:val="000E7C77"/>
    <w:rsid w:val="000F0E6C"/>
    <w:rsid w:val="000F0F32"/>
    <w:rsid w:val="000F172A"/>
    <w:rsid w:val="000F1991"/>
    <w:rsid w:val="000F1D15"/>
    <w:rsid w:val="000F1DD6"/>
    <w:rsid w:val="000F2931"/>
    <w:rsid w:val="000F50B5"/>
    <w:rsid w:val="000F6390"/>
    <w:rsid w:val="000F64A8"/>
    <w:rsid w:val="000F678A"/>
    <w:rsid w:val="000F67A8"/>
    <w:rsid w:val="000F69C7"/>
    <w:rsid w:val="000F6B38"/>
    <w:rsid w:val="00102758"/>
    <w:rsid w:val="00102CC2"/>
    <w:rsid w:val="00102FC6"/>
    <w:rsid w:val="001031D1"/>
    <w:rsid w:val="001033ED"/>
    <w:rsid w:val="00104498"/>
    <w:rsid w:val="001076ED"/>
    <w:rsid w:val="00107A76"/>
    <w:rsid w:val="00107BE9"/>
    <w:rsid w:val="00107CFC"/>
    <w:rsid w:val="00107F6A"/>
    <w:rsid w:val="0011043D"/>
    <w:rsid w:val="00110604"/>
    <w:rsid w:val="0011067F"/>
    <w:rsid w:val="001106BF"/>
    <w:rsid w:val="00110A20"/>
    <w:rsid w:val="00110B87"/>
    <w:rsid w:val="0011119D"/>
    <w:rsid w:val="001115B7"/>
    <w:rsid w:val="00111DC5"/>
    <w:rsid w:val="00112543"/>
    <w:rsid w:val="001127F2"/>
    <w:rsid w:val="00113308"/>
    <w:rsid w:val="001138A6"/>
    <w:rsid w:val="00113EE0"/>
    <w:rsid w:val="001140D4"/>
    <w:rsid w:val="001147AF"/>
    <w:rsid w:val="00114982"/>
    <w:rsid w:val="00114B97"/>
    <w:rsid w:val="00114C27"/>
    <w:rsid w:val="001152E6"/>
    <w:rsid w:val="0011545F"/>
    <w:rsid w:val="00115FB8"/>
    <w:rsid w:val="0011676F"/>
    <w:rsid w:val="00117254"/>
    <w:rsid w:val="0011774C"/>
    <w:rsid w:val="00117E87"/>
    <w:rsid w:val="001200A8"/>
    <w:rsid w:val="0012074D"/>
    <w:rsid w:val="00120B47"/>
    <w:rsid w:val="00120BDB"/>
    <w:rsid w:val="00120F4B"/>
    <w:rsid w:val="0012178A"/>
    <w:rsid w:val="00121F7E"/>
    <w:rsid w:val="00122486"/>
    <w:rsid w:val="001228D7"/>
    <w:rsid w:val="00122A01"/>
    <w:rsid w:val="00124336"/>
    <w:rsid w:val="00124908"/>
    <w:rsid w:val="0012559A"/>
    <w:rsid w:val="00126A84"/>
    <w:rsid w:val="001270A6"/>
    <w:rsid w:val="00127298"/>
    <w:rsid w:val="00127997"/>
    <w:rsid w:val="00127CEC"/>
    <w:rsid w:val="00127E39"/>
    <w:rsid w:val="00127E94"/>
    <w:rsid w:val="0013026B"/>
    <w:rsid w:val="0013106D"/>
    <w:rsid w:val="001320F1"/>
    <w:rsid w:val="001326BE"/>
    <w:rsid w:val="00132E36"/>
    <w:rsid w:val="001330CD"/>
    <w:rsid w:val="00133123"/>
    <w:rsid w:val="00134193"/>
    <w:rsid w:val="00134645"/>
    <w:rsid w:val="00136093"/>
    <w:rsid w:val="00136EF1"/>
    <w:rsid w:val="00136EF3"/>
    <w:rsid w:val="0013732E"/>
    <w:rsid w:val="0013775A"/>
    <w:rsid w:val="00137969"/>
    <w:rsid w:val="00137B6F"/>
    <w:rsid w:val="001401C1"/>
    <w:rsid w:val="00140505"/>
    <w:rsid w:val="001405C5"/>
    <w:rsid w:val="00140B33"/>
    <w:rsid w:val="001415DD"/>
    <w:rsid w:val="00141F3B"/>
    <w:rsid w:val="001420F4"/>
    <w:rsid w:val="001424B4"/>
    <w:rsid w:val="00142621"/>
    <w:rsid w:val="00143BA9"/>
    <w:rsid w:val="001446A9"/>
    <w:rsid w:val="0014491F"/>
    <w:rsid w:val="001459EE"/>
    <w:rsid w:val="0014627E"/>
    <w:rsid w:val="001470B8"/>
    <w:rsid w:val="0015034A"/>
    <w:rsid w:val="00150C69"/>
    <w:rsid w:val="00151578"/>
    <w:rsid w:val="00151A50"/>
    <w:rsid w:val="00151B39"/>
    <w:rsid w:val="00151BE6"/>
    <w:rsid w:val="00151DC2"/>
    <w:rsid w:val="00152C19"/>
    <w:rsid w:val="00153EA5"/>
    <w:rsid w:val="00154950"/>
    <w:rsid w:val="00155707"/>
    <w:rsid w:val="00155E7D"/>
    <w:rsid w:val="001567F5"/>
    <w:rsid w:val="0015736A"/>
    <w:rsid w:val="001575ED"/>
    <w:rsid w:val="001578CD"/>
    <w:rsid w:val="00157E58"/>
    <w:rsid w:val="00160622"/>
    <w:rsid w:val="00160AFF"/>
    <w:rsid w:val="00160E15"/>
    <w:rsid w:val="00161B96"/>
    <w:rsid w:val="00161BBF"/>
    <w:rsid w:val="00161E6B"/>
    <w:rsid w:val="00162122"/>
    <w:rsid w:val="001624F8"/>
    <w:rsid w:val="001625FA"/>
    <w:rsid w:val="00162BAE"/>
    <w:rsid w:val="001635A5"/>
    <w:rsid w:val="001636E3"/>
    <w:rsid w:val="00164140"/>
    <w:rsid w:val="001647E0"/>
    <w:rsid w:val="0016482F"/>
    <w:rsid w:val="00164F12"/>
    <w:rsid w:val="00165763"/>
    <w:rsid w:val="00165E9D"/>
    <w:rsid w:val="00166463"/>
    <w:rsid w:val="001672CD"/>
    <w:rsid w:val="00167481"/>
    <w:rsid w:val="00167F1C"/>
    <w:rsid w:val="001709FC"/>
    <w:rsid w:val="00171BCF"/>
    <w:rsid w:val="0017218C"/>
    <w:rsid w:val="00172341"/>
    <w:rsid w:val="001723B2"/>
    <w:rsid w:val="00172629"/>
    <w:rsid w:val="00172E77"/>
    <w:rsid w:val="00173E4A"/>
    <w:rsid w:val="00174534"/>
    <w:rsid w:val="001755CD"/>
    <w:rsid w:val="00176077"/>
    <w:rsid w:val="0017613B"/>
    <w:rsid w:val="00176EEF"/>
    <w:rsid w:val="001772EB"/>
    <w:rsid w:val="00177A64"/>
    <w:rsid w:val="00177B67"/>
    <w:rsid w:val="001803F0"/>
    <w:rsid w:val="00180E98"/>
    <w:rsid w:val="00180FFC"/>
    <w:rsid w:val="001814A9"/>
    <w:rsid w:val="00181982"/>
    <w:rsid w:val="00181CCF"/>
    <w:rsid w:val="00181F09"/>
    <w:rsid w:val="00182DA9"/>
    <w:rsid w:val="00182E4B"/>
    <w:rsid w:val="00183E7C"/>
    <w:rsid w:val="001840C3"/>
    <w:rsid w:val="001844C3"/>
    <w:rsid w:val="00184F76"/>
    <w:rsid w:val="001852AF"/>
    <w:rsid w:val="00185840"/>
    <w:rsid w:val="00185936"/>
    <w:rsid w:val="001860FD"/>
    <w:rsid w:val="00186420"/>
    <w:rsid w:val="00186813"/>
    <w:rsid w:val="00186B69"/>
    <w:rsid w:val="00186EE1"/>
    <w:rsid w:val="00187056"/>
    <w:rsid w:val="001872B3"/>
    <w:rsid w:val="0018752C"/>
    <w:rsid w:val="00187814"/>
    <w:rsid w:val="0019195B"/>
    <w:rsid w:val="00191F8E"/>
    <w:rsid w:val="00192244"/>
    <w:rsid w:val="00192787"/>
    <w:rsid w:val="00192887"/>
    <w:rsid w:val="00192D37"/>
    <w:rsid w:val="00192FD8"/>
    <w:rsid w:val="001930E3"/>
    <w:rsid w:val="00193B26"/>
    <w:rsid w:val="00193F8C"/>
    <w:rsid w:val="00194A1C"/>
    <w:rsid w:val="00194F4F"/>
    <w:rsid w:val="00194FD3"/>
    <w:rsid w:val="001952BF"/>
    <w:rsid w:val="00195B58"/>
    <w:rsid w:val="0019617F"/>
    <w:rsid w:val="00197162"/>
    <w:rsid w:val="001975D0"/>
    <w:rsid w:val="001A00D7"/>
    <w:rsid w:val="001A01C1"/>
    <w:rsid w:val="001A0BB1"/>
    <w:rsid w:val="001A15C2"/>
    <w:rsid w:val="001A176B"/>
    <w:rsid w:val="001A1B92"/>
    <w:rsid w:val="001A2B0F"/>
    <w:rsid w:val="001A2CBB"/>
    <w:rsid w:val="001A2EE0"/>
    <w:rsid w:val="001A3687"/>
    <w:rsid w:val="001A39F1"/>
    <w:rsid w:val="001A4065"/>
    <w:rsid w:val="001A5048"/>
    <w:rsid w:val="001A579E"/>
    <w:rsid w:val="001A5F52"/>
    <w:rsid w:val="001A6E7E"/>
    <w:rsid w:val="001A74CA"/>
    <w:rsid w:val="001A77C9"/>
    <w:rsid w:val="001A7EAB"/>
    <w:rsid w:val="001B01A8"/>
    <w:rsid w:val="001B0359"/>
    <w:rsid w:val="001B12C8"/>
    <w:rsid w:val="001B1D0A"/>
    <w:rsid w:val="001B24C2"/>
    <w:rsid w:val="001B2672"/>
    <w:rsid w:val="001B2A94"/>
    <w:rsid w:val="001B2AB2"/>
    <w:rsid w:val="001B3265"/>
    <w:rsid w:val="001B3C38"/>
    <w:rsid w:val="001B3F98"/>
    <w:rsid w:val="001B40EF"/>
    <w:rsid w:val="001B4DA9"/>
    <w:rsid w:val="001B4F2F"/>
    <w:rsid w:val="001B56C9"/>
    <w:rsid w:val="001B58A3"/>
    <w:rsid w:val="001B6C4B"/>
    <w:rsid w:val="001B71F8"/>
    <w:rsid w:val="001B76D0"/>
    <w:rsid w:val="001C065E"/>
    <w:rsid w:val="001C0C1F"/>
    <w:rsid w:val="001C0C8A"/>
    <w:rsid w:val="001C0D42"/>
    <w:rsid w:val="001C1542"/>
    <w:rsid w:val="001C171C"/>
    <w:rsid w:val="001C1C23"/>
    <w:rsid w:val="001C2547"/>
    <w:rsid w:val="001C273D"/>
    <w:rsid w:val="001C2C32"/>
    <w:rsid w:val="001C2DD1"/>
    <w:rsid w:val="001C2EB1"/>
    <w:rsid w:val="001C3480"/>
    <w:rsid w:val="001C3546"/>
    <w:rsid w:val="001C3910"/>
    <w:rsid w:val="001C3955"/>
    <w:rsid w:val="001C4EDB"/>
    <w:rsid w:val="001C566A"/>
    <w:rsid w:val="001C670A"/>
    <w:rsid w:val="001D0A8A"/>
    <w:rsid w:val="001D0FA4"/>
    <w:rsid w:val="001D1CAE"/>
    <w:rsid w:val="001D2888"/>
    <w:rsid w:val="001D3112"/>
    <w:rsid w:val="001D3274"/>
    <w:rsid w:val="001D3CC9"/>
    <w:rsid w:val="001D4231"/>
    <w:rsid w:val="001D457A"/>
    <w:rsid w:val="001D476C"/>
    <w:rsid w:val="001D4DEC"/>
    <w:rsid w:val="001D552E"/>
    <w:rsid w:val="001D55F9"/>
    <w:rsid w:val="001D5773"/>
    <w:rsid w:val="001D58EE"/>
    <w:rsid w:val="001D6216"/>
    <w:rsid w:val="001D668A"/>
    <w:rsid w:val="001D688A"/>
    <w:rsid w:val="001D74F8"/>
    <w:rsid w:val="001D7A41"/>
    <w:rsid w:val="001D7BDA"/>
    <w:rsid w:val="001E0A12"/>
    <w:rsid w:val="001E0A14"/>
    <w:rsid w:val="001E1DA4"/>
    <w:rsid w:val="001E2188"/>
    <w:rsid w:val="001E26D3"/>
    <w:rsid w:val="001E38D0"/>
    <w:rsid w:val="001E4FC6"/>
    <w:rsid w:val="001E5817"/>
    <w:rsid w:val="001E6750"/>
    <w:rsid w:val="001E7396"/>
    <w:rsid w:val="001E7540"/>
    <w:rsid w:val="001E79ED"/>
    <w:rsid w:val="001E7C73"/>
    <w:rsid w:val="001F0357"/>
    <w:rsid w:val="001F03D0"/>
    <w:rsid w:val="001F078F"/>
    <w:rsid w:val="001F0983"/>
    <w:rsid w:val="001F1357"/>
    <w:rsid w:val="001F16FF"/>
    <w:rsid w:val="001F1AEE"/>
    <w:rsid w:val="001F22C0"/>
    <w:rsid w:val="001F281D"/>
    <w:rsid w:val="001F287A"/>
    <w:rsid w:val="001F2A5B"/>
    <w:rsid w:val="001F359F"/>
    <w:rsid w:val="001F3B7A"/>
    <w:rsid w:val="001F3D57"/>
    <w:rsid w:val="001F413F"/>
    <w:rsid w:val="001F53BA"/>
    <w:rsid w:val="001F5567"/>
    <w:rsid w:val="001F58E9"/>
    <w:rsid w:val="001F6589"/>
    <w:rsid w:val="001F6BB1"/>
    <w:rsid w:val="001F6C09"/>
    <w:rsid w:val="001F70C0"/>
    <w:rsid w:val="001F7298"/>
    <w:rsid w:val="001F7F89"/>
    <w:rsid w:val="00200C03"/>
    <w:rsid w:val="002010C2"/>
    <w:rsid w:val="00202F63"/>
    <w:rsid w:val="00203C20"/>
    <w:rsid w:val="00203FCD"/>
    <w:rsid w:val="00204492"/>
    <w:rsid w:val="00204496"/>
    <w:rsid w:val="00204E91"/>
    <w:rsid w:val="002050D8"/>
    <w:rsid w:val="00205209"/>
    <w:rsid w:val="00205B3E"/>
    <w:rsid w:val="00205EC4"/>
    <w:rsid w:val="0020626D"/>
    <w:rsid w:val="00206BAD"/>
    <w:rsid w:val="0020729F"/>
    <w:rsid w:val="00207DD6"/>
    <w:rsid w:val="00207E02"/>
    <w:rsid w:val="00210223"/>
    <w:rsid w:val="002109DD"/>
    <w:rsid w:val="00210B9A"/>
    <w:rsid w:val="00210BEE"/>
    <w:rsid w:val="0021127D"/>
    <w:rsid w:val="00211435"/>
    <w:rsid w:val="00211496"/>
    <w:rsid w:val="00211C2A"/>
    <w:rsid w:val="00211E15"/>
    <w:rsid w:val="00212991"/>
    <w:rsid w:val="002130DE"/>
    <w:rsid w:val="00213408"/>
    <w:rsid w:val="002137E0"/>
    <w:rsid w:val="00213914"/>
    <w:rsid w:val="00213A27"/>
    <w:rsid w:val="00215D8F"/>
    <w:rsid w:val="00215ECC"/>
    <w:rsid w:val="0021603A"/>
    <w:rsid w:val="0021776B"/>
    <w:rsid w:val="0021776C"/>
    <w:rsid w:val="00217D5F"/>
    <w:rsid w:val="00217F9F"/>
    <w:rsid w:val="002215E5"/>
    <w:rsid w:val="002216CC"/>
    <w:rsid w:val="002217FD"/>
    <w:rsid w:val="00221A0E"/>
    <w:rsid w:val="00221A6C"/>
    <w:rsid w:val="00221B8D"/>
    <w:rsid w:val="00221DF3"/>
    <w:rsid w:val="00221FDD"/>
    <w:rsid w:val="00222AE5"/>
    <w:rsid w:val="00222EC0"/>
    <w:rsid w:val="00222EDB"/>
    <w:rsid w:val="0022338F"/>
    <w:rsid w:val="0022510A"/>
    <w:rsid w:val="002269D4"/>
    <w:rsid w:val="00226E13"/>
    <w:rsid w:val="00227064"/>
    <w:rsid w:val="0022706B"/>
    <w:rsid w:val="00227293"/>
    <w:rsid w:val="00227699"/>
    <w:rsid w:val="002278B2"/>
    <w:rsid w:val="0023057A"/>
    <w:rsid w:val="00230772"/>
    <w:rsid w:val="00230DC5"/>
    <w:rsid w:val="00231B71"/>
    <w:rsid w:val="00231C54"/>
    <w:rsid w:val="00232205"/>
    <w:rsid w:val="0023238B"/>
    <w:rsid w:val="00232632"/>
    <w:rsid w:val="00232EDD"/>
    <w:rsid w:val="00234F35"/>
    <w:rsid w:val="00235258"/>
    <w:rsid w:val="002354FD"/>
    <w:rsid w:val="0023583D"/>
    <w:rsid w:val="00235B63"/>
    <w:rsid w:val="00235D72"/>
    <w:rsid w:val="00236548"/>
    <w:rsid w:val="00236F03"/>
    <w:rsid w:val="002370AE"/>
    <w:rsid w:val="00237CA5"/>
    <w:rsid w:val="00240396"/>
    <w:rsid w:val="002407FA"/>
    <w:rsid w:val="00241516"/>
    <w:rsid w:val="002419AB"/>
    <w:rsid w:val="00241C77"/>
    <w:rsid w:val="00241F13"/>
    <w:rsid w:val="0024254A"/>
    <w:rsid w:val="002433CA"/>
    <w:rsid w:val="00244B21"/>
    <w:rsid w:val="00244BA0"/>
    <w:rsid w:val="0024580A"/>
    <w:rsid w:val="00245B83"/>
    <w:rsid w:val="00246200"/>
    <w:rsid w:val="002464A3"/>
    <w:rsid w:val="002470CC"/>
    <w:rsid w:val="00247193"/>
    <w:rsid w:val="00247617"/>
    <w:rsid w:val="00247651"/>
    <w:rsid w:val="0024776B"/>
    <w:rsid w:val="00247D00"/>
    <w:rsid w:val="00247E2B"/>
    <w:rsid w:val="00247F75"/>
    <w:rsid w:val="00250873"/>
    <w:rsid w:val="0025122B"/>
    <w:rsid w:val="002514A8"/>
    <w:rsid w:val="002514D0"/>
    <w:rsid w:val="00251709"/>
    <w:rsid w:val="0025225E"/>
    <w:rsid w:val="00252815"/>
    <w:rsid w:val="00252B50"/>
    <w:rsid w:val="00252FAD"/>
    <w:rsid w:val="00253530"/>
    <w:rsid w:val="00253569"/>
    <w:rsid w:val="00253E05"/>
    <w:rsid w:val="00254199"/>
    <w:rsid w:val="0025458B"/>
    <w:rsid w:val="00254BFF"/>
    <w:rsid w:val="002552C7"/>
    <w:rsid w:val="0025536A"/>
    <w:rsid w:val="00255592"/>
    <w:rsid w:val="002558FB"/>
    <w:rsid w:val="002564CB"/>
    <w:rsid w:val="00256897"/>
    <w:rsid w:val="00256BE6"/>
    <w:rsid w:val="00256D3D"/>
    <w:rsid w:val="00257403"/>
    <w:rsid w:val="002579AA"/>
    <w:rsid w:val="00257A8E"/>
    <w:rsid w:val="002601A4"/>
    <w:rsid w:val="00260D30"/>
    <w:rsid w:val="00261B2A"/>
    <w:rsid w:val="00261C72"/>
    <w:rsid w:val="00263532"/>
    <w:rsid w:val="002636CE"/>
    <w:rsid w:val="00263DF5"/>
    <w:rsid w:val="00264170"/>
    <w:rsid w:val="002649F3"/>
    <w:rsid w:val="00264AB6"/>
    <w:rsid w:val="0026540E"/>
    <w:rsid w:val="0026574A"/>
    <w:rsid w:val="00265887"/>
    <w:rsid w:val="00265E40"/>
    <w:rsid w:val="00266AB8"/>
    <w:rsid w:val="002675BC"/>
    <w:rsid w:val="0027063D"/>
    <w:rsid w:val="002706E9"/>
    <w:rsid w:val="00270B45"/>
    <w:rsid w:val="00270F40"/>
    <w:rsid w:val="002718C5"/>
    <w:rsid w:val="00271C81"/>
    <w:rsid w:val="00271CA9"/>
    <w:rsid w:val="00272292"/>
    <w:rsid w:val="0027232D"/>
    <w:rsid w:val="002723CA"/>
    <w:rsid w:val="00272C80"/>
    <w:rsid w:val="00273FB4"/>
    <w:rsid w:val="0027461E"/>
    <w:rsid w:val="00275CE3"/>
    <w:rsid w:val="00275D35"/>
    <w:rsid w:val="002760C7"/>
    <w:rsid w:val="002760DE"/>
    <w:rsid w:val="00276540"/>
    <w:rsid w:val="00277487"/>
    <w:rsid w:val="00277C45"/>
    <w:rsid w:val="0028010D"/>
    <w:rsid w:val="00280407"/>
    <w:rsid w:val="00280C2D"/>
    <w:rsid w:val="00280CDF"/>
    <w:rsid w:val="00280DBD"/>
    <w:rsid w:val="002811E7"/>
    <w:rsid w:val="00282650"/>
    <w:rsid w:val="00282807"/>
    <w:rsid w:val="00282AC3"/>
    <w:rsid w:val="00282AF6"/>
    <w:rsid w:val="002839D6"/>
    <w:rsid w:val="00283A81"/>
    <w:rsid w:val="00283D71"/>
    <w:rsid w:val="002844D2"/>
    <w:rsid w:val="002846DD"/>
    <w:rsid w:val="0028538D"/>
    <w:rsid w:val="00286F9C"/>
    <w:rsid w:val="00287776"/>
    <w:rsid w:val="002879BC"/>
    <w:rsid w:val="002904FF"/>
    <w:rsid w:val="00290C79"/>
    <w:rsid w:val="00290EE9"/>
    <w:rsid w:val="00291400"/>
    <w:rsid w:val="00291B13"/>
    <w:rsid w:val="00292454"/>
    <w:rsid w:val="0029271B"/>
    <w:rsid w:val="00292767"/>
    <w:rsid w:val="00293ABF"/>
    <w:rsid w:val="00294759"/>
    <w:rsid w:val="00294860"/>
    <w:rsid w:val="002948FC"/>
    <w:rsid w:val="00294A84"/>
    <w:rsid w:val="00294D7E"/>
    <w:rsid w:val="002950CE"/>
    <w:rsid w:val="00295177"/>
    <w:rsid w:val="00295366"/>
    <w:rsid w:val="00296679"/>
    <w:rsid w:val="0029776C"/>
    <w:rsid w:val="00297E8B"/>
    <w:rsid w:val="002A0B8B"/>
    <w:rsid w:val="002A0BD5"/>
    <w:rsid w:val="002A0EC8"/>
    <w:rsid w:val="002A0FA7"/>
    <w:rsid w:val="002A1196"/>
    <w:rsid w:val="002A1F84"/>
    <w:rsid w:val="002A21A5"/>
    <w:rsid w:val="002A21D3"/>
    <w:rsid w:val="002A222C"/>
    <w:rsid w:val="002A279C"/>
    <w:rsid w:val="002A27FF"/>
    <w:rsid w:val="002A3DBA"/>
    <w:rsid w:val="002A44E0"/>
    <w:rsid w:val="002A534E"/>
    <w:rsid w:val="002A5E50"/>
    <w:rsid w:val="002A5F70"/>
    <w:rsid w:val="002A75FA"/>
    <w:rsid w:val="002A796A"/>
    <w:rsid w:val="002B0509"/>
    <w:rsid w:val="002B061F"/>
    <w:rsid w:val="002B0704"/>
    <w:rsid w:val="002B0C4F"/>
    <w:rsid w:val="002B134D"/>
    <w:rsid w:val="002B1534"/>
    <w:rsid w:val="002B204C"/>
    <w:rsid w:val="002B241F"/>
    <w:rsid w:val="002B3C4A"/>
    <w:rsid w:val="002B3E0B"/>
    <w:rsid w:val="002B3E8E"/>
    <w:rsid w:val="002B413A"/>
    <w:rsid w:val="002B434F"/>
    <w:rsid w:val="002B4719"/>
    <w:rsid w:val="002B49B9"/>
    <w:rsid w:val="002B5ABB"/>
    <w:rsid w:val="002B5BB6"/>
    <w:rsid w:val="002B67B8"/>
    <w:rsid w:val="002B695E"/>
    <w:rsid w:val="002C02C6"/>
    <w:rsid w:val="002C05FB"/>
    <w:rsid w:val="002C0934"/>
    <w:rsid w:val="002C0A32"/>
    <w:rsid w:val="002C18DA"/>
    <w:rsid w:val="002C1B56"/>
    <w:rsid w:val="002C23B1"/>
    <w:rsid w:val="002C2574"/>
    <w:rsid w:val="002C2581"/>
    <w:rsid w:val="002C2DD7"/>
    <w:rsid w:val="002C30AD"/>
    <w:rsid w:val="002C3B9F"/>
    <w:rsid w:val="002C3BB5"/>
    <w:rsid w:val="002C4D7E"/>
    <w:rsid w:val="002C4DD0"/>
    <w:rsid w:val="002C4FFD"/>
    <w:rsid w:val="002C502D"/>
    <w:rsid w:val="002C522F"/>
    <w:rsid w:val="002C5E2C"/>
    <w:rsid w:val="002C69FE"/>
    <w:rsid w:val="002C6DD6"/>
    <w:rsid w:val="002C7A5E"/>
    <w:rsid w:val="002D06F7"/>
    <w:rsid w:val="002D0B54"/>
    <w:rsid w:val="002D0C2E"/>
    <w:rsid w:val="002D1DAA"/>
    <w:rsid w:val="002D1F42"/>
    <w:rsid w:val="002D2134"/>
    <w:rsid w:val="002D25A1"/>
    <w:rsid w:val="002D26E9"/>
    <w:rsid w:val="002D3059"/>
    <w:rsid w:val="002D3351"/>
    <w:rsid w:val="002D353E"/>
    <w:rsid w:val="002D395B"/>
    <w:rsid w:val="002D3DAE"/>
    <w:rsid w:val="002D431B"/>
    <w:rsid w:val="002D4947"/>
    <w:rsid w:val="002D4BEF"/>
    <w:rsid w:val="002D4C61"/>
    <w:rsid w:val="002D5A81"/>
    <w:rsid w:val="002D6BB7"/>
    <w:rsid w:val="002D6ECB"/>
    <w:rsid w:val="002D6F65"/>
    <w:rsid w:val="002D717B"/>
    <w:rsid w:val="002D753A"/>
    <w:rsid w:val="002D76D7"/>
    <w:rsid w:val="002D7864"/>
    <w:rsid w:val="002D7B1B"/>
    <w:rsid w:val="002D7DED"/>
    <w:rsid w:val="002E0234"/>
    <w:rsid w:val="002E07FD"/>
    <w:rsid w:val="002E09FF"/>
    <w:rsid w:val="002E0C4B"/>
    <w:rsid w:val="002E109C"/>
    <w:rsid w:val="002E13A5"/>
    <w:rsid w:val="002E1C04"/>
    <w:rsid w:val="002E2620"/>
    <w:rsid w:val="002E26CF"/>
    <w:rsid w:val="002E274D"/>
    <w:rsid w:val="002E2942"/>
    <w:rsid w:val="002E358E"/>
    <w:rsid w:val="002E3876"/>
    <w:rsid w:val="002E3A21"/>
    <w:rsid w:val="002E3F8A"/>
    <w:rsid w:val="002E40DF"/>
    <w:rsid w:val="002E41CC"/>
    <w:rsid w:val="002E4385"/>
    <w:rsid w:val="002E48F0"/>
    <w:rsid w:val="002E4E09"/>
    <w:rsid w:val="002E4E8B"/>
    <w:rsid w:val="002E668A"/>
    <w:rsid w:val="002E7012"/>
    <w:rsid w:val="002E7C1B"/>
    <w:rsid w:val="002E7E6F"/>
    <w:rsid w:val="002F0250"/>
    <w:rsid w:val="002F0AA8"/>
    <w:rsid w:val="002F1E93"/>
    <w:rsid w:val="002F2F11"/>
    <w:rsid w:val="002F30A0"/>
    <w:rsid w:val="002F3535"/>
    <w:rsid w:val="002F364B"/>
    <w:rsid w:val="002F36C4"/>
    <w:rsid w:val="002F484B"/>
    <w:rsid w:val="002F5BAF"/>
    <w:rsid w:val="002F5C0D"/>
    <w:rsid w:val="002F6017"/>
    <w:rsid w:val="002F637C"/>
    <w:rsid w:val="002F6ED6"/>
    <w:rsid w:val="002F782C"/>
    <w:rsid w:val="00300810"/>
    <w:rsid w:val="003008D0"/>
    <w:rsid w:val="00300B37"/>
    <w:rsid w:val="0030107E"/>
    <w:rsid w:val="00301ACE"/>
    <w:rsid w:val="00301BFC"/>
    <w:rsid w:val="00301EB5"/>
    <w:rsid w:val="00303907"/>
    <w:rsid w:val="00303F7E"/>
    <w:rsid w:val="00304296"/>
    <w:rsid w:val="003049EB"/>
    <w:rsid w:val="00304BF4"/>
    <w:rsid w:val="00304FE7"/>
    <w:rsid w:val="003054EA"/>
    <w:rsid w:val="00305E40"/>
    <w:rsid w:val="003062E5"/>
    <w:rsid w:val="00306BE9"/>
    <w:rsid w:val="00306CB5"/>
    <w:rsid w:val="00307A71"/>
    <w:rsid w:val="00307E51"/>
    <w:rsid w:val="0031033A"/>
    <w:rsid w:val="003108CF"/>
    <w:rsid w:val="00310D37"/>
    <w:rsid w:val="00311B9E"/>
    <w:rsid w:val="00312170"/>
    <w:rsid w:val="0031285C"/>
    <w:rsid w:val="0031370E"/>
    <w:rsid w:val="00313DC8"/>
    <w:rsid w:val="00314377"/>
    <w:rsid w:val="00314406"/>
    <w:rsid w:val="00314BD6"/>
    <w:rsid w:val="00315348"/>
    <w:rsid w:val="003154F5"/>
    <w:rsid w:val="00315612"/>
    <w:rsid w:val="00315F9D"/>
    <w:rsid w:val="003164FE"/>
    <w:rsid w:val="00316EA9"/>
    <w:rsid w:val="0031736A"/>
    <w:rsid w:val="003173ED"/>
    <w:rsid w:val="00317856"/>
    <w:rsid w:val="003179DF"/>
    <w:rsid w:val="003201DD"/>
    <w:rsid w:val="0032029D"/>
    <w:rsid w:val="003206DF"/>
    <w:rsid w:val="003209E7"/>
    <w:rsid w:val="00321539"/>
    <w:rsid w:val="00322A04"/>
    <w:rsid w:val="00322AA6"/>
    <w:rsid w:val="00323116"/>
    <w:rsid w:val="00323F74"/>
    <w:rsid w:val="00323F92"/>
    <w:rsid w:val="0032433C"/>
    <w:rsid w:val="00326671"/>
    <w:rsid w:val="003269A7"/>
    <w:rsid w:val="003276E3"/>
    <w:rsid w:val="00327721"/>
    <w:rsid w:val="00327775"/>
    <w:rsid w:val="00327921"/>
    <w:rsid w:val="003301AC"/>
    <w:rsid w:val="00330710"/>
    <w:rsid w:val="00330917"/>
    <w:rsid w:val="00330B86"/>
    <w:rsid w:val="003315F7"/>
    <w:rsid w:val="00331DC4"/>
    <w:rsid w:val="003320EB"/>
    <w:rsid w:val="00333281"/>
    <w:rsid w:val="00333394"/>
    <w:rsid w:val="00333437"/>
    <w:rsid w:val="00334BF7"/>
    <w:rsid w:val="00334E86"/>
    <w:rsid w:val="003354AB"/>
    <w:rsid w:val="00335704"/>
    <w:rsid w:val="00335AED"/>
    <w:rsid w:val="003369BD"/>
    <w:rsid w:val="00336D9A"/>
    <w:rsid w:val="003372B6"/>
    <w:rsid w:val="00337752"/>
    <w:rsid w:val="003438C7"/>
    <w:rsid w:val="003438F9"/>
    <w:rsid w:val="00343F85"/>
    <w:rsid w:val="00344908"/>
    <w:rsid w:val="00345671"/>
    <w:rsid w:val="00345CEC"/>
    <w:rsid w:val="00345CFA"/>
    <w:rsid w:val="00346CEC"/>
    <w:rsid w:val="00347234"/>
    <w:rsid w:val="003472A0"/>
    <w:rsid w:val="003478B5"/>
    <w:rsid w:val="0035016E"/>
    <w:rsid w:val="00350C2C"/>
    <w:rsid w:val="00351445"/>
    <w:rsid w:val="0035176E"/>
    <w:rsid w:val="00351C19"/>
    <w:rsid w:val="003520EC"/>
    <w:rsid w:val="00352BA7"/>
    <w:rsid w:val="00352F52"/>
    <w:rsid w:val="0035419A"/>
    <w:rsid w:val="00354C80"/>
    <w:rsid w:val="00354D6F"/>
    <w:rsid w:val="00355069"/>
    <w:rsid w:val="00355100"/>
    <w:rsid w:val="00355BEA"/>
    <w:rsid w:val="00355D4D"/>
    <w:rsid w:val="00355F10"/>
    <w:rsid w:val="00355F79"/>
    <w:rsid w:val="0035602C"/>
    <w:rsid w:val="00356175"/>
    <w:rsid w:val="00356275"/>
    <w:rsid w:val="0035692A"/>
    <w:rsid w:val="00356A5A"/>
    <w:rsid w:val="00357B4C"/>
    <w:rsid w:val="003601EF"/>
    <w:rsid w:val="003604C0"/>
    <w:rsid w:val="00360D93"/>
    <w:rsid w:val="00360E2C"/>
    <w:rsid w:val="003610F3"/>
    <w:rsid w:val="00362137"/>
    <w:rsid w:val="00362772"/>
    <w:rsid w:val="00362B0E"/>
    <w:rsid w:val="00362C20"/>
    <w:rsid w:val="00362F0A"/>
    <w:rsid w:val="0036314E"/>
    <w:rsid w:val="00363396"/>
    <w:rsid w:val="00364970"/>
    <w:rsid w:val="00364B15"/>
    <w:rsid w:val="00364EA2"/>
    <w:rsid w:val="00364F83"/>
    <w:rsid w:val="00365C66"/>
    <w:rsid w:val="003661CC"/>
    <w:rsid w:val="00366EE6"/>
    <w:rsid w:val="00367454"/>
    <w:rsid w:val="003674E8"/>
    <w:rsid w:val="00367DDE"/>
    <w:rsid w:val="003701D9"/>
    <w:rsid w:val="003702C6"/>
    <w:rsid w:val="00370A91"/>
    <w:rsid w:val="00370FEF"/>
    <w:rsid w:val="0037143E"/>
    <w:rsid w:val="003716E6"/>
    <w:rsid w:val="00371F05"/>
    <w:rsid w:val="00371F90"/>
    <w:rsid w:val="00372063"/>
    <w:rsid w:val="0037222D"/>
    <w:rsid w:val="003728BC"/>
    <w:rsid w:val="003729D9"/>
    <w:rsid w:val="00372B1F"/>
    <w:rsid w:val="00373082"/>
    <w:rsid w:val="00373636"/>
    <w:rsid w:val="00373820"/>
    <w:rsid w:val="00374026"/>
    <w:rsid w:val="003741C0"/>
    <w:rsid w:val="00374A6B"/>
    <w:rsid w:val="00374D94"/>
    <w:rsid w:val="0037539D"/>
    <w:rsid w:val="003759D1"/>
    <w:rsid w:val="00375D81"/>
    <w:rsid w:val="00376988"/>
    <w:rsid w:val="00376D52"/>
    <w:rsid w:val="00376DE9"/>
    <w:rsid w:val="00377AC7"/>
    <w:rsid w:val="00377C2E"/>
    <w:rsid w:val="00380421"/>
    <w:rsid w:val="003807F5"/>
    <w:rsid w:val="00381B68"/>
    <w:rsid w:val="0038294B"/>
    <w:rsid w:val="003839A2"/>
    <w:rsid w:val="00384000"/>
    <w:rsid w:val="00384446"/>
    <w:rsid w:val="00385017"/>
    <w:rsid w:val="003856BD"/>
    <w:rsid w:val="00385B07"/>
    <w:rsid w:val="00385F4D"/>
    <w:rsid w:val="00386988"/>
    <w:rsid w:val="0039084D"/>
    <w:rsid w:val="00392A8C"/>
    <w:rsid w:val="00393343"/>
    <w:rsid w:val="00394E4B"/>
    <w:rsid w:val="00394FD3"/>
    <w:rsid w:val="003968FE"/>
    <w:rsid w:val="00396DAC"/>
    <w:rsid w:val="003973F0"/>
    <w:rsid w:val="00397963"/>
    <w:rsid w:val="00397BAC"/>
    <w:rsid w:val="003A0125"/>
    <w:rsid w:val="003A0202"/>
    <w:rsid w:val="003A1218"/>
    <w:rsid w:val="003A1D2A"/>
    <w:rsid w:val="003A29CF"/>
    <w:rsid w:val="003A2B26"/>
    <w:rsid w:val="003A313C"/>
    <w:rsid w:val="003A3565"/>
    <w:rsid w:val="003A4399"/>
    <w:rsid w:val="003A4431"/>
    <w:rsid w:val="003A54C1"/>
    <w:rsid w:val="003A55D1"/>
    <w:rsid w:val="003A57F1"/>
    <w:rsid w:val="003A5E32"/>
    <w:rsid w:val="003A6C31"/>
    <w:rsid w:val="003A703D"/>
    <w:rsid w:val="003A73FC"/>
    <w:rsid w:val="003A75F5"/>
    <w:rsid w:val="003B05E5"/>
    <w:rsid w:val="003B06EE"/>
    <w:rsid w:val="003B08D1"/>
    <w:rsid w:val="003B0F87"/>
    <w:rsid w:val="003B17EB"/>
    <w:rsid w:val="003B1BCE"/>
    <w:rsid w:val="003B1D1B"/>
    <w:rsid w:val="003B1EBF"/>
    <w:rsid w:val="003B2087"/>
    <w:rsid w:val="003B224A"/>
    <w:rsid w:val="003B22B5"/>
    <w:rsid w:val="003B23CA"/>
    <w:rsid w:val="003B240E"/>
    <w:rsid w:val="003B2676"/>
    <w:rsid w:val="003B2C05"/>
    <w:rsid w:val="003B45B8"/>
    <w:rsid w:val="003B4780"/>
    <w:rsid w:val="003B5532"/>
    <w:rsid w:val="003B5593"/>
    <w:rsid w:val="003B598C"/>
    <w:rsid w:val="003B5F26"/>
    <w:rsid w:val="003B6221"/>
    <w:rsid w:val="003B658E"/>
    <w:rsid w:val="003B6837"/>
    <w:rsid w:val="003B6988"/>
    <w:rsid w:val="003B7214"/>
    <w:rsid w:val="003B72A1"/>
    <w:rsid w:val="003C045A"/>
    <w:rsid w:val="003C082F"/>
    <w:rsid w:val="003C0DBF"/>
    <w:rsid w:val="003C0FBC"/>
    <w:rsid w:val="003C1047"/>
    <w:rsid w:val="003C10BB"/>
    <w:rsid w:val="003C1149"/>
    <w:rsid w:val="003C11BE"/>
    <w:rsid w:val="003C1214"/>
    <w:rsid w:val="003C138D"/>
    <w:rsid w:val="003C1562"/>
    <w:rsid w:val="003C1F77"/>
    <w:rsid w:val="003C2271"/>
    <w:rsid w:val="003C284D"/>
    <w:rsid w:val="003C2ADE"/>
    <w:rsid w:val="003C333D"/>
    <w:rsid w:val="003C465D"/>
    <w:rsid w:val="003C4A00"/>
    <w:rsid w:val="003C4B6D"/>
    <w:rsid w:val="003C4BF8"/>
    <w:rsid w:val="003C4EBB"/>
    <w:rsid w:val="003C59EF"/>
    <w:rsid w:val="003C689B"/>
    <w:rsid w:val="003C7322"/>
    <w:rsid w:val="003C7623"/>
    <w:rsid w:val="003C7A6A"/>
    <w:rsid w:val="003D13CA"/>
    <w:rsid w:val="003D19D2"/>
    <w:rsid w:val="003D1A98"/>
    <w:rsid w:val="003D25F5"/>
    <w:rsid w:val="003D2F1A"/>
    <w:rsid w:val="003D33AF"/>
    <w:rsid w:val="003D403E"/>
    <w:rsid w:val="003D4880"/>
    <w:rsid w:val="003D5018"/>
    <w:rsid w:val="003D5051"/>
    <w:rsid w:val="003D5222"/>
    <w:rsid w:val="003D5476"/>
    <w:rsid w:val="003D6423"/>
    <w:rsid w:val="003D66B8"/>
    <w:rsid w:val="003D6D54"/>
    <w:rsid w:val="003D6D8E"/>
    <w:rsid w:val="003D737A"/>
    <w:rsid w:val="003E006C"/>
    <w:rsid w:val="003E09A8"/>
    <w:rsid w:val="003E09F4"/>
    <w:rsid w:val="003E0F20"/>
    <w:rsid w:val="003E11C7"/>
    <w:rsid w:val="003E1299"/>
    <w:rsid w:val="003E23FE"/>
    <w:rsid w:val="003E2C8B"/>
    <w:rsid w:val="003E2EED"/>
    <w:rsid w:val="003E357A"/>
    <w:rsid w:val="003E36E5"/>
    <w:rsid w:val="003E3A75"/>
    <w:rsid w:val="003E3DB1"/>
    <w:rsid w:val="003E3E89"/>
    <w:rsid w:val="003E4566"/>
    <w:rsid w:val="003E48B1"/>
    <w:rsid w:val="003E4B40"/>
    <w:rsid w:val="003E5672"/>
    <w:rsid w:val="003E58E3"/>
    <w:rsid w:val="003E5C94"/>
    <w:rsid w:val="003E5D53"/>
    <w:rsid w:val="003E5DE6"/>
    <w:rsid w:val="003E66C9"/>
    <w:rsid w:val="003E66FC"/>
    <w:rsid w:val="003E6B98"/>
    <w:rsid w:val="003E6D0B"/>
    <w:rsid w:val="003E6E1B"/>
    <w:rsid w:val="003E7174"/>
    <w:rsid w:val="003E7D2E"/>
    <w:rsid w:val="003E7EC8"/>
    <w:rsid w:val="003F09D7"/>
    <w:rsid w:val="003F0EB8"/>
    <w:rsid w:val="003F1A3B"/>
    <w:rsid w:val="003F1AC2"/>
    <w:rsid w:val="003F1C60"/>
    <w:rsid w:val="003F1E34"/>
    <w:rsid w:val="003F21E6"/>
    <w:rsid w:val="003F2734"/>
    <w:rsid w:val="003F340B"/>
    <w:rsid w:val="003F4A99"/>
    <w:rsid w:val="003F4FA6"/>
    <w:rsid w:val="003F55F6"/>
    <w:rsid w:val="003F5710"/>
    <w:rsid w:val="003F5883"/>
    <w:rsid w:val="003F5AA8"/>
    <w:rsid w:val="003F5CAF"/>
    <w:rsid w:val="003F7214"/>
    <w:rsid w:val="003F7F0F"/>
    <w:rsid w:val="00400B8D"/>
    <w:rsid w:val="00400FE4"/>
    <w:rsid w:val="00401375"/>
    <w:rsid w:val="00401645"/>
    <w:rsid w:val="0040164E"/>
    <w:rsid w:val="00401974"/>
    <w:rsid w:val="004020DB"/>
    <w:rsid w:val="00402339"/>
    <w:rsid w:val="00405954"/>
    <w:rsid w:val="00405C58"/>
    <w:rsid w:val="00407248"/>
    <w:rsid w:val="004077DB"/>
    <w:rsid w:val="00407F8B"/>
    <w:rsid w:val="0041050E"/>
    <w:rsid w:val="00410CBB"/>
    <w:rsid w:val="004119BD"/>
    <w:rsid w:val="00412776"/>
    <w:rsid w:val="004129D9"/>
    <w:rsid w:val="00412E86"/>
    <w:rsid w:val="00414063"/>
    <w:rsid w:val="004141D9"/>
    <w:rsid w:val="00414688"/>
    <w:rsid w:val="00414DC9"/>
    <w:rsid w:val="0041524E"/>
    <w:rsid w:val="00415ED0"/>
    <w:rsid w:val="00416138"/>
    <w:rsid w:val="0041703B"/>
    <w:rsid w:val="004176B5"/>
    <w:rsid w:val="00420050"/>
    <w:rsid w:val="004203B1"/>
    <w:rsid w:val="0042105E"/>
    <w:rsid w:val="00421B61"/>
    <w:rsid w:val="00421C52"/>
    <w:rsid w:val="004229BB"/>
    <w:rsid w:val="0042322D"/>
    <w:rsid w:val="0042376E"/>
    <w:rsid w:val="00423ADC"/>
    <w:rsid w:val="00423C44"/>
    <w:rsid w:val="0042416E"/>
    <w:rsid w:val="00425204"/>
    <w:rsid w:val="004259DF"/>
    <w:rsid w:val="00425AFC"/>
    <w:rsid w:val="00426F15"/>
    <w:rsid w:val="00426F51"/>
    <w:rsid w:val="004272C5"/>
    <w:rsid w:val="00427506"/>
    <w:rsid w:val="00431634"/>
    <w:rsid w:val="004319CF"/>
    <w:rsid w:val="004319D9"/>
    <w:rsid w:val="00431C51"/>
    <w:rsid w:val="004325DB"/>
    <w:rsid w:val="004330AC"/>
    <w:rsid w:val="004331BF"/>
    <w:rsid w:val="004334A9"/>
    <w:rsid w:val="00433520"/>
    <w:rsid w:val="0043375D"/>
    <w:rsid w:val="00436245"/>
    <w:rsid w:val="00436C54"/>
    <w:rsid w:val="00436C8A"/>
    <w:rsid w:val="004375E9"/>
    <w:rsid w:val="00437641"/>
    <w:rsid w:val="00440DF2"/>
    <w:rsid w:val="00440F49"/>
    <w:rsid w:val="00441443"/>
    <w:rsid w:val="004418AF"/>
    <w:rsid w:val="004419A7"/>
    <w:rsid w:val="00441A49"/>
    <w:rsid w:val="00441E95"/>
    <w:rsid w:val="00442088"/>
    <w:rsid w:val="00442798"/>
    <w:rsid w:val="004433C5"/>
    <w:rsid w:val="004434B1"/>
    <w:rsid w:val="004445E1"/>
    <w:rsid w:val="0044489E"/>
    <w:rsid w:val="00444BE3"/>
    <w:rsid w:val="0044511D"/>
    <w:rsid w:val="00445230"/>
    <w:rsid w:val="004455C1"/>
    <w:rsid w:val="00445746"/>
    <w:rsid w:val="004466F7"/>
    <w:rsid w:val="00450070"/>
    <w:rsid w:val="00450CE2"/>
    <w:rsid w:val="00451624"/>
    <w:rsid w:val="00451C69"/>
    <w:rsid w:val="00451D82"/>
    <w:rsid w:val="00452333"/>
    <w:rsid w:val="004527C7"/>
    <w:rsid w:val="00453589"/>
    <w:rsid w:val="00453966"/>
    <w:rsid w:val="00453A62"/>
    <w:rsid w:val="0045431F"/>
    <w:rsid w:val="00454F0F"/>
    <w:rsid w:val="00455740"/>
    <w:rsid w:val="00455BB6"/>
    <w:rsid w:val="00455EA2"/>
    <w:rsid w:val="004568B7"/>
    <w:rsid w:val="00456AE1"/>
    <w:rsid w:val="00457A40"/>
    <w:rsid w:val="00457E86"/>
    <w:rsid w:val="00460AC4"/>
    <w:rsid w:val="00461405"/>
    <w:rsid w:val="004616B3"/>
    <w:rsid w:val="004621C5"/>
    <w:rsid w:val="004628D6"/>
    <w:rsid w:val="00462F23"/>
    <w:rsid w:val="004631DC"/>
    <w:rsid w:val="00463256"/>
    <w:rsid w:val="004632A3"/>
    <w:rsid w:val="004634FC"/>
    <w:rsid w:val="0046395D"/>
    <w:rsid w:val="00463B29"/>
    <w:rsid w:val="0046426C"/>
    <w:rsid w:val="004644FF"/>
    <w:rsid w:val="00464837"/>
    <w:rsid w:val="00464DE6"/>
    <w:rsid w:val="0046518C"/>
    <w:rsid w:val="004652D7"/>
    <w:rsid w:val="00465D1F"/>
    <w:rsid w:val="00467225"/>
    <w:rsid w:val="004674E5"/>
    <w:rsid w:val="00467B25"/>
    <w:rsid w:val="00470C58"/>
    <w:rsid w:val="00470E6C"/>
    <w:rsid w:val="004711BE"/>
    <w:rsid w:val="0047137E"/>
    <w:rsid w:val="004715FE"/>
    <w:rsid w:val="00471C73"/>
    <w:rsid w:val="00472230"/>
    <w:rsid w:val="0047252E"/>
    <w:rsid w:val="0047264D"/>
    <w:rsid w:val="0047291A"/>
    <w:rsid w:val="00473284"/>
    <w:rsid w:val="0047412C"/>
    <w:rsid w:val="0047440D"/>
    <w:rsid w:val="004745C0"/>
    <w:rsid w:val="00474F2E"/>
    <w:rsid w:val="004750C5"/>
    <w:rsid w:val="004755BD"/>
    <w:rsid w:val="00475B5A"/>
    <w:rsid w:val="00475CD4"/>
    <w:rsid w:val="0047727D"/>
    <w:rsid w:val="004772CE"/>
    <w:rsid w:val="004779E0"/>
    <w:rsid w:val="004803ED"/>
    <w:rsid w:val="00480491"/>
    <w:rsid w:val="00480626"/>
    <w:rsid w:val="00481439"/>
    <w:rsid w:val="004815C3"/>
    <w:rsid w:val="00481B4D"/>
    <w:rsid w:val="00481CA3"/>
    <w:rsid w:val="00481EA6"/>
    <w:rsid w:val="004825F8"/>
    <w:rsid w:val="00482CB1"/>
    <w:rsid w:val="00483BD3"/>
    <w:rsid w:val="00484186"/>
    <w:rsid w:val="004842FF"/>
    <w:rsid w:val="00484C6D"/>
    <w:rsid w:val="0048554E"/>
    <w:rsid w:val="00485B70"/>
    <w:rsid w:val="004860B8"/>
    <w:rsid w:val="0048682E"/>
    <w:rsid w:val="00486E08"/>
    <w:rsid w:val="00487163"/>
    <w:rsid w:val="00487439"/>
    <w:rsid w:val="00487A81"/>
    <w:rsid w:val="00487CCD"/>
    <w:rsid w:val="00487FD0"/>
    <w:rsid w:val="00487FF7"/>
    <w:rsid w:val="00490857"/>
    <w:rsid w:val="004911A8"/>
    <w:rsid w:val="004913D3"/>
    <w:rsid w:val="00492165"/>
    <w:rsid w:val="00492518"/>
    <w:rsid w:val="004945B8"/>
    <w:rsid w:val="0049488C"/>
    <w:rsid w:val="00494FB0"/>
    <w:rsid w:val="00495036"/>
    <w:rsid w:val="004953B9"/>
    <w:rsid w:val="00495D58"/>
    <w:rsid w:val="0049643D"/>
    <w:rsid w:val="0049687A"/>
    <w:rsid w:val="0049696A"/>
    <w:rsid w:val="00496C00"/>
    <w:rsid w:val="00496DB2"/>
    <w:rsid w:val="004976E2"/>
    <w:rsid w:val="00497AAB"/>
    <w:rsid w:val="00497BE7"/>
    <w:rsid w:val="004A06E5"/>
    <w:rsid w:val="004A1456"/>
    <w:rsid w:val="004A17C7"/>
    <w:rsid w:val="004A1807"/>
    <w:rsid w:val="004A1B87"/>
    <w:rsid w:val="004A1D08"/>
    <w:rsid w:val="004A215C"/>
    <w:rsid w:val="004A3A34"/>
    <w:rsid w:val="004A4909"/>
    <w:rsid w:val="004A4AB8"/>
    <w:rsid w:val="004A4E01"/>
    <w:rsid w:val="004A5BDF"/>
    <w:rsid w:val="004A6832"/>
    <w:rsid w:val="004A6F88"/>
    <w:rsid w:val="004A7104"/>
    <w:rsid w:val="004A77B2"/>
    <w:rsid w:val="004B158C"/>
    <w:rsid w:val="004B1675"/>
    <w:rsid w:val="004B197D"/>
    <w:rsid w:val="004B2C04"/>
    <w:rsid w:val="004B4246"/>
    <w:rsid w:val="004B4545"/>
    <w:rsid w:val="004B467B"/>
    <w:rsid w:val="004B4C7A"/>
    <w:rsid w:val="004B53C3"/>
    <w:rsid w:val="004B59FF"/>
    <w:rsid w:val="004B64E7"/>
    <w:rsid w:val="004B6ED3"/>
    <w:rsid w:val="004B6F72"/>
    <w:rsid w:val="004C0094"/>
    <w:rsid w:val="004C069B"/>
    <w:rsid w:val="004C0827"/>
    <w:rsid w:val="004C0B12"/>
    <w:rsid w:val="004C0C76"/>
    <w:rsid w:val="004C18FF"/>
    <w:rsid w:val="004C1906"/>
    <w:rsid w:val="004C1C6F"/>
    <w:rsid w:val="004C2250"/>
    <w:rsid w:val="004C295B"/>
    <w:rsid w:val="004C296F"/>
    <w:rsid w:val="004C2A56"/>
    <w:rsid w:val="004C35B3"/>
    <w:rsid w:val="004C35FD"/>
    <w:rsid w:val="004C41DC"/>
    <w:rsid w:val="004C4B19"/>
    <w:rsid w:val="004C5045"/>
    <w:rsid w:val="004C6110"/>
    <w:rsid w:val="004C68D4"/>
    <w:rsid w:val="004C70BB"/>
    <w:rsid w:val="004C714B"/>
    <w:rsid w:val="004C7871"/>
    <w:rsid w:val="004C7A6D"/>
    <w:rsid w:val="004C7AC4"/>
    <w:rsid w:val="004C7FB9"/>
    <w:rsid w:val="004D0A7B"/>
    <w:rsid w:val="004D0C42"/>
    <w:rsid w:val="004D0CA1"/>
    <w:rsid w:val="004D2684"/>
    <w:rsid w:val="004D32B9"/>
    <w:rsid w:val="004D3391"/>
    <w:rsid w:val="004D3B13"/>
    <w:rsid w:val="004D3C93"/>
    <w:rsid w:val="004D3CC5"/>
    <w:rsid w:val="004D3D69"/>
    <w:rsid w:val="004D4ACF"/>
    <w:rsid w:val="004D4EB7"/>
    <w:rsid w:val="004D52C6"/>
    <w:rsid w:val="004D537D"/>
    <w:rsid w:val="004D5E44"/>
    <w:rsid w:val="004D614B"/>
    <w:rsid w:val="004D6918"/>
    <w:rsid w:val="004D6F4B"/>
    <w:rsid w:val="004D6FEC"/>
    <w:rsid w:val="004E0168"/>
    <w:rsid w:val="004E0412"/>
    <w:rsid w:val="004E13DB"/>
    <w:rsid w:val="004E15C3"/>
    <w:rsid w:val="004E19BC"/>
    <w:rsid w:val="004E259E"/>
    <w:rsid w:val="004E380E"/>
    <w:rsid w:val="004E40F1"/>
    <w:rsid w:val="004E4872"/>
    <w:rsid w:val="004E5CEF"/>
    <w:rsid w:val="004E6B7B"/>
    <w:rsid w:val="004E6BC8"/>
    <w:rsid w:val="004E6C68"/>
    <w:rsid w:val="004E716E"/>
    <w:rsid w:val="004E7BA4"/>
    <w:rsid w:val="004F077F"/>
    <w:rsid w:val="004F0AE1"/>
    <w:rsid w:val="004F1264"/>
    <w:rsid w:val="004F1458"/>
    <w:rsid w:val="004F1A59"/>
    <w:rsid w:val="004F1C28"/>
    <w:rsid w:val="004F1E04"/>
    <w:rsid w:val="004F23A8"/>
    <w:rsid w:val="004F2813"/>
    <w:rsid w:val="004F28CA"/>
    <w:rsid w:val="004F298F"/>
    <w:rsid w:val="004F2C82"/>
    <w:rsid w:val="004F2C9B"/>
    <w:rsid w:val="004F2D14"/>
    <w:rsid w:val="004F3095"/>
    <w:rsid w:val="004F3CFE"/>
    <w:rsid w:val="004F3E0C"/>
    <w:rsid w:val="004F3E75"/>
    <w:rsid w:val="004F4033"/>
    <w:rsid w:val="004F45D4"/>
    <w:rsid w:val="004F46E2"/>
    <w:rsid w:val="004F4719"/>
    <w:rsid w:val="004F4AFD"/>
    <w:rsid w:val="004F4E13"/>
    <w:rsid w:val="004F58AB"/>
    <w:rsid w:val="004F5C8B"/>
    <w:rsid w:val="004F5FE0"/>
    <w:rsid w:val="004F6AD7"/>
    <w:rsid w:val="004F7E66"/>
    <w:rsid w:val="00500124"/>
    <w:rsid w:val="00500609"/>
    <w:rsid w:val="00500DCF"/>
    <w:rsid w:val="0050126B"/>
    <w:rsid w:val="00501947"/>
    <w:rsid w:val="00501CC4"/>
    <w:rsid w:val="00501E9C"/>
    <w:rsid w:val="00501FFB"/>
    <w:rsid w:val="005031F7"/>
    <w:rsid w:val="00503880"/>
    <w:rsid w:val="005039D8"/>
    <w:rsid w:val="005042C1"/>
    <w:rsid w:val="00504338"/>
    <w:rsid w:val="005048C6"/>
    <w:rsid w:val="00504CA0"/>
    <w:rsid w:val="0050515F"/>
    <w:rsid w:val="00505733"/>
    <w:rsid w:val="005067E2"/>
    <w:rsid w:val="00507147"/>
    <w:rsid w:val="00507E78"/>
    <w:rsid w:val="00510ECD"/>
    <w:rsid w:val="005110C4"/>
    <w:rsid w:val="005111BC"/>
    <w:rsid w:val="005120E6"/>
    <w:rsid w:val="00512858"/>
    <w:rsid w:val="00512FFE"/>
    <w:rsid w:val="00513409"/>
    <w:rsid w:val="00513C6B"/>
    <w:rsid w:val="0051432F"/>
    <w:rsid w:val="0051435F"/>
    <w:rsid w:val="0051497A"/>
    <w:rsid w:val="0051517C"/>
    <w:rsid w:val="00515CEB"/>
    <w:rsid w:val="0051612C"/>
    <w:rsid w:val="00516888"/>
    <w:rsid w:val="00516977"/>
    <w:rsid w:val="00517641"/>
    <w:rsid w:val="00517A2C"/>
    <w:rsid w:val="00517D8A"/>
    <w:rsid w:val="005204BB"/>
    <w:rsid w:val="00520A43"/>
    <w:rsid w:val="00520B40"/>
    <w:rsid w:val="00520CB2"/>
    <w:rsid w:val="005214DF"/>
    <w:rsid w:val="005218B5"/>
    <w:rsid w:val="00521937"/>
    <w:rsid w:val="00521E79"/>
    <w:rsid w:val="005229C2"/>
    <w:rsid w:val="0052300A"/>
    <w:rsid w:val="005240F7"/>
    <w:rsid w:val="005241F5"/>
    <w:rsid w:val="005248ED"/>
    <w:rsid w:val="00524A9B"/>
    <w:rsid w:val="00524AAD"/>
    <w:rsid w:val="005253E2"/>
    <w:rsid w:val="00525BC0"/>
    <w:rsid w:val="00526841"/>
    <w:rsid w:val="0052691D"/>
    <w:rsid w:val="005270F6"/>
    <w:rsid w:val="005271CC"/>
    <w:rsid w:val="00527201"/>
    <w:rsid w:val="00527A8E"/>
    <w:rsid w:val="00527E7F"/>
    <w:rsid w:val="00527FDB"/>
    <w:rsid w:val="00530729"/>
    <w:rsid w:val="00530A37"/>
    <w:rsid w:val="00530B54"/>
    <w:rsid w:val="00530BD8"/>
    <w:rsid w:val="0053105A"/>
    <w:rsid w:val="00532528"/>
    <w:rsid w:val="00532550"/>
    <w:rsid w:val="0053267F"/>
    <w:rsid w:val="005329CD"/>
    <w:rsid w:val="005341B6"/>
    <w:rsid w:val="0053456B"/>
    <w:rsid w:val="00534694"/>
    <w:rsid w:val="00534832"/>
    <w:rsid w:val="00534AF9"/>
    <w:rsid w:val="00534ED3"/>
    <w:rsid w:val="0053505E"/>
    <w:rsid w:val="0053507E"/>
    <w:rsid w:val="00535D2E"/>
    <w:rsid w:val="005371BE"/>
    <w:rsid w:val="00537518"/>
    <w:rsid w:val="005377A9"/>
    <w:rsid w:val="00537ECD"/>
    <w:rsid w:val="00540083"/>
    <w:rsid w:val="0054019C"/>
    <w:rsid w:val="00541A86"/>
    <w:rsid w:val="00542FCF"/>
    <w:rsid w:val="00543DA5"/>
    <w:rsid w:val="00543F6B"/>
    <w:rsid w:val="0054445F"/>
    <w:rsid w:val="00544791"/>
    <w:rsid w:val="0054491B"/>
    <w:rsid w:val="00544CE8"/>
    <w:rsid w:val="005457AE"/>
    <w:rsid w:val="00546C02"/>
    <w:rsid w:val="00547CBC"/>
    <w:rsid w:val="0055007B"/>
    <w:rsid w:val="005501AA"/>
    <w:rsid w:val="00550E1E"/>
    <w:rsid w:val="005510EB"/>
    <w:rsid w:val="00551316"/>
    <w:rsid w:val="00551581"/>
    <w:rsid w:val="005515BA"/>
    <w:rsid w:val="0055207C"/>
    <w:rsid w:val="00552641"/>
    <w:rsid w:val="005528AE"/>
    <w:rsid w:val="00552D7D"/>
    <w:rsid w:val="0055418B"/>
    <w:rsid w:val="00554F6D"/>
    <w:rsid w:val="00554F7D"/>
    <w:rsid w:val="0055626B"/>
    <w:rsid w:val="00556BFE"/>
    <w:rsid w:val="00557C3F"/>
    <w:rsid w:val="005617EE"/>
    <w:rsid w:val="005626CD"/>
    <w:rsid w:val="00562A5C"/>
    <w:rsid w:val="00562CB2"/>
    <w:rsid w:val="00562D53"/>
    <w:rsid w:val="005640EC"/>
    <w:rsid w:val="005641B0"/>
    <w:rsid w:val="00565598"/>
    <w:rsid w:val="00565A73"/>
    <w:rsid w:val="0056608F"/>
    <w:rsid w:val="00566148"/>
    <w:rsid w:val="005665CA"/>
    <w:rsid w:val="00566BCD"/>
    <w:rsid w:val="00567303"/>
    <w:rsid w:val="005675AF"/>
    <w:rsid w:val="00567604"/>
    <w:rsid w:val="005676ED"/>
    <w:rsid w:val="00567820"/>
    <w:rsid w:val="00570441"/>
    <w:rsid w:val="005704D2"/>
    <w:rsid w:val="00570C53"/>
    <w:rsid w:val="0057116E"/>
    <w:rsid w:val="00571929"/>
    <w:rsid w:val="00571FC5"/>
    <w:rsid w:val="0057229C"/>
    <w:rsid w:val="0057231D"/>
    <w:rsid w:val="005727F5"/>
    <w:rsid w:val="005744FA"/>
    <w:rsid w:val="005754C5"/>
    <w:rsid w:val="00575C84"/>
    <w:rsid w:val="0057611B"/>
    <w:rsid w:val="00576442"/>
    <w:rsid w:val="005768F7"/>
    <w:rsid w:val="00576A60"/>
    <w:rsid w:val="00576B27"/>
    <w:rsid w:val="00576D5C"/>
    <w:rsid w:val="00576E34"/>
    <w:rsid w:val="00577039"/>
    <w:rsid w:val="00577249"/>
    <w:rsid w:val="00577558"/>
    <w:rsid w:val="00577BAE"/>
    <w:rsid w:val="00581F4B"/>
    <w:rsid w:val="00582842"/>
    <w:rsid w:val="005828D6"/>
    <w:rsid w:val="00582CCC"/>
    <w:rsid w:val="00583282"/>
    <w:rsid w:val="005838E3"/>
    <w:rsid w:val="0058548E"/>
    <w:rsid w:val="005862FE"/>
    <w:rsid w:val="00586A73"/>
    <w:rsid w:val="00586AF7"/>
    <w:rsid w:val="00587126"/>
    <w:rsid w:val="00587743"/>
    <w:rsid w:val="00587969"/>
    <w:rsid w:val="00587B98"/>
    <w:rsid w:val="00590731"/>
    <w:rsid w:val="0059160F"/>
    <w:rsid w:val="00591FC7"/>
    <w:rsid w:val="00592846"/>
    <w:rsid w:val="005929D6"/>
    <w:rsid w:val="00592D57"/>
    <w:rsid w:val="005932AF"/>
    <w:rsid w:val="005945D4"/>
    <w:rsid w:val="0059474D"/>
    <w:rsid w:val="00594839"/>
    <w:rsid w:val="00594EEF"/>
    <w:rsid w:val="005952D6"/>
    <w:rsid w:val="00596983"/>
    <w:rsid w:val="00597092"/>
    <w:rsid w:val="00597DF2"/>
    <w:rsid w:val="00597E82"/>
    <w:rsid w:val="005A0B34"/>
    <w:rsid w:val="005A1202"/>
    <w:rsid w:val="005A168B"/>
    <w:rsid w:val="005A178F"/>
    <w:rsid w:val="005A1AF4"/>
    <w:rsid w:val="005A1D8A"/>
    <w:rsid w:val="005A31C9"/>
    <w:rsid w:val="005A3BDA"/>
    <w:rsid w:val="005A3C13"/>
    <w:rsid w:val="005A3D75"/>
    <w:rsid w:val="005A5EA2"/>
    <w:rsid w:val="005A6271"/>
    <w:rsid w:val="005A7986"/>
    <w:rsid w:val="005A7B6E"/>
    <w:rsid w:val="005B083A"/>
    <w:rsid w:val="005B12FC"/>
    <w:rsid w:val="005B1949"/>
    <w:rsid w:val="005B1F08"/>
    <w:rsid w:val="005B2002"/>
    <w:rsid w:val="005B2F7F"/>
    <w:rsid w:val="005B3B8F"/>
    <w:rsid w:val="005B4115"/>
    <w:rsid w:val="005B4125"/>
    <w:rsid w:val="005B41DA"/>
    <w:rsid w:val="005B5983"/>
    <w:rsid w:val="005B6B4B"/>
    <w:rsid w:val="005C0127"/>
    <w:rsid w:val="005C1078"/>
    <w:rsid w:val="005C1CEC"/>
    <w:rsid w:val="005C2FB3"/>
    <w:rsid w:val="005C3B1E"/>
    <w:rsid w:val="005C4C65"/>
    <w:rsid w:val="005C4DF9"/>
    <w:rsid w:val="005C50B1"/>
    <w:rsid w:val="005C5667"/>
    <w:rsid w:val="005C5734"/>
    <w:rsid w:val="005C6094"/>
    <w:rsid w:val="005C60F1"/>
    <w:rsid w:val="005C6238"/>
    <w:rsid w:val="005C6D8A"/>
    <w:rsid w:val="005C6E83"/>
    <w:rsid w:val="005C701C"/>
    <w:rsid w:val="005D014A"/>
    <w:rsid w:val="005D070A"/>
    <w:rsid w:val="005D0E06"/>
    <w:rsid w:val="005D0F08"/>
    <w:rsid w:val="005D1926"/>
    <w:rsid w:val="005D198B"/>
    <w:rsid w:val="005D2112"/>
    <w:rsid w:val="005D2628"/>
    <w:rsid w:val="005D2927"/>
    <w:rsid w:val="005D2ADA"/>
    <w:rsid w:val="005D2D67"/>
    <w:rsid w:val="005D3A40"/>
    <w:rsid w:val="005D3C07"/>
    <w:rsid w:val="005D401C"/>
    <w:rsid w:val="005D4BBF"/>
    <w:rsid w:val="005D4F32"/>
    <w:rsid w:val="005D5F21"/>
    <w:rsid w:val="005D68DD"/>
    <w:rsid w:val="005D76DF"/>
    <w:rsid w:val="005D7963"/>
    <w:rsid w:val="005D7EAE"/>
    <w:rsid w:val="005E0040"/>
    <w:rsid w:val="005E0235"/>
    <w:rsid w:val="005E03F7"/>
    <w:rsid w:val="005E0612"/>
    <w:rsid w:val="005E0846"/>
    <w:rsid w:val="005E1089"/>
    <w:rsid w:val="005E10FA"/>
    <w:rsid w:val="005E161B"/>
    <w:rsid w:val="005E20B0"/>
    <w:rsid w:val="005E21EB"/>
    <w:rsid w:val="005E28C4"/>
    <w:rsid w:val="005E40CF"/>
    <w:rsid w:val="005E5D3D"/>
    <w:rsid w:val="005E5F0B"/>
    <w:rsid w:val="005E5F8B"/>
    <w:rsid w:val="005E6268"/>
    <w:rsid w:val="005E6AC1"/>
    <w:rsid w:val="005E6FB3"/>
    <w:rsid w:val="005E765B"/>
    <w:rsid w:val="005E77D6"/>
    <w:rsid w:val="005E7E05"/>
    <w:rsid w:val="005F233D"/>
    <w:rsid w:val="005F2BBC"/>
    <w:rsid w:val="005F3109"/>
    <w:rsid w:val="005F42F9"/>
    <w:rsid w:val="005F4767"/>
    <w:rsid w:val="005F4985"/>
    <w:rsid w:val="005F49D7"/>
    <w:rsid w:val="005F4E51"/>
    <w:rsid w:val="005F5296"/>
    <w:rsid w:val="005F5D8D"/>
    <w:rsid w:val="005F5FA0"/>
    <w:rsid w:val="005F6A46"/>
    <w:rsid w:val="005F7C56"/>
    <w:rsid w:val="005F7DB4"/>
    <w:rsid w:val="005F7E1D"/>
    <w:rsid w:val="0060007B"/>
    <w:rsid w:val="006001B1"/>
    <w:rsid w:val="0060115F"/>
    <w:rsid w:val="006017D4"/>
    <w:rsid w:val="00601A20"/>
    <w:rsid w:val="00601BE9"/>
    <w:rsid w:val="00601EDF"/>
    <w:rsid w:val="00602483"/>
    <w:rsid w:val="00603C62"/>
    <w:rsid w:val="00603DC2"/>
    <w:rsid w:val="00604066"/>
    <w:rsid w:val="006043D1"/>
    <w:rsid w:val="0060588E"/>
    <w:rsid w:val="00605D46"/>
    <w:rsid w:val="00605D72"/>
    <w:rsid w:val="006062DC"/>
    <w:rsid w:val="00606369"/>
    <w:rsid w:val="00606553"/>
    <w:rsid w:val="00606B93"/>
    <w:rsid w:val="00607007"/>
    <w:rsid w:val="006072AB"/>
    <w:rsid w:val="00607BAE"/>
    <w:rsid w:val="006109D5"/>
    <w:rsid w:val="00611572"/>
    <w:rsid w:val="006117C3"/>
    <w:rsid w:val="00612E5E"/>
    <w:rsid w:val="00612FBA"/>
    <w:rsid w:val="00613068"/>
    <w:rsid w:val="0061467F"/>
    <w:rsid w:val="00614CCA"/>
    <w:rsid w:val="00615454"/>
    <w:rsid w:val="0061586E"/>
    <w:rsid w:val="00615A57"/>
    <w:rsid w:val="00615E87"/>
    <w:rsid w:val="00616148"/>
    <w:rsid w:val="00616284"/>
    <w:rsid w:val="00616539"/>
    <w:rsid w:val="0061701E"/>
    <w:rsid w:val="0061729D"/>
    <w:rsid w:val="00617510"/>
    <w:rsid w:val="00617D46"/>
    <w:rsid w:val="006204BF"/>
    <w:rsid w:val="006204E2"/>
    <w:rsid w:val="00620A32"/>
    <w:rsid w:val="006214E0"/>
    <w:rsid w:val="00621692"/>
    <w:rsid w:val="00621F61"/>
    <w:rsid w:val="00622846"/>
    <w:rsid w:val="00622C5F"/>
    <w:rsid w:val="00622C8D"/>
    <w:rsid w:val="00623347"/>
    <w:rsid w:val="00624489"/>
    <w:rsid w:val="00625AC0"/>
    <w:rsid w:val="00625AC2"/>
    <w:rsid w:val="00625F1D"/>
    <w:rsid w:val="00626DF4"/>
    <w:rsid w:val="00627085"/>
    <w:rsid w:val="0062741F"/>
    <w:rsid w:val="00627609"/>
    <w:rsid w:val="00627B24"/>
    <w:rsid w:val="0063066B"/>
    <w:rsid w:val="00630D77"/>
    <w:rsid w:val="00631206"/>
    <w:rsid w:val="00631513"/>
    <w:rsid w:val="00631754"/>
    <w:rsid w:val="00631937"/>
    <w:rsid w:val="00631F69"/>
    <w:rsid w:val="00632306"/>
    <w:rsid w:val="006328D3"/>
    <w:rsid w:val="0063292B"/>
    <w:rsid w:val="00632FE4"/>
    <w:rsid w:val="006338D5"/>
    <w:rsid w:val="00633C04"/>
    <w:rsid w:val="006341DB"/>
    <w:rsid w:val="006348F1"/>
    <w:rsid w:val="006349AC"/>
    <w:rsid w:val="006350BA"/>
    <w:rsid w:val="0063588F"/>
    <w:rsid w:val="006359E7"/>
    <w:rsid w:val="00635DF4"/>
    <w:rsid w:val="006369CE"/>
    <w:rsid w:val="00636C93"/>
    <w:rsid w:val="00636F77"/>
    <w:rsid w:val="006370CA"/>
    <w:rsid w:val="006376FE"/>
    <w:rsid w:val="00640D53"/>
    <w:rsid w:val="0064137A"/>
    <w:rsid w:val="0064182E"/>
    <w:rsid w:val="006418BB"/>
    <w:rsid w:val="00641E13"/>
    <w:rsid w:val="00641EB3"/>
    <w:rsid w:val="006422C3"/>
    <w:rsid w:val="00642382"/>
    <w:rsid w:val="006426B3"/>
    <w:rsid w:val="00642C5C"/>
    <w:rsid w:val="0064313D"/>
    <w:rsid w:val="006438D3"/>
    <w:rsid w:val="00643AE9"/>
    <w:rsid w:val="0064416C"/>
    <w:rsid w:val="006442CA"/>
    <w:rsid w:val="00644384"/>
    <w:rsid w:val="00644385"/>
    <w:rsid w:val="00645CEE"/>
    <w:rsid w:val="006462B9"/>
    <w:rsid w:val="00646C4A"/>
    <w:rsid w:val="00646F4A"/>
    <w:rsid w:val="00647281"/>
    <w:rsid w:val="006506CC"/>
    <w:rsid w:val="00650B39"/>
    <w:rsid w:val="006519D5"/>
    <w:rsid w:val="00651B7A"/>
    <w:rsid w:val="00652D8F"/>
    <w:rsid w:val="00652EB7"/>
    <w:rsid w:val="00652F5E"/>
    <w:rsid w:val="00653A73"/>
    <w:rsid w:val="00653B4A"/>
    <w:rsid w:val="00653CD2"/>
    <w:rsid w:val="00653FBA"/>
    <w:rsid w:val="006541FE"/>
    <w:rsid w:val="006549EA"/>
    <w:rsid w:val="00654A05"/>
    <w:rsid w:val="00655EAB"/>
    <w:rsid w:val="00656771"/>
    <w:rsid w:val="00656783"/>
    <w:rsid w:val="00656E2E"/>
    <w:rsid w:val="006571E4"/>
    <w:rsid w:val="006572E4"/>
    <w:rsid w:val="0065739C"/>
    <w:rsid w:val="00657687"/>
    <w:rsid w:val="00657F53"/>
    <w:rsid w:val="006603DB"/>
    <w:rsid w:val="00660883"/>
    <w:rsid w:val="00660E52"/>
    <w:rsid w:val="0066105D"/>
    <w:rsid w:val="006610AD"/>
    <w:rsid w:val="006611A3"/>
    <w:rsid w:val="0066129F"/>
    <w:rsid w:val="00662BC4"/>
    <w:rsid w:val="00663FAD"/>
    <w:rsid w:val="006642FF"/>
    <w:rsid w:val="00664AED"/>
    <w:rsid w:val="00665671"/>
    <w:rsid w:val="006667AF"/>
    <w:rsid w:val="00667625"/>
    <w:rsid w:val="00667A34"/>
    <w:rsid w:val="00667D6E"/>
    <w:rsid w:val="00670F54"/>
    <w:rsid w:val="00671983"/>
    <w:rsid w:val="006722E2"/>
    <w:rsid w:val="00672585"/>
    <w:rsid w:val="00672F35"/>
    <w:rsid w:val="00673F48"/>
    <w:rsid w:val="00674469"/>
    <w:rsid w:val="0067474E"/>
    <w:rsid w:val="006747C1"/>
    <w:rsid w:val="006747D6"/>
    <w:rsid w:val="0067497E"/>
    <w:rsid w:val="00674CFD"/>
    <w:rsid w:val="00675C1D"/>
    <w:rsid w:val="006763A4"/>
    <w:rsid w:val="006763F7"/>
    <w:rsid w:val="00676F7E"/>
    <w:rsid w:val="006772D0"/>
    <w:rsid w:val="00677AFD"/>
    <w:rsid w:val="006806C0"/>
    <w:rsid w:val="0068193C"/>
    <w:rsid w:val="00681AA4"/>
    <w:rsid w:val="00682355"/>
    <w:rsid w:val="006829AC"/>
    <w:rsid w:val="00682DDB"/>
    <w:rsid w:val="0068378D"/>
    <w:rsid w:val="00683C3E"/>
    <w:rsid w:val="00683D12"/>
    <w:rsid w:val="00684E16"/>
    <w:rsid w:val="00684EFA"/>
    <w:rsid w:val="006852C0"/>
    <w:rsid w:val="006852D8"/>
    <w:rsid w:val="00685E75"/>
    <w:rsid w:val="00685FDD"/>
    <w:rsid w:val="006863EE"/>
    <w:rsid w:val="006872E5"/>
    <w:rsid w:val="006873B1"/>
    <w:rsid w:val="00687501"/>
    <w:rsid w:val="006877D6"/>
    <w:rsid w:val="006901C6"/>
    <w:rsid w:val="00690A62"/>
    <w:rsid w:val="00690DB9"/>
    <w:rsid w:val="0069159B"/>
    <w:rsid w:val="0069199E"/>
    <w:rsid w:val="00691B75"/>
    <w:rsid w:val="00692279"/>
    <w:rsid w:val="00692B2F"/>
    <w:rsid w:val="00692CF9"/>
    <w:rsid w:val="00692FE2"/>
    <w:rsid w:val="006930F5"/>
    <w:rsid w:val="0069323F"/>
    <w:rsid w:val="00693C27"/>
    <w:rsid w:val="00694495"/>
    <w:rsid w:val="006945A0"/>
    <w:rsid w:val="006945F7"/>
    <w:rsid w:val="006946A7"/>
    <w:rsid w:val="006946D9"/>
    <w:rsid w:val="00694D5E"/>
    <w:rsid w:val="00694DDE"/>
    <w:rsid w:val="0069521A"/>
    <w:rsid w:val="006959D0"/>
    <w:rsid w:val="00695DF2"/>
    <w:rsid w:val="00695E0C"/>
    <w:rsid w:val="006968C9"/>
    <w:rsid w:val="00696B76"/>
    <w:rsid w:val="00696C07"/>
    <w:rsid w:val="006A056B"/>
    <w:rsid w:val="006A07BD"/>
    <w:rsid w:val="006A0B7A"/>
    <w:rsid w:val="006A237D"/>
    <w:rsid w:val="006A238B"/>
    <w:rsid w:val="006A2849"/>
    <w:rsid w:val="006A2A26"/>
    <w:rsid w:val="006A2EE5"/>
    <w:rsid w:val="006A35C5"/>
    <w:rsid w:val="006A3972"/>
    <w:rsid w:val="006A3E78"/>
    <w:rsid w:val="006A4250"/>
    <w:rsid w:val="006A5E84"/>
    <w:rsid w:val="006A606F"/>
    <w:rsid w:val="006A6102"/>
    <w:rsid w:val="006A64A1"/>
    <w:rsid w:val="006A6690"/>
    <w:rsid w:val="006A6802"/>
    <w:rsid w:val="006A768F"/>
    <w:rsid w:val="006A779D"/>
    <w:rsid w:val="006A7F8C"/>
    <w:rsid w:val="006B0388"/>
    <w:rsid w:val="006B0752"/>
    <w:rsid w:val="006B19A7"/>
    <w:rsid w:val="006B2017"/>
    <w:rsid w:val="006B25A0"/>
    <w:rsid w:val="006B26B6"/>
    <w:rsid w:val="006B2789"/>
    <w:rsid w:val="006B2BD9"/>
    <w:rsid w:val="006B2C91"/>
    <w:rsid w:val="006B30FD"/>
    <w:rsid w:val="006B33A4"/>
    <w:rsid w:val="006B348A"/>
    <w:rsid w:val="006B3787"/>
    <w:rsid w:val="006B397F"/>
    <w:rsid w:val="006B3EF8"/>
    <w:rsid w:val="006B3FCD"/>
    <w:rsid w:val="006B525D"/>
    <w:rsid w:val="006B5EF7"/>
    <w:rsid w:val="006B6ABB"/>
    <w:rsid w:val="006C027A"/>
    <w:rsid w:val="006C0F0B"/>
    <w:rsid w:val="006C1505"/>
    <w:rsid w:val="006C1A47"/>
    <w:rsid w:val="006C1ACE"/>
    <w:rsid w:val="006C1AFF"/>
    <w:rsid w:val="006C1E2F"/>
    <w:rsid w:val="006C1E65"/>
    <w:rsid w:val="006C2613"/>
    <w:rsid w:val="006C2E6E"/>
    <w:rsid w:val="006C3582"/>
    <w:rsid w:val="006C458F"/>
    <w:rsid w:val="006C47BE"/>
    <w:rsid w:val="006C5765"/>
    <w:rsid w:val="006C6098"/>
    <w:rsid w:val="006C6432"/>
    <w:rsid w:val="006C6722"/>
    <w:rsid w:val="006C6C36"/>
    <w:rsid w:val="006C71C8"/>
    <w:rsid w:val="006C736D"/>
    <w:rsid w:val="006C7864"/>
    <w:rsid w:val="006C7CDA"/>
    <w:rsid w:val="006D0457"/>
    <w:rsid w:val="006D0559"/>
    <w:rsid w:val="006D1A2D"/>
    <w:rsid w:val="006D1C47"/>
    <w:rsid w:val="006D2609"/>
    <w:rsid w:val="006D2E3F"/>
    <w:rsid w:val="006D36C2"/>
    <w:rsid w:val="006D3839"/>
    <w:rsid w:val="006D387B"/>
    <w:rsid w:val="006D3B65"/>
    <w:rsid w:val="006D3C6D"/>
    <w:rsid w:val="006D3DC2"/>
    <w:rsid w:val="006D43D4"/>
    <w:rsid w:val="006D447E"/>
    <w:rsid w:val="006D580C"/>
    <w:rsid w:val="006D61AF"/>
    <w:rsid w:val="006D693A"/>
    <w:rsid w:val="006D6F8F"/>
    <w:rsid w:val="006D6F9D"/>
    <w:rsid w:val="006D7211"/>
    <w:rsid w:val="006D741B"/>
    <w:rsid w:val="006D743D"/>
    <w:rsid w:val="006D7F55"/>
    <w:rsid w:val="006E0C7E"/>
    <w:rsid w:val="006E115F"/>
    <w:rsid w:val="006E1754"/>
    <w:rsid w:val="006E179A"/>
    <w:rsid w:val="006E1AB4"/>
    <w:rsid w:val="006E2842"/>
    <w:rsid w:val="006E377E"/>
    <w:rsid w:val="006E3D19"/>
    <w:rsid w:val="006E3E5E"/>
    <w:rsid w:val="006E442B"/>
    <w:rsid w:val="006E4592"/>
    <w:rsid w:val="006E4E28"/>
    <w:rsid w:val="006E5568"/>
    <w:rsid w:val="006E5944"/>
    <w:rsid w:val="006E5F17"/>
    <w:rsid w:val="006E6D0F"/>
    <w:rsid w:val="006E6E73"/>
    <w:rsid w:val="006E7016"/>
    <w:rsid w:val="006E7121"/>
    <w:rsid w:val="006E735B"/>
    <w:rsid w:val="006E7975"/>
    <w:rsid w:val="006E7ACA"/>
    <w:rsid w:val="006F00B3"/>
    <w:rsid w:val="006F05E2"/>
    <w:rsid w:val="006F092A"/>
    <w:rsid w:val="006F0DC3"/>
    <w:rsid w:val="006F1013"/>
    <w:rsid w:val="006F139B"/>
    <w:rsid w:val="006F17FD"/>
    <w:rsid w:val="006F1D15"/>
    <w:rsid w:val="006F1F42"/>
    <w:rsid w:val="006F2002"/>
    <w:rsid w:val="006F2531"/>
    <w:rsid w:val="006F2729"/>
    <w:rsid w:val="006F2906"/>
    <w:rsid w:val="006F2DE7"/>
    <w:rsid w:val="006F2E44"/>
    <w:rsid w:val="006F3429"/>
    <w:rsid w:val="006F3526"/>
    <w:rsid w:val="006F380E"/>
    <w:rsid w:val="006F4574"/>
    <w:rsid w:val="006F48A5"/>
    <w:rsid w:val="006F4B07"/>
    <w:rsid w:val="006F4E54"/>
    <w:rsid w:val="006F4F0D"/>
    <w:rsid w:val="006F5E99"/>
    <w:rsid w:val="006F6632"/>
    <w:rsid w:val="006F66E0"/>
    <w:rsid w:val="006F6750"/>
    <w:rsid w:val="006F69EA"/>
    <w:rsid w:val="006F6D08"/>
    <w:rsid w:val="006F74F4"/>
    <w:rsid w:val="006F7FBB"/>
    <w:rsid w:val="0070043B"/>
    <w:rsid w:val="0070099B"/>
    <w:rsid w:val="00700B87"/>
    <w:rsid w:val="00700C67"/>
    <w:rsid w:val="007034EA"/>
    <w:rsid w:val="0070449A"/>
    <w:rsid w:val="007044A6"/>
    <w:rsid w:val="00704729"/>
    <w:rsid w:val="007047FE"/>
    <w:rsid w:val="00705045"/>
    <w:rsid w:val="00705841"/>
    <w:rsid w:val="00706D9D"/>
    <w:rsid w:val="00707584"/>
    <w:rsid w:val="00707658"/>
    <w:rsid w:val="007076CB"/>
    <w:rsid w:val="00710174"/>
    <w:rsid w:val="007101AF"/>
    <w:rsid w:val="007101EC"/>
    <w:rsid w:val="00710445"/>
    <w:rsid w:val="007108C3"/>
    <w:rsid w:val="00710B00"/>
    <w:rsid w:val="00710E89"/>
    <w:rsid w:val="007116A1"/>
    <w:rsid w:val="007117F6"/>
    <w:rsid w:val="0071180F"/>
    <w:rsid w:val="007126B2"/>
    <w:rsid w:val="00712F3C"/>
    <w:rsid w:val="00713169"/>
    <w:rsid w:val="007139C6"/>
    <w:rsid w:val="0071402E"/>
    <w:rsid w:val="00714123"/>
    <w:rsid w:val="00714C4F"/>
    <w:rsid w:val="00715507"/>
    <w:rsid w:val="007156C6"/>
    <w:rsid w:val="00715818"/>
    <w:rsid w:val="00715F5A"/>
    <w:rsid w:val="00715F65"/>
    <w:rsid w:val="007166A2"/>
    <w:rsid w:val="00716B77"/>
    <w:rsid w:val="0071753F"/>
    <w:rsid w:val="007202AC"/>
    <w:rsid w:val="0072071F"/>
    <w:rsid w:val="007207A9"/>
    <w:rsid w:val="007208A9"/>
    <w:rsid w:val="00720A55"/>
    <w:rsid w:val="00720C23"/>
    <w:rsid w:val="00721203"/>
    <w:rsid w:val="007216ED"/>
    <w:rsid w:val="00722D17"/>
    <w:rsid w:val="00723010"/>
    <w:rsid w:val="00723080"/>
    <w:rsid w:val="00723872"/>
    <w:rsid w:val="00723BC6"/>
    <w:rsid w:val="00724506"/>
    <w:rsid w:val="0072456C"/>
    <w:rsid w:val="00724CAA"/>
    <w:rsid w:val="00724D49"/>
    <w:rsid w:val="00725BBB"/>
    <w:rsid w:val="00726078"/>
    <w:rsid w:val="0072647A"/>
    <w:rsid w:val="007268D5"/>
    <w:rsid w:val="00726AAA"/>
    <w:rsid w:val="00726E38"/>
    <w:rsid w:val="00727E7D"/>
    <w:rsid w:val="00730313"/>
    <w:rsid w:val="00730619"/>
    <w:rsid w:val="00731972"/>
    <w:rsid w:val="007319D7"/>
    <w:rsid w:val="00731C3D"/>
    <w:rsid w:val="00732B34"/>
    <w:rsid w:val="007332A9"/>
    <w:rsid w:val="00733AE3"/>
    <w:rsid w:val="00733F7A"/>
    <w:rsid w:val="00734075"/>
    <w:rsid w:val="0073474B"/>
    <w:rsid w:val="007349B6"/>
    <w:rsid w:val="00734D0E"/>
    <w:rsid w:val="00734DFB"/>
    <w:rsid w:val="007352F9"/>
    <w:rsid w:val="007356F8"/>
    <w:rsid w:val="00735870"/>
    <w:rsid w:val="007358D2"/>
    <w:rsid w:val="00736D90"/>
    <w:rsid w:val="00737169"/>
    <w:rsid w:val="00737D1F"/>
    <w:rsid w:val="00740B81"/>
    <w:rsid w:val="007417DD"/>
    <w:rsid w:val="00741943"/>
    <w:rsid w:val="00742184"/>
    <w:rsid w:val="007421C0"/>
    <w:rsid w:val="00742338"/>
    <w:rsid w:val="0074259C"/>
    <w:rsid w:val="00742FF1"/>
    <w:rsid w:val="00743177"/>
    <w:rsid w:val="00743754"/>
    <w:rsid w:val="00743801"/>
    <w:rsid w:val="007449A5"/>
    <w:rsid w:val="00744E35"/>
    <w:rsid w:val="007450D2"/>
    <w:rsid w:val="00745989"/>
    <w:rsid w:val="00746E25"/>
    <w:rsid w:val="00747BB7"/>
    <w:rsid w:val="00747BF8"/>
    <w:rsid w:val="00750BEB"/>
    <w:rsid w:val="0075120A"/>
    <w:rsid w:val="007512A4"/>
    <w:rsid w:val="00751F1A"/>
    <w:rsid w:val="0075231D"/>
    <w:rsid w:val="00752394"/>
    <w:rsid w:val="00752480"/>
    <w:rsid w:val="0075362F"/>
    <w:rsid w:val="00753DE9"/>
    <w:rsid w:val="00754322"/>
    <w:rsid w:val="0075482F"/>
    <w:rsid w:val="00755C38"/>
    <w:rsid w:val="00755EF6"/>
    <w:rsid w:val="00756143"/>
    <w:rsid w:val="0075636A"/>
    <w:rsid w:val="00756421"/>
    <w:rsid w:val="00756664"/>
    <w:rsid w:val="007568A3"/>
    <w:rsid w:val="007569C0"/>
    <w:rsid w:val="007574F7"/>
    <w:rsid w:val="00757D5E"/>
    <w:rsid w:val="0076034A"/>
    <w:rsid w:val="0076041E"/>
    <w:rsid w:val="00760421"/>
    <w:rsid w:val="0076050F"/>
    <w:rsid w:val="00760A5B"/>
    <w:rsid w:val="00761806"/>
    <w:rsid w:val="00761D98"/>
    <w:rsid w:val="00761EA1"/>
    <w:rsid w:val="007626BC"/>
    <w:rsid w:val="00762AEC"/>
    <w:rsid w:val="00762EC7"/>
    <w:rsid w:val="00762FB4"/>
    <w:rsid w:val="00763028"/>
    <w:rsid w:val="00763492"/>
    <w:rsid w:val="007638A5"/>
    <w:rsid w:val="0076443D"/>
    <w:rsid w:val="00766811"/>
    <w:rsid w:val="0076683A"/>
    <w:rsid w:val="00766D2E"/>
    <w:rsid w:val="00767952"/>
    <w:rsid w:val="00767BBC"/>
    <w:rsid w:val="00767F39"/>
    <w:rsid w:val="00770487"/>
    <w:rsid w:val="0077102F"/>
    <w:rsid w:val="00771667"/>
    <w:rsid w:val="0077166D"/>
    <w:rsid w:val="007716B9"/>
    <w:rsid w:val="007717CB"/>
    <w:rsid w:val="00771978"/>
    <w:rsid w:val="0077248D"/>
    <w:rsid w:val="00772696"/>
    <w:rsid w:val="00772C98"/>
    <w:rsid w:val="0077388A"/>
    <w:rsid w:val="00774825"/>
    <w:rsid w:val="00774989"/>
    <w:rsid w:val="0077567F"/>
    <w:rsid w:val="00775D7D"/>
    <w:rsid w:val="00775F59"/>
    <w:rsid w:val="00776890"/>
    <w:rsid w:val="007776CF"/>
    <w:rsid w:val="00777987"/>
    <w:rsid w:val="00780506"/>
    <w:rsid w:val="00780597"/>
    <w:rsid w:val="007808C2"/>
    <w:rsid w:val="00780E3B"/>
    <w:rsid w:val="00780EA7"/>
    <w:rsid w:val="0078184D"/>
    <w:rsid w:val="0078193A"/>
    <w:rsid w:val="00782050"/>
    <w:rsid w:val="0078233A"/>
    <w:rsid w:val="00782800"/>
    <w:rsid w:val="00782C47"/>
    <w:rsid w:val="00783343"/>
    <w:rsid w:val="0078335B"/>
    <w:rsid w:val="00783988"/>
    <w:rsid w:val="00783BAC"/>
    <w:rsid w:val="00783FEE"/>
    <w:rsid w:val="007841CD"/>
    <w:rsid w:val="00785276"/>
    <w:rsid w:val="007854C4"/>
    <w:rsid w:val="00785510"/>
    <w:rsid w:val="007857A8"/>
    <w:rsid w:val="00786AE8"/>
    <w:rsid w:val="00786E37"/>
    <w:rsid w:val="00786E73"/>
    <w:rsid w:val="007872E3"/>
    <w:rsid w:val="00787371"/>
    <w:rsid w:val="007878E9"/>
    <w:rsid w:val="007903C2"/>
    <w:rsid w:val="00790687"/>
    <w:rsid w:val="00791316"/>
    <w:rsid w:val="00791750"/>
    <w:rsid w:val="007917AF"/>
    <w:rsid w:val="00791F46"/>
    <w:rsid w:val="00792482"/>
    <w:rsid w:val="007932CC"/>
    <w:rsid w:val="007933F7"/>
    <w:rsid w:val="00793848"/>
    <w:rsid w:val="00794D52"/>
    <w:rsid w:val="007959A7"/>
    <w:rsid w:val="00795BEE"/>
    <w:rsid w:val="00796540"/>
    <w:rsid w:val="007966A6"/>
    <w:rsid w:val="00796D7D"/>
    <w:rsid w:val="007973A1"/>
    <w:rsid w:val="00797423"/>
    <w:rsid w:val="007979D1"/>
    <w:rsid w:val="007A195C"/>
    <w:rsid w:val="007A1CDD"/>
    <w:rsid w:val="007A260F"/>
    <w:rsid w:val="007A27D1"/>
    <w:rsid w:val="007A27FD"/>
    <w:rsid w:val="007A2991"/>
    <w:rsid w:val="007A2A42"/>
    <w:rsid w:val="007A3209"/>
    <w:rsid w:val="007A489F"/>
    <w:rsid w:val="007A4B52"/>
    <w:rsid w:val="007A538F"/>
    <w:rsid w:val="007A67C6"/>
    <w:rsid w:val="007A79A5"/>
    <w:rsid w:val="007B028A"/>
    <w:rsid w:val="007B0364"/>
    <w:rsid w:val="007B0795"/>
    <w:rsid w:val="007B07BA"/>
    <w:rsid w:val="007B0846"/>
    <w:rsid w:val="007B088D"/>
    <w:rsid w:val="007B0F42"/>
    <w:rsid w:val="007B0F97"/>
    <w:rsid w:val="007B247A"/>
    <w:rsid w:val="007B2848"/>
    <w:rsid w:val="007B2927"/>
    <w:rsid w:val="007B29FA"/>
    <w:rsid w:val="007B2DD4"/>
    <w:rsid w:val="007B305D"/>
    <w:rsid w:val="007B3A96"/>
    <w:rsid w:val="007B3C34"/>
    <w:rsid w:val="007B4AFB"/>
    <w:rsid w:val="007B5BF6"/>
    <w:rsid w:val="007B5EDB"/>
    <w:rsid w:val="007B68A1"/>
    <w:rsid w:val="007B735A"/>
    <w:rsid w:val="007B7388"/>
    <w:rsid w:val="007B791A"/>
    <w:rsid w:val="007C0B89"/>
    <w:rsid w:val="007C1F67"/>
    <w:rsid w:val="007C2AB9"/>
    <w:rsid w:val="007C2BD3"/>
    <w:rsid w:val="007C2D97"/>
    <w:rsid w:val="007C31E5"/>
    <w:rsid w:val="007C3562"/>
    <w:rsid w:val="007C4E11"/>
    <w:rsid w:val="007C5569"/>
    <w:rsid w:val="007C615E"/>
    <w:rsid w:val="007C6298"/>
    <w:rsid w:val="007C6CEB"/>
    <w:rsid w:val="007C708B"/>
    <w:rsid w:val="007C7117"/>
    <w:rsid w:val="007C7181"/>
    <w:rsid w:val="007C7AAF"/>
    <w:rsid w:val="007C7E1D"/>
    <w:rsid w:val="007D0342"/>
    <w:rsid w:val="007D09F2"/>
    <w:rsid w:val="007D0DAE"/>
    <w:rsid w:val="007D14C5"/>
    <w:rsid w:val="007D14D2"/>
    <w:rsid w:val="007D225F"/>
    <w:rsid w:val="007D273E"/>
    <w:rsid w:val="007D2895"/>
    <w:rsid w:val="007D2A6E"/>
    <w:rsid w:val="007D340E"/>
    <w:rsid w:val="007D3D3E"/>
    <w:rsid w:val="007D3DD5"/>
    <w:rsid w:val="007D40A6"/>
    <w:rsid w:val="007D4191"/>
    <w:rsid w:val="007D44FF"/>
    <w:rsid w:val="007D4A11"/>
    <w:rsid w:val="007D5271"/>
    <w:rsid w:val="007D5A7D"/>
    <w:rsid w:val="007D5B32"/>
    <w:rsid w:val="007D5FE7"/>
    <w:rsid w:val="007D6298"/>
    <w:rsid w:val="007D62B6"/>
    <w:rsid w:val="007D62E6"/>
    <w:rsid w:val="007D63BA"/>
    <w:rsid w:val="007D68A0"/>
    <w:rsid w:val="007D7034"/>
    <w:rsid w:val="007D7C6E"/>
    <w:rsid w:val="007D7F5B"/>
    <w:rsid w:val="007E098D"/>
    <w:rsid w:val="007E0A95"/>
    <w:rsid w:val="007E1007"/>
    <w:rsid w:val="007E1AAD"/>
    <w:rsid w:val="007E1B02"/>
    <w:rsid w:val="007E1B67"/>
    <w:rsid w:val="007E211B"/>
    <w:rsid w:val="007E2166"/>
    <w:rsid w:val="007E230E"/>
    <w:rsid w:val="007E36E8"/>
    <w:rsid w:val="007E3B93"/>
    <w:rsid w:val="007E454B"/>
    <w:rsid w:val="007E5AFB"/>
    <w:rsid w:val="007E5C7A"/>
    <w:rsid w:val="007E6937"/>
    <w:rsid w:val="007E734A"/>
    <w:rsid w:val="007E793B"/>
    <w:rsid w:val="007F014A"/>
    <w:rsid w:val="007F04E9"/>
    <w:rsid w:val="007F0A08"/>
    <w:rsid w:val="007F0F77"/>
    <w:rsid w:val="007F122A"/>
    <w:rsid w:val="007F1324"/>
    <w:rsid w:val="007F1BF9"/>
    <w:rsid w:val="007F2943"/>
    <w:rsid w:val="007F2A7A"/>
    <w:rsid w:val="007F2B05"/>
    <w:rsid w:val="007F2BBB"/>
    <w:rsid w:val="007F314D"/>
    <w:rsid w:val="007F3833"/>
    <w:rsid w:val="007F39D4"/>
    <w:rsid w:val="007F4927"/>
    <w:rsid w:val="007F4956"/>
    <w:rsid w:val="007F4B59"/>
    <w:rsid w:val="007F4CBE"/>
    <w:rsid w:val="007F5146"/>
    <w:rsid w:val="007F536E"/>
    <w:rsid w:val="007F5A10"/>
    <w:rsid w:val="007F62BE"/>
    <w:rsid w:val="007F6AC7"/>
    <w:rsid w:val="007F7503"/>
    <w:rsid w:val="007F7704"/>
    <w:rsid w:val="007F7F7C"/>
    <w:rsid w:val="0080076C"/>
    <w:rsid w:val="008015F8"/>
    <w:rsid w:val="00801D3C"/>
    <w:rsid w:val="00803314"/>
    <w:rsid w:val="00803387"/>
    <w:rsid w:val="00803E9B"/>
    <w:rsid w:val="008040EC"/>
    <w:rsid w:val="00804B14"/>
    <w:rsid w:val="00805490"/>
    <w:rsid w:val="008056AD"/>
    <w:rsid w:val="00805EAA"/>
    <w:rsid w:val="00806995"/>
    <w:rsid w:val="00806B75"/>
    <w:rsid w:val="00806F0C"/>
    <w:rsid w:val="008072FC"/>
    <w:rsid w:val="00810CE8"/>
    <w:rsid w:val="00810D01"/>
    <w:rsid w:val="008110F6"/>
    <w:rsid w:val="00811258"/>
    <w:rsid w:val="008113E6"/>
    <w:rsid w:val="00811E4D"/>
    <w:rsid w:val="00812C43"/>
    <w:rsid w:val="00812F96"/>
    <w:rsid w:val="00813169"/>
    <w:rsid w:val="008132CB"/>
    <w:rsid w:val="00813315"/>
    <w:rsid w:val="008139F9"/>
    <w:rsid w:val="00813A55"/>
    <w:rsid w:val="00813FBC"/>
    <w:rsid w:val="00814357"/>
    <w:rsid w:val="00814AF3"/>
    <w:rsid w:val="008156A8"/>
    <w:rsid w:val="0081611E"/>
    <w:rsid w:val="008168C0"/>
    <w:rsid w:val="00816B4E"/>
    <w:rsid w:val="00817167"/>
    <w:rsid w:val="00817517"/>
    <w:rsid w:val="00817720"/>
    <w:rsid w:val="0081793A"/>
    <w:rsid w:val="00820CFA"/>
    <w:rsid w:val="00820FE2"/>
    <w:rsid w:val="00821848"/>
    <w:rsid w:val="00821B08"/>
    <w:rsid w:val="00821BE0"/>
    <w:rsid w:val="00821D93"/>
    <w:rsid w:val="00821F71"/>
    <w:rsid w:val="00822421"/>
    <w:rsid w:val="008232E4"/>
    <w:rsid w:val="008234FF"/>
    <w:rsid w:val="00823522"/>
    <w:rsid w:val="00823683"/>
    <w:rsid w:val="00823A0A"/>
    <w:rsid w:val="00823AFA"/>
    <w:rsid w:val="00823B12"/>
    <w:rsid w:val="00823CBD"/>
    <w:rsid w:val="00823F5A"/>
    <w:rsid w:val="00823FD1"/>
    <w:rsid w:val="00825CD4"/>
    <w:rsid w:val="00825D81"/>
    <w:rsid w:val="00825FF8"/>
    <w:rsid w:val="00826254"/>
    <w:rsid w:val="00826DF3"/>
    <w:rsid w:val="008272EB"/>
    <w:rsid w:val="0082787F"/>
    <w:rsid w:val="0083055C"/>
    <w:rsid w:val="00831201"/>
    <w:rsid w:val="0083196E"/>
    <w:rsid w:val="0083286F"/>
    <w:rsid w:val="008329D9"/>
    <w:rsid w:val="00832F73"/>
    <w:rsid w:val="008331A5"/>
    <w:rsid w:val="00834199"/>
    <w:rsid w:val="008342CC"/>
    <w:rsid w:val="00834C70"/>
    <w:rsid w:val="0083521C"/>
    <w:rsid w:val="008359FE"/>
    <w:rsid w:val="00835DF1"/>
    <w:rsid w:val="00836EA9"/>
    <w:rsid w:val="00837D31"/>
    <w:rsid w:val="008402F7"/>
    <w:rsid w:val="00840A4D"/>
    <w:rsid w:val="00840E55"/>
    <w:rsid w:val="00841078"/>
    <w:rsid w:val="00841456"/>
    <w:rsid w:val="00841890"/>
    <w:rsid w:val="00841ACA"/>
    <w:rsid w:val="00841B0F"/>
    <w:rsid w:val="008421F2"/>
    <w:rsid w:val="00842498"/>
    <w:rsid w:val="00842A67"/>
    <w:rsid w:val="00842A71"/>
    <w:rsid w:val="0084390A"/>
    <w:rsid w:val="0084488C"/>
    <w:rsid w:val="00844E32"/>
    <w:rsid w:val="00846190"/>
    <w:rsid w:val="00846601"/>
    <w:rsid w:val="00846988"/>
    <w:rsid w:val="008476D5"/>
    <w:rsid w:val="00850A0C"/>
    <w:rsid w:val="00851BC1"/>
    <w:rsid w:val="0085352A"/>
    <w:rsid w:val="008535E0"/>
    <w:rsid w:val="0085379D"/>
    <w:rsid w:val="00853ADE"/>
    <w:rsid w:val="00854585"/>
    <w:rsid w:val="008549CD"/>
    <w:rsid w:val="00854A76"/>
    <w:rsid w:val="00854ADC"/>
    <w:rsid w:val="00854F6A"/>
    <w:rsid w:val="00855BA7"/>
    <w:rsid w:val="0085638A"/>
    <w:rsid w:val="00856823"/>
    <w:rsid w:val="00856AFD"/>
    <w:rsid w:val="0085744D"/>
    <w:rsid w:val="008574E5"/>
    <w:rsid w:val="008604AE"/>
    <w:rsid w:val="008609A9"/>
    <w:rsid w:val="00860B65"/>
    <w:rsid w:val="00860D6C"/>
    <w:rsid w:val="00861B62"/>
    <w:rsid w:val="0086267A"/>
    <w:rsid w:val="00862ABA"/>
    <w:rsid w:val="00862D11"/>
    <w:rsid w:val="0086302E"/>
    <w:rsid w:val="00863474"/>
    <w:rsid w:val="008635E9"/>
    <w:rsid w:val="00864651"/>
    <w:rsid w:val="00864AE0"/>
    <w:rsid w:val="00864D19"/>
    <w:rsid w:val="00864F50"/>
    <w:rsid w:val="008651CC"/>
    <w:rsid w:val="008651F0"/>
    <w:rsid w:val="0086590B"/>
    <w:rsid w:val="00865E86"/>
    <w:rsid w:val="00866BAB"/>
    <w:rsid w:val="00867423"/>
    <w:rsid w:val="00867558"/>
    <w:rsid w:val="00867605"/>
    <w:rsid w:val="00867AC5"/>
    <w:rsid w:val="00867B99"/>
    <w:rsid w:val="00870BD6"/>
    <w:rsid w:val="00870C92"/>
    <w:rsid w:val="00871270"/>
    <w:rsid w:val="00871AF0"/>
    <w:rsid w:val="00871B7D"/>
    <w:rsid w:val="00871CAD"/>
    <w:rsid w:val="00872D31"/>
    <w:rsid w:val="00872EA5"/>
    <w:rsid w:val="008730F0"/>
    <w:rsid w:val="0087347B"/>
    <w:rsid w:val="00874CBC"/>
    <w:rsid w:val="0087519A"/>
    <w:rsid w:val="00875488"/>
    <w:rsid w:val="008755EB"/>
    <w:rsid w:val="00875877"/>
    <w:rsid w:val="008761D7"/>
    <w:rsid w:val="00877F80"/>
    <w:rsid w:val="00877FCD"/>
    <w:rsid w:val="00882885"/>
    <w:rsid w:val="00882EC3"/>
    <w:rsid w:val="008834E1"/>
    <w:rsid w:val="00883674"/>
    <w:rsid w:val="00883A18"/>
    <w:rsid w:val="00883C6E"/>
    <w:rsid w:val="00883F1C"/>
    <w:rsid w:val="00884051"/>
    <w:rsid w:val="008845FE"/>
    <w:rsid w:val="00884835"/>
    <w:rsid w:val="00884963"/>
    <w:rsid w:val="00886014"/>
    <w:rsid w:val="00886647"/>
    <w:rsid w:val="00886788"/>
    <w:rsid w:val="00886DDB"/>
    <w:rsid w:val="00887EBA"/>
    <w:rsid w:val="00890227"/>
    <w:rsid w:val="00890EAC"/>
    <w:rsid w:val="008918D1"/>
    <w:rsid w:val="00891CC8"/>
    <w:rsid w:val="00891E78"/>
    <w:rsid w:val="00892069"/>
    <w:rsid w:val="00892128"/>
    <w:rsid w:val="00892299"/>
    <w:rsid w:val="008923A5"/>
    <w:rsid w:val="00892A25"/>
    <w:rsid w:val="00893E5C"/>
    <w:rsid w:val="008946A2"/>
    <w:rsid w:val="00896EC7"/>
    <w:rsid w:val="00897242"/>
    <w:rsid w:val="00897DBB"/>
    <w:rsid w:val="00897E04"/>
    <w:rsid w:val="008A0C88"/>
    <w:rsid w:val="008A11AE"/>
    <w:rsid w:val="008A16DC"/>
    <w:rsid w:val="008A24D7"/>
    <w:rsid w:val="008A2A41"/>
    <w:rsid w:val="008A2D1A"/>
    <w:rsid w:val="008A31EF"/>
    <w:rsid w:val="008A36D6"/>
    <w:rsid w:val="008A3E9E"/>
    <w:rsid w:val="008A4460"/>
    <w:rsid w:val="008A4557"/>
    <w:rsid w:val="008A6989"/>
    <w:rsid w:val="008A6C0E"/>
    <w:rsid w:val="008A74F2"/>
    <w:rsid w:val="008B01D5"/>
    <w:rsid w:val="008B0A86"/>
    <w:rsid w:val="008B10BC"/>
    <w:rsid w:val="008B1745"/>
    <w:rsid w:val="008B3197"/>
    <w:rsid w:val="008B4C64"/>
    <w:rsid w:val="008B4DB2"/>
    <w:rsid w:val="008B4E09"/>
    <w:rsid w:val="008B4F95"/>
    <w:rsid w:val="008B55FB"/>
    <w:rsid w:val="008B658D"/>
    <w:rsid w:val="008B6C02"/>
    <w:rsid w:val="008B6F8B"/>
    <w:rsid w:val="008B766A"/>
    <w:rsid w:val="008B790A"/>
    <w:rsid w:val="008C07E0"/>
    <w:rsid w:val="008C0A65"/>
    <w:rsid w:val="008C11B0"/>
    <w:rsid w:val="008C2B0B"/>
    <w:rsid w:val="008C3265"/>
    <w:rsid w:val="008C36EF"/>
    <w:rsid w:val="008C37E7"/>
    <w:rsid w:val="008C3D61"/>
    <w:rsid w:val="008C3D8E"/>
    <w:rsid w:val="008C3EEF"/>
    <w:rsid w:val="008C431C"/>
    <w:rsid w:val="008C4F76"/>
    <w:rsid w:val="008C5846"/>
    <w:rsid w:val="008C61F9"/>
    <w:rsid w:val="008C6D0D"/>
    <w:rsid w:val="008C76F4"/>
    <w:rsid w:val="008C7E46"/>
    <w:rsid w:val="008D0147"/>
    <w:rsid w:val="008D0F06"/>
    <w:rsid w:val="008D1F62"/>
    <w:rsid w:val="008D2833"/>
    <w:rsid w:val="008D294A"/>
    <w:rsid w:val="008D2BF3"/>
    <w:rsid w:val="008D31FB"/>
    <w:rsid w:val="008D385E"/>
    <w:rsid w:val="008D3923"/>
    <w:rsid w:val="008D3BB3"/>
    <w:rsid w:val="008D42D7"/>
    <w:rsid w:val="008D44D1"/>
    <w:rsid w:val="008D4AE1"/>
    <w:rsid w:val="008D4CE0"/>
    <w:rsid w:val="008D4EF3"/>
    <w:rsid w:val="008D4F82"/>
    <w:rsid w:val="008D5538"/>
    <w:rsid w:val="008D5C70"/>
    <w:rsid w:val="008D67ED"/>
    <w:rsid w:val="008D6AD9"/>
    <w:rsid w:val="008D6BC5"/>
    <w:rsid w:val="008D6E11"/>
    <w:rsid w:val="008D73C3"/>
    <w:rsid w:val="008D7DE6"/>
    <w:rsid w:val="008E00C1"/>
    <w:rsid w:val="008E0368"/>
    <w:rsid w:val="008E093A"/>
    <w:rsid w:val="008E0CA7"/>
    <w:rsid w:val="008E0EBD"/>
    <w:rsid w:val="008E1C25"/>
    <w:rsid w:val="008E2071"/>
    <w:rsid w:val="008E240A"/>
    <w:rsid w:val="008E2537"/>
    <w:rsid w:val="008E300E"/>
    <w:rsid w:val="008E3868"/>
    <w:rsid w:val="008E3B55"/>
    <w:rsid w:val="008E3EDB"/>
    <w:rsid w:val="008E49C4"/>
    <w:rsid w:val="008E4C8E"/>
    <w:rsid w:val="008E5109"/>
    <w:rsid w:val="008E51DE"/>
    <w:rsid w:val="008E5E14"/>
    <w:rsid w:val="008E5F5C"/>
    <w:rsid w:val="008E64E7"/>
    <w:rsid w:val="008E6FA9"/>
    <w:rsid w:val="008E75B5"/>
    <w:rsid w:val="008E7EB0"/>
    <w:rsid w:val="008F135E"/>
    <w:rsid w:val="008F15D7"/>
    <w:rsid w:val="008F1D01"/>
    <w:rsid w:val="008F20C5"/>
    <w:rsid w:val="008F274E"/>
    <w:rsid w:val="008F48B6"/>
    <w:rsid w:val="008F56AC"/>
    <w:rsid w:val="008F6E42"/>
    <w:rsid w:val="008F6E5B"/>
    <w:rsid w:val="008F71A3"/>
    <w:rsid w:val="008F74A0"/>
    <w:rsid w:val="008F7A1D"/>
    <w:rsid w:val="008F7FCD"/>
    <w:rsid w:val="00900583"/>
    <w:rsid w:val="0090097B"/>
    <w:rsid w:val="00900B35"/>
    <w:rsid w:val="00901241"/>
    <w:rsid w:val="009013AC"/>
    <w:rsid w:val="00901651"/>
    <w:rsid w:val="00901A45"/>
    <w:rsid w:val="00901FCD"/>
    <w:rsid w:val="00902F50"/>
    <w:rsid w:val="0090404D"/>
    <w:rsid w:val="009042C1"/>
    <w:rsid w:val="00904306"/>
    <w:rsid w:val="009049C6"/>
    <w:rsid w:val="00905017"/>
    <w:rsid w:val="00905BE9"/>
    <w:rsid w:val="00905C9B"/>
    <w:rsid w:val="00906003"/>
    <w:rsid w:val="009066D3"/>
    <w:rsid w:val="0090693F"/>
    <w:rsid w:val="00906A4D"/>
    <w:rsid w:val="00906B22"/>
    <w:rsid w:val="00906D31"/>
    <w:rsid w:val="009070BC"/>
    <w:rsid w:val="00907618"/>
    <w:rsid w:val="009076B6"/>
    <w:rsid w:val="009076C2"/>
    <w:rsid w:val="0091038D"/>
    <w:rsid w:val="009103E2"/>
    <w:rsid w:val="00910B3C"/>
    <w:rsid w:val="009110D8"/>
    <w:rsid w:val="009124FA"/>
    <w:rsid w:val="009132D4"/>
    <w:rsid w:val="00913488"/>
    <w:rsid w:val="0091390A"/>
    <w:rsid w:val="00914358"/>
    <w:rsid w:val="0091498D"/>
    <w:rsid w:val="009156E9"/>
    <w:rsid w:val="00915845"/>
    <w:rsid w:val="009163DC"/>
    <w:rsid w:val="009165D2"/>
    <w:rsid w:val="009203CB"/>
    <w:rsid w:val="009206CA"/>
    <w:rsid w:val="00920739"/>
    <w:rsid w:val="00920A5F"/>
    <w:rsid w:val="00920C0D"/>
    <w:rsid w:val="009210B9"/>
    <w:rsid w:val="00921566"/>
    <w:rsid w:val="00921574"/>
    <w:rsid w:val="00921EDE"/>
    <w:rsid w:val="00922090"/>
    <w:rsid w:val="0092279A"/>
    <w:rsid w:val="00923955"/>
    <w:rsid w:val="00923B61"/>
    <w:rsid w:val="00923CB9"/>
    <w:rsid w:val="00924D2C"/>
    <w:rsid w:val="0092514D"/>
    <w:rsid w:val="00925A65"/>
    <w:rsid w:val="00926103"/>
    <w:rsid w:val="009261B7"/>
    <w:rsid w:val="00927B19"/>
    <w:rsid w:val="00927B79"/>
    <w:rsid w:val="00927DE0"/>
    <w:rsid w:val="00927F6A"/>
    <w:rsid w:val="00930094"/>
    <w:rsid w:val="009300E6"/>
    <w:rsid w:val="009302EF"/>
    <w:rsid w:val="009303A4"/>
    <w:rsid w:val="00930938"/>
    <w:rsid w:val="009319DD"/>
    <w:rsid w:val="0093225A"/>
    <w:rsid w:val="00932A00"/>
    <w:rsid w:val="0093308D"/>
    <w:rsid w:val="00933252"/>
    <w:rsid w:val="009334A3"/>
    <w:rsid w:val="0093397D"/>
    <w:rsid w:val="0093417B"/>
    <w:rsid w:val="0093421A"/>
    <w:rsid w:val="0093445F"/>
    <w:rsid w:val="0093467E"/>
    <w:rsid w:val="00934976"/>
    <w:rsid w:val="00934A45"/>
    <w:rsid w:val="009352BC"/>
    <w:rsid w:val="0093544E"/>
    <w:rsid w:val="0093558F"/>
    <w:rsid w:val="00935C3C"/>
    <w:rsid w:val="00935CBB"/>
    <w:rsid w:val="00935FDD"/>
    <w:rsid w:val="00936BFF"/>
    <w:rsid w:val="00936F92"/>
    <w:rsid w:val="009371BD"/>
    <w:rsid w:val="00937A90"/>
    <w:rsid w:val="00937B8E"/>
    <w:rsid w:val="0094063B"/>
    <w:rsid w:val="00940767"/>
    <w:rsid w:val="0094080F"/>
    <w:rsid w:val="00941203"/>
    <w:rsid w:val="00941314"/>
    <w:rsid w:val="009414FA"/>
    <w:rsid w:val="0094194D"/>
    <w:rsid w:val="009424AF"/>
    <w:rsid w:val="00942D1D"/>
    <w:rsid w:val="009434B4"/>
    <w:rsid w:val="00943DC0"/>
    <w:rsid w:val="00943EBF"/>
    <w:rsid w:val="00944141"/>
    <w:rsid w:val="009445AC"/>
    <w:rsid w:val="00944873"/>
    <w:rsid w:val="00944CF3"/>
    <w:rsid w:val="009454CF"/>
    <w:rsid w:val="0094605F"/>
    <w:rsid w:val="00946153"/>
    <w:rsid w:val="00946FC5"/>
    <w:rsid w:val="00947017"/>
    <w:rsid w:val="0095030C"/>
    <w:rsid w:val="00951488"/>
    <w:rsid w:val="0095148E"/>
    <w:rsid w:val="00951674"/>
    <w:rsid w:val="00951873"/>
    <w:rsid w:val="009519F3"/>
    <w:rsid w:val="00951C61"/>
    <w:rsid w:val="009520D7"/>
    <w:rsid w:val="00952906"/>
    <w:rsid w:val="009537D6"/>
    <w:rsid w:val="00953C4A"/>
    <w:rsid w:val="00953D7F"/>
    <w:rsid w:val="009542DD"/>
    <w:rsid w:val="0095573B"/>
    <w:rsid w:val="009565E2"/>
    <w:rsid w:val="00956850"/>
    <w:rsid w:val="009569C9"/>
    <w:rsid w:val="00956B83"/>
    <w:rsid w:val="00956C9E"/>
    <w:rsid w:val="00956D79"/>
    <w:rsid w:val="0095702D"/>
    <w:rsid w:val="00957E80"/>
    <w:rsid w:val="00960DCC"/>
    <w:rsid w:val="009612D1"/>
    <w:rsid w:val="009613C8"/>
    <w:rsid w:val="009614F3"/>
    <w:rsid w:val="00961EF2"/>
    <w:rsid w:val="009630D1"/>
    <w:rsid w:val="0096416C"/>
    <w:rsid w:val="009647C8"/>
    <w:rsid w:val="00964862"/>
    <w:rsid w:val="00964A22"/>
    <w:rsid w:val="009651CA"/>
    <w:rsid w:val="0096577E"/>
    <w:rsid w:val="009664E9"/>
    <w:rsid w:val="00966BED"/>
    <w:rsid w:val="00966F91"/>
    <w:rsid w:val="009675BE"/>
    <w:rsid w:val="00970022"/>
    <w:rsid w:val="00970820"/>
    <w:rsid w:val="00970D85"/>
    <w:rsid w:val="0097100F"/>
    <w:rsid w:val="0097115F"/>
    <w:rsid w:val="009727F3"/>
    <w:rsid w:val="00972E50"/>
    <w:rsid w:val="009731D1"/>
    <w:rsid w:val="00973B02"/>
    <w:rsid w:val="00973D39"/>
    <w:rsid w:val="00974354"/>
    <w:rsid w:val="0097451E"/>
    <w:rsid w:val="0097474E"/>
    <w:rsid w:val="0097538A"/>
    <w:rsid w:val="009753C5"/>
    <w:rsid w:val="00975A4D"/>
    <w:rsid w:val="00975DC5"/>
    <w:rsid w:val="0097642C"/>
    <w:rsid w:val="00980642"/>
    <w:rsid w:val="00980DBE"/>
    <w:rsid w:val="00980FDC"/>
    <w:rsid w:val="009817CC"/>
    <w:rsid w:val="00981E35"/>
    <w:rsid w:val="00982391"/>
    <w:rsid w:val="00982707"/>
    <w:rsid w:val="00982B3D"/>
    <w:rsid w:val="00982EB9"/>
    <w:rsid w:val="00983D40"/>
    <w:rsid w:val="00984006"/>
    <w:rsid w:val="009841EC"/>
    <w:rsid w:val="009842AD"/>
    <w:rsid w:val="00984724"/>
    <w:rsid w:val="00984D72"/>
    <w:rsid w:val="00986946"/>
    <w:rsid w:val="009873AE"/>
    <w:rsid w:val="00987851"/>
    <w:rsid w:val="00987D3B"/>
    <w:rsid w:val="009901D6"/>
    <w:rsid w:val="009905A9"/>
    <w:rsid w:val="009908C0"/>
    <w:rsid w:val="0099190E"/>
    <w:rsid w:val="00991FFA"/>
    <w:rsid w:val="009926F5"/>
    <w:rsid w:val="00992987"/>
    <w:rsid w:val="00993119"/>
    <w:rsid w:val="00993439"/>
    <w:rsid w:val="00995BB2"/>
    <w:rsid w:val="00995C83"/>
    <w:rsid w:val="009963FB"/>
    <w:rsid w:val="009966E0"/>
    <w:rsid w:val="00996714"/>
    <w:rsid w:val="00996B2F"/>
    <w:rsid w:val="009972A4"/>
    <w:rsid w:val="0099751C"/>
    <w:rsid w:val="009A0E20"/>
    <w:rsid w:val="009A11E4"/>
    <w:rsid w:val="009A1B6C"/>
    <w:rsid w:val="009A2495"/>
    <w:rsid w:val="009A349C"/>
    <w:rsid w:val="009A3573"/>
    <w:rsid w:val="009A3A89"/>
    <w:rsid w:val="009A4186"/>
    <w:rsid w:val="009A441D"/>
    <w:rsid w:val="009A4B57"/>
    <w:rsid w:val="009A4BB4"/>
    <w:rsid w:val="009A4BBC"/>
    <w:rsid w:val="009A59DA"/>
    <w:rsid w:val="009A5B16"/>
    <w:rsid w:val="009A5BA4"/>
    <w:rsid w:val="009A5BBF"/>
    <w:rsid w:val="009A5D22"/>
    <w:rsid w:val="009A620D"/>
    <w:rsid w:val="009A6DD3"/>
    <w:rsid w:val="009A6FDB"/>
    <w:rsid w:val="009A72CE"/>
    <w:rsid w:val="009A74F3"/>
    <w:rsid w:val="009A75B6"/>
    <w:rsid w:val="009B03DB"/>
    <w:rsid w:val="009B061F"/>
    <w:rsid w:val="009B0FAA"/>
    <w:rsid w:val="009B1482"/>
    <w:rsid w:val="009B15B0"/>
    <w:rsid w:val="009B22BF"/>
    <w:rsid w:val="009B2B84"/>
    <w:rsid w:val="009B4109"/>
    <w:rsid w:val="009B428E"/>
    <w:rsid w:val="009B440A"/>
    <w:rsid w:val="009B4627"/>
    <w:rsid w:val="009B463B"/>
    <w:rsid w:val="009B473A"/>
    <w:rsid w:val="009B50F2"/>
    <w:rsid w:val="009B53B6"/>
    <w:rsid w:val="009B5BA3"/>
    <w:rsid w:val="009B5F12"/>
    <w:rsid w:val="009B6870"/>
    <w:rsid w:val="009B69D7"/>
    <w:rsid w:val="009B6BDD"/>
    <w:rsid w:val="009B6ED3"/>
    <w:rsid w:val="009B7A59"/>
    <w:rsid w:val="009C11F6"/>
    <w:rsid w:val="009C1FAD"/>
    <w:rsid w:val="009C2F4A"/>
    <w:rsid w:val="009C3E77"/>
    <w:rsid w:val="009C400D"/>
    <w:rsid w:val="009C4016"/>
    <w:rsid w:val="009C4FA5"/>
    <w:rsid w:val="009C644A"/>
    <w:rsid w:val="009C6576"/>
    <w:rsid w:val="009C685B"/>
    <w:rsid w:val="009C6B5C"/>
    <w:rsid w:val="009C6C1F"/>
    <w:rsid w:val="009C76DD"/>
    <w:rsid w:val="009C78ED"/>
    <w:rsid w:val="009C79AF"/>
    <w:rsid w:val="009C7AF0"/>
    <w:rsid w:val="009D1636"/>
    <w:rsid w:val="009D1968"/>
    <w:rsid w:val="009D1A5F"/>
    <w:rsid w:val="009D1CFF"/>
    <w:rsid w:val="009D24D3"/>
    <w:rsid w:val="009D25D4"/>
    <w:rsid w:val="009D2894"/>
    <w:rsid w:val="009D2B09"/>
    <w:rsid w:val="009D3425"/>
    <w:rsid w:val="009D3FB1"/>
    <w:rsid w:val="009D44EA"/>
    <w:rsid w:val="009D56D1"/>
    <w:rsid w:val="009D5C43"/>
    <w:rsid w:val="009D5DB4"/>
    <w:rsid w:val="009D65D6"/>
    <w:rsid w:val="009D6D87"/>
    <w:rsid w:val="009D763F"/>
    <w:rsid w:val="009D76BE"/>
    <w:rsid w:val="009D7B66"/>
    <w:rsid w:val="009E03A4"/>
    <w:rsid w:val="009E05DE"/>
    <w:rsid w:val="009E0960"/>
    <w:rsid w:val="009E09E4"/>
    <w:rsid w:val="009E0CDA"/>
    <w:rsid w:val="009E1199"/>
    <w:rsid w:val="009E12DB"/>
    <w:rsid w:val="009E159B"/>
    <w:rsid w:val="009E1E0D"/>
    <w:rsid w:val="009E1FB9"/>
    <w:rsid w:val="009E200F"/>
    <w:rsid w:val="009E2BE9"/>
    <w:rsid w:val="009E2EE6"/>
    <w:rsid w:val="009E3D80"/>
    <w:rsid w:val="009E56BA"/>
    <w:rsid w:val="009E6A96"/>
    <w:rsid w:val="009E6F1D"/>
    <w:rsid w:val="009E7DE5"/>
    <w:rsid w:val="009E7E12"/>
    <w:rsid w:val="009F0D23"/>
    <w:rsid w:val="009F2DD9"/>
    <w:rsid w:val="009F34E1"/>
    <w:rsid w:val="009F3F28"/>
    <w:rsid w:val="009F41D8"/>
    <w:rsid w:val="009F4245"/>
    <w:rsid w:val="009F507F"/>
    <w:rsid w:val="009F5418"/>
    <w:rsid w:val="009F542A"/>
    <w:rsid w:val="009F5605"/>
    <w:rsid w:val="009F5B28"/>
    <w:rsid w:val="009F5D57"/>
    <w:rsid w:val="009F60E8"/>
    <w:rsid w:val="009F691E"/>
    <w:rsid w:val="009F701D"/>
    <w:rsid w:val="009F70CA"/>
    <w:rsid w:val="009F7894"/>
    <w:rsid w:val="009F796E"/>
    <w:rsid w:val="009F7EA9"/>
    <w:rsid w:val="00A00940"/>
    <w:rsid w:val="00A012B0"/>
    <w:rsid w:val="00A014C3"/>
    <w:rsid w:val="00A020A0"/>
    <w:rsid w:val="00A03544"/>
    <w:rsid w:val="00A0554B"/>
    <w:rsid w:val="00A05DD1"/>
    <w:rsid w:val="00A0612B"/>
    <w:rsid w:val="00A065C5"/>
    <w:rsid w:val="00A07114"/>
    <w:rsid w:val="00A07456"/>
    <w:rsid w:val="00A10253"/>
    <w:rsid w:val="00A105C0"/>
    <w:rsid w:val="00A112B5"/>
    <w:rsid w:val="00A11499"/>
    <w:rsid w:val="00A12BEC"/>
    <w:rsid w:val="00A12DDF"/>
    <w:rsid w:val="00A12EF5"/>
    <w:rsid w:val="00A12F1B"/>
    <w:rsid w:val="00A13170"/>
    <w:rsid w:val="00A132E5"/>
    <w:rsid w:val="00A13465"/>
    <w:rsid w:val="00A1458E"/>
    <w:rsid w:val="00A14D97"/>
    <w:rsid w:val="00A14E18"/>
    <w:rsid w:val="00A154A6"/>
    <w:rsid w:val="00A15938"/>
    <w:rsid w:val="00A15D38"/>
    <w:rsid w:val="00A16974"/>
    <w:rsid w:val="00A16D3E"/>
    <w:rsid w:val="00A16D4F"/>
    <w:rsid w:val="00A17FD4"/>
    <w:rsid w:val="00A201BC"/>
    <w:rsid w:val="00A206E1"/>
    <w:rsid w:val="00A2091F"/>
    <w:rsid w:val="00A21674"/>
    <w:rsid w:val="00A219B0"/>
    <w:rsid w:val="00A21A38"/>
    <w:rsid w:val="00A21A6D"/>
    <w:rsid w:val="00A21FCF"/>
    <w:rsid w:val="00A23220"/>
    <w:rsid w:val="00A23981"/>
    <w:rsid w:val="00A2404D"/>
    <w:rsid w:val="00A24715"/>
    <w:rsid w:val="00A247C0"/>
    <w:rsid w:val="00A24AF1"/>
    <w:rsid w:val="00A26586"/>
    <w:rsid w:val="00A266B3"/>
    <w:rsid w:val="00A27035"/>
    <w:rsid w:val="00A275FD"/>
    <w:rsid w:val="00A2778A"/>
    <w:rsid w:val="00A27D6E"/>
    <w:rsid w:val="00A27F19"/>
    <w:rsid w:val="00A30117"/>
    <w:rsid w:val="00A30351"/>
    <w:rsid w:val="00A30730"/>
    <w:rsid w:val="00A30D87"/>
    <w:rsid w:val="00A30DEC"/>
    <w:rsid w:val="00A311B3"/>
    <w:rsid w:val="00A313CB"/>
    <w:rsid w:val="00A314FB"/>
    <w:rsid w:val="00A32143"/>
    <w:rsid w:val="00A32923"/>
    <w:rsid w:val="00A32C8F"/>
    <w:rsid w:val="00A32EE1"/>
    <w:rsid w:val="00A33FE0"/>
    <w:rsid w:val="00A344BF"/>
    <w:rsid w:val="00A3489C"/>
    <w:rsid w:val="00A3515F"/>
    <w:rsid w:val="00A3691B"/>
    <w:rsid w:val="00A36D53"/>
    <w:rsid w:val="00A400B3"/>
    <w:rsid w:val="00A401A7"/>
    <w:rsid w:val="00A40A8C"/>
    <w:rsid w:val="00A40B13"/>
    <w:rsid w:val="00A41135"/>
    <w:rsid w:val="00A41E0C"/>
    <w:rsid w:val="00A4342D"/>
    <w:rsid w:val="00A43947"/>
    <w:rsid w:val="00A43E20"/>
    <w:rsid w:val="00A43E9D"/>
    <w:rsid w:val="00A44164"/>
    <w:rsid w:val="00A4445E"/>
    <w:rsid w:val="00A4472F"/>
    <w:rsid w:val="00A44AE5"/>
    <w:rsid w:val="00A45599"/>
    <w:rsid w:val="00A457C0"/>
    <w:rsid w:val="00A46500"/>
    <w:rsid w:val="00A46634"/>
    <w:rsid w:val="00A47921"/>
    <w:rsid w:val="00A50264"/>
    <w:rsid w:val="00A5027C"/>
    <w:rsid w:val="00A5070D"/>
    <w:rsid w:val="00A50AD2"/>
    <w:rsid w:val="00A51120"/>
    <w:rsid w:val="00A5275C"/>
    <w:rsid w:val="00A52F7D"/>
    <w:rsid w:val="00A5331A"/>
    <w:rsid w:val="00A53C46"/>
    <w:rsid w:val="00A544B1"/>
    <w:rsid w:val="00A549B8"/>
    <w:rsid w:val="00A54BFC"/>
    <w:rsid w:val="00A54C45"/>
    <w:rsid w:val="00A54CC7"/>
    <w:rsid w:val="00A550DE"/>
    <w:rsid w:val="00A556A0"/>
    <w:rsid w:val="00A55A45"/>
    <w:rsid w:val="00A55A4A"/>
    <w:rsid w:val="00A56B18"/>
    <w:rsid w:val="00A56B30"/>
    <w:rsid w:val="00A56B9A"/>
    <w:rsid w:val="00A56DBA"/>
    <w:rsid w:val="00A56F5E"/>
    <w:rsid w:val="00A570F9"/>
    <w:rsid w:val="00A5727E"/>
    <w:rsid w:val="00A57C1E"/>
    <w:rsid w:val="00A57CBF"/>
    <w:rsid w:val="00A60A1B"/>
    <w:rsid w:val="00A60DFD"/>
    <w:rsid w:val="00A60F3F"/>
    <w:rsid w:val="00A61055"/>
    <w:rsid w:val="00A6212F"/>
    <w:rsid w:val="00A62706"/>
    <w:rsid w:val="00A627D4"/>
    <w:rsid w:val="00A62B08"/>
    <w:rsid w:val="00A62EDB"/>
    <w:rsid w:val="00A63960"/>
    <w:rsid w:val="00A63FC1"/>
    <w:rsid w:val="00A64EC4"/>
    <w:rsid w:val="00A652E5"/>
    <w:rsid w:val="00A65367"/>
    <w:rsid w:val="00A654E9"/>
    <w:rsid w:val="00A66A2E"/>
    <w:rsid w:val="00A67630"/>
    <w:rsid w:val="00A67DE3"/>
    <w:rsid w:val="00A67ED1"/>
    <w:rsid w:val="00A67F78"/>
    <w:rsid w:val="00A70B94"/>
    <w:rsid w:val="00A70F93"/>
    <w:rsid w:val="00A715F9"/>
    <w:rsid w:val="00A716D1"/>
    <w:rsid w:val="00A71872"/>
    <w:rsid w:val="00A71A2E"/>
    <w:rsid w:val="00A72728"/>
    <w:rsid w:val="00A727D7"/>
    <w:rsid w:val="00A72AC7"/>
    <w:rsid w:val="00A73538"/>
    <w:rsid w:val="00A73AFA"/>
    <w:rsid w:val="00A73C75"/>
    <w:rsid w:val="00A744EC"/>
    <w:rsid w:val="00A74820"/>
    <w:rsid w:val="00A74A6F"/>
    <w:rsid w:val="00A7583D"/>
    <w:rsid w:val="00A75CD5"/>
    <w:rsid w:val="00A762D6"/>
    <w:rsid w:val="00A76747"/>
    <w:rsid w:val="00A76934"/>
    <w:rsid w:val="00A76DF8"/>
    <w:rsid w:val="00A77CA5"/>
    <w:rsid w:val="00A80620"/>
    <w:rsid w:val="00A80C0A"/>
    <w:rsid w:val="00A8162E"/>
    <w:rsid w:val="00A8173B"/>
    <w:rsid w:val="00A82004"/>
    <w:rsid w:val="00A8291F"/>
    <w:rsid w:val="00A82EF1"/>
    <w:rsid w:val="00A8440D"/>
    <w:rsid w:val="00A84C51"/>
    <w:rsid w:val="00A85022"/>
    <w:rsid w:val="00A85C2D"/>
    <w:rsid w:val="00A8644A"/>
    <w:rsid w:val="00A864D7"/>
    <w:rsid w:val="00A8662F"/>
    <w:rsid w:val="00A87308"/>
    <w:rsid w:val="00A9055F"/>
    <w:rsid w:val="00A91C3C"/>
    <w:rsid w:val="00A92924"/>
    <w:rsid w:val="00A92D10"/>
    <w:rsid w:val="00A9301D"/>
    <w:rsid w:val="00A93588"/>
    <w:rsid w:val="00A939FA"/>
    <w:rsid w:val="00A93E9C"/>
    <w:rsid w:val="00A945A5"/>
    <w:rsid w:val="00A94D08"/>
    <w:rsid w:val="00A96651"/>
    <w:rsid w:val="00A96D62"/>
    <w:rsid w:val="00A96FFC"/>
    <w:rsid w:val="00A9777B"/>
    <w:rsid w:val="00AA02E1"/>
    <w:rsid w:val="00AA0312"/>
    <w:rsid w:val="00AA0983"/>
    <w:rsid w:val="00AA0C03"/>
    <w:rsid w:val="00AA0FD5"/>
    <w:rsid w:val="00AA10C3"/>
    <w:rsid w:val="00AA140F"/>
    <w:rsid w:val="00AA1489"/>
    <w:rsid w:val="00AA17E3"/>
    <w:rsid w:val="00AA18BD"/>
    <w:rsid w:val="00AA220D"/>
    <w:rsid w:val="00AA2715"/>
    <w:rsid w:val="00AA29C3"/>
    <w:rsid w:val="00AA2E12"/>
    <w:rsid w:val="00AA3177"/>
    <w:rsid w:val="00AA31A4"/>
    <w:rsid w:val="00AA3AE4"/>
    <w:rsid w:val="00AA3EBF"/>
    <w:rsid w:val="00AA3FBD"/>
    <w:rsid w:val="00AA4497"/>
    <w:rsid w:val="00AA453F"/>
    <w:rsid w:val="00AA467D"/>
    <w:rsid w:val="00AA4DAE"/>
    <w:rsid w:val="00AA55AE"/>
    <w:rsid w:val="00AA5B22"/>
    <w:rsid w:val="00AA610A"/>
    <w:rsid w:val="00AA6612"/>
    <w:rsid w:val="00AA6C7A"/>
    <w:rsid w:val="00AA78C8"/>
    <w:rsid w:val="00AA7A02"/>
    <w:rsid w:val="00AB045F"/>
    <w:rsid w:val="00AB178C"/>
    <w:rsid w:val="00AB199B"/>
    <w:rsid w:val="00AB1A0F"/>
    <w:rsid w:val="00AB2A68"/>
    <w:rsid w:val="00AB3C87"/>
    <w:rsid w:val="00AB4A21"/>
    <w:rsid w:val="00AB4C37"/>
    <w:rsid w:val="00AB4FAA"/>
    <w:rsid w:val="00AB51A0"/>
    <w:rsid w:val="00AB5259"/>
    <w:rsid w:val="00AB5890"/>
    <w:rsid w:val="00AB5BA9"/>
    <w:rsid w:val="00AB5BEA"/>
    <w:rsid w:val="00AB6012"/>
    <w:rsid w:val="00AB60B5"/>
    <w:rsid w:val="00AB60F8"/>
    <w:rsid w:val="00AB742A"/>
    <w:rsid w:val="00AB7848"/>
    <w:rsid w:val="00AB7AFE"/>
    <w:rsid w:val="00AB7B78"/>
    <w:rsid w:val="00AC0221"/>
    <w:rsid w:val="00AC04E4"/>
    <w:rsid w:val="00AC14D9"/>
    <w:rsid w:val="00AC1C55"/>
    <w:rsid w:val="00AC1CD1"/>
    <w:rsid w:val="00AC288A"/>
    <w:rsid w:val="00AC2C13"/>
    <w:rsid w:val="00AC2FAC"/>
    <w:rsid w:val="00AC341C"/>
    <w:rsid w:val="00AC35D0"/>
    <w:rsid w:val="00AC3C36"/>
    <w:rsid w:val="00AC3C7B"/>
    <w:rsid w:val="00AC3F87"/>
    <w:rsid w:val="00AC4485"/>
    <w:rsid w:val="00AC4880"/>
    <w:rsid w:val="00AC48FE"/>
    <w:rsid w:val="00AC4DCD"/>
    <w:rsid w:val="00AC5015"/>
    <w:rsid w:val="00AC51A8"/>
    <w:rsid w:val="00AC5830"/>
    <w:rsid w:val="00AC5EC1"/>
    <w:rsid w:val="00AC6090"/>
    <w:rsid w:val="00AC6299"/>
    <w:rsid w:val="00AC6566"/>
    <w:rsid w:val="00AC68C6"/>
    <w:rsid w:val="00AC7241"/>
    <w:rsid w:val="00AD018E"/>
    <w:rsid w:val="00AD0479"/>
    <w:rsid w:val="00AD0A63"/>
    <w:rsid w:val="00AD0B48"/>
    <w:rsid w:val="00AD114D"/>
    <w:rsid w:val="00AD18FC"/>
    <w:rsid w:val="00AD19B7"/>
    <w:rsid w:val="00AD1E95"/>
    <w:rsid w:val="00AD1F76"/>
    <w:rsid w:val="00AD2377"/>
    <w:rsid w:val="00AD305C"/>
    <w:rsid w:val="00AD3DE1"/>
    <w:rsid w:val="00AD3F00"/>
    <w:rsid w:val="00AD4044"/>
    <w:rsid w:val="00AD41AC"/>
    <w:rsid w:val="00AD55CE"/>
    <w:rsid w:val="00AD568E"/>
    <w:rsid w:val="00AD5CD5"/>
    <w:rsid w:val="00AD5F01"/>
    <w:rsid w:val="00AD61EC"/>
    <w:rsid w:val="00AD7ADE"/>
    <w:rsid w:val="00AD7EE3"/>
    <w:rsid w:val="00AE011C"/>
    <w:rsid w:val="00AE0140"/>
    <w:rsid w:val="00AE02ED"/>
    <w:rsid w:val="00AE1503"/>
    <w:rsid w:val="00AE165C"/>
    <w:rsid w:val="00AE1D32"/>
    <w:rsid w:val="00AE2109"/>
    <w:rsid w:val="00AE27B6"/>
    <w:rsid w:val="00AE280D"/>
    <w:rsid w:val="00AE29EC"/>
    <w:rsid w:val="00AE2CA3"/>
    <w:rsid w:val="00AE33B4"/>
    <w:rsid w:val="00AE3860"/>
    <w:rsid w:val="00AE397E"/>
    <w:rsid w:val="00AE3A04"/>
    <w:rsid w:val="00AE3BC2"/>
    <w:rsid w:val="00AE3E42"/>
    <w:rsid w:val="00AE417B"/>
    <w:rsid w:val="00AE5213"/>
    <w:rsid w:val="00AE5575"/>
    <w:rsid w:val="00AE5685"/>
    <w:rsid w:val="00AE5A13"/>
    <w:rsid w:val="00AE5A49"/>
    <w:rsid w:val="00AE66CF"/>
    <w:rsid w:val="00AE6A41"/>
    <w:rsid w:val="00AE70A7"/>
    <w:rsid w:val="00AE7B1C"/>
    <w:rsid w:val="00AE7E4C"/>
    <w:rsid w:val="00AE7F36"/>
    <w:rsid w:val="00AF0F5A"/>
    <w:rsid w:val="00AF0FD1"/>
    <w:rsid w:val="00AF1388"/>
    <w:rsid w:val="00AF1634"/>
    <w:rsid w:val="00AF1EF9"/>
    <w:rsid w:val="00AF1F65"/>
    <w:rsid w:val="00AF1FDD"/>
    <w:rsid w:val="00AF2042"/>
    <w:rsid w:val="00AF216E"/>
    <w:rsid w:val="00AF2510"/>
    <w:rsid w:val="00AF272C"/>
    <w:rsid w:val="00AF291A"/>
    <w:rsid w:val="00AF2D9E"/>
    <w:rsid w:val="00AF37AA"/>
    <w:rsid w:val="00AF3A9E"/>
    <w:rsid w:val="00AF3D44"/>
    <w:rsid w:val="00AF4433"/>
    <w:rsid w:val="00AF497D"/>
    <w:rsid w:val="00AF54CA"/>
    <w:rsid w:val="00AF56C1"/>
    <w:rsid w:val="00AF59D7"/>
    <w:rsid w:val="00AF63F5"/>
    <w:rsid w:val="00AF6728"/>
    <w:rsid w:val="00AF6B62"/>
    <w:rsid w:val="00AF6C50"/>
    <w:rsid w:val="00AF6F3C"/>
    <w:rsid w:val="00AF7B9A"/>
    <w:rsid w:val="00B00E4A"/>
    <w:rsid w:val="00B010D0"/>
    <w:rsid w:val="00B01AE6"/>
    <w:rsid w:val="00B02E52"/>
    <w:rsid w:val="00B02F2A"/>
    <w:rsid w:val="00B02F38"/>
    <w:rsid w:val="00B02FCF"/>
    <w:rsid w:val="00B03005"/>
    <w:rsid w:val="00B0390A"/>
    <w:rsid w:val="00B041ED"/>
    <w:rsid w:val="00B041FB"/>
    <w:rsid w:val="00B04641"/>
    <w:rsid w:val="00B04B63"/>
    <w:rsid w:val="00B04C2A"/>
    <w:rsid w:val="00B04E6A"/>
    <w:rsid w:val="00B05349"/>
    <w:rsid w:val="00B056B9"/>
    <w:rsid w:val="00B05815"/>
    <w:rsid w:val="00B0634B"/>
    <w:rsid w:val="00B07030"/>
    <w:rsid w:val="00B07408"/>
    <w:rsid w:val="00B07527"/>
    <w:rsid w:val="00B076E7"/>
    <w:rsid w:val="00B07956"/>
    <w:rsid w:val="00B07FD9"/>
    <w:rsid w:val="00B10367"/>
    <w:rsid w:val="00B10947"/>
    <w:rsid w:val="00B11A3D"/>
    <w:rsid w:val="00B12CF6"/>
    <w:rsid w:val="00B1311C"/>
    <w:rsid w:val="00B13A84"/>
    <w:rsid w:val="00B15098"/>
    <w:rsid w:val="00B15234"/>
    <w:rsid w:val="00B1542B"/>
    <w:rsid w:val="00B1623F"/>
    <w:rsid w:val="00B167A4"/>
    <w:rsid w:val="00B16AA1"/>
    <w:rsid w:val="00B16D6A"/>
    <w:rsid w:val="00B170C5"/>
    <w:rsid w:val="00B17C00"/>
    <w:rsid w:val="00B17CFE"/>
    <w:rsid w:val="00B17FEE"/>
    <w:rsid w:val="00B200E1"/>
    <w:rsid w:val="00B20349"/>
    <w:rsid w:val="00B20996"/>
    <w:rsid w:val="00B20D0B"/>
    <w:rsid w:val="00B218DF"/>
    <w:rsid w:val="00B21D51"/>
    <w:rsid w:val="00B22D7B"/>
    <w:rsid w:val="00B23397"/>
    <w:rsid w:val="00B23C31"/>
    <w:rsid w:val="00B23D65"/>
    <w:rsid w:val="00B2412E"/>
    <w:rsid w:val="00B248E5"/>
    <w:rsid w:val="00B24BD7"/>
    <w:rsid w:val="00B25311"/>
    <w:rsid w:val="00B2561C"/>
    <w:rsid w:val="00B2587E"/>
    <w:rsid w:val="00B260FD"/>
    <w:rsid w:val="00B26237"/>
    <w:rsid w:val="00B263C7"/>
    <w:rsid w:val="00B2656C"/>
    <w:rsid w:val="00B26D87"/>
    <w:rsid w:val="00B27196"/>
    <w:rsid w:val="00B276A0"/>
    <w:rsid w:val="00B27B24"/>
    <w:rsid w:val="00B27D44"/>
    <w:rsid w:val="00B3077E"/>
    <w:rsid w:val="00B3159F"/>
    <w:rsid w:val="00B31615"/>
    <w:rsid w:val="00B316A9"/>
    <w:rsid w:val="00B32288"/>
    <w:rsid w:val="00B327F4"/>
    <w:rsid w:val="00B32ACB"/>
    <w:rsid w:val="00B32F2A"/>
    <w:rsid w:val="00B3377B"/>
    <w:rsid w:val="00B3435A"/>
    <w:rsid w:val="00B3480E"/>
    <w:rsid w:val="00B34C59"/>
    <w:rsid w:val="00B34C74"/>
    <w:rsid w:val="00B35186"/>
    <w:rsid w:val="00B35BC0"/>
    <w:rsid w:val="00B36596"/>
    <w:rsid w:val="00B36DC7"/>
    <w:rsid w:val="00B36F7E"/>
    <w:rsid w:val="00B37235"/>
    <w:rsid w:val="00B37389"/>
    <w:rsid w:val="00B37837"/>
    <w:rsid w:val="00B37A8C"/>
    <w:rsid w:val="00B404FF"/>
    <w:rsid w:val="00B40B1E"/>
    <w:rsid w:val="00B413BA"/>
    <w:rsid w:val="00B42133"/>
    <w:rsid w:val="00B426FD"/>
    <w:rsid w:val="00B42DB7"/>
    <w:rsid w:val="00B43C90"/>
    <w:rsid w:val="00B443E2"/>
    <w:rsid w:val="00B449FD"/>
    <w:rsid w:val="00B4525D"/>
    <w:rsid w:val="00B45C85"/>
    <w:rsid w:val="00B46792"/>
    <w:rsid w:val="00B46EF7"/>
    <w:rsid w:val="00B47088"/>
    <w:rsid w:val="00B473DB"/>
    <w:rsid w:val="00B501B5"/>
    <w:rsid w:val="00B503D2"/>
    <w:rsid w:val="00B504B6"/>
    <w:rsid w:val="00B51238"/>
    <w:rsid w:val="00B51865"/>
    <w:rsid w:val="00B5287D"/>
    <w:rsid w:val="00B52A03"/>
    <w:rsid w:val="00B53209"/>
    <w:rsid w:val="00B538A5"/>
    <w:rsid w:val="00B53CD1"/>
    <w:rsid w:val="00B54D39"/>
    <w:rsid w:val="00B55AF3"/>
    <w:rsid w:val="00B5656D"/>
    <w:rsid w:val="00B56962"/>
    <w:rsid w:val="00B569EC"/>
    <w:rsid w:val="00B56FC3"/>
    <w:rsid w:val="00B5709A"/>
    <w:rsid w:val="00B57821"/>
    <w:rsid w:val="00B60138"/>
    <w:rsid w:val="00B613E1"/>
    <w:rsid w:val="00B6162C"/>
    <w:rsid w:val="00B61B87"/>
    <w:rsid w:val="00B6255F"/>
    <w:rsid w:val="00B62BB3"/>
    <w:rsid w:val="00B6404C"/>
    <w:rsid w:val="00B64262"/>
    <w:rsid w:val="00B642F6"/>
    <w:rsid w:val="00B6494F"/>
    <w:rsid w:val="00B64ECD"/>
    <w:rsid w:val="00B64F79"/>
    <w:rsid w:val="00B659F7"/>
    <w:rsid w:val="00B65A0A"/>
    <w:rsid w:val="00B65DDD"/>
    <w:rsid w:val="00B65F1E"/>
    <w:rsid w:val="00B66296"/>
    <w:rsid w:val="00B66CE6"/>
    <w:rsid w:val="00B67281"/>
    <w:rsid w:val="00B67CFF"/>
    <w:rsid w:val="00B701B0"/>
    <w:rsid w:val="00B70765"/>
    <w:rsid w:val="00B71515"/>
    <w:rsid w:val="00B717FD"/>
    <w:rsid w:val="00B72547"/>
    <w:rsid w:val="00B727D1"/>
    <w:rsid w:val="00B72D51"/>
    <w:rsid w:val="00B72E1F"/>
    <w:rsid w:val="00B73227"/>
    <w:rsid w:val="00B73387"/>
    <w:rsid w:val="00B74125"/>
    <w:rsid w:val="00B74544"/>
    <w:rsid w:val="00B7485D"/>
    <w:rsid w:val="00B75480"/>
    <w:rsid w:val="00B7583F"/>
    <w:rsid w:val="00B769A4"/>
    <w:rsid w:val="00B7703E"/>
    <w:rsid w:val="00B8090C"/>
    <w:rsid w:val="00B80F42"/>
    <w:rsid w:val="00B81120"/>
    <w:rsid w:val="00B815B3"/>
    <w:rsid w:val="00B81A92"/>
    <w:rsid w:val="00B81B05"/>
    <w:rsid w:val="00B824F9"/>
    <w:rsid w:val="00B82AE5"/>
    <w:rsid w:val="00B82FFA"/>
    <w:rsid w:val="00B8329E"/>
    <w:rsid w:val="00B8402F"/>
    <w:rsid w:val="00B849DC"/>
    <w:rsid w:val="00B849FE"/>
    <w:rsid w:val="00B84F01"/>
    <w:rsid w:val="00B86DA6"/>
    <w:rsid w:val="00B86DF5"/>
    <w:rsid w:val="00B871BE"/>
    <w:rsid w:val="00B87235"/>
    <w:rsid w:val="00B87269"/>
    <w:rsid w:val="00B876CD"/>
    <w:rsid w:val="00B900D1"/>
    <w:rsid w:val="00B905E0"/>
    <w:rsid w:val="00B9080E"/>
    <w:rsid w:val="00B90AFC"/>
    <w:rsid w:val="00B90B37"/>
    <w:rsid w:val="00B90BC3"/>
    <w:rsid w:val="00B9253E"/>
    <w:rsid w:val="00B9283D"/>
    <w:rsid w:val="00B9289F"/>
    <w:rsid w:val="00B92E2B"/>
    <w:rsid w:val="00B92FA7"/>
    <w:rsid w:val="00B933AD"/>
    <w:rsid w:val="00B93516"/>
    <w:rsid w:val="00B93793"/>
    <w:rsid w:val="00B93EB3"/>
    <w:rsid w:val="00B94CDF"/>
    <w:rsid w:val="00B94E1F"/>
    <w:rsid w:val="00B950C7"/>
    <w:rsid w:val="00B95412"/>
    <w:rsid w:val="00B956AB"/>
    <w:rsid w:val="00B956C3"/>
    <w:rsid w:val="00B95F3E"/>
    <w:rsid w:val="00B9649F"/>
    <w:rsid w:val="00B96D43"/>
    <w:rsid w:val="00B96D62"/>
    <w:rsid w:val="00B96F60"/>
    <w:rsid w:val="00B970CA"/>
    <w:rsid w:val="00B97873"/>
    <w:rsid w:val="00BA0797"/>
    <w:rsid w:val="00BA1941"/>
    <w:rsid w:val="00BA1C2F"/>
    <w:rsid w:val="00BA30E3"/>
    <w:rsid w:val="00BA3139"/>
    <w:rsid w:val="00BA3160"/>
    <w:rsid w:val="00BA3E49"/>
    <w:rsid w:val="00BA3EB1"/>
    <w:rsid w:val="00BA4371"/>
    <w:rsid w:val="00BA4528"/>
    <w:rsid w:val="00BA5102"/>
    <w:rsid w:val="00BA54C8"/>
    <w:rsid w:val="00BA5A15"/>
    <w:rsid w:val="00BA5A6D"/>
    <w:rsid w:val="00BA609C"/>
    <w:rsid w:val="00BA621D"/>
    <w:rsid w:val="00BA6C81"/>
    <w:rsid w:val="00BA6CBA"/>
    <w:rsid w:val="00BA76C5"/>
    <w:rsid w:val="00BA7C9D"/>
    <w:rsid w:val="00BA7F8E"/>
    <w:rsid w:val="00BB1210"/>
    <w:rsid w:val="00BB1262"/>
    <w:rsid w:val="00BB13B6"/>
    <w:rsid w:val="00BB156E"/>
    <w:rsid w:val="00BB17E8"/>
    <w:rsid w:val="00BB1CB1"/>
    <w:rsid w:val="00BB23F3"/>
    <w:rsid w:val="00BB2500"/>
    <w:rsid w:val="00BB2A4D"/>
    <w:rsid w:val="00BB2DAA"/>
    <w:rsid w:val="00BB2FB7"/>
    <w:rsid w:val="00BB2FF8"/>
    <w:rsid w:val="00BB34A6"/>
    <w:rsid w:val="00BB34D0"/>
    <w:rsid w:val="00BB3F3B"/>
    <w:rsid w:val="00BB42B4"/>
    <w:rsid w:val="00BB4733"/>
    <w:rsid w:val="00BB4785"/>
    <w:rsid w:val="00BB4F6D"/>
    <w:rsid w:val="00BB50EB"/>
    <w:rsid w:val="00BB550D"/>
    <w:rsid w:val="00BB593C"/>
    <w:rsid w:val="00BB608A"/>
    <w:rsid w:val="00BB6549"/>
    <w:rsid w:val="00BB6657"/>
    <w:rsid w:val="00BB66C1"/>
    <w:rsid w:val="00BB7461"/>
    <w:rsid w:val="00BB75E8"/>
    <w:rsid w:val="00BC04F0"/>
    <w:rsid w:val="00BC070F"/>
    <w:rsid w:val="00BC1AD9"/>
    <w:rsid w:val="00BC236E"/>
    <w:rsid w:val="00BC27B0"/>
    <w:rsid w:val="00BC336F"/>
    <w:rsid w:val="00BC4516"/>
    <w:rsid w:val="00BC4C9E"/>
    <w:rsid w:val="00BC56C9"/>
    <w:rsid w:val="00BC60B8"/>
    <w:rsid w:val="00BC6BA4"/>
    <w:rsid w:val="00BC71B4"/>
    <w:rsid w:val="00BD0744"/>
    <w:rsid w:val="00BD08BD"/>
    <w:rsid w:val="00BD0C06"/>
    <w:rsid w:val="00BD0DAF"/>
    <w:rsid w:val="00BD0E24"/>
    <w:rsid w:val="00BD1814"/>
    <w:rsid w:val="00BD1B5A"/>
    <w:rsid w:val="00BD1F03"/>
    <w:rsid w:val="00BD304B"/>
    <w:rsid w:val="00BD38EF"/>
    <w:rsid w:val="00BD3EFD"/>
    <w:rsid w:val="00BD3F69"/>
    <w:rsid w:val="00BD435C"/>
    <w:rsid w:val="00BD586A"/>
    <w:rsid w:val="00BD730E"/>
    <w:rsid w:val="00BD7552"/>
    <w:rsid w:val="00BE0DA6"/>
    <w:rsid w:val="00BE1A1F"/>
    <w:rsid w:val="00BE210A"/>
    <w:rsid w:val="00BE22B2"/>
    <w:rsid w:val="00BE24BB"/>
    <w:rsid w:val="00BE269A"/>
    <w:rsid w:val="00BE290A"/>
    <w:rsid w:val="00BE2A57"/>
    <w:rsid w:val="00BE30FA"/>
    <w:rsid w:val="00BE335E"/>
    <w:rsid w:val="00BE35DE"/>
    <w:rsid w:val="00BE362B"/>
    <w:rsid w:val="00BE485E"/>
    <w:rsid w:val="00BE49FF"/>
    <w:rsid w:val="00BE53FD"/>
    <w:rsid w:val="00BE5C71"/>
    <w:rsid w:val="00BE694D"/>
    <w:rsid w:val="00BE6C93"/>
    <w:rsid w:val="00BE7790"/>
    <w:rsid w:val="00BF05F9"/>
    <w:rsid w:val="00BF08BE"/>
    <w:rsid w:val="00BF0D41"/>
    <w:rsid w:val="00BF19DF"/>
    <w:rsid w:val="00BF2477"/>
    <w:rsid w:val="00BF25D9"/>
    <w:rsid w:val="00BF2EFB"/>
    <w:rsid w:val="00BF31BA"/>
    <w:rsid w:val="00BF3470"/>
    <w:rsid w:val="00BF4529"/>
    <w:rsid w:val="00BF47DA"/>
    <w:rsid w:val="00BF4D42"/>
    <w:rsid w:val="00BF5C75"/>
    <w:rsid w:val="00BF61B4"/>
    <w:rsid w:val="00BF62A2"/>
    <w:rsid w:val="00BF6AD2"/>
    <w:rsid w:val="00BF7531"/>
    <w:rsid w:val="00BF77B9"/>
    <w:rsid w:val="00BF7AE9"/>
    <w:rsid w:val="00C00769"/>
    <w:rsid w:val="00C01249"/>
    <w:rsid w:val="00C01730"/>
    <w:rsid w:val="00C01731"/>
    <w:rsid w:val="00C01D32"/>
    <w:rsid w:val="00C025B0"/>
    <w:rsid w:val="00C02AF7"/>
    <w:rsid w:val="00C031C4"/>
    <w:rsid w:val="00C04466"/>
    <w:rsid w:val="00C04AAD"/>
    <w:rsid w:val="00C04C98"/>
    <w:rsid w:val="00C05EF1"/>
    <w:rsid w:val="00C06FEA"/>
    <w:rsid w:val="00C07A40"/>
    <w:rsid w:val="00C07BAD"/>
    <w:rsid w:val="00C07BCF"/>
    <w:rsid w:val="00C10427"/>
    <w:rsid w:val="00C110AE"/>
    <w:rsid w:val="00C11D18"/>
    <w:rsid w:val="00C11F3B"/>
    <w:rsid w:val="00C12268"/>
    <w:rsid w:val="00C136AB"/>
    <w:rsid w:val="00C136F8"/>
    <w:rsid w:val="00C13739"/>
    <w:rsid w:val="00C13823"/>
    <w:rsid w:val="00C1384D"/>
    <w:rsid w:val="00C13F73"/>
    <w:rsid w:val="00C14655"/>
    <w:rsid w:val="00C146F7"/>
    <w:rsid w:val="00C1494C"/>
    <w:rsid w:val="00C14C1A"/>
    <w:rsid w:val="00C15718"/>
    <w:rsid w:val="00C159B1"/>
    <w:rsid w:val="00C17415"/>
    <w:rsid w:val="00C17F24"/>
    <w:rsid w:val="00C200AA"/>
    <w:rsid w:val="00C2079E"/>
    <w:rsid w:val="00C20EDE"/>
    <w:rsid w:val="00C20FE8"/>
    <w:rsid w:val="00C214EE"/>
    <w:rsid w:val="00C21BE9"/>
    <w:rsid w:val="00C21FA4"/>
    <w:rsid w:val="00C22056"/>
    <w:rsid w:val="00C2227A"/>
    <w:rsid w:val="00C2347C"/>
    <w:rsid w:val="00C23652"/>
    <w:rsid w:val="00C237F6"/>
    <w:rsid w:val="00C23D4A"/>
    <w:rsid w:val="00C242A3"/>
    <w:rsid w:val="00C24395"/>
    <w:rsid w:val="00C255E4"/>
    <w:rsid w:val="00C26517"/>
    <w:rsid w:val="00C26849"/>
    <w:rsid w:val="00C26BAF"/>
    <w:rsid w:val="00C26C27"/>
    <w:rsid w:val="00C300AE"/>
    <w:rsid w:val="00C303B4"/>
    <w:rsid w:val="00C307B4"/>
    <w:rsid w:val="00C3188A"/>
    <w:rsid w:val="00C31B4E"/>
    <w:rsid w:val="00C325AF"/>
    <w:rsid w:val="00C3271C"/>
    <w:rsid w:val="00C33762"/>
    <w:rsid w:val="00C33CA1"/>
    <w:rsid w:val="00C33F27"/>
    <w:rsid w:val="00C34D6A"/>
    <w:rsid w:val="00C35F88"/>
    <w:rsid w:val="00C36CD6"/>
    <w:rsid w:val="00C36E53"/>
    <w:rsid w:val="00C37512"/>
    <w:rsid w:val="00C37CE1"/>
    <w:rsid w:val="00C37ED3"/>
    <w:rsid w:val="00C40CCC"/>
    <w:rsid w:val="00C40D0E"/>
    <w:rsid w:val="00C417C8"/>
    <w:rsid w:val="00C41A43"/>
    <w:rsid w:val="00C4229A"/>
    <w:rsid w:val="00C42741"/>
    <w:rsid w:val="00C42D67"/>
    <w:rsid w:val="00C43AC3"/>
    <w:rsid w:val="00C43D30"/>
    <w:rsid w:val="00C44245"/>
    <w:rsid w:val="00C44499"/>
    <w:rsid w:val="00C444BE"/>
    <w:rsid w:val="00C4450D"/>
    <w:rsid w:val="00C448E3"/>
    <w:rsid w:val="00C45270"/>
    <w:rsid w:val="00C4576A"/>
    <w:rsid w:val="00C45C25"/>
    <w:rsid w:val="00C45C61"/>
    <w:rsid w:val="00C45D9F"/>
    <w:rsid w:val="00C46158"/>
    <w:rsid w:val="00C462AC"/>
    <w:rsid w:val="00C46A08"/>
    <w:rsid w:val="00C479B7"/>
    <w:rsid w:val="00C47AD1"/>
    <w:rsid w:val="00C5009E"/>
    <w:rsid w:val="00C50447"/>
    <w:rsid w:val="00C515A9"/>
    <w:rsid w:val="00C51EE9"/>
    <w:rsid w:val="00C520DF"/>
    <w:rsid w:val="00C52C9F"/>
    <w:rsid w:val="00C536F3"/>
    <w:rsid w:val="00C551E4"/>
    <w:rsid w:val="00C55696"/>
    <w:rsid w:val="00C575BF"/>
    <w:rsid w:val="00C609CC"/>
    <w:rsid w:val="00C60F0F"/>
    <w:rsid w:val="00C617C1"/>
    <w:rsid w:val="00C61FCD"/>
    <w:rsid w:val="00C62B06"/>
    <w:rsid w:val="00C62BFF"/>
    <w:rsid w:val="00C62C88"/>
    <w:rsid w:val="00C62F2A"/>
    <w:rsid w:val="00C633A8"/>
    <w:rsid w:val="00C634DF"/>
    <w:rsid w:val="00C63833"/>
    <w:rsid w:val="00C6449B"/>
    <w:rsid w:val="00C64833"/>
    <w:rsid w:val="00C64CCE"/>
    <w:rsid w:val="00C64E9C"/>
    <w:rsid w:val="00C65247"/>
    <w:rsid w:val="00C656BA"/>
    <w:rsid w:val="00C66200"/>
    <w:rsid w:val="00C6629B"/>
    <w:rsid w:val="00C664AE"/>
    <w:rsid w:val="00C6653F"/>
    <w:rsid w:val="00C665F6"/>
    <w:rsid w:val="00C66FC5"/>
    <w:rsid w:val="00C675F6"/>
    <w:rsid w:val="00C67B04"/>
    <w:rsid w:val="00C7012A"/>
    <w:rsid w:val="00C7084B"/>
    <w:rsid w:val="00C713C9"/>
    <w:rsid w:val="00C7194F"/>
    <w:rsid w:val="00C71D10"/>
    <w:rsid w:val="00C725BE"/>
    <w:rsid w:val="00C726A4"/>
    <w:rsid w:val="00C72752"/>
    <w:rsid w:val="00C73775"/>
    <w:rsid w:val="00C73F98"/>
    <w:rsid w:val="00C747FA"/>
    <w:rsid w:val="00C74F6B"/>
    <w:rsid w:val="00C76002"/>
    <w:rsid w:val="00C77459"/>
    <w:rsid w:val="00C776BE"/>
    <w:rsid w:val="00C77880"/>
    <w:rsid w:val="00C80202"/>
    <w:rsid w:val="00C80569"/>
    <w:rsid w:val="00C80AFA"/>
    <w:rsid w:val="00C80F3B"/>
    <w:rsid w:val="00C81347"/>
    <w:rsid w:val="00C818E7"/>
    <w:rsid w:val="00C823A8"/>
    <w:rsid w:val="00C8280D"/>
    <w:rsid w:val="00C83062"/>
    <w:rsid w:val="00C838FE"/>
    <w:rsid w:val="00C83989"/>
    <w:rsid w:val="00C84D45"/>
    <w:rsid w:val="00C85484"/>
    <w:rsid w:val="00C85900"/>
    <w:rsid w:val="00C85FCF"/>
    <w:rsid w:val="00C8694F"/>
    <w:rsid w:val="00C90021"/>
    <w:rsid w:val="00C901FB"/>
    <w:rsid w:val="00C90DBA"/>
    <w:rsid w:val="00C90DCE"/>
    <w:rsid w:val="00C9112B"/>
    <w:rsid w:val="00C9150A"/>
    <w:rsid w:val="00C9152C"/>
    <w:rsid w:val="00C91530"/>
    <w:rsid w:val="00C916D7"/>
    <w:rsid w:val="00C91E1B"/>
    <w:rsid w:val="00C91FAF"/>
    <w:rsid w:val="00C91FCE"/>
    <w:rsid w:val="00C9213B"/>
    <w:rsid w:val="00C92298"/>
    <w:rsid w:val="00C92385"/>
    <w:rsid w:val="00C92395"/>
    <w:rsid w:val="00C92766"/>
    <w:rsid w:val="00C92EF4"/>
    <w:rsid w:val="00C93067"/>
    <w:rsid w:val="00C933C4"/>
    <w:rsid w:val="00C935E3"/>
    <w:rsid w:val="00C93625"/>
    <w:rsid w:val="00C94225"/>
    <w:rsid w:val="00C9454A"/>
    <w:rsid w:val="00C950AC"/>
    <w:rsid w:val="00C95A37"/>
    <w:rsid w:val="00C95B4B"/>
    <w:rsid w:val="00C9613A"/>
    <w:rsid w:val="00C96158"/>
    <w:rsid w:val="00C9691C"/>
    <w:rsid w:val="00C97019"/>
    <w:rsid w:val="00C971CE"/>
    <w:rsid w:val="00C972E9"/>
    <w:rsid w:val="00C97804"/>
    <w:rsid w:val="00C97A3A"/>
    <w:rsid w:val="00C97C8A"/>
    <w:rsid w:val="00C97F7A"/>
    <w:rsid w:val="00CA0A30"/>
    <w:rsid w:val="00CA0FF0"/>
    <w:rsid w:val="00CA1243"/>
    <w:rsid w:val="00CA1387"/>
    <w:rsid w:val="00CA1794"/>
    <w:rsid w:val="00CA28E4"/>
    <w:rsid w:val="00CA2BA1"/>
    <w:rsid w:val="00CA35F1"/>
    <w:rsid w:val="00CA46C6"/>
    <w:rsid w:val="00CA4998"/>
    <w:rsid w:val="00CA54C2"/>
    <w:rsid w:val="00CA5DE6"/>
    <w:rsid w:val="00CA6329"/>
    <w:rsid w:val="00CA6B69"/>
    <w:rsid w:val="00CA6E0C"/>
    <w:rsid w:val="00CA6E45"/>
    <w:rsid w:val="00CA712B"/>
    <w:rsid w:val="00CA7217"/>
    <w:rsid w:val="00CA72F1"/>
    <w:rsid w:val="00CB1878"/>
    <w:rsid w:val="00CB1A14"/>
    <w:rsid w:val="00CB1C7E"/>
    <w:rsid w:val="00CB1CF0"/>
    <w:rsid w:val="00CB2493"/>
    <w:rsid w:val="00CB2DF9"/>
    <w:rsid w:val="00CB3185"/>
    <w:rsid w:val="00CB36AA"/>
    <w:rsid w:val="00CB3712"/>
    <w:rsid w:val="00CB3720"/>
    <w:rsid w:val="00CB39C9"/>
    <w:rsid w:val="00CB3A7B"/>
    <w:rsid w:val="00CB4490"/>
    <w:rsid w:val="00CB4712"/>
    <w:rsid w:val="00CB4AF1"/>
    <w:rsid w:val="00CB5857"/>
    <w:rsid w:val="00CB5A59"/>
    <w:rsid w:val="00CC0B6F"/>
    <w:rsid w:val="00CC10D1"/>
    <w:rsid w:val="00CC2003"/>
    <w:rsid w:val="00CC3135"/>
    <w:rsid w:val="00CC34DC"/>
    <w:rsid w:val="00CC3741"/>
    <w:rsid w:val="00CC376D"/>
    <w:rsid w:val="00CC423B"/>
    <w:rsid w:val="00CC469C"/>
    <w:rsid w:val="00CC544A"/>
    <w:rsid w:val="00CC54DC"/>
    <w:rsid w:val="00CC5A42"/>
    <w:rsid w:val="00CC64E8"/>
    <w:rsid w:val="00CC6CB2"/>
    <w:rsid w:val="00CC6E32"/>
    <w:rsid w:val="00CC75EF"/>
    <w:rsid w:val="00CC796E"/>
    <w:rsid w:val="00CC7BE3"/>
    <w:rsid w:val="00CD01D9"/>
    <w:rsid w:val="00CD0B0D"/>
    <w:rsid w:val="00CD1111"/>
    <w:rsid w:val="00CD221E"/>
    <w:rsid w:val="00CD2E41"/>
    <w:rsid w:val="00CD32A2"/>
    <w:rsid w:val="00CD388F"/>
    <w:rsid w:val="00CD468B"/>
    <w:rsid w:val="00CD48B0"/>
    <w:rsid w:val="00CD4BE1"/>
    <w:rsid w:val="00CD4CBC"/>
    <w:rsid w:val="00CD4E15"/>
    <w:rsid w:val="00CD5821"/>
    <w:rsid w:val="00CD5FC0"/>
    <w:rsid w:val="00CD5FFA"/>
    <w:rsid w:val="00CD61D4"/>
    <w:rsid w:val="00CD738B"/>
    <w:rsid w:val="00CE077E"/>
    <w:rsid w:val="00CE08D6"/>
    <w:rsid w:val="00CE0A1A"/>
    <w:rsid w:val="00CE0A2D"/>
    <w:rsid w:val="00CE1097"/>
    <w:rsid w:val="00CE1272"/>
    <w:rsid w:val="00CE13C8"/>
    <w:rsid w:val="00CE16A1"/>
    <w:rsid w:val="00CE174A"/>
    <w:rsid w:val="00CE17C0"/>
    <w:rsid w:val="00CE18E0"/>
    <w:rsid w:val="00CE1FDD"/>
    <w:rsid w:val="00CE27A5"/>
    <w:rsid w:val="00CE29D5"/>
    <w:rsid w:val="00CE2B2B"/>
    <w:rsid w:val="00CE2D4E"/>
    <w:rsid w:val="00CE30F2"/>
    <w:rsid w:val="00CE31F2"/>
    <w:rsid w:val="00CE3275"/>
    <w:rsid w:val="00CE3628"/>
    <w:rsid w:val="00CE37B0"/>
    <w:rsid w:val="00CE37B7"/>
    <w:rsid w:val="00CE3917"/>
    <w:rsid w:val="00CE3A0F"/>
    <w:rsid w:val="00CE515B"/>
    <w:rsid w:val="00CE5708"/>
    <w:rsid w:val="00CE5C2F"/>
    <w:rsid w:val="00CE5F58"/>
    <w:rsid w:val="00CE62AB"/>
    <w:rsid w:val="00CE6D49"/>
    <w:rsid w:val="00CE6D6C"/>
    <w:rsid w:val="00CE77B6"/>
    <w:rsid w:val="00CF0097"/>
    <w:rsid w:val="00CF0309"/>
    <w:rsid w:val="00CF0934"/>
    <w:rsid w:val="00CF0DB0"/>
    <w:rsid w:val="00CF15D5"/>
    <w:rsid w:val="00CF16AB"/>
    <w:rsid w:val="00CF1A1E"/>
    <w:rsid w:val="00CF2A57"/>
    <w:rsid w:val="00CF2C2C"/>
    <w:rsid w:val="00CF2FE8"/>
    <w:rsid w:val="00CF32AD"/>
    <w:rsid w:val="00CF3452"/>
    <w:rsid w:val="00CF3D1A"/>
    <w:rsid w:val="00CF447F"/>
    <w:rsid w:val="00CF4D3D"/>
    <w:rsid w:val="00CF4F7A"/>
    <w:rsid w:val="00CF53B3"/>
    <w:rsid w:val="00CF582A"/>
    <w:rsid w:val="00CF64F7"/>
    <w:rsid w:val="00CF681E"/>
    <w:rsid w:val="00CF7721"/>
    <w:rsid w:val="00CF7901"/>
    <w:rsid w:val="00D00FE4"/>
    <w:rsid w:val="00D024E1"/>
    <w:rsid w:val="00D0265D"/>
    <w:rsid w:val="00D027B4"/>
    <w:rsid w:val="00D03198"/>
    <w:rsid w:val="00D034FA"/>
    <w:rsid w:val="00D03F6A"/>
    <w:rsid w:val="00D0449C"/>
    <w:rsid w:val="00D04821"/>
    <w:rsid w:val="00D057F0"/>
    <w:rsid w:val="00D05969"/>
    <w:rsid w:val="00D05BF8"/>
    <w:rsid w:val="00D05E75"/>
    <w:rsid w:val="00D0751E"/>
    <w:rsid w:val="00D0779C"/>
    <w:rsid w:val="00D0792C"/>
    <w:rsid w:val="00D07BB6"/>
    <w:rsid w:val="00D07C6F"/>
    <w:rsid w:val="00D10038"/>
    <w:rsid w:val="00D10595"/>
    <w:rsid w:val="00D1063E"/>
    <w:rsid w:val="00D10902"/>
    <w:rsid w:val="00D10FC2"/>
    <w:rsid w:val="00D11AA6"/>
    <w:rsid w:val="00D1200A"/>
    <w:rsid w:val="00D120E7"/>
    <w:rsid w:val="00D1277E"/>
    <w:rsid w:val="00D1299A"/>
    <w:rsid w:val="00D1304B"/>
    <w:rsid w:val="00D138D1"/>
    <w:rsid w:val="00D13DF0"/>
    <w:rsid w:val="00D13EBC"/>
    <w:rsid w:val="00D14306"/>
    <w:rsid w:val="00D14FD3"/>
    <w:rsid w:val="00D1506F"/>
    <w:rsid w:val="00D15149"/>
    <w:rsid w:val="00D15FBD"/>
    <w:rsid w:val="00D1639C"/>
    <w:rsid w:val="00D16A18"/>
    <w:rsid w:val="00D16A65"/>
    <w:rsid w:val="00D20691"/>
    <w:rsid w:val="00D2074A"/>
    <w:rsid w:val="00D20A42"/>
    <w:rsid w:val="00D20FCA"/>
    <w:rsid w:val="00D21DE6"/>
    <w:rsid w:val="00D22383"/>
    <w:rsid w:val="00D22682"/>
    <w:rsid w:val="00D24751"/>
    <w:rsid w:val="00D25117"/>
    <w:rsid w:val="00D255A1"/>
    <w:rsid w:val="00D25C65"/>
    <w:rsid w:val="00D262E6"/>
    <w:rsid w:val="00D2633A"/>
    <w:rsid w:val="00D265AF"/>
    <w:rsid w:val="00D26F44"/>
    <w:rsid w:val="00D2719E"/>
    <w:rsid w:val="00D272E4"/>
    <w:rsid w:val="00D3037F"/>
    <w:rsid w:val="00D30DAB"/>
    <w:rsid w:val="00D31034"/>
    <w:rsid w:val="00D31273"/>
    <w:rsid w:val="00D317A4"/>
    <w:rsid w:val="00D31973"/>
    <w:rsid w:val="00D32D50"/>
    <w:rsid w:val="00D33CD4"/>
    <w:rsid w:val="00D33EE2"/>
    <w:rsid w:val="00D341CA"/>
    <w:rsid w:val="00D347D4"/>
    <w:rsid w:val="00D3594C"/>
    <w:rsid w:val="00D35BF5"/>
    <w:rsid w:val="00D36280"/>
    <w:rsid w:val="00D36A6D"/>
    <w:rsid w:val="00D36A70"/>
    <w:rsid w:val="00D37023"/>
    <w:rsid w:val="00D37FF0"/>
    <w:rsid w:val="00D40549"/>
    <w:rsid w:val="00D406B1"/>
    <w:rsid w:val="00D4201A"/>
    <w:rsid w:val="00D424A0"/>
    <w:rsid w:val="00D42596"/>
    <w:rsid w:val="00D42C19"/>
    <w:rsid w:val="00D43AA8"/>
    <w:rsid w:val="00D43F41"/>
    <w:rsid w:val="00D43FB3"/>
    <w:rsid w:val="00D4414F"/>
    <w:rsid w:val="00D441AE"/>
    <w:rsid w:val="00D44AD3"/>
    <w:rsid w:val="00D44AFC"/>
    <w:rsid w:val="00D44FD4"/>
    <w:rsid w:val="00D4505C"/>
    <w:rsid w:val="00D45223"/>
    <w:rsid w:val="00D45A44"/>
    <w:rsid w:val="00D45F79"/>
    <w:rsid w:val="00D46E4B"/>
    <w:rsid w:val="00D47579"/>
    <w:rsid w:val="00D50121"/>
    <w:rsid w:val="00D513D2"/>
    <w:rsid w:val="00D51D44"/>
    <w:rsid w:val="00D52441"/>
    <w:rsid w:val="00D5254F"/>
    <w:rsid w:val="00D53018"/>
    <w:rsid w:val="00D5358E"/>
    <w:rsid w:val="00D53980"/>
    <w:rsid w:val="00D53C19"/>
    <w:rsid w:val="00D5447F"/>
    <w:rsid w:val="00D54725"/>
    <w:rsid w:val="00D54D9E"/>
    <w:rsid w:val="00D553D1"/>
    <w:rsid w:val="00D56112"/>
    <w:rsid w:val="00D56209"/>
    <w:rsid w:val="00D56AB2"/>
    <w:rsid w:val="00D56F15"/>
    <w:rsid w:val="00D5700A"/>
    <w:rsid w:val="00D57910"/>
    <w:rsid w:val="00D602EF"/>
    <w:rsid w:val="00D61169"/>
    <w:rsid w:val="00D612E1"/>
    <w:rsid w:val="00D61450"/>
    <w:rsid w:val="00D62821"/>
    <w:rsid w:val="00D62D88"/>
    <w:rsid w:val="00D62EDC"/>
    <w:rsid w:val="00D62F3C"/>
    <w:rsid w:val="00D63075"/>
    <w:rsid w:val="00D632BC"/>
    <w:rsid w:val="00D63A03"/>
    <w:rsid w:val="00D6433B"/>
    <w:rsid w:val="00D6468B"/>
    <w:rsid w:val="00D64831"/>
    <w:rsid w:val="00D64E79"/>
    <w:rsid w:val="00D6519E"/>
    <w:rsid w:val="00D658F4"/>
    <w:rsid w:val="00D65B48"/>
    <w:rsid w:val="00D65D03"/>
    <w:rsid w:val="00D6736B"/>
    <w:rsid w:val="00D673D2"/>
    <w:rsid w:val="00D67644"/>
    <w:rsid w:val="00D67FF4"/>
    <w:rsid w:val="00D7028B"/>
    <w:rsid w:val="00D705F4"/>
    <w:rsid w:val="00D70843"/>
    <w:rsid w:val="00D71186"/>
    <w:rsid w:val="00D71A43"/>
    <w:rsid w:val="00D71BB6"/>
    <w:rsid w:val="00D71FD6"/>
    <w:rsid w:val="00D72180"/>
    <w:rsid w:val="00D728DC"/>
    <w:rsid w:val="00D72ABE"/>
    <w:rsid w:val="00D72CD0"/>
    <w:rsid w:val="00D72D7B"/>
    <w:rsid w:val="00D73B11"/>
    <w:rsid w:val="00D73C3A"/>
    <w:rsid w:val="00D73D42"/>
    <w:rsid w:val="00D73E36"/>
    <w:rsid w:val="00D7489B"/>
    <w:rsid w:val="00D74EC5"/>
    <w:rsid w:val="00D7502E"/>
    <w:rsid w:val="00D766C2"/>
    <w:rsid w:val="00D76C3A"/>
    <w:rsid w:val="00D76F82"/>
    <w:rsid w:val="00D80606"/>
    <w:rsid w:val="00D80D9A"/>
    <w:rsid w:val="00D80E7D"/>
    <w:rsid w:val="00D8145A"/>
    <w:rsid w:val="00D81807"/>
    <w:rsid w:val="00D81A4C"/>
    <w:rsid w:val="00D824FA"/>
    <w:rsid w:val="00D8286E"/>
    <w:rsid w:val="00D830A2"/>
    <w:rsid w:val="00D831B3"/>
    <w:rsid w:val="00D83B8E"/>
    <w:rsid w:val="00D83F01"/>
    <w:rsid w:val="00D84BA7"/>
    <w:rsid w:val="00D84C09"/>
    <w:rsid w:val="00D86226"/>
    <w:rsid w:val="00D8651E"/>
    <w:rsid w:val="00D86B4B"/>
    <w:rsid w:val="00D86B8C"/>
    <w:rsid w:val="00D86CE4"/>
    <w:rsid w:val="00D86D5D"/>
    <w:rsid w:val="00D870A5"/>
    <w:rsid w:val="00D87750"/>
    <w:rsid w:val="00D87889"/>
    <w:rsid w:val="00D87BB1"/>
    <w:rsid w:val="00D87FFC"/>
    <w:rsid w:val="00D9043A"/>
    <w:rsid w:val="00D90897"/>
    <w:rsid w:val="00D90A26"/>
    <w:rsid w:val="00D90CF4"/>
    <w:rsid w:val="00D921DC"/>
    <w:rsid w:val="00D92AAE"/>
    <w:rsid w:val="00D92D74"/>
    <w:rsid w:val="00D92F4F"/>
    <w:rsid w:val="00D936DC"/>
    <w:rsid w:val="00D93765"/>
    <w:rsid w:val="00D9450D"/>
    <w:rsid w:val="00D94708"/>
    <w:rsid w:val="00D949BE"/>
    <w:rsid w:val="00D94B1D"/>
    <w:rsid w:val="00D95455"/>
    <w:rsid w:val="00D956E1"/>
    <w:rsid w:val="00D95A59"/>
    <w:rsid w:val="00D95ECF"/>
    <w:rsid w:val="00D96361"/>
    <w:rsid w:val="00D965F8"/>
    <w:rsid w:val="00D96DF2"/>
    <w:rsid w:val="00D97FFD"/>
    <w:rsid w:val="00DA03C1"/>
    <w:rsid w:val="00DA0518"/>
    <w:rsid w:val="00DA0B19"/>
    <w:rsid w:val="00DA0C3C"/>
    <w:rsid w:val="00DA0C9E"/>
    <w:rsid w:val="00DA0D3E"/>
    <w:rsid w:val="00DA1243"/>
    <w:rsid w:val="00DA1806"/>
    <w:rsid w:val="00DA1D3E"/>
    <w:rsid w:val="00DA246C"/>
    <w:rsid w:val="00DA260F"/>
    <w:rsid w:val="00DA2A77"/>
    <w:rsid w:val="00DA2DDC"/>
    <w:rsid w:val="00DA3729"/>
    <w:rsid w:val="00DA3962"/>
    <w:rsid w:val="00DA39A8"/>
    <w:rsid w:val="00DA46AB"/>
    <w:rsid w:val="00DA4B8C"/>
    <w:rsid w:val="00DA4E59"/>
    <w:rsid w:val="00DA5F9F"/>
    <w:rsid w:val="00DA64E6"/>
    <w:rsid w:val="00DA667C"/>
    <w:rsid w:val="00DA674B"/>
    <w:rsid w:val="00DA674E"/>
    <w:rsid w:val="00DA6DB7"/>
    <w:rsid w:val="00DA7A18"/>
    <w:rsid w:val="00DA7CB1"/>
    <w:rsid w:val="00DA7F4C"/>
    <w:rsid w:val="00DB0808"/>
    <w:rsid w:val="00DB096E"/>
    <w:rsid w:val="00DB0B2F"/>
    <w:rsid w:val="00DB1154"/>
    <w:rsid w:val="00DB1BC1"/>
    <w:rsid w:val="00DB2479"/>
    <w:rsid w:val="00DB3279"/>
    <w:rsid w:val="00DB3520"/>
    <w:rsid w:val="00DB3E17"/>
    <w:rsid w:val="00DB46E0"/>
    <w:rsid w:val="00DB4F14"/>
    <w:rsid w:val="00DB5C30"/>
    <w:rsid w:val="00DB5FC8"/>
    <w:rsid w:val="00DB5FD1"/>
    <w:rsid w:val="00DB6682"/>
    <w:rsid w:val="00DB726F"/>
    <w:rsid w:val="00DB7EA1"/>
    <w:rsid w:val="00DC0037"/>
    <w:rsid w:val="00DC0FE0"/>
    <w:rsid w:val="00DC1A27"/>
    <w:rsid w:val="00DC1D9E"/>
    <w:rsid w:val="00DC229B"/>
    <w:rsid w:val="00DC35D7"/>
    <w:rsid w:val="00DC35E8"/>
    <w:rsid w:val="00DC3659"/>
    <w:rsid w:val="00DC3888"/>
    <w:rsid w:val="00DC3A1D"/>
    <w:rsid w:val="00DC3F0D"/>
    <w:rsid w:val="00DC3F41"/>
    <w:rsid w:val="00DC479C"/>
    <w:rsid w:val="00DC5425"/>
    <w:rsid w:val="00DC5644"/>
    <w:rsid w:val="00DC5857"/>
    <w:rsid w:val="00DC5ADE"/>
    <w:rsid w:val="00DC5E43"/>
    <w:rsid w:val="00DC652F"/>
    <w:rsid w:val="00DC65B5"/>
    <w:rsid w:val="00DC6642"/>
    <w:rsid w:val="00DC74F9"/>
    <w:rsid w:val="00DC7A81"/>
    <w:rsid w:val="00DC7B88"/>
    <w:rsid w:val="00DD0060"/>
    <w:rsid w:val="00DD066D"/>
    <w:rsid w:val="00DD07B9"/>
    <w:rsid w:val="00DD13FE"/>
    <w:rsid w:val="00DD1D07"/>
    <w:rsid w:val="00DD1FA1"/>
    <w:rsid w:val="00DD2424"/>
    <w:rsid w:val="00DD2A14"/>
    <w:rsid w:val="00DD3104"/>
    <w:rsid w:val="00DD310F"/>
    <w:rsid w:val="00DD3345"/>
    <w:rsid w:val="00DD419B"/>
    <w:rsid w:val="00DD4C40"/>
    <w:rsid w:val="00DD4EA2"/>
    <w:rsid w:val="00DD598D"/>
    <w:rsid w:val="00DD5A6B"/>
    <w:rsid w:val="00DD5E19"/>
    <w:rsid w:val="00DD5E1B"/>
    <w:rsid w:val="00DD603B"/>
    <w:rsid w:val="00DD6464"/>
    <w:rsid w:val="00DD6751"/>
    <w:rsid w:val="00DD6794"/>
    <w:rsid w:val="00DD6AA0"/>
    <w:rsid w:val="00DD7460"/>
    <w:rsid w:val="00DD7887"/>
    <w:rsid w:val="00DD7ABA"/>
    <w:rsid w:val="00DE130E"/>
    <w:rsid w:val="00DE1A62"/>
    <w:rsid w:val="00DE1AFE"/>
    <w:rsid w:val="00DE31B0"/>
    <w:rsid w:val="00DE33F1"/>
    <w:rsid w:val="00DE3926"/>
    <w:rsid w:val="00DE3CE7"/>
    <w:rsid w:val="00DE3F7D"/>
    <w:rsid w:val="00DE41B0"/>
    <w:rsid w:val="00DE4274"/>
    <w:rsid w:val="00DE4EB5"/>
    <w:rsid w:val="00DE53DD"/>
    <w:rsid w:val="00DE5702"/>
    <w:rsid w:val="00DE5784"/>
    <w:rsid w:val="00DE581C"/>
    <w:rsid w:val="00DE5A32"/>
    <w:rsid w:val="00DE5D6A"/>
    <w:rsid w:val="00DE690A"/>
    <w:rsid w:val="00DE6EC3"/>
    <w:rsid w:val="00DE7753"/>
    <w:rsid w:val="00DE7EAF"/>
    <w:rsid w:val="00DF1271"/>
    <w:rsid w:val="00DF1727"/>
    <w:rsid w:val="00DF1E06"/>
    <w:rsid w:val="00DF218F"/>
    <w:rsid w:val="00DF269A"/>
    <w:rsid w:val="00DF379A"/>
    <w:rsid w:val="00DF46EC"/>
    <w:rsid w:val="00DF5313"/>
    <w:rsid w:val="00DF53AA"/>
    <w:rsid w:val="00DF6548"/>
    <w:rsid w:val="00DF67CC"/>
    <w:rsid w:val="00DF7081"/>
    <w:rsid w:val="00DF7372"/>
    <w:rsid w:val="00DF7A55"/>
    <w:rsid w:val="00DF7BC7"/>
    <w:rsid w:val="00E0021F"/>
    <w:rsid w:val="00E0029F"/>
    <w:rsid w:val="00E0095A"/>
    <w:rsid w:val="00E01AFA"/>
    <w:rsid w:val="00E01B4C"/>
    <w:rsid w:val="00E020BB"/>
    <w:rsid w:val="00E021CF"/>
    <w:rsid w:val="00E02BF4"/>
    <w:rsid w:val="00E02CC2"/>
    <w:rsid w:val="00E03585"/>
    <w:rsid w:val="00E03BD6"/>
    <w:rsid w:val="00E03D93"/>
    <w:rsid w:val="00E03EDE"/>
    <w:rsid w:val="00E0414F"/>
    <w:rsid w:val="00E0494C"/>
    <w:rsid w:val="00E04D06"/>
    <w:rsid w:val="00E04FBD"/>
    <w:rsid w:val="00E05104"/>
    <w:rsid w:val="00E05127"/>
    <w:rsid w:val="00E053A1"/>
    <w:rsid w:val="00E05964"/>
    <w:rsid w:val="00E061D5"/>
    <w:rsid w:val="00E0689B"/>
    <w:rsid w:val="00E06D6D"/>
    <w:rsid w:val="00E06F05"/>
    <w:rsid w:val="00E07625"/>
    <w:rsid w:val="00E07AD9"/>
    <w:rsid w:val="00E07B44"/>
    <w:rsid w:val="00E07F2D"/>
    <w:rsid w:val="00E1089D"/>
    <w:rsid w:val="00E10DCC"/>
    <w:rsid w:val="00E12780"/>
    <w:rsid w:val="00E12848"/>
    <w:rsid w:val="00E12E9D"/>
    <w:rsid w:val="00E130A7"/>
    <w:rsid w:val="00E13412"/>
    <w:rsid w:val="00E13901"/>
    <w:rsid w:val="00E13AA8"/>
    <w:rsid w:val="00E13AE9"/>
    <w:rsid w:val="00E13C8F"/>
    <w:rsid w:val="00E15E9C"/>
    <w:rsid w:val="00E161E7"/>
    <w:rsid w:val="00E165ED"/>
    <w:rsid w:val="00E17246"/>
    <w:rsid w:val="00E174AA"/>
    <w:rsid w:val="00E178A5"/>
    <w:rsid w:val="00E17BD3"/>
    <w:rsid w:val="00E20797"/>
    <w:rsid w:val="00E21BB9"/>
    <w:rsid w:val="00E22668"/>
    <w:rsid w:val="00E23CE6"/>
    <w:rsid w:val="00E23E84"/>
    <w:rsid w:val="00E243E0"/>
    <w:rsid w:val="00E2570E"/>
    <w:rsid w:val="00E25F59"/>
    <w:rsid w:val="00E27675"/>
    <w:rsid w:val="00E27A1F"/>
    <w:rsid w:val="00E27C17"/>
    <w:rsid w:val="00E27CAC"/>
    <w:rsid w:val="00E3027A"/>
    <w:rsid w:val="00E3087E"/>
    <w:rsid w:val="00E30919"/>
    <w:rsid w:val="00E31024"/>
    <w:rsid w:val="00E31B7E"/>
    <w:rsid w:val="00E31E23"/>
    <w:rsid w:val="00E31FDC"/>
    <w:rsid w:val="00E32BBE"/>
    <w:rsid w:val="00E332C2"/>
    <w:rsid w:val="00E33EBA"/>
    <w:rsid w:val="00E349A4"/>
    <w:rsid w:val="00E34EBF"/>
    <w:rsid w:val="00E35D5B"/>
    <w:rsid w:val="00E3616E"/>
    <w:rsid w:val="00E361BE"/>
    <w:rsid w:val="00E361E7"/>
    <w:rsid w:val="00E4072C"/>
    <w:rsid w:val="00E407C5"/>
    <w:rsid w:val="00E40EC1"/>
    <w:rsid w:val="00E413CE"/>
    <w:rsid w:val="00E422C4"/>
    <w:rsid w:val="00E43524"/>
    <w:rsid w:val="00E43772"/>
    <w:rsid w:val="00E437BE"/>
    <w:rsid w:val="00E439B5"/>
    <w:rsid w:val="00E44970"/>
    <w:rsid w:val="00E44DE2"/>
    <w:rsid w:val="00E456BE"/>
    <w:rsid w:val="00E457B1"/>
    <w:rsid w:val="00E457F3"/>
    <w:rsid w:val="00E4613F"/>
    <w:rsid w:val="00E46231"/>
    <w:rsid w:val="00E46646"/>
    <w:rsid w:val="00E4665A"/>
    <w:rsid w:val="00E46930"/>
    <w:rsid w:val="00E47211"/>
    <w:rsid w:val="00E47826"/>
    <w:rsid w:val="00E47E8A"/>
    <w:rsid w:val="00E47ECD"/>
    <w:rsid w:val="00E50031"/>
    <w:rsid w:val="00E50281"/>
    <w:rsid w:val="00E507C3"/>
    <w:rsid w:val="00E50BF6"/>
    <w:rsid w:val="00E50D39"/>
    <w:rsid w:val="00E50E3D"/>
    <w:rsid w:val="00E522FA"/>
    <w:rsid w:val="00E52577"/>
    <w:rsid w:val="00E52ABE"/>
    <w:rsid w:val="00E54914"/>
    <w:rsid w:val="00E54C7F"/>
    <w:rsid w:val="00E551E7"/>
    <w:rsid w:val="00E55DDD"/>
    <w:rsid w:val="00E56709"/>
    <w:rsid w:val="00E57308"/>
    <w:rsid w:val="00E5750E"/>
    <w:rsid w:val="00E603F3"/>
    <w:rsid w:val="00E61658"/>
    <w:rsid w:val="00E62329"/>
    <w:rsid w:val="00E623AC"/>
    <w:rsid w:val="00E62F52"/>
    <w:rsid w:val="00E63069"/>
    <w:rsid w:val="00E63371"/>
    <w:rsid w:val="00E63AEA"/>
    <w:rsid w:val="00E63B30"/>
    <w:rsid w:val="00E64ECA"/>
    <w:rsid w:val="00E65C67"/>
    <w:rsid w:val="00E65CF7"/>
    <w:rsid w:val="00E65F05"/>
    <w:rsid w:val="00E66C25"/>
    <w:rsid w:val="00E672AE"/>
    <w:rsid w:val="00E67719"/>
    <w:rsid w:val="00E677F4"/>
    <w:rsid w:val="00E67C02"/>
    <w:rsid w:val="00E67D99"/>
    <w:rsid w:val="00E67ECC"/>
    <w:rsid w:val="00E702C6"/>
    <w:rsid w:val="00E704AC"/>
    <w:rsid w:val="00E70676"/>
    <w:rsid w:val="00E70C78"/>
    <w:rsid w:val="00E72F11"/>
    <w:rsid w:val="00E73D08"/>
    <w:rsid w:val="00E73EF8"/>
    <w:rsid w:val="00E740CB"/>
    <w:rsid w:val="00E74AE7"/>
    <w:rsid w:val="00E74D25"/>
    <w:rsid w:val="00E75CA4"/>
    <w:rsid w:val="00E76407"/>
    <w:rsid w:val="00E76527"/>
    <w:rsid w:val="00E766B3"/>
    <w:rsid w:val="00E76A3A"/>
    <w:rsid w:val="00E76B29"/>
    <w:rsid w:val="00E76DF6"/>
    <w:rsid w:val="00E770DF"/>
    <w:rsid w:val="00E77750"/>
    <w:rsid w:val="00E777CF"/>
    <w:rsid w:val="00E778C7"/>
    <w:rsid w:val="00E800A8"/>
    <w:rsid w:val="00E807C4"/>
    <w:rsid w:val="00E80FCF"/>
    <w:rsid w:val="00E81296"/>
    <w:rsid w:val="00E81437"/>
    <w:rsid w:val="00E81D91"/>
    <w:rsid w:val="00E824F5"/>
    <w:rsid w:val="00E82A72"/>
    <w:rsid w:val="00E82DBE"/>
    <w:rsid w:val="00E83427"/>
    <w:rsid w:val="00E83BBB"/>
    <w:rsid w:val="00E84BDA"/>
    <w:rsid w:val="00E85796"/>
    <w:rsid w:val="00E859CD"/>
    <w:rsid w:val="00E85A65"/>
    <w:rsid w:val="00E85DDB"/>
    <w:rsid w:val="00E85F92"/>
    <w:rsid w:val="00E86309"/>
    <w:rsid w:val="00E86347"/>
    <w:rsid w:val="00E9041C"/>
    <w:rsid w:val="00E91409"/>
    <w:rsid w:val="00E91605"/>
    <w:rsid w:val="00E92C4E"/>
    <w:rsid w:val="00E93A50"/>
    <w:rsid w:val="00E95918"/>
    <w:rsid w:val="00E95D7B"/>
    <w:rsid w:val="00E96623"/>
    <w:rsid w:val="00E96F4E"/>
    <w:rsid w:val="00E9730E"/>
    <w:rsid w:val="00E9761A"/>
    <w:rsid w:val="00E9766B"/>
    <w:rsid w:val="00E977FE"/>
    <w:rsid w:val="00EA090F"/>
    <w:rsid w:val="00EA1502"/>
    <w:rsid w:val="00EA170F"/>
    <w:rsid w:val="00EA1C9A"/>
    <w:rsid w:val="00EA2568"/>
    <w:rsid w:val="00EA29F0"/>
    <w:rsid w:val="00EA2DBD"/>
    <w:rsid w:val="00EA3122"/>
    <w:rsid w:val="00EA3389"/>
    <w:rsid w:val="00EA39F9"/>
    <w:rsid w:val="00EA4171"/>
    <w:rsid w:val="00EA4630"/>
    <w:rsid w:val="00EA470C"/>
    <w:rsid w:val="00EA47E6"/>
    <w:rsid w:val="00EA54F9"/>
    <w:rsid w:val="00EA5870"/>
    <w:rsid w:val="00EA5D5C"/>
    <w:rsid w:val="00EA60FA"/>
    <w:rsid w:val="00EA63FF"/>
    <w:rsid w:val="00EA72C7"/>
    <w:rsid w:val="00EA77C4"/>
    <w:rsid w:val="00EA7A28"/>
    <w:rsid w:val="00EA7A47"/>
    <w:rsid w:val="00EB0C84"/>
    <w:rsid w:val="00EB0D5B"/>
    <w:rsid w:val="00EB1E2E"/>
    <w:rsid w:val="00EB2460"/>
    <w:rsid w:val="00EB2BA4"/>
    <w:rsid w:val="00EB32A4"/>
    <w:rsid w:val="00EB3661"/>
    <w:rsid w:val="00EB37E3"/>
    <w:rsid w:val="00EB3E2B"/>
    <w:rsid w:val="00EB4159"/>
    <w:rsid w:val="00EB4F80"/>
    <w:rsid w:val="00EB597B"/>
    <w:rsid w:val="00EB5C13"/>
    <w:rsid w:val="00EB6D77"/>
    <w:rsid w:val="00EB6EC5"/>
    <w:rsid w:val="00EB772B"/>
    <w:rsid w:val="00EB7DEA"/>
    <w:rsid w:val="00EC121F"/>
    <w:rsid w:val="00EC127B"/>
    <w:rsid w:val="00EC1FD3"/>
    <w:rsid w:val="00EC2637"/>
    <w:rsid w:val="00EC3FD5"/>
    <w:rsid w:val="00EC4FD0"/>
    <w:rsid w:val="00EC560B"/>
    <w:rsid w:val="00EC5B3F"/>
    <w:rsid w:val="00EC62E2"/>
    <w:rsid w:val="00EC6BB8"/>
    <w:rsid w:val="00EC7211"/>
    <w:rsid w:val="00EC7AB0"/>
    <w:rsid w:val="00ED056F"/>
    <w:rsid w:val="00ED0CB4"/>
    <w:rsid w:val="00ED0FB7"/>
    <w:rsid w:val="00ED0FF8"/>
    <w:rsid w:val="00ED0FF9"/>
    <w:rsid w:val="00ED1052"/>
    <w:rsid w:val="00ED242C"/>
    <w:rsid w:val="00ED2729"/>
    <w:rsid w:val="00ED2AA7"/>
    <w:rsid w:val="00ED2D6A"/>
    <w:rsid w:val="00ED2EBD"/>
    <w:rsid w:val="00ED37A5"/>
    <w:rsid w:val="00ED394A"/>
    <w:rsid w:val="00ED3B80"/>
    <w:rsid w:val="00ED5233"/>
    <w:rsid w:val="00ED67FB"/>
    <w:rsid w:val="00ED6A7E"/>
    <w:rsid w:val="00ED6D2E"/>
    <w:rsid w:val="00EE002F"/>
    <w:rsid w:val="00EE069F"/>
    <w:rsid w:val="00EE105B"/>
    <w:rsid w:val="00EE1949"/>
    <w:rsid w:val="00EE19B2"/>
    <w:rsid w:val="00EE22E4"/>
    <w:rsid w:val="00EE22FA"/>
    <w:rsid w:val="00EE2A8B"/>
    <w:rsid w:val="00EE36A6"/>
    <w:rsid w:val="00EE3EBC"/>
    <w:rsid w:val="00EE43D8"/>
    <w:rsid w:val="00EE4575"/>
    <w:rsid w:val="00EE557E"/>
    <w:rsid w:val="00EE5C04"/>
    <w:rsid w:val="00EE5FC2"/>
    <w:rsid w:val="00EE61DC"/>
    <w:rsid w:val="00EE6A3B"/>
    <w:rsid w:val="00EE6AEF"/>
    <w:rsid w:val="00EE7722"/>
    <w:rsid w:val="00EE798A"/>
    <w:rsid w:val="00EF00CA"/>
    <w:rsid w:val="00EF039D"/>
    <w:rsid w:val="00EF075B"/>
    <w:rsid w:val="00EF1191"/>
    <w:rsid w:val="00EF192F"/>
    <w:rsid w:val="00EF2F32"/>
    <w:rsid w:val="00EF2F49"/>
    <w:rsid w:val="00EF486E"/>
    <w:rsid w:val="00EF4E45"/>
    <w:rsid w:val="00EF5138"/>
    <w:rsid w:val="00EF53CE"/>
    <w:rsid w:val="00EF560A"/>
    <w:rsid w:val="00EF6778"/>
    <w:rsid w:val="00EF6C8E"/>
    <w:rsid w:val="00EF6E2C"/>
    <w:rsid w:val="00EF6F6A"/>
    <w:rsid w:val="00EF764C"/>
    <w:rsid w:val="00EF7925"/>
    <w:rsid w:val="00EF7D05"/>
    <w:rsid w:val="00EF7E3C"/>
    <w:rsid w:val="00F0027E"/>
    <w:rsid w:val="00F00657"/>
    <w:rsid w:val="00F00883"/>
    <w:rsid w:val="00F0122E"/>
    <w:rsid w:val="00F0152B"/>
    <w:rsid w:val="00F01945"/>
    <w:rsid w:val="00F0250E"/>
    <w:rsid w:val="00F02648"/>
    <w:rsid w:val="00F02F88"/>
    <w:rsid w:val="00F03D59"/>
    <w:rsid w:val="00F0409F"/>
    <w:rsid w:val="00F0443F"/>
    <w:rsid w:val="00F04A94"/>
    <w:rsid w:val="00F04C39"/>
    <w:rsid w:val="00F052CF"/>
    <w:rsid w:val="00F0563A"/>
    <w:rsid w:val="00F05A22"/>
    <w:rsid w:val="00F05FAE"/>
    <w:rsid w:val="00F062F5"/>
    <w:rsid w:val="00F06657"/>
    <w:rsid w:val="00F06986"/>
    <w:rsid w:val="00F07E34"/>
    <w:rsid w:val="00F07E9C"/>
    <w:rsid w:val="00F10E38"/>
    <w:rsid w:val="00F10F7A"/>
    <w:rsid w:val="00F114A1"/>
    <w:rsid w:val="00F11879"/>
    <w:rsid w:val="00F11F3D"/>
    <w:rsid w:val="00F122E3"/>
    <w:rsid w:val="00F1272C"/>
    <w:rsid w:val="00F127A6"/>
    <w:rsid w:val="00F133A5"/>
    <w:rsid w:val="00F13643"/>
    <w:rsid w:val="00F138CA"/>
    <w:rsid w:val="00F13CB4"/>
    <w:rsid w:val="00F141AE"/>
    <w:rsid w:val="00F146B4"/>
    <w:rsid w:val="00F14B6C"/>
    <w:rsid w:val="00F152F2"/>
    <w:rsid w:val="00F15E07"/>
    <w:rsid w:val="00F168DB"/>
    <w:rsid w:val="00F16A53"/>
    <w:rsid w:val="00F16D88"/>
    <w:rsid w:val="00F175A2"/>
    <w:rsid w:val="00F17A23"/>
    <w:rsid w:val="00F206C7"/>
    <w:rsid w:val="00F20A84"/>
    <w:rsid w:val="00F21719"/>
    <w:rsid w:val="00F21C1E"/>
    <w:rsid w:val="00F22BAA"/>
    <w:rsid w:val="00F22CF2"/>
    <w:rsid w:val="00F235E3"/>
    <w:rsid w:val="00F23CD9"/>
    <w:rsid w:val="00F24C93"/>
    <w:rsid w:val="00F25323"/>
    <w:rsid w:val="00F2535F"/>
    <w:rsid w:val="00F25632"/>
    <w:rsid w:val="00F2580B"/>
    <w:rsid w:val="00F26EBE"/>
    <w:rsid w:val="00F27142"/>
    <w:rsid w:val="00F27FA6"/>
    <w:rsid w:val="00F30711"/>
    <w:rsid w:val="00F31A97"/>
    <w:rsid w:val="00F31ACA"/>
    <w:rsid w:val="00F321DA"/>
    <w:rsid w:val="00F32307"/>
    <w:rsid w:val="00F3248C"/>
    <w:rsid w:val="00F3291F"/>
    <w:rsid w:val="00F32E5A"/>
    <w:rsid w:val="00F33026"/>
    <w:rsid w:val="00F33C6F"/>
    <w:rsid w:val="00F34780"/>
    <w:rsid w:val="00F358DE"/>
    <w:rsid w:val="00F36090"/>
    <w:rsid w:val="00F36849"/>
    <w:rsid w:val="00F3729C"/>
    <w:rsid w:val="00F37E13"/>
    <w:rsid w:val="00F40C8E"/>
    <w:rsid w:val="00F40F44"/>
    <w:rsid w:val="00F41103"/>
    <w:rsid w:val="00F41281"/>
    <w:rsid w:val="00F41DE8"/>
    <w:rsid w:val="00F41DFB"/>
    <w:rsid w:val="00F423B4"/>
    <w:rsid w:val="00F42777"/>
    <w:rsid w:val="00F42AFB"/>
    <w:rsid w:val="00F43184"/>
    <w:rsid w:val="00F43377"/>
    <w:rsid w:val="00F433B2"/>
    <w:rsid w:val="00F43416"/>
    <w:rsid w:val="00F44206"/>
    <w:rsid w:val="00F4443C"/>
    <w:rsid w:val="00F44A2F"/>
    <w:rsid w:val="00F44A50"/>
    <w:rsid w:val="00F44F98"/>
    <w:rsid w:val="00F45983"/>
    <w:rsid w:val="00F45CFD"/>
    <w:rsid w:val="00F46489"/>
    <w:rsid w:val="00F468C4"/>
    <w:rsid w:val="00F46948"/>
    <w:rsid w:val="00F46B85"/>
    <w:rsid w:val="00F46F1D"/>
    <w:rsid w:val="00F47F00"/>
    <w:rsid w:val="00F50A4F"/>
    <w:rsid w:val="00F5108E"/>
    <w:rsid w:val="00F511FB"/>
    <w:rsid w:val="00F51386"/>
    <w:rsid w:val="00F51517"/>
    <w:rsid w:val="00F515AD"/>
    <w:rsid w:val="00F52859"/>
    <w:rsid w:val="00F52DEC"/>
    <w:rsid w:val="00F52ED3"/>
    <w:rsid w:val="00F53115"/>
    <w:rsid w:val="00F53236"/>
    <w:rsid w:val="00F534A9"/>
    <w:rsid w:val="00F53727"/>
    <w:rsid w:val="00F5412E"/>
    <w:rsid w:val="00F54CE6"/>
    <w:rsid w:val="00F55290"/>
    <w:rsid w:val="00F557CB"/>
    <w:rsid w:val="00F55C1D"/>
    <w:rsid w:val="00F56511"/>
    <w:rsid w:val="00F5740B"/>
    <w:rsid w:val="00F57B91"/>
    <w:rsid w:val="00F57D7A"/>
    <w:rsid w:val="00F60306"/>
    <w:rsid w:val="00F614B6"/>
    <w:rsid w:val="00F62313"/>
    <w:rsid w:val="00F62783"/>
    <w:rsid w:val="00F6283D"/>
    <w:rsid w:val="00F632C1"/>
    <w:rsid w:val="00F63451"/>
    <w:rsid w:val="00F6359D"/>
    <w:rsid w:val="00F63A60"/>
    <w:rsid w:val="00F63D34"/>
    <w:rsid w:val="00F63F27"/>
    <w:rsid w:val="00F641BB"/>
    <w:rsid w:val="00F6566D"/>
    <w:rsid w:val="00F659E3"/>
    <w:rsid w:val="00F65E70"/>
    <w:rsid w:val="00F66196"/>
    <w:rsid w:val="00F66258"/>
    <w:rsid w:val="00F668D5"/>
    <w:rsid w:val="00F66FC2"/>
    <w:rsid w:val="00F67423"/>
    <w:rsid w:val="00F675C4"/>
    <w:rsid w:val="00F67CF1"/>
    <w:rsid w:val="00F70719"/>
    <w:rsid w:val="00F714F1"/>
    <w:rsid w:val="00F7155B"/>
    <w:rsid w:val="00F71855"/>
    <w:rsid w:val="00F71F88"/>
    <w:rsid w:val="00F72A7A"/>
    <w:rsid w:val="00F73563"/>
    <w:rsid w:val="00F7476A"/>
    <w:rsid w:val="00F747A7"/>
    <w:rsid w:val="00F74C22"/>
    <w:rsid w:val="00F7588E"/>
    <w:rsid w:val="00F766F9"/>
    <w:rsid w:val="00F76CA3"/>
    <w:rsid w:val="00F76F49"/>
    <w:rsid w:val="00F771A8"/>
    <w:rsid w:val="00F773E4"/>
    <w:rsid w:val="00F77521"/>
    <w:rsid w:val="00F77D73"/>
    <w:rsid w:val="00F80C7D"/>
    <w:rsid w:val="00F80D9A"/>
    <w:rsid w:val="00F812DB"/>
    <w:rsid w:val="00F81428"/>
    <w:rsid w:val="00F829F0"/>
    <w:rsid w:val="00F82F61"/>
    <w:rsid w:val="00F83711"/>
    <w:rsid w:val="00F8434A"/>
    <w:rsid w:val="00F844E7"/>
    <w:rsid w:val="00F849CD"/>
    <w:rsid w:val="00F8592F"/>
    <w:rsid w:val="00F85C59"/>
    <w:rsid w:val="00F85D14"/>
    <w:rsid w:val="00F861CC"/>
    <w:rsid w:val="00F86693"/>
    <w:rsid w:val="00F86FB1"/>
    <w:rsid w:val="00F8747F"/>
    <w:rsid w:val="00F87483"/>
    <w:rsid w:val="00F91077"/>
    <w:rsid w:val="00F9268F"/>
    <w:rsid w:val="00F94A82"/>
    <w:rsid w:val="00F950F7"/>
    <w:rsid w:val="00F958E9"/>
    <w:rsid w:val="00F95B78"/>
    <w:rsid w:val="00F95CEC"/>
    <w:rsid w:val="00F96678"/>
    <w:rsid w:val="00F966C7"/>
    <w:rsid w:val="00F967EC"/>
    <w:rsid w:val="00F96AFC"/>
    <w:rsid w:val="00F96B7B"/>
    <w:rsid w:val="00F973B2"/>
    <w:rsid w:val="00F97ADF"/>
    <w:rsid w:val="00FA0197"/>
    <w:rsid w:val="00FA0255"/>
    <w:rsid w:val="00FA0423"/>
    <w:rsid w:val="00FA05E7"/>
    <w:rsid w:val="00FA0F02"/>
    <w:rsid w:val="00FA1104"/>
    <w:rsid w:val="00FA1352"/>
    <w:rsid w:val="00FA2019"/>
    <w:rsid w:val="00FA21B5"/>
    <w:rsid w:val="00FA2F12"/>
    <w:rsid w:val="00FA3027"/>
    <w:rsid w:val="00FA398C"/>
    <w:rsid w:val="00FA53EC"/>
    <w:rsid w:val="00FA5A52"/>
    <w:rsid w:val="00FA5C58"/>
    <w:rsid w:val="00FA6452"/>
    <w:rsid w:val="00FA6FD2"/>
    <w:rsid w:val="00FA79A7"/>
    <w:rsid w:val="00FB0D96"/>
    <w:rsid w:val="00FB0ECC"/>
    <w:rsid w:val="00FB1185"/>
    <w:rsid w:val="00FB2312"/>
    <w:rsid w:val="00FB334F"/>
    <w:rsid w:val="00FB35AC"/>
    <w:rsid w:val="00FB4620"/>
    <w:rsid w:val="00FB4939"/>
    <w:rsid w:val="00FB50A3"/>
    <w:rsid w:val="00FB5E4C"/>
    <w:rsid w:val="00FB719B"/>
    <w:rsid w:val="00FB7913"/>
    <w:rsid w:val="00FB79DB"/>
    <w:rsid w:val="00FC0B1D"/>
    <w:rsid w:val="00FC117E"/>
    <w:rsid w:val="00FC30B2"/>
    <w:rsid w:val="00FC3F81"/>
    <w:rsid w:val="00FC4A74"/>
    <w:rsid w:val="00FC4D48"/>
    <w:rsid w:val="00FC51EE"/>
    <w:rsid w:val="00FC5557"/>
    <w:rsid w:val="00FC5707"/>
    <w:rsid w:val="00FC60F0"/>
    <w:rsid w:val="00FC6B04"/>
    <w:rsid w:val="00FC7326"/>
    <w:rsid w:val="00FD0049"/>
    <w:rsid w:val="00FD031B"/>
    <w:rsid w:val="00FD0903"/>
    <w:rsid w:val="00FD1A89"/>
    <w:rsid w:val="00FD1BB9"/>
    <w:rsid w:val="00FD1E0D"/>
    <w:rsid w:val="00FD2687"/>
    <w:rsid w:val="00FD3F57"/>
    <w:rsid w:val="00FD45F6"/>
    <w:rsid w:val="00FD4865"/>
    <w:rsid w:val="00FD540B"/>
    <w:rsid w:val="00FD5676"/>
    <w:rsid w:val="00FD6387"/>
    <w:rsid w:val="00FD7E14"/>
    <w:rsid w:val="00FD7E22"/>
    <w:rsid w:val="00FE1BA9"/>
    <w:rsid w:val="00FE1E0C"/>
    <w:rsid w:val="00FE23A4"/>
    <w:rsid w:val="00FE3060"/>
    <w:rsid w:val="00FE37DE"/>
    <w:rsid w:val="00FE3F45"/>
    <w:rsid w:val="00FE445D"/>
    <w:rsid w:val="00FE4934"/>
    <w:rsid w:val="00FE4FE8"/>
    <w:rsid w:val="00FE528B"/>
    <w:rsid w:val="00FE5D2B"/>
    <w:rsid w:val="00FE682D"/>
    <w:rsid w:val="00FE6E1D"/>
    <w:rsid w:val="00FE799B"/>
    <w:rsid w:val="00FE7B83"/>
    <w:rsid w:val="00FF09A7"/>
    <w:rsid w:val="00FF0C57"/>
    <w:rsid w:val="00FF1287"/>
    <w:rsid w:val="00FF192D"/>
    <w:rsid w:val="00FF2706"/>
    <w:rsid w:val="00FF2918"/>
    <w:rsid w:val="00FF2A03"/>
    <w:rsid w:val="00FF2F75"/>
    <w:rsid w:val="00FF35B3"/>
    <w:rsid w:val="00FF3D60"/>
    <w:rsid w:val="00FF40BD"/>
    <w:rsid w:val="00FF44EF"/>
    <w:rsid w:val="00FF465E"/>
    <w:rsid w:val="00FF4CA2"/>
    <w:rsid w:val="00FF4F44"/>
    <w:rsid w:val="00FF5010"/>
    <w:rsid w:val="00FF558C"/>
    <w:rsid w:val="00FF55F3"/>
    <w:rsid w:val="00FF63FD"/>
    <w:rsid w:val="00FF69FB"/>
    <w:rsid w:val="00FF77D4"/>
    <w:rsid w:val="00FF7BDB"/>
    <w:rsid w:val="00FF7E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8F4"/>
  </w:style>
  <w:style w:type="paragraph" w:styleId="1">
    <w:name w:val="heading 1"/>
    <w:basedOn w:val="a"/>
    <w:next w:val="a"/>
    <w:link w:val="1Char"/>
    <w:uiPriority w:val="9"/>
    <w:qFormat/>
    <w:rsid w:val="00034F63"/>
    <w:pPr>
      <w:keepNext/>
      <w:keepLines/>
      <w:spacing w:before="240" w:after="0"/>
      <w:outlineLvl w:val="0"/>
    </w:pPr>
    <w:rPr>
      <w:rFonts w:asciiTheme="majorHAnsi" w:eastAsiaTheme="majorEastAsia" w:hAnsiTheme="majorHAnsi" w:cstheme="majorBidi"/>
      <w:color w:val="2B5582" w:themeColor="accent1" w:themeShade="BF"/>
      <w:sz w:val="32"/>
      <w:szCs w:val="32"/>
    </w:rPr>
  </w:style>
  <w:style w:type="paragraph" w:styleId="3">
    <w:name w:val="heading 3"/>
    <w:basedOn w:val="a"/>
    <w:next w:val="a"/>
    <w:link w:val="3Char"/>
    <w:uiPriority w:val="9"/>
    <w:unhideWhenUsed/>
    <w:qFormat/>
    <w:rsid w:val="00953C4A"/>
    <w:pPr>
      <w:keepNext/>
      <w:keepLines/>
      <w:spacing w:before="40" w:after="0"/>
      <w:outlineLvl w:val="2"/>
    </w:pPr>
    <w:rPr>
      <w:rFonts w:asciiTheme="majorHAnsi" w:eastAsiaTheme="majorEastAsia" w:hAnsiTheme="majorHAnsi" w:cstheme="majorBidi"/>
      <w:color w:val="1C3956"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4E18"/>
    <w:pPr>
      <w:tabs>
        <w:tab w:val="center" w:pos="4513"/>
        <w:tab w:val="right" w:pos="9026"/>
      </w:tabs>
      <w:spacing w:after="0" w:line="240" w:lineRule="auto"/>
    </w:pPr>
  </w:style>
  <w:style w:type="character" w:customStyle="1" w:styleId="Char">
    <w:name w:val="Κεφαλίδα Char"/>
    <w:basedOn w:val="a0"/>
    <w:link w:val="a3"/>
    <w:uiPriority w:val="99"/>
    <w:rsid w:val="00A14E18"/>
  </w:style>
  <w:style w:type="paragraph" w:styleId="a4">
    <w:name w:val="footer"/>
    <w:basedOn w:val="a"/>
    <w:link w:val="Char0"/>
    <w:uiPriority w:val="99"/>
    <w:unhideWhenUsed/>
    <w:rsid w:val="00A14E18"/>
    <w:pPr>
      <w:tabs>
        <w:tab w:val="center" w:pos="4513"/>
        <w:tab w:val="right" w:pos="9026"/>
      </w:tabs>
      <w:spacing w:after="0" w:line="240" w:lineRule="auto"/>
    </w:pPr>
  </w:style>
  <w:style w:type="character" w:customStyle="1" w:styleId="Char0">
    <w:name w:val="Υποσέλιδο Char"/>
    <w:basedOn w:val="a0"/>
    <w:link w:val="a4"/>
    <w:uiPriority w:val="99"/>
    <w:rsid w:val="00A14E18"/>
  </w:style>
  <w:style w:type="paragraph" w:customStyle="1" w:styleId="01HEADLINE">
    <w:name w:val="01 HEADLINE"/>
    <w:basedOn w:val="a3"/>
    <w:qFormat/>
    <w:rsid w:val="00A14E18"/>
    <w:pPr>
      <w:tabs>
        <w:tab w:val="clear" w:pos="4513"/>
        <w:tab w:val="clear" w:pos="9026"/>
        <w:tab w:val="center" w:pos="4320"/>
        <w:tab w:val="right" w:pos="8640"/>
      </w:tabs>
    </w:pPr>
    <w:rPr>
      <w:rFonts w:ascii="Calibri" w:eastAsia="Times New Roman" w:hAnsi="Calibri"/>
      <w:b/>
      <w:color w:val="FFFFFF"/>
      <w:sz w:val="26"/>
      <w:szCs w:val="26"/>
    </w:rPr>
  </w:style>
  <w:style w:type="paragraph" w:styleId="a5">
    <w:name w:val="Balloon Text"/>
    <w:basedOn w:val="a"/>
    <w:link w:val="Char1"/>
    <w:uiPriority w:val="99"/>
    <w:semiHidden/>
    <w:unhideWhenUsed/>
    <w:rsid w:val="00A14E1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A14E18"/>
    <w:rPr>
      <w:rFonts w:ascii="Tahoma" w:hAnsi="Tahoma" w:cs="Tahoma"/>
      <w:sz w:val="16"/>
      <w:szCs w:val="16"/>
    </w:rPr>
  </w:style>
  <w:style w:type="paragraph" w:customStyle="1" w:styleId="02TITLE">
    <w:name w:val="02 TITLE"/>
    <w:basedOn w:val="a"/>
    <w:qFormat/>
    <w:rsid w:val="00003855"/>
    <w:pPr>
      <w:spacing w:after="240" w:line="240" w:lineRule="auto"/>
    </w:pPr>
    <w:rPr>
      <w:rFonts w:asciiTheme="majorHAnsi" w:eastAsiaTheme="minorEastAsia" w:hAnsiTheme="majorHAnsi"/>
      <w:b/>
      <w:color w:val="11275D"/>
      <w:sz w:val="28"/>
      <w:szCs w:val="28"/>
    </w:rPr>
  </w:style>
  <w:style w:type="paragraph" w:customStyle="1" w:styleId="04SUBSUB">
    <w:name w:val="04 SUBSUB"/>
    <w:basedOn w:val="a"/>
    <w:qFormat/>
    <w:rsid w:val="00003855"/>
    <w:pPr>
      <w:tabs>
        <w:tab w:val="left" w:pos="8262"/>
      </w:tabs>
      <w:spacing w:before="480" w:line="264" w:lineRule="auto"/>
      <w:ind w:left="2835" w:right="74"/>
      <w:contextualSpacing/>
      <w:jc w:val="both"/>
    </w:pPr>
    <w:rPr>
      <w:rFonts w:asciiTheme="majorHAnsi" w:eastAsiaTheme="minorEastAsia" w:hAnsiTheme="majorHAnsi" w:cstheme="majorHAnsi"/>
      <w:b/>
      <w:color w:val="11275D"/>
      <w:sz w:val="21"/>
      <w:szCs w:val="21"/>
      <w:lang w:val="en-GB"/>
    </w:rPr>
  </w:style>
  <w:style w:type="paragraph" w:styleId="a6">
    <w:name w:val="List Paragraph"/>
    <w:basedOn w:val="a"/>
    <w:uiPriority w:val="34"/>
    <w:qFormat/>
    <w:rsid w:val="00003855"/>
    <w:pPr>
      <w:spacing w:after="0" w:line="240" w:lineRule="auto"/>
      <w:ind w:left="720"/>
      <w:contextualSpacing/>
    </w:pPr>
    <w:rPr>
      <w:rFonts w:eastAsiaTheme="minorEastAsia"/>
      <w:sz w:val="24"/>
      <w:szCs w:val="24"/>
      <w:lang w:val="en-US"/>
    </w:rPr>
  </w:style>
  <w:style w:type="table" w:styleId="a7">
    <w:name w:val="Table Grid"/>
    <w:basedOn w:val="a1"/>
    <w:uiPriority w:val="59"/>
    <w:rsid w:val="00653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5PLAINTEXT">
    <w:name w:val="05 PLAIN TEXT"/>
    <w:basedOn w:val="a"/>
    <w:qFormat/>
    <w:rsid w:val="00D72CD0"/>
    <w:pPr>
      <w:tabs>
        <w:tab w:val="left" w:pos="8262"/>
      </w:tabs>
      <w:spacing w:before="120" w:after="0" w:line="264" w:lineRule="auto"/>
      <w:ind w:left="2835" w:right="74"/>
      <w:contextualSpacing/>
      <w:jc w:val="both"/>
    </w:pPr>
    <w:rPr>
      <w:rFonts w:asciiTheme="majorHAnsi" w:eastAsiaTheme="minorEastAsia" w:hAnsiTheme="majorHAnsi" w:cstheme="majorHAnsi"/>
      <w:color w:val="0D0D0D" w:themeColor="text1" w:themeTint="F2"/>
      <w:sz w:val="19"/>
      <w:szCs w:val="19"/>
      <w:lang w:val="en-GB"/>
    </w:rPr>
  </w:style>
  <w:style w:type="paragraph" w:customStyle="1" w:styleId="a8">
    <w:name w:val="Τίτλος ενότητας"/>
    <w:qFormat/>
    <w:rsid w:val="00F168DB"/>
    <w:pPr>
      <w:pBdr>
        <w:bottom w:val="single" w:sz="6" w:space="11" w:color="E0CBA4"/>
      </w:pBdr>
      <w:spacing w:before="480" w:after="240" w:line="240" w:lineRule="auto"/>
      <w:ind w:left="2835"/>
    </w:pPr>
    <w:rPr>
      <w:rFonts w:asciiTheme="majorHAnsi" w:eastAsiaTheme="minorEastAsia" w:hAnsiTheme="majorHAnsi"/>
      <w:noProof/>
      <w:color w:val="000000" w:themeColor="text1"/>
      <w:sz w:val="32"/>
      <w:szCs w:val="32"/>
      <w:lang w:val="en-GB" w:eastAsia="en-GB"/>
    </w:rPr>
  </w:style>
  <w:style w:type="paragraph" w:styleId="a9">
    <w:name w:val="footnote text"/>
    <w:basedOn w:val="a"/>
    <w:link w:val="Char2"/>
    <w:uiPriority w:val="99"/>
    <w:unhideWhenUsed/>
    <w:rsid w:val="00F168DB"/>
    <w:pPr>
      <w:spacing w:after="0" w:line="240" w:lineRule="auto"/>
    </w:pPr>
    <w:rPr>
      <w:rFonts w:eastAsiaTheme="minorEastAsia"/>
      <w:sz w:val="20"/>
      <w:szCs w:val="20"/>
      <w:lang w:val="en-US"/>
    </w:rPr>
  </w:style>
  <w:style w:type="character" w:customStyle="1" w:styleId="Char2">
    <w:name w:val="Κείμενο υποσημείωσης Char"/>
    <w:basedOn w:val="a0"/>
    <w:link w:val="a9"/>
    <w:uiPriority w:val="99"/>
    <w:rsid w:val="00F168DB"/>
    <w:rPr>
      <w:rFonts w:eastAsiaTheme="minorEastAsia"/>
      <w:sz w:val="20"/>
      <w:szCs w:val="20"/>
      <w:lang w:val="en-US"/>
    </w:rPr>
  </w:style>
  <w:style w:type="paragraph" w:customStyle="1" w:styleId="10TableB">
    <w:name w:val="10 Table B"/>
    <w:basedOn w:val="a"/>
    <w:qFormat/>
    <w:rsid w:val="00F168DB"/>
    <w:pPr>
      <w:spacing w:after="0" w:line="240" w:lineRule="auto"/>
    </w:pPr>
    <w:rPr>
      <w:rFonts w:asciiTheme="majorHAnsi" w:eastAsiaTheme="minorEastAsia" w:hAnsiTheme="majorHAnsi"/>
      <w:b/>
      <w:sz w:val="19"/>
      <w:szCs w:val="19"/>
      <w:lang w:val="en-US"/>
    </w:rPr>
  </w:style>
  <w:style w:type="paragraph" w:customStyle="1" w:styleId="11TableP">
    <w:name w:val="11 Table P"/>
    <w:basedOn w:val="a"/>
    <w:qFormat/>
    <w:rsid w:val="00F168DB"/>
    <w:pPr>
      <w:spacing w:after="0" w:line="240" w:lineRule="auto"/>
    </w:pPr>
    <w:rPr>
      <w:rFonts w:asciiTheme="majorHAnsi" w:eastAsiaTheme="minorEastAsia" w:hAnsiTheme="majorHAnsi"/>
      <w:sz w:val="19"/>
      <w:szCs w:val="19"/>
      <w:lang w:val="en-US"/>
    </w:rPr>
  </w:style>
  <w:style w:type="paragraph" w:styleId="Web">
    <w:name w:val="Normal (Web)"/>
    <w:basedOn w:val="a"/>
    <w:uiPriority w:val="99"/>
    <w:unhideWhenUsed/>
    <w:rsid w:val="008E00C1"/>
    <w:pPr>
      <w:spacing w:before="100" w:beforeAutospacing="1" w:after="100" w:afterAutospacing="1" w:line="240" w:lineRule="auto"/>
    </w:pPr>
    <w:rPr>
      <w:rFonts w:ascii="Times New Roman" w:eastAsiaTheme="minorEastAsia" w:hAnsi="Times New Roman" w:cs="Times New Roman"/>
      <w:sz w:val="24"/>
      <w:szCs w:val="24"/>
      <w:lang w:eastAsia="el-GR"/>
    </w:rPr>
  </w:style>
  <w:style w:type="character" w:styleId="aa">
    <w:name w:val="footnote reference"/>
    <w:basedOn w:val="a0"/>
    <w:uiPriority w:val="99"/>
    <w:semiHidden/>
    <w:unhideWhenUsed/>
    <w:rsid w:val="004631DC"/>
    <w:rPr>
      <w:vertAlign w:val="superscript"/>
    </w:rPr>
  </w:style>
  <w:style w:type="character" w:styleId="ab">
    <w:name w:val="annotation reference"/>
    <w:basedOn w:val="a0"/>
    <w:uiPriority w:val="99"/>
    <w:semiHidden/>
    <w:unhideWhenUsed/>
    <w:rsid w:val="00FC7326"/>
    <w:rPr>
      <w:sz w:val="16"/>
      <w:szCs w:val="16"/>
    </w:rPr>
  </w:style>
  <w:style w:type="paragraph" w:styleId="ac">
    <w:name w:val="annotation text"/>
    <w:basedOn w:val="a"/>
    <w:link w:val="Char3"/>
    <w:uiPriority w:val="99"/>
    <w:semiHidden/>
    <w:unhideWhenUsed/>
    <w:rsid w:val="00FC7326"/>
    <w:pPr>
      <w:spacing w:after="0" w:line="240" w:lineRule="auto"/>
    </w:pPr>
    <w:rPr>
      <w:rFonts w:ascii="Calibri" w:hAnsi="Calibri" w:cs="Times New Roman"/>
      <w:sz w:val="20"/>
      <w:szCs w:val="20"/>
    </w:rPr>
  </w:style>
  <w:style w:type="character" w:customStyle="1" w:styleId="Char3">
    <w:name w:val="Κείμενο σχολίου Char"/>
    <w:basedOn w:val="a0"/>
    <w:link w:val="ac"/>
    <w:uiPriority w:val="99"/>
    <w:semiHidden/>
    <w:rsid w:val="00FC7326"/>
    <w:rPr>
      <w:rFonts w:ascii="Calibri" w:hAnsi="Calibri" w:cs="Times New Roman"/>
      <w:sz w:val="20"/>
      <w:szCs w:val="20"/>
    </w:rPr>
  </w:style>
  <w:style w:type="character" w:styleId="-">
    <w:name w:val="Hyperlink"/>
    <w:basedOn w:val="a0"/>
    <w:uiPriority w:val="99"/>
    <w:unhideWhenUsed/>
    <w:rsid w:val="00A33FE0"/>
    <w:rPr>
      <w:color w:val="0070C0" w:themeColor="hyperlink"/>
      <w:u w:val="single"/>
    </w:rPr>
  </w:style>
  <w:style w:type="numbering" w:customStyle="1" w:styleId="NoList1">
    <w:name w:val="No List1"/>
    <w:next w:val="a2"/>
    <w:uiPriority w:val="99"/>
    <w:semiHidden/>
    <w:unhideWhenUsed/>
    <w:rsid w:val="00D612E1"/>
  </w:style>
  <w:style w:type="table" w:customStyle="1" w:styleId="TableGrid1">
    <w:name w:val="Table Grid1"/>
    <w:basedOn w:val="a1"/>
    <w:next w:val="a7"/>
    <w:uiPriority w:val="59"/>
    <w:rsid w:val="00D61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uiPriority w:val="9"/>
    <w:rsid w:val="00034F63"/>
    <w:rPr>
      <w:rFonts w:asciiTheme="majorHAnsi" w:eastAsiaTheme="majorEastAsia" w:hAnsiTheme="majorHAnsi" w:cstheme="majorBidi"/>
      <w:color w:val="2B5582" w:themeColor="accent1" w:themeShade="BF"/>
      <w:sz w:val="32"/>
      <w:szCs w:val="32"/>
    </w:rPr>
  </w:style>
  <w:style w:type="table" w:customStyle="1" w:styleId="TableGrid2">
    <w:name w:val="Table Grid2"/>
    <w:basedOn w:val="a1"/>
    <w:next w:val="a7"/>
    <w:uiPriority w:val="59"/>
    <w:rsid w:val="00E00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annotation subject"/>
    <w:basedOn w:val="ac"/>
    <w:next w:val="ac"/>
    <w:link w:val="Char4"/>
    <w:uiPriority w:val="99"/>
    <w:semiHidden/>
    <w:unhideWhenUsed/>
    <w:rsid w:val="00CF7721"/>
    <w:pPr>
      <w:spacing w:after="200"/>
    </w:pPr>
    <w:rPr>
      <w:rFonts w:asciiTheme="minorHAnsi" w:hAnsiTheme="minorHAnsi" w:cstheme="minorBidi"/>
      <w:b/>
      <w:bCs/>
    </w:rPr>
  </w:style>
  <w:style w:type="character" w:customStyle="1" w:styleId="Char4">
    <w:name w:val="Θέμα σχολίου Char"/>
    <w:basedOn w:val="Char3"/>
    <w:link w:val="ad"/>
    <w:uiPriority w:val="99"/>
    <w:semiHidden/>
    <w:rsid w:val="00CF7721"/>
    <w:rPr>
      <w:rFonts w:ascii="Calibri" w:hAnsi="Calibri" w:cs="Times New Roman"/>
      <w:b/>
      <w:bCs/>
      <w:sz w:val="20"/>
      <w:szCs w:val="20"/>
    </w:rPr>
  </w:style>
  <w:style w:type="paragraph" w:customStyle="1" w:styleId="Default">
    <w:name w:val="Default"/>
    <w:rsid w:val="001F7F89"/>
    <w:pPr>
      <w:autoSpaceDE w:val="0"/>
      <w:autoSpaceDN w:val="0"/>
      <w:adjustRightInd w:val="0"/>
      <w:spacing w:after="0" w:line="240" w:lineRule="auto"/>
    </w:pPr>
    <w:rPr>
      <w:rFonts w:ascii="Calibri" w:hAnsi="Calibri" w:cs="Calibri"/>
      <w:color w:val="000000"/>
      <w:sz w:val="24"/>
      <w:szCs w:val="24"/>
    </w:rPr>
  </w:style>
  <w:style w:type="paragraph" w:customStyle="1" w:styleId="s2">
    <w:name w:val="s2"/>
    <w:basedOn w:val="a"/>
    <w:rsid w:val="00AA140F"/>
    <w:pPr>
      <w:spacing w:before="100" w:beforeAutospacing="1" w:after="100" w:afterAutospacing="1" w:line="240" w:lineRule="auto"/>
    </w:pPr>
    <w:rPr>
      <w:rFonts w:ascii="Calibri" w:hAnsi="Calibri" w:cs="Times New Roman"/>
    </w:rPr>
  </w:style>
  <w:style w:type="character" w:styleId="ae">
    <w:name w:val="Emphasis"/>
    <w:basedOn w:val="a0"/>
    <w:uiPriority w:val="20"/>
    <w:qFormat/>
    <w:rsid w:val="00D513D2"/>
    <w:rPr>
      <w:b/>
      <w:bCs/>
      <w:i w:val="0"/>
      <w:iCs w:val="0"/>
    </w:rPr>
  </w:style>
  <w:style w:type="character" w:customStyle="1" w:styleId="st1">
    <w:name w:val="st1"/>
    <w:basedOn w:val="a0"/>
    <w:rsid w:val="00D513D2"/>
  </w:style>
  <w:style w:type="table" w:customStyle="1" w:styleId="TableGrid21">
    <w:name w:val="Table Grid21"/>
    <w:basedOn w:val="a1"/>
    <w:next w:val="a7"/>
    <w:uiPriority w:val="59"/>
    <w:rsid w:val="00ED3B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Επικεφαλίδα 3 Char"/>
    <w:basedOn w:val="a0"/>
    <w:link w:val="3"/>
    <w:uiPriority w:val="9"/>
    <w:rsid w:val="00953C4A"/>
    <w:rPr>
      <w:rFonts w:asciiTheme="majorHAnsi" w:eastAsiaTheme="majorEastAsia" w:hAnsiTheme="majorHAnsi" w:cstheme="majorBidi"/>
      <w:color w:val="1C3956" w:themeColor="accent1" w:themeShade="7F"/>
      <w:sz w:val="24"/>
      <w:szCs w:val="24"/>
    </w:rPr>
  </w:style>
  <w:style w:type="paragraph" w:customStyle="1" w:styleId="TableParagraph">
    <w:name w:val="Table Paragraph"/>
    <w:basedOn w:val="a"/>
    <w:uiPriority w:val="1"/>
    <w:qFormat/>
    <w:rsid w:val="00045C2B"/>
    <w:pPr>
      <w:widowControl w:val="0"/>
      <w:autoSpaceDE w:val="0"/>
      <w:autoSpaceDN w:val="0"/>
      <w:spacing w:after="0" w:line="240" w:lineRule="auto"/>
    </w:pPr>
    <w:rPr>
      <w:rFonts w:ascii="Calibri" w:eastAsia="Calibri" w:hAnsi="Calibri" w:cs="Calibri"/>
      <w:lang w:val="en-US" w:bidi="en-US"/>
    </w:rPr>
  </w:style>
  <w:style w:type="paragraph" w:styleId="af">
    <w:name w:val="Body Text"/>
    <w:basedOn w:val="a"/>
    <w:link w:val="Char5"/>
    <w:uiPriority w:val="1"/>
    <w:qFormat/>
    <w:rsid w:val="00FA1352"/>
    <w:pPr>
      <w:widowControl w:val="0"/>
      <w:autoSpaceDE w:val="0"/>
      <w:autoSpaceDN w:val="0"/>
      <w:spacing w:before="240" w:after="0" w:line="280" w:lineRule="exact"/>
      <w:jc w:val="both"/>
    </w:pPr>
    <w:rPr>
      <w:rFonts w:eastAsia="Piraeus Sans" w:cs="Piraeus Sans"/>
      <w:color w:val="414042"/>
      <w:sz w:val="20"/>
      <w:szCs w:val="20"/>
      <w:lang w:val="en-US"/>
    </w:rPr>
  </w:style>
  <w:style w:type="character" w:customStyle="1" w:styleId="Char5">
    <w:name w:val="Σώμα κειμένου Char"/>
    <w:basedOn w:val="a0"/>
    <w:link w:val="af"/>
    <w:uiPriority w:val="1"/>
    <w:rsid w:val="00FA1352"/>
    <w:rPr>
      <w:rFonts w:eastAsia="Piraeus Sans" w:cs="Piraeus Sans"/>
      <w:color w:val="414042"/>
      <w:sz w:val="20"/>
      <w:szCs w:val="20"/>
      <w:lang w:val="en-US"/>
    </w:rPr>
  </w:style>
  <w:style w:type="paragraph" w:styleId="-HTML">
    <w:name w:val="HTML Preformatted"/>
    <w:basedOn w:val="a"/>
    <w:link w:val="-HTMLChar"/>
    <w:uiPriority w:val="99"/>
    <w:semiHidden/>
    <w:unhideWhenUsed/>
    <w:rsid w:val="00982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Char">
    <w:name w:val="Προ-διαμορφωμένο HTML Char"/>
    <w:basedOn w:val="a0"/>
    <w:link w:val="-HTML"/>
    <w:uiPriority w:val="99"/>
    <w:semiHidden/>
    <w:rsid w:val="00982391"/>
    <w:rPr>
      <w:rFonts w:ascii="Courier New" w:eastAsia="Times New Roman" w:hAnsi="Courier New" w:cs="Courier New"/>
      <w:sz w:val="20"/>
      <w:szCs w:val="20"/>
      <w:lang w:val="en-GB" w:eastAsia="en-GB"/>
    </w:rPr>
  </w:style>
  <w:style w:type="character" w:styleId="-0">
    <w:name w:val="FollowedHyperlink"/>
    <w:basedOn w:val="a0"/>
    <w:uiPriority w:val="99"/>
    <w:semiHidden/>
    <w:unhideWhenUsed/>
    <w:rsid w:val="006C1E65"/>
    <w:rPr>
      <w:color w:val="7030A0" w:themeColor="followedHyperlink"/>
      <w:u w:val="single"/>
    </w:rPr>
  </w:style>
</w:styles>
</file>

<file path=word/webSettings.xml><?xml version="1.0" encoding="utf-8"?>
<w:webSettings xmlns:r="http://schemas.openxmlformats.org/officeDocument/2006/relationships" xmlns:w="http://schemas.openxmlformats.org/wordprocessingml/2006/main">
  <w:divs>
    <w:div w:id="16390959">
      <w:bodyDiv w:val="1"/>
      <w:marLeft w:val="0"/>
      <w:marRight w:val="0"/>
      <w:marTop w:val="0"/>
      <w:marBottom w:val="0"/>
      <w:divBdr>
        <w:top w:val="none" w:sz="0" w:space="0" w:color="auto"/>
        <w:left w:val="none" w:sz="0" w:space="0" w:color="auto"/>
        <w:bottom w:val="none" w:sz="0" w:space="0" w:color="auto"/>
        <w:right w:val="none" w:sz="0" w:space="0" w:color="auto"/>
      </w:divBdr>
    </w:div>
    <w:div w:id="53941705">
      <w:bodyDiv w:val="1"/>
      <w:marLeft w:val="0"/>
      <w:marRight w:val="0"/>
      <w:marTop w:val="0"/>
      <w:marBottom w:val="0"/>
      <w:divBdr>
        <w:top w:val="none" w:sz="0" w:space="0" w:color="auto"/>
        <w:left w:val="none" w:sz="0" w:space="0" w:color="auto"/>
        <w:bottom w:val="none" w:sz="0" w:space="0" w:color="auto"/>
        <w:right w:val="none" w:sz="0" w:space="0" w:color="auto"/>
      </w:divBdr>
    </w:div>
    <w:div w:id="145783865">
      <w:bodyDiv w:val="1"/>
      <w:marLeft w:val="0"/>
      <w:marRight w:val="0"/>
      <w:marTop w:val="0"/>
      <w:marBottom w:val="0"/>
      <w:divBdr>
        <w:top w:val="none" w:sz="0" w:space="0" w:color="auto"/>
        <w:left w:val="none" w:sz="0" w:space="0" w:color="auto"/>
        <w:bottom w:val="none" w:sz="0" w:space="0" w:color="auto"/>
        <w:right w:val="none" w:sz="0" w:space="0" w:color="auto"/>
      </w:divBdr>
    </w:div>
    <w:div w:id="233786100">
      <w:bodyDiv w:val="1"/>
      <w:marLeft w:val="0"/>
      <w:marRight w:val="0"/>
      <w:marTop w:val="0"/>
      <w:marBottom w:val="0"/>
      <w:divBdr>
        <w:top w:val="none" w:sz="0" w:space="0" w:color="auto"/>
        <w:left w:val="none" w:sz="0" w:space="0" w:color="auto"/>
        <w:bottom w:val="none" w:sz="0" w:space="0" w:color="auto"/>
        <w:right w:val="none" w:sz="0" w:space="0" w:color="auto"/>
      </w:divBdr>
    </w:div>
    <w:div w:id="271985495">
      <w:bodyDiv w:val="1"/>
      <w:marLeft w:val="0"/>
      <w:marRight w:val="0"/>
      <w:marTop w:val="0"/>
      <w:marBottom w:val="0"/>
      <w:divBdr>
        <w:top w:val="none" w:sz="0" w:space="0" w:color="auto"/>
        <w:left w:val="none" w:sz="0" w:space="0" w:color="auto"/>
        <w:bottom w:val="none" w:sz="0" w:space="0" w:color="auto"/>
        <w:right w:val="none" w:sz="0" w:space="0" w:color="auto"/>
      </w:divBdr>
    </w:div>
    <w:div w:id="313097898">
      <w:bodyDiv w:val="1"/>
      <w:marLeft w:val="0"/>
      <w:marRight w:val="0"/>
      <w:marTop w:val="0"/>
      <w:marBottom w:val="0"/>
      <w:divBdr>
        <w:top w:val="none" w:sz="0" w:space="0" w:color="auto"/>
        <w:left w:val="none" w:sz="0" w:space="0" w:color="auto"/>
        <w:bottom w:val="none" w:sz="0" w:space="0" w:color="auto"/>
        <w:right w:val="none" w:sz="0" w:space="0" w:color="auto"/>
      </w:divBdr>
    </w:div>
    <w:div w:id="375619404">
      <w:bodyDiv w:val="1"/>
      <w:marLeft w:val="0"/>
      <w:marRight w:val="0"/>
      <w:marTop w:val="0"/>
      <w:marBottom w:val="0"/>
      <w:divBdr>
        <w:top w:val="none" w:sz="0" w:space="0" w:color="auto"/>
        <w:left w:val="none" w:sz="0" w:space="0" w:color="auto"/>
        <w:bottom w:val="none" w:sz="0" w:space="0" w:color="auto"/>
        <w:right w:val="none" w:sz="0" w:space="0" w:color="auto"/>
      </w:divBdr>
      <w:divsChild>
        <w:div w:id="1011569086">
          <w:marLeft w:val="0"/>
          <w:marRight w:val="0"/>
          <w:marTop w:val="0"/>
          <w:marBottom w:val="0"/>
          <w:divBdr>
            <w:top w:val="none" w:sz="0" w:space="0" w:color="auto"/>
            <w:left w:val="none" w:sz="0" w:space="0" w:color="auto"/>
            <w:bottom w:val="none" w:sz="0" w:space="0" w:color="auto"/>
            <w:right w:val="none" w:sz="0" w:space="0" w:color="auto"/>
          </w:divBdr>
          <w:divsChild>
            <w:div w:id="1413577067">
              <w:marLeft w:val="0"/>
              <w:marRight w:val="0"/>
              <w:marTop w:val="0"/>
              <w:marBottom w:val="0"/>
              <w:divBdr>
                <w:top w:val="none" w:sz="0" w:space="0" w:color="auto"/>
                <w:left w:val="none" w:sz="0" w:space="0" w:color="auto"/>
                <w:bottom w:val="none" w:sz="0" w:space="0" w:color="auto"/>
                <w:right w:val="none" w:sz="0" w:space="0" w:color="auto"/>
              </w:divBdr>
              <w:divsChild>
                <w:div w:id="1383596544">
                  <w:marLeft w:val="0"/>
                  <w:marRight w:val="0"/>
                  <w:marTop w:val="0"/>
                  <w:marBottom w:val="0"/>
                  <w:divBdr>
                    <w:top w:val="none" w:sz="0" w:space="0" w:color="auto"/>
                    <w:left w:val="none" w:sz="0" w:space="0" w:color="auto"/>
                    <w:bottom w:val="none" w:sz="0" w:space="0" w:color="auto"/>
                    <w:right w:val="none" w:sz="0" w:space="0" w:color="auto"/>
                  </w:divBdr>
                  <w:divsChild>
                    <w:div w:id="1773210630">
                      <w:marLeft w:val="0"/>
                      <w:marRight w:val="0"/>
                      <w:marTop w:val="0"/>
                      <w:marBottom w:val="0"/>
                      <w:divBdr>
                        <w:top w:val="none" w:sz="0" w:space="0" w:color="auto"/>
                        <w:left w:val="none" w:sz="0" w:space="0" w:color="auto"/>
                        <w:bottom w:val="none" w:sz="0" w:space="0" w:color="auto"/>
                        <w:right w:val="none" w:sz="0" w:space="0" w:color="auto"/>
                      </w:divBdr>
                      <w:divsChild>
                        <w:div w:id="2117751773">
                          <w:marLeft w:val="0"/>
                          <w:marRight w:val="0"/>
                          <w:marTop w:val="0"/>
                          <w:marBottom w:val="0"/>
                          <w:divBdr>
                            <w:top w:val="none" w:sz="0" w:space="0" w:color="auto"/>
                            <w:left w:val="none" w:sz="0" w:space="0" w:color="auto"/>
                            <w:bottom w:val="none" w:sz="0" w:space="0" w:color="auto"/>
                            <w:right w:val="none" w:sz="0" w:space="0" w:color="auto"/>
                          </w:divBdr>
                          <w:divsChild>
                            <w:div w:id="1007631494">
                              <w:marLeft w:val="0"/>
                              <w:marRight w:val="0"/>
                              <w:marTop w:val="0"/>
                              <w:marBottom w:val="0"/>
                              <w:divBdr>
                                <w:top w:val="none" w:sz="0" w:space="0" w:color="auto"/>
                                <w:left w:val="none" w:sz="0" w:space="0" w:color="auto"/>
                                <w:bottom w:val="none" w:sz="0" w:space="0" w:color="auto"/>
                                <w:right w:val="none" w:sz="0" w:space="0" w:color="auto"/>
                              </w:divBdr>
                              <w:divsChild>
                                <w:div w:id="128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752605">
      <w:bodyDiv w:val="1"/>
      <w:marLeft w:val="0"/>
      <w:marRight w:val="0"/>
      <w:marTop w:val="0"/>
      <w:marBottom w:val="0"/>
      <w:divBdr>
        <w:top w:val="none" w:sz="0" w:space="0" w:color="auto"/>
        <w:left w:val="none" w:sz="0" w:space="0" w:color="auto"/>
        <w:bottom w:val="none" w:sz="0" w:space="0" w:color="auto"/>
        <w:right w:val="none" w:sz="0" w:space="0" w:color="auto"/>
      </w:divBdr>
    </w:div>
    <w:div w:id="465661164">
      <w:bodyDiv w:val="1"/>
      <w:marLeft w:val="0"/>
      <w:marRight w:val="0"/>
      <w:marTop w:val="0"/>
      <w:marBottom w:val="0"/>
      <w:divBdr>
        <w:top w:val="none" w:sz="0" w:space="0" w:color="auto"/>
        <w:left w:val="none" w:sz="0" w:space="0" w:color="auto"/>
        <w:bottom w:val="none" w:sz="0" w:space="0" w:color="auto"/>
        <w:right w:val="none" w:sz="0" w:space="0" w:color="auto"/>
      </w:divBdr>
    </w:div>
    <w:div w:id="522784727">
      <w:bodyDiv w:val="1"/>
      <w:marLeft w:val="0"/>
      <w:marRight w:val="0"/>
      <w:marTop w:val="0"/>
      <w:marBottom w:val="0"/>
      <w:divBdr>
        <w:top w:val="none" w:sz="0" w:space="0" w:color="auto"/>
        <w:left w:val="none" w:sz="0" w:space="0" w:color="auto"/>
        <w:bottom w:val="none" w:sz="0" w:space="0" w:color="auto"/>
        <w:right w:val="none" w:sz="0" w:space="0" w:color="auto"/>
      </w:divBdr>
      <w:divsChild>
        <w:div w:id="117382307">
          <w:marLeft w:val="0"/>
          <w:marRight w:val="0"/>
          <w:marTop w:val="0"/>
          <w:marBottom w:val="0"/>
          <w:divBdr>
            <w:top w:val="none" w:sz="0" w:space="0" w:color="auto"/>
            <w:left w:val="none" w:sz="0" w:space="0" w:color="auto"/>
            <w:bottom w:val="none" w:sz="0" w:space="0" w:color="auto"/>
            <w:right w:val="none" w:sz="0" w:space="0" w:color="auto"/>
          </w:divBdr>
          <w:divsChild>
            <w:div w:id="1861626696">
              <w:marLeft w:val="-113"/>
              <w:marRight w:val="-113"/>
              <w:marTop w:val="0"/>
              <w:marBottom w:val="0"/>
              <w:divBdr>
                <w:top w:val="none" w:sz="0" w:space="0" w:color="auto"/>
                <w:left w:val="none" w:sz="0" w:space="0" w:color="auto"/>
                <w:bottom w:val="none" w:sz="0" w:space="0" w:color="auto"/>
                <w:right w:val="none" w:sz="0" w:space="0" w:color="auto"/>
              </w:divBdr>
              <w:divsChild>
                <w:div w:id="1009256234">
                  <w:marLeft w:val="0"/>
                  <w:marRight w:val="0"/>
                  <w:marTop w:val="0"/>
                  <w:marBottom w:val="0"/>
                  <w:divBdr>
                    <w:top w:val="none" w:sz="0" w:space="0" w:color="auto"/>
                    <w:left w:val="none" w:sz="0" w:space="0" w:color="auto"/>
                    <w:bottom w:val="none" w:sz="0" w:space="0" w:color="auto"/>
                    <w:right w:val="none" w:sz="0" w:space="0" w:color="auto"/>
                  </w:divBdr>
                  <w:divsChild>
                    <w:div w:id="753628223">
                      <w:marLeft w:val="-113"/>
                      <w:marRight w:val="-113"/>
                      <w:marTop w:val="0"/>
                      <w:marBottom w:val="0"/>
                      <w:divBdr>
                        <w:top w:val="none" w:sz="0" w:space="0" w:color="auto"/>
                        <w:left w:val="none" w:sz="0" w:space="0" w:color="auto"/>
                        <w:bottom w:val="none" w:sz="0" w:space="0" w:color="auto"/>
                        <w:right w:val="none" w:sz="0" w:space="0" w:color="auto"/>
                      </w:divBdr>
                      <w:divsChild>
                        <w:div w:id="1527063963">
                          <w:marLeft w:val="0"/>
                          <w:marRight w:val="0"/>
                          <w:marTop w:val="0"/>
                          <w:marBottom w:val="0"/>
                          <w:divBdr>
                            <w:top w:val="none" w:sz="0" w:space="0" w:color="auto"/>
                            <w:left w:val="none" w:sz="0" w:space="0" w:color="auto"/>
                            <w:bottom w:val="none" w:sz="0" w:space="0" w:color="auto"/>
                            <w:right w:val="none" w:sz="0" w:space="0" w:color="auto"/>
                          </w:divBdr>
                          <w:divsChild>
                            <w:div w:id="834614138">
                              <w:marLeft w:val="-113"/>
                              <w:marRight w:val="-113"/>
                              <w:marTop w:val="0"/>
                              <w:marBottom w:val="0"/>
                              <w:divBdr>
                                <w:top w:val="none" w:sz="0" w:space="0" w:color="auto"/>
                                <w:left w:val="none" w:sz="0" w:space="0" w:color="auto"/>
                                <w:bottom w:val="none" w:sz="0" w:space="0" w:color="auto"/>
                                <w:right w:val="none" w:sz="0" w:space="0" w:color="auto"/>
                              </w:divBdr>
                              <w:divsChild>
                                <w:div w:id="10731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078958">
      <w:bodyDiv w:val="1"/>
      <w:marLeft w:val="0"/>
      <w:marRight w:val="0"/>
      <w:marTop w:val="0"/>
      <w:marBottom w:val="0"/>
      <w:divBdr>
        <w:top w:val="none" w:sz="0" w:space="0" w:color="auto"/>
        <w:left w:val="none" w:sz="0" w:space="0" w:color="auto"/>
        <w:bottom w:val="none" w:sz="0" w:space="0" w:color="auto"/>
        <w:right w:val="none" w:sz="0" w:space="0" w:color="auto"/>
      </w:divBdr>
    </w:div>
    <w:div w:id="618141896">
      <w:bodyDiv w:val="1"/>
      <w:marLeft w:val="0"/>
      <w:marRight w:val="0"/>
      <w:marTop w:val="0"/>
      <w:marBottom w:val="0"/>
      <w:divBdr>
        <w:top w:val="none" w:sz="0" w:space="0" w:color="auto"/>
        <w:left w:val="none" w:sz="0" w:space="0" w:color="auto"/>
        <w:bottom w:val="none" w:sz="0" w:space="0" w:color="auto"/>
        <w:right w:val="none" w:sz="0" w:space="0" w:color="auto"/>
      </w:divBdr>
    </w:div>
    <w:div w:id="646908061">
      <w:bodyDiv w:val="1"/>
      <w:marLeft w:val="0"/>
      <w:marRight w:val="0"/>
      <w:marTop w:val="0"/>
      <w:marBottom w:val="0"/>
      <w:divBdr>
        <w:top w:val="none" w:sz="0" w:space="0" w:color="auto"/>
        <w:left w:val="none" w:sz="0" w:space="0" w:color="auto"/>
        <w:bottom w:val="none" w:sz="0" w:space="0" w:color="auto"/>
        <w:right w:val="none" w:sz="0" w:space="0" w:color="auto"/>
      </w:divBdr>
    </w:div>
    <w:div w:id="660161196">
      <w:bodyDiv w:val="1"/>
      <w:marLeft w:val="0"/>
      <w:marRight w:val="0"/>
      <w:marTop w:val="0"/>
      <w:marBottom w:val="0"/>
      <w:divBdr>
        <w:top w:val="none" w:sz="0" w:space="0" w:color="auto"/>
        <w:left w:val="none" w:sz="0" w:space="0" w:color="auto"/>
        <w:bottom w:val="none" w:sz="0" w:space="0" w:color="auto"/>
        <w:right w:val="none" w:sz="0" w:space="0" w:color="auto"/>
      </w:divBdr>
    </w:div>
    <w:div w:id="890265038">
      <w:bodyDiv w:val="1"/>
      <w:marLeft w:val="0"/>
      <w:marRight w:val="0"/>
      <w:marTop w:val="0"/>
      <w:marBottom w:val="0"/>
      <w:divBdr>
        <w:top w:val="none" w:sz="0" w:space="0" w:color="auto"/>
        <w:left w:val="none" w:sz="0" w:space="0" w:color="auto"/>
        <w:bottom w:val="none" w:sz="0" w:space="0" w:color="auto"/>
        <w:right w:val="none" w:sz="0" w:space="0" w:color="auto"/>
      </w:divBdr>
    </w:div>
    <w:div w:id="917976577">
      <w:bodyDiv w:val="1"/>
      <w:marLeft w:val="0"/>
      <w:marRight w:val="0"/>
      <w:marTop w:val="0"/>
      <w:marBottom w:val="0"/>
      <w:divBdr>
        <w:top w:val="none" w:sz="0" w:space="0" w:color="auto"/>
        <w:left w:val="none" w:sz="0" w:space="0" w:color="auto"/>
        <w:bottom w:val="none" w:sz="0" w:space="0" w:color="auto"/>
        <w:right w:val="none" w:sz="0" w:space="0" w:color="auto"/>
      </w:divBdr>
    </w:div>
    <w:div w:id="940332131">
      <w:bodyDiv w:val="1"/>
      <w:marLeft w:val="0"/>
      <w:marRight w:val="0"/>
      <w:marTop w:val="0"/>
      <w:marBottom w:val="0"/>
      <w:divBdr>
        <w:top w:val="none" w:sz="0" w:space="0" w:color="auto"/>
        <w:left w:val="none" w:sz="0" w:space="0" w:color="auto"/>
        <w:bottom w:val="none" w:sz="0" w:space="0" w:color="auto"/>
        <w:right w:val="none" w:sz="0" w:space="0" w:color="auto"/>
      </w:divBdr>
    </w:div>
    <w:div w:id="965503141">
      <w:bodyDiv w:val="1"/>
      <w:marLeft w:val="0"/>
      <w:marRight w:val="0"/>
      <w:marTop w:val="0"/>
      <w:marBottom w:val="0"/>
      <w:divBdr>
        <w:top w:val="none" w:sz="0" w:space="0" w:color="auto"/>
        <w:left w:val="none" w:sz="0" w:space="0" w:color="auto"/>
        <w:bottom w:val="none" w:sz="0" w:space="0" w:color="auto"/>
        <w:right w:val="none" w:sz="0" w:space="0" w:color="auto"/>
      </w:divBdr>
    </w:div>
    <w:div w:id="1044788058">
      <w:bodyDiv w:val="1"/>
      <w:marLeft w:val="0"/>
      <w:marRight w:val="0"/>
      <w:marTop w:val="0"/>
      <w:marBottom w:val="0"/>
      <w:divBdr>
        <w:top w:val="none" w:sz="0" w:space="0" w:color="auto"/>
        <w:left w:val="none" w:sz="0" w:space="0" w:color="auto"/>
        <w:bottom w:val="none" w:sz="0" w:space="0" w:color="auto"/>
        <w:right w:val="none" w:sz="0" w:space="0" w:color="auto"/>
      </w:divBdr>
    </w:div>
    <w:div w:id="1052996616">
      <w:bodyDiv w:val="1"/>
      <w:marLeft w:val="0"/>
      <w:marRight w:val="0"/>
      <w:marTop w:val="0"/>
      <w:marBottom w:val="0"/>
      <w:divBdr>
        <w:top w:val="none" w:sz="0" w:space="0" w:color="auto"/>
        <w:left w:val="none" w:sz="0" w:space="0" w:color="auto"/>
        <w:bottom w:val="none" w:sz="0" w:space="0" w:color="auto"/>
        <w:right w:val="none" w:sz="0" w:space="0" w:color="auto"/>
      </w:divBdr>
    </w:div>
    <w:div w:id="1116564502">
      <w:bodyDiv w:val="1"/>
      <w:marLeft w:val="0"/>
      <w:marRight w:val="0"/>
      <w:marTop w:val="0"/>
      <w:marBottom w:val="0"/>
      <w:divBdr>
        <w:top w:val="none" w:sz="0" w:space="0" w:color="auto"/>
        <w:left w:val="none" w:sz="0" w:space="0" w:color="auto"/>
        <w:bottom w:val="none" w:sz="0" w:space="0" w:color="auto"/>
        <w:right w:val="none" w:sz="0" w:space="0" w:color="auto"/>
      </w:divBdr>
      <w:divsChild>
        <w:div w:id="1670674015">
          <w:marLeft w:val="130"/>
          <w:marRight w:val="0"/>
          <w:marTop w:val="120"/>
          <w:marBottom w:val="0"/>
          <w:divBdr>
            <w:top w:val="none" w:sz="0" w:space="0" w:color="auto"/>
            <w:left w:val="none" w:sz="0" w:space="0" w:color="auto"/>
            <w:bottom w:val="none" w:sz="0" w:space="0" w:color="auto"/>
            <w:right w:val="none" w:sz="0" w:space="0" w:color="auto"/>
          </w:divBdr>
        </w:div>
      </w:divsChild>
    </w:div>
    <w:div w:id="1266883232">
      <w:bodyDiv w:val="1"/>
      <w:marLeft w:val="0"/>
      <w:marRight w:val="0"/>
      <w:marTop w:val="0"/>
      <w:marBottom w:val="0"/>
      <w:divBdr>
        <w:top w:val="none" w:sz="0" w:space="0" w:color="auto"/>
        <w:left w:val="none" w:sz="0" w:space="0" w:color="auto"/>
        <w:bottom w:val="none" w:sz="0" w:space="0" w:color="auto"/>
        <w:right w:val="none" w:sz="0" w:space="0" w:color="auto"/>
      </w:divBdr>
    </w:div>
    <w:div w:id="1386611484">
      <w:bodyDiv w:val="1"/>
      <w:marLeft w:val="0"/>
      <w:marRight w:val="0"/>
      <w:marTop w:val="0"/>
      <w:marBottom w:val="0"/>
      <w:divBdr>
        <w:top w:val="none" w:sz="0" w:space="0" w:color="auto"/>
        <w:left w:val="none" w:sz="0" w:space="0" w:color="auto"/>
        <w:bottom w:val="none" w:sz="0" w:space="0" w:color="auto"/>
        <w:right w:val="none" w:sz="0" w:space="0" w:color="auto"/>
      </w:divBdr>
    </w:div>
    <w:div w:id="1395011594">
      <w:bodyDiv w:val="1"/>
      <w:marLeft w:val="0"/>
      <w:marRight w:val="0"/>
      <w:marTop w:val="0"/>
      <w:marBottom w:val="0"/>
      <w:divBdr>
        <w:top w:val="none" w:sz="0" w:space="0" w:color="auto"/>
        <w:left w:val="none" w:sz="0" w:space="0" w:color="auto"/>
        <w:bottom w:val="none" w:sz="0" w:space="0" w:color="auto"/>
        <w:right w:val="none" w:sz="0" w:space="0" w:color="auto"/>
      </w:divBdr>
    </w:div>
    <w:div w:id="1452282872">
      <w:bodyDiv w:val="1"/>
      <w:marLeft w:val="0"/>
      <w:marRight w:val="0"/>
      <w:marTop w:val="0"/>
      <w:marBottom w:val="0"/>
      <w:divBdr>
        <w:top w:val="none" w:sz="0" w:space="0" w:color="auto"/>
        <w:left w:val="none" w:sz="0" w:space="0" w:color="auto"/>
        <w:bottom w:val="none" w:sz="0" w:space="0" w:color="auto"/>
        <w:right w:val="none" w:sz="0" w:space="0" w:color="auto"/>
      </w:divBdr>
      <w:divsChild>
        <w:div w:id="1761484531">
          <w:marLeft w:val="0"/>
          <w:marRight w:val="0"/>
          <w:marTop w:val="0"/>
          <w:marBottom w:val="0"/>
          <w:divBdr>
            <w:top w:val="none" w:sz="0" w:space="0" w:color="auto"/>
            <w:left w:val="none" w:sz="0" w:space="0" w:color="auto"/>
            <w:bottom w:val="none" w:sz="0" w:space="0" w:color="auto"/>
            <w:right w:val="none" w:sz="0" w:space="0" w:color="auto"/>
          </w:divBdr>
          <w:divsChild>
            <w:div w:id="1635865872">
              <w:marLeft w:val="0"/>
              <w:marRight w:val="0"/>
              <w:marTop w:val="0"/>
              <w:marBottom w:val="0"/>
              <w:divBdr>
                <w:top w:val="none" w:sz="0" w:space="0" w:color="auto"/>
                <w:left w:val="none" w:sz="0" w:space="0" w:color="auto"/>
                <w:bottom w:val="none" w:sz="0" w:space="0" w:color="auto"/>
                <w:right w:val="none" w:sz="0" w:space="0" w:color="auto"/>
              </w:divBdr>
              <w:divsChild>
                <w:div w:id="427040889">
                  <w:marLeft w:val="0"/>
                  <w:marRight w:val="0"/>
                  <w:marTop w:val="0"/>
                  <w:marBottom w:val="0"/>
                  <w:divBdr>
                    <w:top w:val="none" w:sz="0" w:space="0" w:color="auto"/>
                    <w:left w:val="none" w:sz="0" w:space="0" w:color="auto"/>
                    <w:bottom w:val="none" w:sz="0" w:space="0" w:color="auto"/>
                    <w:right w:val="none" w:sz="0" w:space="0" w:color="auto"/>
                  </w:divBdr>
                  <w:divsChild>
                    <w:div w:id="1635326618">
                      <w:marLeft w:val="0"/>
                      <w:marRight w:val="0"/>
                      <w:marTop w:val="0"/>
                      <w:marBottom w:val="0"/>
                      <w:divBdr>
                        <w:top w:val="none" w:sz="0" w:space="0" w:color="auto"/>
                        <w:left w:val="none" w:sz="0" w:space="0" w:color="auto"/>
                        <w:bottom w:val="none" w:sz="0" w:space="0" w:color="auto"/>
                        <w:right w:val="none" w:sz="0" w:space="0" w:color="auto"/>
                      </w:divBdr>
                      <w:divsChild>
                        <w:div w:id="1728332076">
                          <w:marLeft w:val="0"/>
                          <w:marRight w:val="0"/>
                          <w:marTop w:val="0"/>
                          <w:marBottom w:val="0"/>
                          <w:divBdr>
                            <w:top w:val="none" w:sz="0" w:space="0" w:color="auto"/>
                            <w:left w:val="none" w:sz="0" w:space="0" w:color="auto"/>
                            <w:bottom w:val="none" w:sz="0" w:space="0" w:color="auto"/>
                            <w:right w:val="none" w:sz="0" w:space="0" w:color="auto"/>
                          </w:divBdr>
                          <w:divsChild>
                            <w:div w:id="2001346588">
                              <w:marLeft w:val="2700"/>
                              <w:marRight w:val="3960"/>
                              <w:marTop w:val="0"/>
                              <w:marBottom w:val="0"/>
                              <w:divBdr>
                                <w:top w:val="none" w:sz="0" w:space="0" w:color="auto"/>
                                <w:left w:val="none" w:sz="0" w:space="0" w:color="auto"/>
                                <w:bottom w:val="none" w:sz="0" w:space="0" w:color="auto"/>
                                <w:right w:val="none" w:sz="0" w:space="0" w:color="auto"/>
                              </w:divBdr>
                              <w:divsChild>
                                <w:div w:id="90592508">
                                  <w:marLeft w:val="0"/>
                                  <w:marRight w:val="0"/>
                                  <w:marTop w:val="0"/>
                                  <w:marBottom w:val="0"/>
                                  <w:divBdr>
                                    <w:top w:val="none" w:sz="0" w:space="0" w:color="auto"/>
                                    <w:left w:val="none" w:sz="0" w:space="0" w:color="auto"/>
                                    <w:bottom w:val="none" w:sz="0" w:space="0" w:color="auto"/>
                                    <w:right w:val="none" w:sz="0" w:space="0" w:color="auto"/>
                                  </w:divBdr>
                                  <w:divsChild>
                                    <w:div w:id="590630057">
                                      <w:marLeft w:val="0"/>
                                      <w:marRight w:val="0"/>
                                      <w:marTop w:val="0"/>
                                      <w:marBottom w:val="0"/>
                                      <w:divBdr>
                                        <w:top w:val="none" w:sz="0" w:space="0" w:color="auto"/>
                                        <w:left w:val="none" w:sz="0" w:space="0" w:color="auto"/>
                                        <w:bottom w:val="none" w:sz="0" w:space="0" w:color="auto"/>
                                        <w:right w:val="none" w:sz="0" w:space="0" w:color="auto"/>
                                      </w:divBdr>
                                      <w:divsChild>
                                        <w:div w:id="575483811">
                                          <w:marLeft w:val="0"/>
                                          <w:marRight w:val="0"/>
                                          <w:marTop w:val="0"/>
                                          <w:marBottom w:val="0"/>
                                          <w:divBdr>
                                            <w:top w:val="none" w:sz="0" w:space="0" w:color="auto"/>
                                            <w:left w:val="none" w:sz="0" w:space="0" w:color="auto"/>
                                            <w:bottom w:val="none" w:sz="0" w:space="0" w:color="auto"/>
                                            <w:right w:val="none" w:sz="0" w:space="0" w:color="auto"/>
                                          </w:divBdr>
                                          <w:divsChild>
                                            <w:div w:id="352808425">
                                              <w:marLeft w:val="0"/>
                                              <w:marRight w:val="0"/>
                                              <w:marTop w:val="90"/>
                                              <w:marBottom w:val="0"/>
                                              <w:divBdr>
                                                <w:top w:val="none" w:sz="0" w:space="0" w:color="auto"/>
                                                <w:left w:val="none" w:sz="0" w:space="0" w:color="auto"/>
                                                <w:bottom w:val="none" w:sz="0" w:space="0" w:color="auto"/>
                                                <w:right w:val="none" w:sz="0" w:space="0" w:color="auto"/>
                                              </w:divBdr>
                                              <w:divsChild>
                                                <w:div w:id="1258758190">
                                                  <w:marLeft w:val="0"/>
                                                  <w:marRight w:val="0"/>
                                                  <w:marTop w:val="0"/>
                                                  <w:marBottom w:val="420"/>
                                                  <w:divBdr>
                                                    <w:top w:val="none" w:sz="0" w:space="0" w:color="auto"/>
                                                    <w:left w:val="none" w:sz="0" w:space="0" w:color="auto"/>
                                                    <w:bottom w:val="none" w:sz="0" w:space="0" w:color="auto"/>
                                                    <w:right w:val="none" w:sz="0" w:space="0" w:color="auto"/>
                                                  </w:divBdr>
                                                  <w:divsChild>
                                                    <w:div w:id="1348096111">
                                                      <w:marLeft w:val="0"/>
                                                      <w:marRight w:val="0"/>
                                                      <w:marTop w:val="0"/>
                                                      <w:marBottom w:val="0"/>
                                                      <w:divBdr>
                                                        <w:top w:val="none" w:sz="0" w:space="0" w:color="auto"/>
                                                        <w:left w:val="none" w:sz="0" w:space="0" w:color="auto"/>
                                                        <w:bottom w:val="none" w:sz="0" w:space="0" w:color="auto"/>
                                                        <w:right w:val="none" w:sz="0" w:space="0" w:color="auto"/>
                                                      </w:divBdr>
                                                      <w:divsChild>
                                                        <w:div w:id="569508729">
                                                          <w:marLeft w:val="0"/>
                                                          <w:marRight w:val="0"/>
                                                          <w:marTop w:val="0"/>
                                                          <w:marBottom w:val="0"/>
                                                          <w:divBdr>
                                                            <w:top w:val="single" w:sz="6" w:space="0" w:color="DFE1E5"/>
                                                            <w:left w:val="single" w:sz="6" w:space="0" w:color="DFE1E5"/>
                                                            <w:bottom w:val="single" w:sz="6" w:space="0" w:color="DFE1E5"/>
                                                            <w:right w:val="single" w:sz="6" w:space="0" w:color="DFE1E5"/>
                                                          </w:divBdr>
                                                          <w:divsChild>
                                                            <w:div w:id="601912789">
                                                              <w:marLeft w:val="0"/>
                                                              <w:marRight w:val="0"/>
                                                              <w:marTop w:val="0"/>
                                                              <w:marBottom w:val="0"/>
                                                              <w:divBdr>
                                                                <w:top w:val="none" w:sz="0" w:space="0" w:color="auto"/>
                                                                <w:left w:val="none" w:sz="0" w:space="0" w:color="auto"/>
                                                                <w:bottom w:val="none" w:sz="0" w:space="0" w:color="auto"/>
                                                                <w:right w:val="none" w:sz="0" w:space="0" w:color="auto"/>
                                                              </w:divBdr>
                                                              <w:divsChild>
                                                                <w:div w:id="1126388429">
                                                                  <w:marLeft w:val="0"/>
                                                                  <w:marRight w:val="0"/>
                                                                  <w:marTop w:val="0"/>
                                                                  <w:marBottom w:val="0"/>
                                                                  <w:divBdr>
                                                                    <w:top w:val="none" w:sz="0" w:space="0" w:color="auto"/>
                                                                    <w:left w:val="none" w:sz="0" w:space="0" w:color="auto"/>
                                                                    <w:bottom w:val="none" w:sz="0" w:space="0" w:color="auto"/>
                                                                    <w:right w:val="none" w:sz="0" w:space="0" w:color="auto"/>
                                                                  </w:divBdr>
                                                                  <w:divsChild>
                                                                    <w:div w:id="884635491">
                                                                      <w:marLeft w:val="0"/>
                                                                      <w:marRight w:val="0"/>
                                                                      <w:marTop w:val="0"/>
                                                                      <w:marBottom w:val="0"/>
                                                                      <w:divBdr>
                                                                        <w:top w:val="none" w:sz="0" w:space="0" w:color="auto"/>
                                                                        <w:left w:val="none" w:sz="0" w:space="0" w:color="auto"/>
                                                                        <w:bottom w:val="none" w:sz="0" w:space="0" w:color="auto"/>
                                                                        <w:right w:val="none" w:sz="0" w:space="0" w:color="auto"/>
                                                                      </w:divBdr>
                                                                      <w:divsChild>
                                                                        <w:div w:id="1404257987">
                                                                          <w:marLeft w:val="0"/>
                                                                          <w:marRight w:val="0"/>
                                                                          <w:marTop w:val="0"/>
                                                                          <w:marBottom w:val="0"/>
                                                                          <w:divBdr>
                                                                            <w:top w:val="none" w:sz="0" w:space="0" w:color="auto"/>
                                                                            <w:left w:val="none" w:sz="0" w:space="0" w:color="auto"/>
                                                                            <w:bottom w:val="none" w:sz="0" w:space="0" w:color="auto"/>
                                                                            <w:right w:val="none" w:sz="0" w:space="0" w:color="auto"/>
                                                                          </w:divBdr>
                                                                          <w:divsChild>
                                                                            <w:div w:id="1648050496">
                                                                              <w:marLeft w:val="0"/>
                                                                              <w:marRight w:val="0"/>
                                                                              <w:marTop w:val="0"/>
                                                                              <w:marBottom w:val="0"/>
                                                                              <w:divBdr>
                                                                                <w:top w:val="none" w:sz="0" w:space="0" w:color="auto"/>
                                                                                <w:left w:val="none" w:sz="0" w:space="0" w:color="auto"/>
                                                                                <w:bottom w:val="none" w:sz="0" w:space="0" w:color="auto"/>
                                                                                <w:right w:val="none" w:sz="0" w:space="0" w:color="auto"/>
                                                                              </w:divBdr>
                                                                              <w:divsChild>
                                                                                <w:div w:id="1914504925">
                                                                                  <w:marLeft w:val="0"/>
                                                                                  <w:marRight w:val="0"/>
                                                                                  <w:marTop w:val="0"/>
                                                                                  <w:marBottom w:val="0"/>
                                                                                  <w:divBdr>
                                                                                    <w:top w:val="none" w:sz="0" w:space="0" w:color="auto"/>
                                                                                    <w:left w:val="none" w:sz="0" w:space="0" w:color="auto"/>
                                                                                    <w:bottom w:val="none" w:sz="0" w:space="0" w:color="auto"/>
                                                                                    <w:right w:val="none" w:sz="0" w:space="0" w:color="auto"/>
                                                                                  </w:divBdr>
                                                                                  <w:divsChild>
                                                                                    <w:div w:id="16770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4856164">
      <w:bodyDiv w:val="1"/>
      <w:marLeft w:val="0"/>
      <w:marRight w:val="0"/>
      <w:marTop w:val="0"/>
      <w:marBottom w:val="0"/>
      <w:divBdr>
        <w:top w:val="none" w:sz="0" w:space="0" w:color="auto"/>
        <w:left w:val="none" w:sz="0" w:space="0" w:color="auto"/>
        <w:bottom w:val="none" w:sz="0" w:space="0" w:color="auto"/>
        <w:right w:val="none" w:sz="0" w:space="0" w:color="auto"/>
      </w:divBdr>
    </w:div>
    <w:div w:id="1541624111">
      <w:bodyDiv w:val="1"/>
      <w:marLeft w:val="0"/>
      <w:marRight w:val="0"/>
      <w:marTop w:val="0"/>
      <w:marBottom w:val="0"/>
      <w:divBdr>
        <w:top w:val="none" w:sz="0" w:space="0" w:color="auto"/>
        <w:left w:val="none" w:sz="0" w:space="0" w:color="auto"/>
        <w:bottom w:val="none" w:sz="0" w:space="0" w:color="auto"/>
        <w:right w:val="none" w:sz="0" w:space="0" w:color="auto"/>
      </w:divBdr>
    </w:div>
    <w:div w:id="1547330318">
      <w:bodyDiv w:val="1"/>
      <w:marLeft w:val="0"/>
      <w:marRight w:val="0"/>
      <w:marTop w:val="0"/>
      <w:marBottom w:val="0"/>
      <w:divBdr>
        <w:top w:val="none" w:sz="0" w:space="0" w:color="auto"/>
        <w:left w:val="none" w:sz="0" w:space="0" w:color="auto"/>
        <w:bottom w:val="none" w:sz="0" w:space="0" w:color="auto"/>
        <w:right w:val="none" w:sz="0" w:space="0" w:color="auto"/>
      </w:divBdr>
    </w:div>
    <w:div w:id="1549024454">
      <w:bodyDiv w:val="1"/>
      <w:marLeft w:val="0"/>
      <w:marRight w:val="0"/>
      <w:marTop w:val="0"/>
      <w:marBottom w:val="0"/>
      <w:divBdr>
        <w:top w:val="none" w:sz="0" w:space="0" w:color="auto"/>
        <w:left w:val="none" w:sz="0" w:space="0" w:color="auto"/>
        <w:bottom w:val="none" w:sz="0" w:space="0" w:color="auto"/>
        <w:right w:val="none" w:sz="0" w:space="0" w:color="auto"/>
      </w:divBdr>
    </w:div>
    <w:div w:id="1736586066">
      <w:bodyDiv w:val="1"/>
      <w:marLeft w:val="0"/>
      <w:marRight w:val="0"/>
      <w:marTop w:val="0"/>
      <w:marBottom w:val="0"/>
      <w:divBdr>
        <w:top w:val="none" w:sz="0" w:space="0" w:color="auto"/>
        <w:left w:val="none" w:sz="0" w:space="0" w:color="auto"/>
        <w:bottom w:val="none" w:sz="0" w:space="0" w:color="auto"/>
        <w:right w:val="none" w:sz="0" w:space="0" w:color="auto"/>
      </w:divBdr>
    </w:div>
    <w:div w:id="1759017947">
      <w:bodyDiv w:val="1"/>
      <w:marLeft w:val="0"/>
      <w:marRight w:val="0"/>
      <w:marTop w:val="0"/>
      <w:marBottom w:val="0"/>
      <w:divBdr>
        <w:top w:val="none" w:sz="0" w:space="0" w:color="auto"/>
        <w:left w:val="none" w:sz="0" w:space="0" w:color="auto"/>
        <w:bottom w:val="none" w:sz="0" w:space="0" w:color="auto"/>
        <w:right w:val="none" w:sz="0" w:space="0" w:color="auto"/>
      </w:divBdr>
    </w:div>
    <w:div w:id="1774519332">
      <w:bodyDiv w:val="1"/>
      <w:marLeft w:val="0"/>
      <w:marRight w:val="0"/>
      <w:marTop w:val="0"/>
      <w:marBottom w:val="0"/>
      <w:divBdr>
        <w:top w:val="none" w:sz="0" w:space="0" w:color="auto"/>
        <w:left w:val="none" w:sz="0" w:space="0" w:color="auto"/>
        <w:bottom w:val="none" w:sz="0" w:space="0" w:color="auto"/>
        <w:right w:val="none" w:sz="0" w:space="0" w:color="auto"/>
      </w:divBdr>
    </w:div>
    <w:div w:id="1802647379">
      <w:bodyDiv w:val="1"/>
      <w:marLeft w:val="0"/>
      <w:marRight w:val="0"/>
      <w:marTop w:val="0"/>
      <w:marBottom w:val="0"/>
      <w:divBdr>
        <w:top w:val="none" w:sz="0" w:space="0" w:color="auto"/>
        <w:left w:val="none" w:sz="0" w:space="0" w:color="auto"/>
        <w:bottom w:val="none" w:sz="0" w:space="0" w:color="auto"/>
        <w:right w:val="none" w:sz="0" w:space="0" w:color="auto"/>
      </w:divBdr>
    </w:div>
    <w:div w:id="1975788773">
      <w:bodyDiv w:val="1"/>
      <w:marLeft w:val="0"/>
      <w:marRight w:val="0"/>
      <w:marTop w:val="0"/>
      <w:marBottom w:val="0"/>
      <w:divBdr>
        <w:top w:val="none" w:sz="0" w:space="0" w:color="auto"/>
        <w:left w:val="none" w:sz="0" w:space="0" w:color="auto"/>
        <w:bottom w:val="none" w:sz="0" w:space="0" w:color="auto"/>
        <w:right w:val="none" w:sz="0" w:space="0" w:color="auto"/>
      </w:divBdr>
    </w:div>
    <w:div w:id="2020546561">
      <w:bodyDiv w:val="1"/>
      <w:marLeft w:val="0"/>
      <w:marRight w:val="0"/>
      <w:marTop w:val="0"/>
      <w:marBottom w:val="0"/>
      <w:divBdr>
        <w:top w:val="none" w:sz="0" w:space="0" w:color="auto"/>
        <w:left w:val="none" w:sz="0" w:space="0" w:color="auto"/>
        <w:bottom w:val="none" w:sz="0" w:space="0" w:color="auto"/>
        <w:right w:val="none" w:sz="0" w:space="0" w:color="auto"/>
      </w:divBdr>
    </w:div>
    <w:div w:id="2075662838">
      <w:bodyDiv w:val="1"/>
      <w:marLeft w:val="0"/>
      <w:marRight w:val="0"/>
      <w:marTop w:val="0"/>
      <w:marBottom w:val="0"/>
      <w:divBdr>
        <w:top w:val="none" w:sz="0" w:space="0" w:color="auto"/>
        <w:left w:val="none" w:sz="0" w:space="0" w:color="auto"/>
        <w:bottom w:val="none" w:sz="0" w:space="0" w:color="auto"/>
        <w:right w:val="none" w:sz="0" w:space="0" w:color="auto"/>
      </w:divBdr>
    </w:div>
    <w:div w:id="2081557182">
      <w:bodyDiv w:val="1"/>
      <w:marLeft w:val="0"/>
      <w:marRight w:val="0"/>
      <w:marTop w:val="0"/>
      <w:marBottom w:val="0"/>
      <w:divBdr>
        <w:top w:val="none" w:sz="0" w:space="0" w:color="auto"/>
        <w:left w:val="none" w:sz="0" w:space="0" w:color="auto"/>
        <w:bottom w:val="none" w:sz="0" w:space="0" w:color="auto"/>
        <w:right w:val="none" w:sz="0" w:space="0" w:color="auto"/>
      </w:divBdr>
    </w:div>
    <w:div w:id="2099249687">
      <w:bodyDiv w:val="1"/>
      <w:marLeft w:val="0"/>
      <w:marRight w:val="0"/>
      <w:marTop w:val="0"/>
      <w:marBottom w:val="0"/>
      <w:divBdr>
        <w:top w:val="none" w:sz="0" w:space="0" w:color="auto"/>
        <w:left w:val="none" w:sz="0" w:space="0" w:color="auto"/>
        <w:bottom w:val="none" w:sz="0" w:space="0" w:color="auto"/>
        <w:right w:val="none" w:sz="0" w:space="0" w:color="auto"/>
      </w:divBdr>
      <w:divsChild>
        <w:div w:id="97331102">
          <w:marLeft w:val="-240"/>
          <w:marRight w:val="-240"/>
          <w:marTop w:val="0"/>
          <w:marBottom w:val="0"/>
          <w:divBdr>
            <w:top w:val="none" w:sz="0" w:space="0" w:color="auto"/>
            <w:left w:val="none" w:sz="0" w:space="0" w:color="auto"/>
            <w:bottom w:val="none" w:sz="0" w:space="0" w:color="auto"/>
            <w:right w:val="none" w:sz="0" w:space="0" w:color="auto"/>
          </w:divBdr>
          <w:divsChild>
            <w:div w:id="2090809561">
              <w:marLeft w:val="0"/>
              <w:marRight w:val="0"/>
              <w:marTop w:val="0"/>
              <w:marBottom w:val="0"/>
              <w:divBdr>
                <w:top w:val="none" w:sz="0" w:space="0" w:color="auto"/>
                <w:left w:val="none" w:sz="0" w:space="0" w:color="auto"/>
                <w:bottom w:val="none" w:sz="0" w:space="0" w:color="auto"/>
                <w:right w:val="none" w:sz="0" w:space="0" w:color="auto"/>
              </w:divBdr>
              <w:divsChild>
                <w:div w:id="11719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piraeusbankgroup.com/el/investors/financials/financial-statements" TargetMode="External"/><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iraeusbankgroup.com/el/investors/financials/financial-results-categori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_____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________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_________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_________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_________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______________Microsoft_Office_Excel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141732283464552E-2"/>
          <c:y val="0.10946580786219737"/>
          <c:w val="0.83526410531081929"/>
          <c:h val="0.61390805276920146"/>
        </c:manualLayout>
      </c:layout>
      <c:barChart>
        <c:barDir val="col"/>
        <c:grouping val="clustered"/>
        <c:ser>
          <c:idx val="0"/>
          <c:order val="0"/>
          <c:tx>
            <c:strRef>
              <c:f>Sheet1!$B$1</c:f>
              <c:strCache>
                <c:ptCount val="1"/>
                <c:pt idx="0">
                  <c:v>Pre tax profit</c:v>
                </c:pt>
              </c:strCache>
            </c:strRef>
          </c:tx>
          <c:spPr>
            <a:solidFill>
              <a:srgbClr val="3A73AE"/>
            </a:solidFill>
            <a:ln w="12700">
              <a:noFill/>
              <a:prstDash val="solid"/>
            </a:ln>
            <a:effectLst/>
          </c:spPr>
          <c:dPt>
            <c:idx val="2"/>
            <c:spPr>
              <a:solidFill>
                <a:srgbClr val="FFC000"/>
              </a:solidFill>
              <a:ln w="12700">
                <a:noFill/>
                <a:prstDash val="solid"/>
              </a:ln>
              <a:effectLst/>
            </c:spPr>
            <c:extLst xmlns:c16r2="http://schemas.microsoft.com/office/drawing/2015/06/chart">
              <c:ext xmlns:c16="http://schemas.microsoft.com/office/drawing/2014/chart" uri="{C3380CC4-5D6E-409C-BE32-E72D297353CC}">
                <c16:uniqueId val="{00000001-E642-4CD9-BF5A-77CDFB3C8953}"/>
              </c:ext>
            </c:extLst>
          </c:dPt>
          <c:dLbls>
            <c:dLbl>
              <c:idx val="0"/>
              <c:tx>
                <c:rich>
                  <a:bodyPr/>
                  <a:lstStyle/>
                  <a:p>
                    <a:r>
                      <a:rPr lang="en-US"/>
                      <a:t>42,7</a:t>
                    </a:r>
                  </a:p>
                </c:rich>
              </c:tx>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E642-4CD9-BF5A-77CDFB3C8953}"/>
                </c:ext>
              </c:extLst>
            </c:dLbl>
            <c:dLbl>
              <c:idx val="1"/>
              <c:tx>
                <c:rich>
                  <a:bodyPr/>
                  <a:lstStyle/>
                  <a:p>
                    <a:r>
                      <a:rPr lang="en-US"/>
                      <a:t>44,6</a:t>
                    </a:r>
                  </a:p>
                </c:rich>
              </c:tx>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E642-4CD9-BF5A-77CDFB3C8953}"/>
                </c:ext>
              </c:extLst>
            </c:dLbl>
            <c:dLbl>
              <c:idx val="2"/>
              <c:layout>
                <c:manualLayout>
                  <c:x val="-5.7471264367816109E-3"/>
                  <c:y val="1.7842618022434979E-2"/>
                </c:manualLayout>
              </c:layout>
              <c:tx>
                <c:rich>
                  <a:bodyPr/>
                  <a:lstStyle/>
                  <a:p>
                    <a:pPr>
                      <a:defRPr sz="1000" b="1">
                        <a:solidFill>
                          <a:schemeClr val="accent1"/>
                        </a:solidFill>
                        <a:latin typeface="+mn-lt"/>
                      </a:defRPr>
                    </a:pPr>
                    <a:r>
                      <a:rPr lang="en-US"/>
                      <a:t>45,4</a:t>
                    </a:r>
                  </a:p>
                </c:rich>
              </c:tx>
              <c:spPr>
                <a:noFill/>
                <a:ln>
                  <a:noFill/>
                </a:ln>
                <a:effectLst/>
              </c:spP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E642-4CD9-BF5A-77CDFB3C8953}"/>
                </c:ext>
              </c:extLst>
            </c:dLbl>
            <c:dLbl>
              <c:idx val="3"/>
              <c:layout>
                <c:manualLayout>
                  <c:x val="-1.0536276751464835E-16"/>
                  <c:y val="1.7841213202497777E-2"/>
                </c:manualLayout>
              </c:layout>
              <c:tx>
                <c:rich>
                  <a:bodyPr/>
                  <a:lstStyle/>
                  <a:p>
                    <a:pPr>
                      <a:defRPr sz="800" b="1">
                        <a:solidFill>
                          <a:schemeClr val="tx2"/>
                        </a:solidFill>
                        <a:latin typeface="+mn-lt"/>
                      </a:defRPr>
                    </a:pPr>
                    <a:fld id="{6FD2298A-0993-4ABF-9F00-9D44E29769C1}" type="VALUE">
                      <a:rPr lang="en-US" b="1">
                        <a:solidFill>
                          <a:schemeClr val="tx2"/>
                        </a:solidFill>
                      </a:rPr>
                      <a:pPr>
                        <a:defRPr sz="800" b="1">
                          <a:solidFill>
                            <a:schemeClr val="tx2"/>
                          </a:solidFill>
                          <a:latin typeface="+mn-lt"/>
                        </a:defRPr>
                      </a:pPr>
                      <a:t>[VALUE]</a:t>
                    </a:fld>
                    <a:endParaRPr lang="el-GR"/>
                  </a:p>
                </c:rich>
              </c:tx>
              <c:spPr>
                <a:noFill/>
                <a:ln>
                  <a:noFill/>
                </a:ln>
                <a:effectLst/>
              </c:spPr>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E642-4CD9-BF5A-77CDFB3C8953}"/>
                </c:ext>
              </c:extLst>
            </c:dLbl>
            <c:dLbl>
              <c:idx val="5"/>
              <c:spPr>
                <a:noFill/>
                <a:ln>
                  <a:noFill/>
                </a:ln>
                <a:effectLst/>
              </c:spPr>
              <c:txPr>
                <a:bodyPr/>
                <a:lstStyle/>
                <a:p>
                  <a:pPr>
                    <a:defRPr sz="800" b="1">
                      <a:solidFill>
                        <a:schemeClr val="tx2"/>
                      </a:solidFill>
                      <a:latin typeface="+mn-lt"/>
                    </a:defRPr>
                  </a:pPr>
                  <a:endParaRPr lang="en-US"/>
                </a:p>
              </c:txPr>
            </c:dLbl>
            <c:dLbl>
              <c:idx val="6"/>
              <c:layout>
                <c:manualLayout>
                  <c:x val="-1.0536276751464835E-16"/>
                  <c:y val="-9.045680687471757E-3"/>
                </c:manualLayout>
              </c:layout>
              <c:tx>
                <c:rich>
                  <a:bodyPr/>
                  <a:lstStyle/>
                  <a:p>
                    <a:fld id="{D16646C8-31F2-4D03-9697-5123E3E5693E}" type="VALUE">
                      <a:rPr lang="en-US" b="0"/>
                      <a:pPr/>
                      <a:t>[VALUE]</a:t>
                    </a:fld>
                    <a:endParaRPr lang="el-G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E642-4CD9-BF5A-77CDFB3C8953}"/>
                </c:ext>
              </c:extLst>
            </c:dLbl>
            <c:dLbl>
              <c:idx val="7"/>
              <c:tx>
                <c:rich>
                  <a:bodyPr/>
                  <a:lstStyle/>
                  <a:p>
                    <a:fld id="{A1FE53ED-D15C-41D9-ADE1-13E2F310319A}" type="VALUE">
                      <a:rPr lang="en-US" b="1"/>
                      <a:pPr/>
                      <a:t>[VALUE]</a:t>
                    </a:fld>
                    <a:endParaRPr lang="el-GR"/>
                  </a:p>
                </c:rich>
              </c:tx>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6-E642-4CD9-BF5A-77CDFB3C8953}"/>
                </c:ext>
              </c:extLst>
            </c:dLbl>
            <c:spPr>
              <a:noFill/>
              <a:ln>
                <a:noFill/>
              </a:ln>
              <a:effectLst/>
            </c:spPr>
            <c:txPr>
              <a:bodyPr/>
              <a:lstStyle/>
              <a:p>
                <a:pPr>
                  <a:defRPr sz="800" b="0">
                    <a:solidFill>
                      <a:sysClr val="windowText" lastClr="000000"/>
                    </a:solidFill>
                    <a:latin typeface="+mn-lt"/>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Sheet1!$A$2:$A$4</c:f>
              <c:strCache>
                <c:ptCount val="3"/>
                <c:pt idx="0">
                  <c:v>Δεκ.
2018</c:v>
                </c:pt>
                <c:pt idx="1">
                  <c:v>Δεκ.
2019</c:v>
                </c:pt>
                <c:pt idx="2">
                  <c:v>1ο 6μ.
2020</c:v>
                </c:pt>
              </c:strCache>
            </c:strRef>
          </c:cat>
          <c:val>
            <c:numRef>
              <c:f>Sheet1!$B$2:$B$4</c:f>
              <c:numCache>
                <c:formatCode>#,##0.0</c:formatCode>
                <c:ptCount val="3"/>
                <c:pt idx="0">
                  <c:v>42.7</c:v>
                </c:pt>
                <c:pt idx="1">
                  <c:v>44.6</c:v>
                </c:pt>
                <c:pt idx="2">
                  <c:v>45.4</c:v>
                </c:pt>
              </c:numCache>
            </c:numRef>
          </c:val>
          <c:extLst xmlns:c16r2="http://schemas.microsoft.com/office/drawing/2015/06/chart">
            <c:ext xmlns:c16="http://schemas.microsoft.com/office/drawing/2014/chart" uri="{C3380CC4-5D6E-409C-BE32-E72D297353CC}">
              <c16:uniqueId val="{00000009-E642-4CD9-BF5A-77CDFB3C8953}"/>
            </c:ext>
          </c:extLst>
        </c:ser>
        <c:overlap val="100"/>
        <c:axId val="90945024"/>
        <c:axId val="90946560"/>
      </c:barChart>
      <c:catAx>
        <c:axId val="90945024"/>
        <c:scaling>
          <c:orientation val="minMax"/>
        </c:scaling>
        <c:axPos val="b"/>
        <c:numFmt formatCode="General" sourceLinked="1"/>
        <c:majorTickMark val="none"/>
        <c:tickLblPos val="nextTo"/>
        <c:spPr>
          <a:ln w="6350">
            <a:solidFill>
              <a:schemeClr val="bg1"/>
            </a:solidFill>
            <a:prstDash val="solid"/>
          </a:ln>
        </c:spPr>
        <c:txPr>
          <a:bodyPr/>
          <a:lstStyle/>
          <a:p>
            <a:pPr algn="ctr">
              <a:defRPr sz="700">
                <a:solidFill>
                  <a:schemeClr val="tx1">
                    <a:lumMod val="50000"/>
                    <a:lumOff val="50000"/>
                  </a:schemeClr>
                </a:solidFill>
                <a:latin typeface="+mn-lt"/>
              </a:defRPr>
            </a:pPr>
            <a:endParaRPr lang="en-US"/>
          </a:p>
        </c:txPr>
        <c:crossAx val="90946560"/>
        <c:crosses val="autoZero"/>
        <c:auto val="1"/>
        <c:lblAlgn val="ctr"/>
        <c:lblOffset val="100"/>
      </c:catAx>
      <c:valAx>
        <c:axId val="90946560"/>
        <c:scaling>
          <c:orientation val="minMax"/>
          <c:max val="50"/>
          <c:min val="0"/>
        </c:scaling>
        <c:delete val="1"/>
        <c:axPos val="l"/>
        <c:numFmt formatCode="#,##0.0" sourceLinked="1"/>
        <c:tickLblPos val="nextTo"/>
        <c:crossAx val="90945024"/>
        <c:crosses val="autoZero"/>
        <c:crossBetween val="between"/>
      </c:valAx>
      <c:spPr>
        <a:noFill/>
        <a:ln>
          <a:noFill/>
        </a:ln>
      </c:spPr>
    </c:plotArea>
    <c:plotVisOnly val="1"/>
    <c:dispBlanksAs val="gap"/>
  </c:chart>
  <c:spPr>
    <a:noFill/>
    <a:ln w="0">
      <a:noFill/>
    </a:ln>
  </c:spPr>
  <c:txPr>
    <a:bodyPr/>
    <a:lstStyle/>
    <a:p>
      <a:pPr>
        <a:defRPr sz="400">
          <a:latin typeface="+mj-lt"/>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3661079704876775E-2"/>
          <c:y val="0.15222343972945074"/>
          <c:w val="0.92790407689519516"/>
          <c:h val="0.60620807695838586"/>
        </c:manualLayout>
      </c:layout>
      <c:barChart>
        <c:barDir val="col"/>
        <c:grouping val="stacked"/>
        <c:ser>
          <c:idx val="0"/>
          <c:order val="0"/>
          <c:tx>
            <c:strRef>
              <c:f>Sheet1!$B$3</c:f>
              <c:strCache>
                <c:ptCount val="1"/>
                <c:pt idx="0">
                  <c:v>Base</c:v>
                </c:pt>
              </c:strCache>
            </c:strRef>
          </c:tx>
          <c:spPr>
            <a:noFill/>
            <a:ln>
              <a:noFill/>
            </a:ln>
            <a:effectLst>
              <a:innerShdw blurRad="63500" dist="50800" dir="13500000">
                <a:prstClr val="black">
                  <a:alpha val="50000"/>
                </a:prstClr>
              </a:innerShdw>
            </a:effectLst>
          </c:spPr>
          <c:cat>
            <c:strRef>
              <c:f>Sheet1!$A$4:$A$7</c:f>
              <c:strCache>
                <c:ptCount val="4"/>
                <c:pt idx="0">
                  <c:v>2018</c:v>
                </c:pt>
                <c:pt idx="1">
                  <c:v>2019</c:v>
                </c:pt>
                <c:pt idx="2">
                  <c:v>1ο 6μ.
2020</c:v>
                </c:pt>
                <c:pt idx="3">
                  <c:v>Στόχος 2020</c:v>
                </c:pt>
              </c:strCache>
            </c:strRef>
          </c:cat>
          <c:val>
            <c:numRef>
              <c:f>Sheet1!$B$4:$B$7</c:f>
              <c:numCache>
                <c:formatCode>#,##0.0</c:formatCode>
                <c:ptCount val="4"/>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2-4A9E-4B79-A277-02C5CF2B44C8}"/>
            </c:ext>
          </c:extLst>
        </c:ser>
        <c:ser>
          <c:idx val="1"/>
          <c:order val="1"/>
          <c:tx>
            <c:strRef>
              <c:f>Sheet1!$C$3</c:f>
              <c:strCache>
                <c:ptCount val="1"/>
                <c:pt idx="0">
                  <c:v>Value</c:v>
                </c:pt>
              </c:strCache>
            </c:strRef>
          </c:tx>
          <c:spPr>
            <a:solidFill>
              <a:srgbClr val="002060"/>
            </a:solidFill>
            <a:ln>
              <a:noFill/>
            </a:ln>
            <a:effectLst/>
          </c:spPr>
          <c:dPt>
            <c:idx val="0"/>
            <c:spPr>
              <a:solidFill>
                <a:srgbClr val="3A73AE"/>
              </a:solidFill>
              <a:ln>
                <a:noFill/>
              </a:ln>
              <a:effectLst/>
            </c:spPr>
            <c:extLst xmlns:c16r2="http://schemas.microsoft.com/office/drawing/2015/06/chart">
              <c:ext xmlns:c16="http://schemas.microsoft.com/office/drawing/2014/chart" uri="{C3380CC4-5D6E-409C-BE32-E72D297353CC}">
                <c16:uniqueId val="{00000004-4A9E-4B79-A277-02C5CF2B44C8}"/>
              </c:ext>
            </c:extLst>
          </c:dPt>
          <c:dPt>
            <c:idx val="1"/>
            <c:spPr>
              <a:solidFill>
                <a:srgbClr val="3A73AE"/>
              </a:solidFill>
              <a:ln>
                <a:noFill/>
              </a:ln>
              <a:effectLst/>
            </c:spPr>
            <c:extLst xmlns:c16r2="http://schemas.microsoft.com/office/drawing/2015/06/chart">
              <c:ext xmlns:c16="http://schemas.microsoft.com/office/drawing/2014/chart" uri="{C3380CC4-5D6E-409C-BE32-E72D297353CC}">
                <c16:uniqueId val="{00000006-4A9E-4B79-A277-02C5CF2B44C8}"/>
              </c:ext>
            </c:extLst>
          </c:dPt>
          <c:dPt>
            <c:idx val="2"/>
            <c:spPr>
              <a:solidFill>
                <a:srgbClr val="FFC000"/>
              </a:solidFill>
              <a:ln>
                <a:noFill/>
              </a:ln>
              <a:effectLst/>
            </c:spPr>
            <c:extLst xmlns:c16r2="http://schemas.microsoft.com/office/drawing/2015/06/chart">
              <c:ext xmlns:c16="http://schemas.microsoft.com/office/drawing/2014/chart" uri="{C3380CC4-5D6E-409C-BE32-E72D297353CC}">
                <c16:uniqueId val="{00000008-4A9E-4B79-A277-02C5CF2B44C8}"/>
              </c:ext>
            </c:extLst>
          </c:dPt>
          <c:dPt>
            <c:idx val="3"/>
            <c:spPr>
              <a:solidFill>
                <a:srgbClr val="3A73AE"/>
              </a:solidFill>
              <a:ln>
                <a:solidFill>
                  <a:srgbClr val="3A73AE"/>
                </a:solidFill>
              </a:ln>
              <a:effectLst/>
            </c:spPr>
            <c:extLst xmlns:c16r2="http://schemas.microsoft.com/office/drawing/2015/06/chart">
              <c:ext xmlns:c16="http://schemas.microsoft.com/office/drawing/2014/chart" uri="{C3380CC4-5D6E-409C-BE32-E72D297353CC}">
                <c16:uniqueId val="{0000000A-4A9E-4B79-A277-02C5CF2B44C8}"/>
              </c:ext>
            </c:extLst>
          </c:dPt>
          <c:dLbls>
            <c:dLbl>
              <c:idx val="0"/>
              <c:layout>
                <c:manualLayout>
                  <c:x val="-6.6577896138481883E-3"/>
                  <c:y val="-0.27726432532347522"/>
                </c:manualLayout>
              </c:layout>
              <c:tx>
                <c:rich>
                  <a:bodyPr/>
                  <a:lstStyle/>
                  <a:p>
                    <a:r>
                      <a:rPr lang="en-US"/>
                      <a:t>3,1</a:t>
                    </a:r>
                  </a:p>
                </c:rich>
              </c:tx>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4A9E-4B79-A277-02C5CF2B44C8}"/>
                </c:ext>
              </c:extLst>
            </c:dLbl>
            <c:dLbl>
              <c:idx val="1"/>
              <c:layout>
                <c:manualLayout>
                  <c:x val="0"/>
                  <c:y val="-0.2865064695009244"/>
                </c:manualLayout>
              </c:layout>
              <c:tx>
                <c:rich>
                  <a:bodyPr/>
                  <a:lstStyle/>
                  <a:p>
                    <a:r>
                      <a:rPr lang="en-US"/>
                      <a:t>3,9</a:t>
                    </a:r>
                  </a:p>
                </c:rich>
              </c:tx>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4A9E-4B79-A277-02C5CF2B44C8}"/>
                </c:ext>
              </c:extLst>
            </c:dLbl>
            <c:dLbl>
              <c:idx val="2"/>
              <c:layout>
                <c:manualLayout>
                  <c:x val="-1.2205806622868723E-16"/>
                  <c:y val="-0.26802218114602588"/>
                </c:manualLayout>
              </c:layout>
              <c:tx>
                <c:rich>
                  <a:bodyPr wrap="square" lIns="38100" tIns="19050" rIns="38100" bIns="19050" anchor="ctr">
                    <a:spAutoFit/>
                  </a:bodyPr>
                  <a:lstStyle/>
                  <a:p>
                    <a:pPr>
                      <a:defRPr sz="1000" b="1">
                        <a:solidFill>
                          <a:srgbClr val="0070C0"/>
                        </a:solidFill>
                      </a:defRPr>
                    </a:pPr>
                    <a:r>
                      <a:rPr lang="en-US"/>
                      <a:t>2,6</a:t>
                    </a:r>
                  </a:p>
                </c:rich>
              </c:tx>
              <c:spPr>
                <a:noFill/>
                <a:ln>
                  <a:noFill/>
                </a:ln>
                <a:effectLst/>
              </c:spPr>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4A9E-4B79-A277-02C5CF2B44C8}"/>
                </c:ext>
              </c:extLst>
            </c:dLbl>
            <c:dLbl>
              <c:idx val="3"/>
              <c:layout>
                <c:manualLayout>
                  <c:x val="-1.331505499229374E-2"/>
                  <c:y val="-0.33271719038817016"/>
                </c:manualLayout>
              </c:layout>
              <c:tx>
                <c:rich>
                  <a:bodyPr wrap="square" lIns="38100" tIns="19050" rIns="38100" bIns="19050" anchor="ctr">
                    <a:noAutofit/>
                  </a:bodyPr>
                  <a:lstStyle/>
                  <a:p>
                    <a:pPr>
                      <a:defRPr sz="1050"/>
                    </a:pPr>
                    <a:r>
                      <a:rPr lang="en-US" sz="1050" b="1">
                        <a:solidFill>
                          <a:srgbClr val="0070C0"/>
                        </a:solidFill>
                      </a:rPr>
                      <a:t>5,0</a:t>
                    </a:r>
                    <a:endParaRPr lang="en-US"/>
                  </a:p>
                </c:rich>
              </c:tx>
              <c:spPr>
                <a:noFill/>
                <a:ln>
                  <a:noFill/>
                </a:ln>
                <a:effectLst/>
              </c:spPr>
              <c:showVal val="1"/>
              <c:extLst xmlns:c16r2="http://schemas.microsoft.com/office/drawing/2015/06/chart">
                <c:ext xmlns:c15="http://schemas.microsoft.com/office/drawing/2012/chart" uri="{CE6537A1-D6FC-4f65-9D91-7224C49458BB}">
                  <c15:layout>
                    <c:manualLayout>
                      <c:w val="0.13385459806871677"/>
                      <c:h val="9.9492045934184287E-2"/>
                    </c:manualLayout>
                  </c15:layout>
                </c:ext>
                <c:ext xmlns:c16="http://schemas.microsoft.com/office/drawing/2014/chart" uri="{C3380CC4-5D6E-409C-BE32-E72D297353CC}">
                  <c16:uniqueId val="{0000000A-4A9E-4B79-A277-02C5CF2B44C8}"/>
                </c:ext>
              </c:extLst>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Sheet1!$A$4:$A$7</c:f>
              <c:strCache>
                <c:ptCount val="4"/>
                <c:pt idx="0">
                  <c:v>2018</c:v>
                </c:pt>
                <c:pt idx="1">
                  <c:v>2019</c:v>
                </c:pt>
                <c:pt idx="2">
                  <c:v>1ο 6μ.
2020</c:v>
                </c:pt>
                <c:pt idx="3">
                  <c:v>Στόχος 2020</c:v>
                </c:pt>
              </c:strCache>
            </c:strRef>
          </c:cat>
          <c:val>
            <c:numRef>
              <c:f>Sheet1!$C$4:$C$7</c:f>
              <c:numCache>
                <c:formatCode>#,##0.0</c:formatCode>
                <c:ptCount val="4"/>
                <c:pt idx="0">
                  <c:v>3.1</c:v>
                </c:pt>
                <c:pt idx="1">
                  <c:v>3.9</c:v>
                </c:pt>
                <c:pt idx="2">
                  <c:v>2.6</c:v>
                </c:pt>
                <c:pt idx="3">
                  <c:v>4.9000000000000004</c:v>
                </c:pt>
              </c:numCache>
            </c:numRef>
          </c:val>
          <c:extLst xmlns:c16r2="http://schemas.microsoft.com/office/drawing/2015/06/chart">
            <c:ext xmlns:c16="http://schemas.microsoft.com/office/drawing/2014/chart" uri="{C3380CC4-5D6E-409C-BE32-E72D297353CC}">
              <c16:uniqueId val="{0000001E-4A9E-4B79-A277-02C5CF2B44C8}"/>
            </c:ext>
          </c:extLst>
        </c:ser>
        <c:ser>
          <c:idx val="2"/>
          <c:order val="2"/>
          <c:tx>
            <c:strRef>
              <c:f>Sheet1!$D$3</c:f>
              <c:strCache>
                <c:ptCount val="1"/>
                <c:pt idx="0">
                  <c:v>Total</c:v>
                </c:pt>
              </c:strCache>
            </c:strRef>
          </c:tx>
          <c:spPr>
            <a:noFill/>
            <a:ln>
              <a:noFill/>
            </a:ln>
            <a:effectLst/>
          </c:spPr>
          <c:cat>
            <c:strRef>
              <c:f>Sheet1!$A$4:$A$7</c:f>
              <c:strCache>
                <c:ptCount val="4"/>
                <c:pt idx="0">
                  <c:v>2018</c:v>
                </c:pt>
                <c:pt idx="1">
                  <c:v>2019</c:v>
                </c:pt>
                <c:pt idx="2">
                  <c:v>1ο 6μ.
2020</c:v>
                </c:pt>
                <c:pt idx="3">
                  <c:v>Στόχος 2020</c:v>
                </c:pt>
              </c:strCache>
            </c:strRef>
          </c:cat>
          <c:val>
            <c:numRef>
              <c:f>Sheet1!$D$4:$D$7</c:f>
              <c:numCache>
                <c:formatCode>#,##0.0</c:formatCode>
                <c:ptCount val="4"/>
                <c:pt idx="0">
                  <c:v>3.1</c:v>
                </c:pt>
                <c:pt idx="1">
                  <c:v>3.9</c:v>
                </c:pt>
                <c:pt idx="2">
                  <c:v>2.6</c:v>
                </c:pt>
                <c:pt idx="3">
                  <c:v>4.9000000000000004</c:v>
                </c:pt>
              </c:numCache>
            </c:numRef>
          </c:val>
          <c:extLst xmlns:c16r2="http://schemas.microsoft.com/office/drawing/2015/06/chart">
            <c:ext xmlns:c16="http://schemas.microsoft.com/office/drawing/2014/chart" uri="{C3380CC4-5D6E-409C-BE32-E72D297353CC}">
              <c16:uniqueId val="{0000001F-4A9E-4B79-A277-02C5CF2B44C8}"/>
            </c:ext>
          </c:extLst>
        </c:ser>
        <c:gapWidth val="100"/>
        <c:overlap val="100"/>
        <c:axId val="214899712"/>
        <c:axId val="214954752"/>
      </c:barChart>
      <c:catAx>
        <c:axId val="214899712"/>
        <c:scaling>
          <c:orientation val="minMax"/>
        </c:scaling>
        <c:axPos val="b"/>
        <c:numFmt formatCode="General" sourceLinked="1"/>
        <c:tickLblPos val="nextTo"/>
        <c:spPr>
          <a:noFill/>
          <a:ln w="9525" cap="flat" cmpd="sng" algn="ctr">
            <a:noFill/>
            <a:round/>
          </a:ln>
          <a:effectLst/>
        </c:spPr>
        <c:txPr>
          <a:bodyPr rot="-60000000" spcFirstLastPara="1" vertOverflow="ellipsis" vert="horz" wrap="square" anchor="ctr" anchorCtr="1"/>
          <a:lstStyle/>
          <a:p>
            <a:pPr>
              <a:defRPr sz="700" b="0" i="0" u="none" strike="noStrike" kern="1200" baseline="0">
                <a:solidFill>
                  <a:schemeClr val="tx1">
                    <a:lumMod val="50000"/>
                    <a:lumOff val="50000"/>
                  </a:schemeClr>
                </a:solidFill>
                <a:latin typeface="Calibri" panose="020F0502020204030204" pitchFamily="34" charset="0"/>
                <a:ea typeface="+mn-ea"/>
                <a:cs typeface="+mn-cs"/>
              </a:defRPr>
            </a:pPr>
            <a:endParaRPr lang="en-US"/>
          </a:p>
        </c:txPr>
        <c:crossAx val="214954752"/>
        <c:crosses val="autoZero"/>
        <c:auto val="1"/>
        <c:lblAlgn val="ctr"/>
        <c:lblOffset val="100"/>
      </c:catAx>
      <c:valAx>
        <c:axId val="214954752"/>
        <c:scaling>
          <c:orientation val="minMax"/>
          <c:max val="6"/>
          <c:min val="0"/>
        </c:scaling>
        <c:delete val="1"/>
        <c:axPos val="l"/>
        <c:majorGridlines>
          <c:spPr>
            <a:ln w="9525" cap="flat" cmpd="sng" algn="ctr">
              <a:noFill/>
              <a:round/>
            </a:ln>
            <a:effectLst/>
          </c:spPr>
        </c:majorGridlines>
        <c:numFmt formatCode="#,##0.0" sourceLinked="1"/>
        <c:tickLblPos val="nextTo"/>
        <c:crossAx val="214899712"/>
        <c:crosses val="autoZero"/>
        <c:crossBetween val="between"/>
        <c:majorUnit val="0.1"/>
      </c:valAx>
      <c:spPr>
        <a:noFill/>
        <a:ln>
          <a:noFill/>
        </a:ln>
        <a:effectLst/>
      </c:spPr>
    </c:plotArea>
    <c:plotVisOnly val="1"/>
    <c:dispBlanksAs val="gap"/>
  </c:chart>
  <c:spPr>
    <a:noFill/>
    <a:ln>
      <a:noFill/>
    </a:ln>
    <a:effectLst/>
  </c:spPr>
  <c:txPr>
    <a:bodyPr/>
    <a:lstStyle/>
    <a:p>
      <a:pPr>
        <a:defRPr sz="800">
          <a:latin typeface="+mj-lt"/>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9417416572928512E-2"/>
          <c:y val="0.22399478171737419"/>
          <c:w val="0.86960996154550485"/>
          <c:h val="0.65082500782076824"/>
        </c:manualLayout>
      </c:layout>
      <c:barChart>
        <c:barDir val="col"/>
        <c:grouping val="clustered"/>
        <c:ser>
          <c:idx val="0"/>
          <c:order val="0"/>
          <c:tx>
            <c:strRef>
              <c:f>Sheet1!$B$1</c:f>
              <c:strCache>
                <c:ptCount val="1"/>
                <c:pt idx="0">
                  <c:v>Series 2</c:v>
                </c:pt>
              </c:strCache>
            </c:strRef>
          </c:tx>
          <c:spPr>
            <a:solidFill>
              <a:srgbClr val="3A73AE"/>
            </a:solidFill>
            <a:ln w="12700">
              <a:noFill/>
              <a:prstDash val="solid"/>
            </a:ln>
            <a:effectLst/>
          </c:spPr>
          <c:dPt>
            <c:idx val="5"/>
            <c:spPr>
              <a:solidFill>
                <a:srgbClr val="FFC000"/>
              </a:solidFill>
              <a:ln w="12700">
                <a:noFill/>
                <a:prstDash val="solid"/>
              </a:ln>
              <a:effectLst/>
            </c:spPr>
            <c:extLst xmlns:c16r2="http://schemas.microsoft.com/office/drawing/2015/06/chart">
              <c:ext xmlns:c16="http://schemas.microsoft.com/office/drawing/2014/chart" uri="{C3380CC4-5D6E-409C-BE32-E72D297353CC}">
                <c16:uniqueId val="{00000004-3204-447F-96F0-2A677E8FC25F}"/>
              </c:ext>
            </c:extLst>
          </c:dPt>
          <c:dLbls>
            <c:dLbl>
              <c:idx val="0"/>
              <c:layout>
                <c:manualLayout>
                  <c:x val="5.5663790704146981E-3"/>
                  <c:y val="2.5359256128486891E-2"/>
                </c:manualLayout>
              </c:layout>
              <c:tx>
                <c:rich>
                  <a:bodyPr/>
                  <a:lstStyle/>
                  <a:p>
                    <a:r>
                      <a:rPr lang="en-US"/>
                      <a:t>26,0</a:t>
                    </a:r>
                  </a:p>
                </c:rich>
              </c:tx>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3204-447F-96F0-2A677E8FC25F}"/>
                </c:ext>
              </c:extLst>
            </c:dLbl>
            <c:dLbl>
              <c:idx val="1"/>
              <c:layout>
                <c:manualLayout>
                  <c:x val="-8.5370553780379343E-3"/>
                  <c:y val="4.2265426880811518E-3"/>
                </c:manualLayout>
              </c:layout>
              <c:tx>
                <c:rich>
                  <a:bodyPr wrap="square" lIns="38100" tIns="19050" rIns="38100" bIns="19050" anchor="ctr">
                    <a:noAutofit/>
                  </a:bodyPr>
                  <a:lstStyle/>
                  <a:p>
                    <a:pPr>
                      <a:defRPr sz="800" b="0">
                        <a:solidFill>
                          <a:sysClr val="windowText" lastClr="000000"/>
                        </a:solidFill>
                      </a:defRPr>
                    </a:pPr>
                    <a:r>
                      <a:rPr lang="en-US"/>
                      <a:t>25,2</a:t>
                    </a:r>
                  </a:p>
                </c:rich>
              </c:tx>
              <c:numFmt formatCode="#,##0.0" sourceLinked="0"/>
              <c:spPr>
                <a:noFill/>
                <a:ln>
                  <a:noFill/>
                </a:ln>
                <a:effectLst/>
              </c:spPr>
              <c:dLblPos val="outEnd"/>
              <c:showVal val="1"/>
              <c:extLst xmlns:c16r2="http://schemas.microsoft.com/office/drawing/2015/06/chart">
                <c:ext xmlns:c15="http://schemas.microsoft.com/office/drawing/2012/chart" uri="{CE6537A1-D6FC-4f65-9D91-7224C49458BB}">
                  <c15:layout>
                    <c:manualLayout>
                      <c:w val="0.13096231496959293"/>
                      <c:h val="7.2231947337943705E-2"/>
                    </c:manualLayout>
                  </c15:layout>
                </c:ext>
                <c:ext xmlns:c16="http://schemas.microsoft.com/office/drawing/2014/chart" uri="{C3380CC4-5D6E-409C-BE32-E72D297353CC}">
                  <c16:uniqueId val="{00000009-3204-447F-96F0-2A677E8FC25F}"/>
                </c:ext>
              </c:extLst>
            </c:dLbl>
            <c:dLbl>
              <c:idx val="2"/>
              <c:layout>
                <c:manualLayout>
                  <c:x val="-8.5370553780379568E-3"/>
                  <c:y val="2.535925612848686E-2"/>
                </c:manualLayout>
              </c:layout>
              <c:tx>
                <c:rich>
                  <a:bodyPr wrap="square" lIns="38100" tIns="19050" rIns="38100" bIns="19050" anchor="ctr">
                    <a:noAutofit/>
                  </a:bodyPr>
                  <a:lstStyle/>
                  <a:p>
                    <a:pPr>
                      <a:defRPr sz="800" b="0">
                        <a:solidFill>
                          <a:sysClr val="windowText" lastClr="000000"/>
                        </a:solidFill>
                      </a:defRPr>
                    </a:pPr>
                    <a:r>
                      <a:rPr lang="en-US"/>
                      <a:t>24,8</a:t>
                    </a:r>
                  </a:p>
                </c:rich>
              </c:tx>
              <c:numFmt formatCode="#,##0.0" sourceLinked="0"/>
              <c:spPr>
                <a:noFill/>
                <a:ln>
                  <a:noFill/>
                </a:ln>
                <a:effectLst/>
              </c:spPr>
              <c:dLblPos val="outEnd"/>
              <c:showVal val="1"/>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11957927569810743"/>
                      <c:h val="0.11449737421875519"/>
                    </c:manualLayout>
                  </c15:layout>
                </c:ext>
                <c:ext xmlns:c16="http://schemas.microsoft.com/office/drawing/2014/chart" uri="{C3380CC4-5D6E-409C-BE32-E72D297353CC}">
                  <c16:uniqueId val="{00000000-3204-447F-96F0-2A677E8FC25F}"/>
                </c:ext>
              </c:extLst>
            </c:dLbl>
            <c:dLbl>
              <c:idx val="3"/>
              <c:layout>
                <c:manualLayout>
                  <c:x val="-1.0434332127233246E-16"/>
                  <c:y val="3.3812341504649138E-2"/>
                </c:manualLayout>
              </c:layout>
              <c:tx>
                <c:rich>
                  <a:bodyPr/>
                  <a:lstStyle/>
                  <a:p>
                    <a:r>
                      <a:rPr lang="en-US" b="0">
                        <a:solidFill>
                          <a:sysClr val="windowText" lastClr="000000"/>
                        </a:solidFill>
                      </a:rPr>
                      <a:t>23,7</a:t>
                    </a:r>
                    <a:endParaRPr lang="en-US"/>
                  </a:p>
                </c:rich>
              </c:tx>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3204-447F-96F0-2A677E8FC25F}"/>
                </c:ext>
              </c:extLst>
            </c:dLbl>
            <c:dLbl>
              <c:idx val="4"/>
              <c:layout>
                <c:manualLayout>
                  <c:x val="0"/>
                  <c:y val="2.5359256128486891E-2"/>
                </c:manualLayout>
              </c:layout>
              <c:tx>
                <c:rich>
                  <a:bodyPr/>
                  <a:lstStyle/>
                  <a:p>
                    <a:r>
                      <a:rPr lang="en-US" sz="800" b="0">
                        <a:solidFill>
                          <a:sysClr val="windowText" lastClr="000000"/>
                        </a:solidFill>
                      </a:rPr>
                      <a:t>23,4</a:t>
                    </a:r>
                    <a:endParaRPr lang="en-US"/>
                  </a:p>
                </c:rich>
              </c:tx>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3204-447F-96F0-2A677E8FC25F}"/>
                </c:ext>
              </c:extLst>
            </c:dLbl>
            <c:dLbl>
              <c:idx val="5"/>
              <c:layout>
                <c:manualLayout>
                  <c:x val="5.5663790704146981E-3"/>
                  <c:y val="2.5359256128486891E-2"/>
                </c:manualLayout>
              </c:layout>
              <c:tx>
                <c:rich>
                  <a:bodyPr wrap="square" lIns="38100" tIns="19050" rIns="38100" bIns="19050" anchor="ctr">
                    <a:spAutoFit/>
                  </a:bodyPr>
                  <a:lstStyle/>
                  <a:p>
                    <a:pPr>
                      <a:defRPr sz="1000" b="1">
                        <a:solidFill>
                          <a:schemeClr val="accent1"/>
                        </a:solidFill>
                      </a:defRPr>
                    </a:pPr>
                    <a:r>
                      <a:rPr lang="en-US"/>
                      <a:t>22,6</a:t>
                    </a:r>
                  </a:p>
                </c:rich>
              </c:tx>
              <c:numFmt formatCode="#,##0.0" sourceLinked="0"/>
              <c:spPr>
                <a:noFill/>
                <a:ln>
                  <a:noFill/>
                </a:ln>
                <a:effectLst/>
              </c:spPr>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3204-447F-96F0-2A677E8FC25F}"/>
                </c:ext>
              </c:extLst>
            </c:dLbl>
            <c:dLbl>
              <c:idx val="6"/>
              <c:layout>
                <c:manualLayout>
                  <c:x val="5.4414512926919002E-3"/>
                  <c:y val="3.3812341504649214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204-447F-96F0-2A677E8FC25F}"/>
                </c:ext>
              </c:extLst>
            </c:dLbl>
            <c:dLbl>
              <c:idx val="7"/>
              <c:layout>
                <c:manualLayout>
                  <c:x val="-5.5663790704146981E-3"/>
                  <c:y val="3.3812341504649214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204-447F-96F0-2A677E8FC25F}"/>
                </c:ext>
              </c:extLst>
            </c:dLbl>
            <c:dLbl>
              <c:idx val="8"/>
              <c:layout>
                <c:manualLayout>
                  <c:x val="5.5663790704146981E-3"/>
                  <c:y val="3.3812341504649138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204-447F-96F0-2A677E8FC25F}"/>
                </c:ext>
              </c:extLst>
            </c:dLbl>
            <c:numFmt formatCode="#,##0.0" sourceLinked="0"/>
            <c:spPr>
              <a:noFill/>
              <a:ln>
                <a:noFill/>
              </a:ln>
              <a:effectLst/>
            </c:spPr>
            <c:txPr>
              <a:bodyPr wrap="square" lIns="38100" tIns="19050" rIns="38100" bIns="19050" anchor="ctr">
                <a:spAutoFit/>
              </a:bodyPr>
              <a:lstStyle/>
              <a:p>
                <a:pPr>
                  <a:defRPr sz="800" b="0">
                    <a:solidFill>
                      <a:sysClr val="windowText" lastClr="000000"/>
                    </a:solidFill>
                  </a:defRPr>
                </a:pPr>
                <a:endParaRPr lang="en-US"/>
              </a:p>
            </c:txPr>
            <c:dLblPos val="outEnd"/>
            <c:showVal val="1"/>
            <c:extLst xmlns:c16r2="http://schemas.microsoft.com/office/drawing/2015/06/chart">
              <c:ext xmlns:c15="http://schemas.microsoft.com/office/drawing/2012/chart" uri="{CE6537A1-D6FC-4f65-9D91-7224C49458BB}">
                <c15:showLeaderLines val="1"/>
              </c:ext>
            </c:extLst>
          </c:dLbls>
          <c:cat>
            <c:strRef>
              <c:f>Sheet1!$A$2:$A$11</c:f>
              <c:strCache>
                <c:ptCount val="6"/>
                <c:pt idx="0">
                  <c:v>Μαρ.19</c:v>
                </c:pt>
                <c:pt idx="1">
                  <c:v>Ιουν.19</c:v>
                </c:pt>
                <c:pt idx="2">
                  <c:v>Σεπτ.19</c:v>
                </c:pt>
                <c:pt idx="3">
                  <c:v>Δεκ.19</c:v>
                </c:pt>
                <c:pt idx="4">
                  <c:v>Μαρ.20</c:v>
                </c:pt>
                <c:pt idx="5">
                  <c:v>Ιουν.20</c:v>
                </c:pt>
              </c:strCache>
            </c:strRef>
          </c:cat>
          <c:val>
            <c:numRef>
              <c:f>Sheet1!$B$2:$B$11</c:f>
              <c:numCache>
                <c:formatCode>0.0</c:formatCode>
                <c:ptCount val="6"/>
                <c:pt idx="0">
                  <c:v>26.020242891639953</c:v>
                </c:pt>
                <c:pt idx="1">
                  <c:v>25.242192164859986</c:v>
                </c:pt>
                <c:pt idx="2">
                  <c:v>24.838085254300015</c:v>
                </c:pt>
                <c:pt idx="3">
                  <c:v>23.73035743797001</c:v>
                </c:pt>
                <c:pt idx="4">
                  <c:v>23.4</c:v>
                </c:pt>
                <c:pt idx="5" formatCode="General">
                  <c:v>22.6</c:v>
                </c:pt>
              </c:numCache>
            </c:numRef>
          </c:val>
          <c:extLst xmlns:c16r2="http://schemas.microsoft.com/office/drawing/2015/06/chart">
            <c:ext xmlns:c16="http://schemas.microsoft.com/office/drawing/2014/chart" uri="{C3380CC4-5D6E-409C-BE32-E72D297353CC}">
              <c16:uniqueId val="{0000000A-3204-447F-96F0-2A677E8FC25F}"/>
            </c:ext>
          </c:extLst>
        </c:ser>
        <c:dLbls>
          <c:showVal val="1"/>
        </c:dLbls>
        <c:gapWidth val="130"/>
        <c:overlap val="-24"/>
        <c:axId val="207771136"/>
        <c:axId val="207772672"/>
      </c:barChart>
      <c:catAx>
        <c:axId val="207771136"/>
        <c:scaling>
          <c:orientation val="minMax"/>
        </c:scaling>
        <c:axPos val="b"/>
        <c:numFmt formatCode="General" sourceLinked="1"/>
        <c:majorTickMark val="none"/>
        <c:tickLblPos val="nextTo"/>
        <c:spPr>
          <a:ln w="6350">
            <a:solidFill>
              <a:schemeClr val="bg1"/>
            </a:solidFill>
            <a:prstDash val="solid"/>
          </a:ln>
        </c:spPr>
        <c:txPr>
          <a:bodyPr/>
          <a:lstStyle/>
          <a:p>
            <a:pPr algn="ctr">
              <a:defRPr lang="en-GB" sz="700" b="0" i="0" u="none" strike="noStrike" kern="1200" baseline="0">
                <a:solidFill>
                  <a:schemeClr val="tx1">
                    <a:lumMod val="50000"/>
                    <a:lumOff val="50000"/>
                  </a:schemeClr>
                </a:solidFill>
                <a:latin typeface="+mn-lt"/>
                <a:ea typeface="+mn-ea"/>
                <a:cs typeface="+mn-cs"/>
              </a:defRPr>
            </a:pPr>
            <a:endParaRPr lang="en-US"/>
          </a:p>
        </c:txPr>
        <c:crossAx val="207772672"/>
        <c:crosses val="autoZero"/>
        <c:auto val="1"/>
        <c:lblAlgn val="ctr"/>
        <c:lblOffset val="100"/>
      </c:catAx>
      <c:valAx>
        <c:axId val="207772672"/>
        <c:scaling>
          <c:orientation val="minMax"/>
          <c:max val="35"/>
          <c:min val="0"/>
        </c:scaling>
        <c:delete val="1"/>
        <c:axPos val="l"/>
        <c:numFmt formatCode="0.0" sourceLinked="1"/>
        <c:tickLblPos val="nextTo"/>
        <c:crossAx val="207771136"/>
        <c:crosses val="autoZero"/>
        <c:crossBetween val="between"/>
      </c:valAx>
      <c:spPr>
        <a:noFill/>
        <a:ln>
          <a:noFill/>
        </a:ln>
      </c:spPr>
    </c:plotArea>
    <c:plotVisOnly val="1"/>
    <c:dispBlanksAs val="gap"/>
  </c:chart>
  <c:spPr>
    <a:noFill/>
    <a:ln w="0">
      <a:noFill/>
    </a:ln>
  </c:spPr>
  <c:txPr>
    <a:bodyPr/>
    <a:lstStyle/>
    <a:p>
      <a:pPr>
        <a:defRPr sz="700">
          <a:latin typeface="+mj-lt"/>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566655761655294E-2"/>
          <c:y val="0.15637009870807569"/>
          <c:w val="0.86960996154550485"/>
          <c:h val="0.71844953155690128"/>
        </c:manualLayout>
      </c:layout>
      <c:barChart>
        <c:barDir val="col"/>
        <c:grouping val="clustered"/>
        <c:ser>
          <c:idx val="0"/>
          <c:order val="0"/>
          <c:tx>
            <c:strRef>
              <c:f>Sheet1!$B$1</c:f>
              <c:strCache>
                <c:ptCount val="1"/>
                <c:pt idx="0">
                  <c:v>Series 2</c:v>
                </c:pt>
              </c:strCache>
            </c:strRef>
          </c:tx>
          <c:spPr>
            <a:solidFill>
              <a:srgbClr val="3A73AE"/>
            </a:solidFill>
            <a:ln w="12700">
              <a:noFill/>
              <a:prstDash val="solid"/>
            </a:ln>
            <a:effectLst/>
          </c:spPr>
          <c:dPt>
            <c:idx val="5"/>
            <c:spPr>
              <a:solidFill>
                <a:srgbClr val="FFC000"/>
              </a:solidFill>
              <a:ln w="12700">
                <a:noFill/>
                <a:prstDash val="solid"/>
              </a:ln>
              <a:effectLst/>
            </c:spPr>
            <c:extLst xmlns:c16r2="http://schemas.microsoft.com/office/drawing/2015/06/chart">
              <c:ext xmlns:c16="http://schemas.microsoft.com/office/drawing/2014/chart" uri="{C3380CC4-5D6E-409C-BE32-E72D297353CC}">
                <c16:uniqueId val="{00000004-373C-494F-853F-EA797CA048A9}"/>
              </c:ext>
            </c:extLst>
          </c:dPt>
          <c:dLbls>
            <c:dLbl>
              <c:idx val="0"/>
              <c:layout>
                <c:manualLayout>
                  <c:x val="5.5663790704146981E-3"/>
                  <c:y val="2.5359256128486891E-2"/>
                </c:manualLayout>
              </c:layout>
              <c:tx>
                <c:rich>
                  <a:bodyPr/>
                  <a:lstStyle/>
                  <a:p>
                    <a:r>
                      <a:rPr lang="en-US"/>
                      <a:t>24,5</a:t>
                    </a:r>
                  </a:p>
                </c:rich>
              </c:tx>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373C-494F-853F-EA797CA048A9}"/>
                </c:ext>
              </c:extLst>
            </c:dLbl>
            <c:dLbl>
              <c:idx val="1"/>
              <c:layout>
                <c:manualLayout>
                  <c:x val="-8.5370553780378788E-3"/>
                  <c:y val="2.113271344040572E-2"/>
                </c:manualLayout>
              </c:layout>
              <c:tx>
                <c:rich>
                  <a:bodyPr wrap="square" lIns="38100" tIns="19050" rIns="38100" bIns="19050" anchor="ctr">
                    <a:noAutofit/>
                  </a:bodyPr>
                  <a:lstStyle/>
                  <a:p>
                    <a:pPr>
                      <a:defRPr sz="800" b="0">
                        <a:solidFill>
                          <a:sysClr val="windowText" lastClr="000000"/>
                        </a:solidFill>
                      </a:defRPr>
                    </a:pPr>
                    <a:r>
                      <a:rPr lang="en-US"/>
                      <a:t>24,4</a:t>
                    </a:r>
                  </a:p>
                </c:rich>
              </c:tx>
              <c:numFmt formatCode="#,##0.0" sourceLinked="0"/>
              <c:spPr>
                <a:noFill/>
                <a:ln>
                  <a:noFill/>
                </a:ln>
                <a:effectLst/>
              </c:spPr>
              <c:dLblPos val="outEnd"/>
              <c:showVal val="1"/>
              <c:extLst xmlns:c16r2="http://schemas.microsoft.com/office/drawing/2015/06/chart">
                <c:ext xmlns:c15="http://schemas.microsoft.com/office/drawing/2012/chart" uri="{CE6537A1-D6FC-4f65-9D91-7224C49458BB}">
                  <c15:layout>
                    <c:manualLayout>
                      <c:w val="0.13096231496959293"/>
                      <c:h val="7.2231947337943705E-2"/>
                    </c:manualLayout>
                  </c15:layout>
                </c:ext>
                <c:ext xmlns:c16="http://schemas.microsoft.com/office/drawing/2014/chart" uri="{C3380CC4-5D6E-409C-BE32-E72D297353CC}">
                  <c16:uniqueId val="{00000009-373C-494F-853F-EA797CA048A9}"/>
                </c:ext>
              </c:extLst>
            </c:dLbl>
            <c:dLbl>
              <c:idx val="2"/>
              <c:layout>
                <c:manualLayout>
                  <c:x val="-8.5370553780379568E-3"/>
                  <c:y val="2.535925612848686E-2"/>
                </c:manualLayout>
              </c:layout>
              <c:tx>
                <c:rich>
                  <a:bodyPr wrap="square" lIns="38100" tIns="19050" rIns="38100" bIns="19050" anchor="ctr">
                    <a:noAutofit/>
                  </a:bodyPr>
                  <a:lstStyle/>
                  <a:p>
                    <a:pPr>
                      <a:defRPr sz="800" b="0">
                        <a:solidFill>
                          <a:sysClr val="windowText" lastClr="000000"/>
                        </a:solidFill>
                      </a:defRPr>
                    </a:pPr>
                    <a:r>
                      <a:rPr lang="en-US"/>
                      <a:t>23,6</a:t>
                    </a:r>
                  </a:p>
                </c:rich>
              </c:tx>
              <c:numFmt formatCode="#,##0.0" sourceLinked="0"/>
              <c:spPr>
                <a:noFill/>
                <a:ln>
                  <a:noFill/>
                </a:ln>
                <a:effectLst/>
              </c:spPr>
              <c:dLblPos val="outEnd"/>
              <c:showVal val="1"/>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11957927569810743"/>
                      <c:h val="0.11449737421875519"/>
                    </c:manualLayout>
                  </c15:layout>
                </c:ext>
                <c:ext xmlns:c16="http://schemas.microsoft.com/office/drawing/2014/chart" uri="{C3380CC4-5D6E-409C-BE32-E72D297353CC}">
                  <c16:uniqueId val="{00000000-373C-494F-853F-EA797CA048A9}"/>
                </c:ext>
              </c:extLst>
            </c:dLbl>
            <c:dLbl>
              <c:idx val="3"/>
              <c:layout>
                <c:manualLayout>
                  <c:x val="-1.0434332127233246E-16"/>
                  <c:y val="3.3812341504649138E-2"/>
                </c:manualLayout>
              </c:layout>
              <c:tx>
                <c:rich>
                  <a:bodyPr/>
                  <a:lstStyle/>
                  <a:p>
                    <a:r>
                      <a:rPr lang="en-US" b="0">
                        <a:solidFill>
                          <a:sysClr val="windowText" lastClr="000000"/>
                        </a:solidFill>
                      </a:rPr>
                      <a:t>23,7</a:t>
                    </a:r>
                    <a:endParaRPr lang="en-US"/>
                  </a:p>
                </c:rich>
              </c:tx>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373C-494F-853F-EA797CA048A9}"/>
                </c:ext>
              </c:extLst>
            </c:dLbl>
            <c:dLbl>
              <c:idx val="4"/>
              <c:layout>
                <c:manualLayout>
                  <c:x val="0"/>
                  <c:y val="2.535925612848686E-2"/>
                </c:manualLayout>
              </c:layout>
              <c:tx>
                <c:rich>
                  <a:bodyPr/>
                  <a:lstStyle/>
                  <a:p>
                    <a:r>
                      <a:rPr lang="en-US" b="0">
                        <a:solidFill>
                          <a:sysClr val="windowText" lastClr="000000"/>
                        </a:solidFill>
                      </a:rPr>
                      <a:t>24,1</a:t>
                    </a:r>
                    <a:endParaRPr lang="en-US"/>
                  </a:p>
                </c:rich>
              </c:tx>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373C-494F-853F-EA797CA048A9}"/>
                </c:ext>
              </c:extLst>
            </c:dLbl>
            <c:dLbl>
              <c:idx val="5"/>
              <c:layout>
                <c:manualLayout>
                  <c:x val="5.5663790704146981E-3"/>
                  <c:y val="2.5359256128486891E-2"/>
                </c:manualLayout>
              </c:layout>
              <c:tx>
                <c:rich>
                  <a:bodyPr wrap="square" lIns="38100" tIns="19050" rIns="38100" bIns="19050" anchor="ctr">
                    <a:spAutoFit/>
                  </a:bodyPr>
                  <a:lstStyle/>
                  <a:p>
                    <a:pPr>
                      <a:defRPr sz="1000" b="1">
                        <a:solidFill>
                          <a:schemeClr val="accent1"/>
                        </a:solidFill>
                      </a:defRPr>
                    </a:pPr>
                    <a:r>
                      <a:rPr lang="en-US" sz="1000" b="1">
                        <a:solidFill>
                          <a:schemeClr val="accent1"/>
                        </a:solidFill>
                      </a:rPr>
                      <a:t>24,5</a:t>
                    </a:r>
                    <a:endParaRPr lang="en-US"/>
                  </a:p>
                </c:rich>
              </c:tx>
              <c:numFmt formatCode="#,##0.0" sourceLinked="0"/>
              <c:spPr>
                <a:noFill/>
                <a:ln>
                  <a:noFill/>
                </a:ln>
                <a:effectLst/>
              </c:spPr>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373C-494F-853F-EA797CA048A9}"/>
                </c:ext>
              </c:extLst>
            </c:dLbl>
            <c:dLbl>
              <c:idx val="6"/>
              <c:layout>
                <c:manualLayout>
                  <c:x val="5.4414512926919002E-3"/>
                  <c:y val="3.3812341504649214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73C-494F-853F-EA797CA048A9}"/>
                </c:ext>
              </c:extLst>
            </c:dLbl>
            <c:dLbl>
              <c:idx val="7"/>
              <c:layout>
                <c:manualLayout>
                  <c:x val="-5.5663790704146981E-3"/>
                  <c:y val="3.3812341504649214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73C-494F-853F-EA797CA048A9}"/>
                </c:ext>
              </c:extLst>
            </c:dLbl>
            <c:dLbl>
              <c:idx val="8"/>
              <c:layout>
                <c:manualLayout>
                  <c:x val="5.5663790704146981E-3"/>
                  <c:y val="3.3812341504649138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73C-494F-853F-EA797CA048A9}"/>
                </c:ext>
              </c:extLst>
            </c:dLbl>
            <c:numFmt formatCode="#,##0.0" sourceLinked="0"/>
            <c:spPr>
              <a:noFill/>
              <a:ln>
                <a:noFill/>
              </a:ln>
              <a:effectLst/>
            </c:spPr>
            <c:txPr>
              <a:bodyPr wrap="square" lIns="38100" tIns="19050" rIns="38100" bIns="19050" anchor="ctr">
                <a:spAutoFit/>
              </a:bodyPr>
              <a:lstStyle/>
              <a:p>
                <a:pPr>
                  <a:defRPr sz="800" b="0">
                    <a:solidFill>
                      <a:sysClr val="windowText" lastClr="000000"/>
                    </a:solidFill>
                  </a:defRPr>
                </a:pPr>
                <a:endParaRPr lang="en-US"/>
              </a:p>
            </c:txPr>
            <c:dLblPos val="outEnd"/>
            <c:showVal val="1"/>
            <c:extLst xmlns:c16r2="http://schemas.microsoft.com/office/drawing/2015/06/chart">
              <c:ext xmlns:c15="http://schemas.microsoft.com/office/drawing/2012/chart" uri="{CE6537A1-D6FC-4f65-9D91-7224C49458BB}">
                <c15:showLeaderLines val="1"/>
              </c:ext>
            </c:extLst>
          </c:dLbls>
          <c:cat>
            <c:strRef>
              <c:f>Sheet1!$A$2:$A$11</c:f>
              <c:strCache>
                <c:ptCount val="6"/>
                <c:pt idx="0">
                  <c:v>Μαρ.19</c:v>
                </c:pt>
                <c:pt idx="1">
                  <c:v>Ιουν.19</c:v>
                </c:pt>
                <c:pt idx="2">
                  <c:v>Σεπτ.19</c:v>
                </c:pt>
                <c:pt idx="3">
                  <c:v>Δεκ.19</c:v>
                </c:pt>
                <c:pt idx="4">
                  <c:v>Μαρ.20</c:v>
                </c:pt>
                <c:pt idx="5">
                  <c:v>Ιουν.20</c:v>
                </c:pt>
              </c:strCache>
            </c:strRef>
          </c:cat>
          <c:val>
            <c:numRef>
              <c:f>Sheet1!$B$2:$B$11</c:f>
              <c:numCache>
                <c:formatCode>0.0</c:formatCode>
                <c:ptCount val="6"/>
                <c:pt idx="0">
                  <c:v>24.466615618980029</c:v>
                </c:pt>
                <c:pt idx="1">
                  <c:v>24.359803478010019</c:v>
                </c:pt>
                <c:pt idx="2">
                  <c:v>23.593994055999985</c:v>
                </c:pt>
                <c:pt idx="3">
                  <c:v>23.66873212239998</c:v>
                </c:pt>
                <c:pt idx="4">
                  <c:v>24.1</c:v>
                </c:pt>
                <c:pt idx="5" formatCode="General">
                  <c:v>24.5</c:v>
                </c:pt>
              </c:numCache>
            </c:numRef>
          </c:val>
          <c:extLst xmlns:c16r2="http://schemas.microsoft.com/office/drawing/2015/06/chart">
            <c:ext xmlns:c16="http://schemas.microsoft.com/office/drawing/2014/chart" uri="{C3380CC4-5D6E-409C-BE32-E72D297353CC}">
              <c16:uniqueId val="{0000000A-373C-494F-853F-EA797CA048A9}"/>
            </c:ext>
          </c:extLst>
        </c:ser>
        <c:ser>
          <c:idx val="1"/>
          <c:order val="1"/>
          <c:tx>
            <c:strRef>
              <c:f>Sheet1!$C$1</c:f>
              <c:strCache>
                <c:ptCount val="1"/>
                <c:pt idx="0">
                  <c:v>Series 3</c:v>
                </c:pt>
              </c:strCache>
            </c:strRef>
          </c:tx>
          <c:dLbls>
            <c:spPr>
              <a:noFill/>
              <a:ln>
                <a:noFill/>
              </a:ln>
              <a:effectLst/>
            </c:spPr>
            <c:dLblPos val="outEnd"/>
            <c:showVal val="1"/>
            <c:extLst xmlns:c16r2="http://schemas.microsoft.com/office/drawing/2015/06/chart">
              <c:ext xmlns:c15="http://schemas.microsoft.com/office/drawing/2012/chart" uri="{CE6537A1-D6FC-4f65-9D91-7224C49458BB}">
                <c15:showLeaderLines val="1"/>
              </c:ext>
            </c:extLst>
          </c:dLbls>
          <c:cat>
            <c:strRef>
              <c:f>Sheet1!$A$2:$A$11</c:f>
              <c:strCache>
                <c:ptCount val="6"/>
                <c:pt idx="0">
                  <c:v>Μαρ.19</c:v>
                </c:pt>
                <c:pt idx="1">
                  <c:v>Ιουν.19</c:v>
                </c:pt>
                <c:pt idx="2">
                  <c:v>Σεπτ.19</c:v>
                </c:pt>
                <c:pt idx="3">
                  <c:v>Δεκ.19</c:v>
                </c:pt>
                <c:pt idx="4">
                  <c:v>Μαρ.20</c:v>
                </c:pt>
                <c:pt idx="5">
                  <c:v>Ιουν.20</c:v>
                </c:pt>
              </c:strCache>
            </c:strRef>
          </c:cat>
          <c:val>
            <c:numRef>
              <c:f>Sheet1!$C$2:$C$11</c:f>
              <c:numCache>
                <c:formatCode>General</c:formatCode>
                <c:ptCount val="6"/>
              </c:numCache>
            </c:numRef>
          </c:val>
          <c:extLst xmlns:c16r2="http://schemas.microsoft.com/office/drawing/2015/06/chart">
            <c:ext xmlns:c16="http://schemas.microsoft.com/office/drawing/2014/chart" uri="{C3380CC4-5D6E-409C-BE32-E72D297353CC}">
              <c16:uniqueId val="{0000000B-373C-494F-853F-EA797CA048A9}"/>
            </c:ext>
          </c:extLst>
        </c:ser>
        <c:dLbls>
          <c:showVal val="1"/>
        </c:dLbls>
        <c:gapWidth val="40"/>
        <c:overlap val="-24"/>
        <c:axId val="214983808"/>
        <c:axId val="214985344"/>
      </c:barChart>
      <c:catAx>
        <c:axId val="214983808"/>
        <c:scaling>
          <c:orientation val="minMax"/>
        </c:scaling>
        <c:axPos val="b"/>
        <c:numFmt formatCode="General" sourceLinked="1"/>
        <c:majorTickMark val="none"/>
        <c:tickLblPos val="nextTo"/>
        <c:spPr>
          <a:ln w="6350">
            <a:solidFill>
              <a:schemeClr val="bg1"/>
            </a:solidFill>
            <a:prstDash val="solid"/>
          </a:ln>
        </c:spPr>
        <c:txPr>
          <a:bodyPr/>
          <a:lstStyle/>
          <a:p>
            <a:pPr algn="ctr">
              <a:defRPr lang="en-GB" sz="700" b="0" i="0" u="none" strike="noStrike" kern="1200" baseline="0">
                <a:solidFill>
                  <a:schemeClr val="tx1">
                    <a:lumMod val="50000"/>
                    <a:lumOff val="50000"/>
                  </a:schemeClr>
                </a:solidFill>
                <a:latin typeface="+mn-lt"/>
                <a:ea typeface="+mn-ea"/>
                <a:cs typeface="+mn-cs"/>
              </a:defRPr>
            </a:pPr>
            <a:endParaRPr lang="en-US"/>
          </a:p>
        </c:txPr>
        <c:crossAx val="214985344"/>
        <c:crosses val="autoZero"/>
        <c:auto val="1"/>
        <c:lblAlgn val="ctr"/>
        <c:lblOffset val="100"/>
      </c:catAx>
      <c:valAx>
        <c:axId val="214985344"/>
        <c:scaling>
          <c:orientation val="minMax"/>
          <c:max val="35"/>
          <c:min val="0"/>
        </c:scaling>
        <c:delete val="1"/>
        <c:axPos val="l"/>
        <c:numFmt formatCode="0.0" sourceLinked="1"/>
        <c:tickLblPos val="nextTo"/>
        <c:crossAx val="214983808"/>
        <c:crosses val="autoZero"/>
        <c:crossBetween val="between"/>
      </c:valAx>
      <c:spPr>
        <a:noFill/>
        <a:ln>
          <a:noFill/>
        </a:ln>
      </c:spPr>
    </c:plotArea>
    <c:plotVisOnly val="1"/>
    <c:dispBlanksAs val="gap"/>
  </c:chart>
  <c:spPr>
    <a:noFill/>
    <a:ln w="0">
      <a:noFill/>
    </a:ln>
  </c:spPr>
  <c:txPr>
    <a:bodyPr/>
    <a:lstStyle/>
    <a:p>
      <a:pPr>
        <a:defRPr sz="700">
          <a:latin typeface="+mj-lt"/>
        </a:defRPr>
      </a:pPr>
      <a:endParaRPr lang="en-U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9417416572928512E-2"/>
          <c:y val="0.15636995706662504"/>
          <c:w val="0.86960996154550485"/>
          <c:h val="0.71844953155690128"/>
        </c:manualLayout>
      </c:layout>
      <c:barChart>
        <c:barDir val="col"/>
        <c:grouping val="clustered"/>
        <c:ser>
          <c:idx val="0"/>
          <c:order val="0"/>
          <c:tx>
            <c:strRef>
              <c:f>Sheet1!$B$1</c:f>
              <c:strCache>
                <c:ptCount val="1"/>
                <c:pt idx="0">
                  <c:v>Series 2</c:v>
                </c:pt>
              </c:strCache>
            </c:strRef>
          </c:tx>
          <c:spPr>
            <a:solidFill>
              <a:srgbClr val="3A73AE"/>
            </a:solidFill>
            <a:ln w="12700">
              <a:noFill/>
              <a:prstDash val="solid"/>
            </a:ln>
            <a:effectLst/>
          </c:spPr>
          <c:dPt>
            <c:idx val="5"/>
            <c:spPr>
              <a:solidFill>
                <a:srgbClr val="FFC000"/>
              </a:solidFill>
              <a:ln w="12700">
                <a:noFill/>
                <a:prstDash val="solid"/>
              </a:ln>
              <a:effectLst/>
            </c:spPr>
            <c:extLst xmlns:c16r2="http://schemas.microsoft.com/office/drawing/2015/06/chart">
              <c:ext xmlns:c16="http://schemas.microsoft.com/office/drawing/2014/chart" uri="{C3380CC4-5D6E-409C-BE32-E72D297353CC}">
                <c16:uniqueId val="{00000004-68A4-4265-A539-6663A01C8116}"/>
              </c:ext>
            </c:extLst>
          </c:dPt>
          <c:dLbls>
            <c:dLbl>
              <c:idx val="0"/>
              <c:layout>
                <c:manualLayout>
                  <c:x val="5.5663790704146981E-3"/>
                  <c:y val="2.5359256128486891E-2"/>
                </c:manualLayout>
              </c:layout>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68A4-4265-A539-6663A01C8116}"/>
                </c:ext>
              </c:extLst>
            </c:dLbl>
            <c:dLbl>
              <c:idx val="1"/>
              <c:layout>
                <c:manualLayout>
                  <c:x val="-8.5370553780378788E-3"/>
                  <c:y val="2.113271344040572E-2"/>
                </c:manualLayout>
              </c:layout>
              <c:numFmt formatCode="#,##0" sourceLinked="0"/>
              <c:spPr>
                <a:noFill/>
                <a:ln>
                  <a:noFill/>
                </a:ln>
                <a:effectLst/>
              </c:spPr>
              <c:txPr>
                <a:bodyPr wrap="square" lIns="38100" tIns="19050" rIns="38100" bIns="19050" anchor="ctr">
                  <a:noAutofit/>
                </a:bodyPr>
                <a:lstStyle/>
                <a:p>
                  <a:pPr>
                    <a:defRPr sz="800" b="0">
                      <a:solidFill>
                        <a:sysClr val="windowText" lastClr="000000"/>
                      </a:solidFill>
                    </a:defRPr>
                  </a:pPr>
                  <a:endParaRPr lang="en-US"/>
                </a:p>
              </c:txPr>
              <c:dLblPos val="outEnd"/>
              <c:showVal val="1"/>
              <c:extLst xmlns:c16r2="http://schemas.microsoft.com/office/drawing/2015/06/chart">
                <c:ext xmlns:c15="http://schemas.microsoft.com/office/drawing/2012/chart" uri="{CE6537A1-D6FC-4f65-9D91-7224C49458BB}">
                  <c15:layout>
                    <c:manualLayout>
                      <c:w val="0.13096231496959293"/>
                      <c:h val="7.2231947337943705E-2"/>
                    </c:manualLayout>
                  </c15:layout>
                </c:ext>
                <c:ext xmlns:c16="http://schemas.microsoft.com/office/drawing/2014/chart" uri="{C3380CC4-5D6E-409C-BE32-E72D297353CC}">
                  <c16:uniqueId val="{00000009-68A4-4265-A539-6663A01C8116}"/>
                </c:ext>
              </c:extLst>
            </c:dLbl>
            <c:dLbl>
              <c:idx val="2"/>
              <c:layout>
                <c:manualLayout>
                  <c:x val="-8.5370553780379568E-3"/>
                  <c:y val="2.535925612848686E-2"/>
                </c:manualLayout>
              </c:layout>
              <c:numFmt formatCode="#,##0" sourceLinked="0"/>
              <c:spPr>
                <a:noFill/>
                <a:ln>
                  <a:noFill/>
                </a:ln>
                <a:effectLst/>
              </c:spPr>
              <c:txPr>
                <a:bodyPr wrap="square" lIns="38100" tIns="19050" rIns="38100" bIns="19050" anchor="ctr">
                  <a:noAutofit/>
                </a:bodyPr>
                <a:lstStyle/>
                <a:p>
                  <a:pPr>
                    <a:defRPr sz="800" b="0">
                      <a:solidFill>
                        <a:sysClr val="windowText" lastClr="000000"/>
                      </a:solidFill>
                    </a:defRPr>
                  </a:pPr>
                  <a:endParaRPr lang="en-US"/>
                </a:p>
              </c:txPr>
              <c:dLblPos val="outEnd"/>
              <c:showVal val="1"/>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11957927569810743"/>
                      <c:h val="0.11449737421875519"/>
                    </c:manualLayout>
                  </c15:layout>
                </c:ext>
                <c:ext xmlns:c16="http://schemas.microsoft.com/office/drawing/2014/chart" uri="{C3380CC4-5D6E-409C-BE32-E72D297353CC}">
                  <c16:uniqueId val="{00000000-68A4-4265-A539-6663A01C8116}"/>
                </c:ext>
              </c:extLst>
            </c:dLbl>
            <c:dLbl>
              <c:idx val="3"/>
              <c:layout>
                <c:manualLayout>
                  <c:x val="-1.0434332127233246E-16"/>
                  <c:y val="3.3812341504649138E-2"/>
                </c:manualLayout>
              </c:layout>
              <c:tx>
                <c:rich>
                  <a:bodyPr/>
                  <a:lstStyle/>
                  <a:p>
                    <a:fld id="{62419BC0-8783-468B-9029-E1A00A97C425}" type="VALUE">
                      <a:rPr lang="en-US" b="0">
                        <a:solidFill>
                          <a:schemeClr val="tx1"/>
                        </a:solidFill>
                      </a:rPr>
                      <a:pPr/>
                      <a:t>[VALUE]</a:t>
                    </a:fld>
                    <a:endParaRPr lang="el-GR"/>
                  </a:p>
                </c:rich>
              </c:tx>
              <c:dLblPos val="outEnd"/>
              <c:showVal val="1"/>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1-68A4-4265-A539-6663A01C8116}"/>
                </c:ext>
              </c:extLst>
            </c:dLbl>
            <c:dLbl>
              <c:idx val="4"/>
              <c:layout>
                <c:manualLayout>
                  <c:x val="0"/>
                  <c:y val="2.535925612848686E-2"/>
                </c:manualLayout>
              </c:layout>
              <c:tx>
                <c:rich>
                  <a:bodyPr/>
                  <a:lstStyle/>
                  <a:p>
                    <a:fld id="{C8EF18D2-FE44-45C6-AF4A-6412305388EB}" type="VALUE">
                      <a:rPr lang="en-US" b="0">
                        <a:solidFill>
                          <a:sysClr val="windowText" lastClr="000000"/>
                        </a:solidFill>
                      </a:rPr>
                      <a:pPr/>
                      <a:t>[VALUE]</a:t>
                    </a:fld>
                    <a:endParaRPr lang="el-GR"/>
                  </a:p>
                </c:rich>
              </c:tx>
              <c:dLblPos val="outEnd"/>
              <c:showVal val="1"/>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2-68A4-4265-A539-6663A01C8116}"/>
                </c:ext>
              </c:extLst>
            </c:dLbl>
            <c:dLbl>
              <c:idx val="5"/>
              <c:layout>
                <c:manualLayout>
                  <c:x val="5.5663790704146981E-3"/>
                  <c:y val="2.5359256128486891E-2"/>
                </c:manualLayout>
              </c:layout>
              <c:tx>
                <c:rich>
                  <a:bodyPr wrap="square" lIns="38100" tIns="19050" rIns="38100" bIns="19050" anchor="ctr">
                    <a:spAutoFit/>
                  </a:bodyPr>
                  <a:lstStyle/>
                  <a:p>
                    <a:pPr>
                      <a:defRPr sz="800" b="0">
                        <a:solidFill>
                          <a:schemeClr val="accent1"/>
                        </a:solidFill>
                      </a:defRPr>
                    </a:pPr>
                    <a:fld id="{AF711C50-0C61-4F2B-B7E2-FEF5E814FA8B}" type="VALUE">
                      <a:rPr lang="en-US" b="1">
                        <a:solidFill>
                          <a:schemeClr val="accent1"/>
                        </a:solidFill>
                      </a:rPr>
                      <a:pPr>
                        <a:defRPr sz="800" b="0">
                          <a:solidFill>
                            <a:schemeClr val="accent1"/>
                          </a:solidFill>
                        </a:defRPr>
                      </a:pPr>
                      <a:t>[VALUE]</a:t>
                    </a:fld>
                    <a:endParaRPr lang="el-GR"/>
                  </a:p>
                </c:rich>
              </c:tx>
              <c:numFmt formatCode="#,##0" sourceLinked="0"/>
              <c:spPr>
                <a:noFill/>
                <a:ln>
                  <a:noFill/>
                </a:ln>
                <a:effectLst/>
              </c:spPr>
              <c:dLblPos val="outEnd"/>
              <c:showVal val="1"/>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4-68A4-4265-A539-6663A01C8116}"/>
                </c:ext>
              </c:extLst>
            </c:dLbl>
            <c:dLbl>
              <c:idx val="6"/>
              <c:layout>
                <c:manualLayout>
                  <c:x val="5.4414512926919002E-3"/>
                  <c:y val="3.3812341504649214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8A4-4265-A539-6663A01C8116}"/>
                </c:ext>
              </c:extLst>
            </c:dLbl>
            <c:dLbl>
              <c:idx val="7"/>
              <c:layout>
                <c:manualLayout>
                  <c:x val="-5.5663790704146981E-3"/>
                  <c:y val="3.3812341504649214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8A4-4265-A539-6663A01C8116}"/>
                </c:ext>
              </c:extLst>
            </c:dLbl>
            <c:dLbl>
              <c:idx val="8"/>
              <c:layout>
                <c:manualLayout>
                  <c:x val="5.5663790704146981E-3"/>
                  <c:y val="3.3812341504649138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8A4-4265-A539-6663A01C8116}"/>
                </c:ext>
              </c:extLst>
            </c:dLbl>
            <c:numFmt formatCode="#,##0" sourceLinked="0"/>
            <c:spPr>
              <a:noFill/>
              <a:ln>
                <a:noFill/>
              </a:ln>
              <a:effectLst/>
            </c:spPr>
            <c:txPr>
              <a:bodyPr wrap="square" lIns="38100" tIns="19050" rIns="38100" bIns="19050" anchor="ctr">
                <a:spAutoFit/>
              </a:bodyPr>
              <a:lstStyle/>
              <a:p>
                <a:pPr>
                  <a:defRPr sz="800" b="0">
                    <a:solidFill>
                      <a:sysClr val="windowText" lastClr="000000"/>
                    </a:solidFill>
                  </a:defRPr>
                </a:pPr>
                <a:endParaRPr lang="en-US"/>
              </a:p>
            </c:txPr>
            <c:dLblPos val="outEnd"/>
            <c:showVal val="1"/>
            <c:extLst xmlns:c16r2="http://schemas.microsoft.com/office/drawing/2015/06/chart">
              <c:ext xmlns:c15="http://schemas.microsoft.com/office/drawing/2012/chart" uri="{CE6537A1-D6FC-4f65-9D91-7224C49458BB}">
                <c15:showLeaderLines val="1"/>
              </c:ext>
            </c:extLst>
          </c:dLbls>
          <c:cat>
            <c:strRef>
              <c:f>Sheet1!$A$2:$A$11</c:f>
              <c:strCache>
                <c:ptCount val="6"/>
                <c:pt idx="0">
                  <c:v>Q1.19</c:v>
                </c:pt>
                <c:pt idx="1">
                  <c:v>Q2.19</c:v>
                </c:pt>
                <c:pt idx="2">
                  <c:v>Q3.19</c:v>
                </c:pt>
                <c:pt idx="3">
                  <c:v>Q4.19</c:v>
                </c:pt>
                <c:pt idx="4">
                  <c:v>Q1.20</c:v>
                </c:pt>
                <c:pt idx="5">
                  <c:v>Q2.20</c:v>
                </c:pt>
              </c:strCache>
            </c:strRef>
          </c:cat>
          <c:val>
            <c:numRef>
              <c:f>Sheet1!$B$2:$B$11</c:f>
              <c:numCache>
                <c:formatCode>0</c:formatCode>
                <c:ptCount val="6"/>
                <c:pt idx="0">
                  <c:v>230.81800000000001</c:v>
                </c:pt>
                <c:pt idx="1">
                  <c:v>245.13399999999996</c:v>
                </c:pt>
                <c:pt idx="2">
                  <c:v>235.17475555999991</c:v>
                </c:pt>
                <c:pt idx="3">
                  <c:v>257.16030337759986</c:v>
                </c:pt>
                <c:pt idx="4">
                  <c:v>215.09058794955999</c:v>
                </c:pt>
                <c:pt idx="5" formatCode="General">
                  <c:v>213</c:v>
                </c:pt>
              </c:numCache>
            </c:numRef>
          </c:val>
          <c:extLst xmlns:c16r2="http://schemas.microsoft.com/office/drawing/2015/06/chart">
            <c:ext xmlns:c16="http://schemas.microsoft.com/office/drawing/2014/chart" uri="{C3380CC4-5D6E-409C-BE32-E72D297353CC}">
              <c16:uniqueId val="{0000000A-68A4-4265-A539-6663A01C8116}"/>
            </c:ext>
          </c:extLst>
        </c:ser>
        <c:dLbls>
          <c:showVal val="1"/>
        </c:dLbls>
        <c:gapWidth val="130"/>
        <c:overlap val="-24"/>
        <c:axId val="215014784"/>
        <c:axId val="218936448"/>
      </c:barChart>
      <c:catAx>
        <c:axId val="215014784"/>
        <c:scaling>
          <c:orientation val="minMax"/>
        </c:scaling>
        <c:axPos val="b"/>
        <c:numFmt formatCode="General" sourceLinked="1"/>
        <c:majorTickMark val="none"/>
        <c:tickLblPos val="nextTo"/>
        <c:spPr>
          <a:ln w="6350">
            <a:solidFill>
              <a:schemeClr val="bg1"/>
            </a:solidFill>
            <a:prstDash val="solid"/>
          </a:ln>
        </c:spPr>
        <c:txPr>
          <a:bodyPr/>
          <a:lstStyle/>
          <a:p>
            <a:pPr algn="ctr">
              <a:defRPr lang="en-GB" sz="700" b="0" i="0" u="none" strike="noStrike" kern="1200" baseline="0">
                <a:solidFill>
                  <a:schemeClr val="tx1">
                    <a:lumMod val="50000"/>
                    <a:lumOff val="50000"/>
                  </a:schemeClr>
                </a:solidFill>
                <a:latin typeface="+mn-lt"/>
                <a:ea typeface="+mn-ea"/>
                <a:cs typeface="+mn-cs"/>
              </a:defRPr>
            </a:pPr>
            <a:endParaRPr lang="en-US"/>
          </a:p>
        </c:txPr>
        <c:crossAx val="218936448"/>
        <c:crosses val="autoZero"/>
        <c:auto val="1"/>
        <c:lblAlgn val="ctr"/>
        <c:lblOffset val="100"/>
      </c:catAx>
      <c:valAx>
        <c:axId val="218936448"/>
        <c:scaling>
          <c:orientation val="minMax"/>
          <c:min val="150"/>
        </c:scaling>
        <c:delete val="1"/>
        <c:axPos val="l"/>
        <c:numFmt formatCode="0" sourceLinked="1"/>
        <c:tickLblPos val="nextTo"/>
        <c:crossAx val="215014784"/>
        <c:crosses val="autoZero"/>
        <c:crossBetween val="between"/>
      </c:valAx>
      <c:spPr>
        <a:noFill/>
        <a:ln>
          <a:noFill/>
        </a:ln>
      </c:spPr>
    </c:plotArea>
    <c:plotVisOnly val="1"/>
    <c:dispBlanksAs val="gap"/>
  </c:chart>
  <c:spPr>
    <a:noFill/>
    <a:ln w="0">
      <a:noFill/>
    </a:ln>
  </c:spPr>
  <c:txPr>
    <a:bodyPr/>
    <a:lstStyle/>
    <a:p>
      <a:pPr>
        <a:defRPr sz="700">
          <a:latin typeface="+mj-lt"/>
        </a:defRPr>
      </a:pPr>
      <a:endParaRPr lang="en-US"/>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9417416572928512E-2"/>
          <c:y val="0.15636995706662504"/>
          <c:w val="0.86960996154550485"/>
          <c:h val="0.71844953155690128"/>
        </c:manualLayout>
      </c:layout>
      <c:barChart>
        <c:barDir val="col"/>
        <c:grouping val="clustered"/>
        <c:ser>
          <c:idx val="0"/>
          <c:order val="0"/>
          <c:tx>
            <c:strRef>
              <c:f>Sheet1!$B$1</c:f>
              <c:strCache>
                <c:ptCount val="1"/>
                <c:pt idx="0">
                  <c:v>Series 2</c:v>
                </c:pt>
              </c:strCache>
            </c:strRef>
          </c:tx>
          <c:spPr>
            <a:solidFill>
              <a:srgbClr val="3A73AE"/>
            </a:solidFill>
            <a:ln w="12700">
              <a:noFill/>
              <a:prstDash val="solid"/>
            </a:ln>
            <a:effectLst/>
          </c:spPr>
          <c:dPt>
            <c:idx val="5"/>
            <c:spPr>
              <a:solidFill>
                <a:srgbClr val="FFC000"/>
              </a:solidFill>
              <a:ln w="12700">
                <a:noFill/>
                <a:prstDash val="solid"/>
              </a:ln>
              <a:effectLst/>
            </c:spPr>
            <c:extLst xmlns:c16r2="http://schemas.microsoft.com/office/drawing/2015/06/chart">
              <c:ext xmlns:c16="http://schemas.microsoft.com/office/drawing/2014/chart" uri="{C3380CC4-5D6E-409C-BE32-E72D297353CC}">
                <c16:uniqueId val="{00000004-C9D9-4D42-B975-FDC26C1B42FB}"/>
              </c:ext>
            </c:extLst>
          </c:dPt>
          <c:dLbls>
            <c:dLbl>
              <c:idx val="0"/>
              <c:layout>
                <c:manualLayout>
                  <c:x val="5.5663790704146981E-3"/>
                  <c:y val="2.5359256128486891E-2"/>
                </c:manualLayout>
              </c:layout>
              <c:dLblPos val="outEnd"/>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C9D9-4D42-B975-FDC26C1B42FB}"/>
                </c:ext>
              </c:extLst>
            </c:dLbl>
            <c:dLbl>
              <c:idx val="1"/>
              <c:layout>
                <c:manualLayout>
                  <c:x val="-8.5370553780378788E-3"/>
                  <c:y val="2.113271344040572E-2"/>
                </c:manualLayout>
              </c:layout>
              <c:numFmt formatCode="#,##0" sourceLinked="0"/>
              <c:spPr>
                <a:noFill/>
                <a:ln>
                  <a:noFill/>
                </a:ln>
                <a:effectLst/>
              </c:spPr>
              <c:txPr>
                <a:bodyPr wrap="square" lIns="38100" tIns="19050" rIns="38100" bIns="19050" anchor="ctr">
                  <a:noAutofit/>
                </a:bodyPr>
                <a:lstStyle/>
                <a:p>
                  <a:pPr>
                    <a:defRPr sz="800" b="0">
                      <a:solidFill>
                        <a:sysClr val="windowText" lastClr="000000"/>
                      </a:solidFill>
                    </a:defRPr>
                  </a:pPr>
                  <a:endParaRPr lang="en-US"/>
                </a:p>
              </c:txPr>
              <c:dLblPos val="outEnd"/>
              <c:showVal val="1"/>
              <c:extLst xmlns:c16r2="http://schemas.microsoft.com/office/drawing/2015/06/chart">
                <c:ext xmlns:c15="http://schemas.microsoft.com/office/drawing/2012/chart" uri="{CE6537A1-D6FC-4f65-9D91-7224C49458BB}">
                  <c15:layout>
                    <c:manualLayout>
                      <c:w val="0.13096231496959293"/>
                      <c:h val="7.2231947337943705E-2"/>
                    </c:manualLayout>
                  </c15:layout>
                </c:ext>
                <c:ext xmlns:c16="http://schemas.microsoft.com/office/drawing/2014/chart" uri="{C3380CC4-5D6E-409C-BE32-E72D297353CC}">
                  <c16:uniqueId val="{00000009-C9D9-4D42-B975-FDC26C1B42FB}"/>
                </c:ext>
              </c:extLst>
            </c:dLbl>
            <c:dLbl>
              <c:idx val="2"/>
              <c:layout>
                <c:manualLayout>
                  <c:x val="-8.5370553780379568E-3"/>
                  <c:y val="2.535925612848686E-2"/>
                </c:manualLayout>
              </c:layout>
              <c:numFmt formatCode="#,##0" sourceLinked="0"/>
              <c:spPr>
                <a:noFill/>
                <a:ln>
                  <a:noFill/>
                </a:ln>
                <a:effectLst/>
              </c:spPr>
              <c:txPr>
                <a:bodyPr wrap="square" lIns="38100" tIns="19050" rIns="38100" bIns="19050" anchor="ctr">
                  <a:noAutofit/>
                </a:bodyPr>
                <a:lstStyle/>
                <a:p>
                  <a:pPr>
                    <a:defRPr sz="800" b="0">
                      <a:solidFill>
                        <a:sysClr val="windowText" lastClr="000000"/>
                      </a:solidFill>
                    </a:defRPr>
                  </a:pPr>
                  <a:endParaRPr lang="en-US"/>
                </a:p>
              </c:txPr>
              <c:dLblPos val="outEnd"/>
              <c:showVal val="1"/>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11957927569810743"/>
                      <c:h val="0.11449737421875519"/>
                    </c:manualLayout>
                  </c15:layout>
                </c:ext>
                <c:ext xmlns:c16="http://schemas.microsoft.com/office/drawing/2014/chart" uri="{C3380CC4-5D6E-409C-BE32-E72D297353CC}">
                  <c16:uniqueId val="{00000000-C9D9-4D42-B975-FDC26C1B42FB}"/>
                </c:ext>
              </c:extLst>
            </c:dLbl>
            <c:dLbl>
              <c:idx val="3"/>
              <c:layout>
                <c:manualLayout>
                  <c:x val="-1.0434332127233246E-16"/>
                  <c:y val="3.3812341504649138E-2"/>
                </c:manualLayout>
              </c:layout>
              <c:tx>
                <c:rich>
                  <a:bodyPr/>
                  <a:lstStyle/>
                  <a:p>
                    <a:fld id="{62419BC0-8783-468B-9029-E1A00A97C425}" type="VALUE">
                      <a:rPr lang="en-US" b="0">
                        <a:solidFill>
                          <a:schemeClr val="tx1"/>
                        </a:solidFill>
                      </a:rPr>
                      <a:pPr/>
                      <a:t>[VALUE]</a:t>
                    </a:fld>
                    <a:endParaRPr lang="el-GR"/>
                  </a:p>
                </c:rich>
              </c:tx>
              <c:dLblPos val="outEnd"/>
              <c:showVal val="1"/>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1-C9D9-4D42-B975-FDC26C1B42FB}"/>
                </c:ext>
              </c:extLst>
            </c:dLbl>
            <c:dLbl>
              <c:idx val="4"/>
              <c:layout>
                <c:manualLayout>
                  <c:x val="0"/>
                  <c:y val="2.535925612848686E-2"/>
                </c:manualLayout>
              </c:layout>
              <c:tx>
                <c:rich>
                  <a:bodyPr/>
                  <a:lstStyle/>
                  <a:p>
                    <a:fld id="{C8EF18D2-FE44-45C6-AF4A-6412305388EB}" type="VALUE">
                      <a:rPr lang="en-US" b="0">
                        <a:solidFill>
                          <a:sysClr val="windowText" lastClr="000000"/>
                        </a:solidFill>
                      </a:rPr>
                      <a:pPr/>
                      <a:t>[VALUE]</a:t>
                    </a:fld>
                    <a:endParaRPr lang="el-GR"/>
                  </a:p>
                </c:rich>
              </c:tx>
              <c:dLblPos val="outEnd"/>
              <c:showVal val="1"/>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2-C9D9-4D42-B975-FDC26C1B42FB}"/>
                </c:ext>
              </c:extLst>
            </c:dLbl>
            <c:dLbl>
              <c:idx val="5"/>
              <c:layout>
                <c:manualLayout>
                  <c:x val="5.5663790704146981E-3"/>
                  <c:y val="2.5359256128486891E-2"/>
                </c:manualLayout>
              </c:layout>
              <c:tx>
                <c:rich>
                  <a:bodyPr wrap="square" lIns="38100" tIns="19050" rIns="38100" bIns="19050" anchor="ctr">
                    <a:spAutoFit/>
                  </a:bodyPr>
                  <a:lstStyle/>
                  <a:p>
                    <a:pPr>
                      <a:defRPr sz="1000" b="1">
                        <a:solidFill>
                          <a:schemeClr val="accent1"/>
                        </a:solidFill>
                      </a:defRPr>
                    </a:pPr>
                    <a:fld id="{AF711C50-0C61-4F2B-B7E2-FEF5E814FA8B}" type="VALUE">
                      <a:rPr lang="en-US" sz="1000" b="1">
                        <a:solidFill>
                          <a:schemeClr val="accent1"/>
                        </a:solidFill>
                      </a:rPr>
                      <a:pPr>
                        <a:defRPr sz="1000" b="1">
                          <a:solidFill>
                            <a:schemeClr val="accent1"/>
                          </a:solidFill>
                        </a:defRPr>
                      </a:pPr>
                      <a:t>[VALUE]</a:t>
                    </a:fld>
                    <a:endParaRPr lang="el-GR"/>
                  </a:p>
                </c:rich>
              </c:tx>
              <c:numFmt formatCode="#,##0" sourceLinked="0"/>
              <c:spPr>
                <a:noFill/>
                <a:ln>
                  <a:noFill/>
                </a:ln>
                <a:effectLst/>
              </c:spPr>
              <c:dLblPos val="outEnd"/>
              <c:showVal val="1"/>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4-C9D9-4D42-B975-FDC26C1B42FB}"/>
                </c:ext>
              </c:extLst>
            </c:dLbl>
            <c:dLbl>
              <c:idx val="6"/>
              <c:layout>
                <c:manualLayout>
                  <c:x val="5.4414512926919002E-3"/>
                  <c:y val="3.3812341504649214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9D9-4D42-B975-FDC26C1B42FB}"/>
                </c:ext>
              </c:extLst>
            </c:dLbl>
            <c:dLbl>
              <c:idx val="7"/>
              <c:layout>
                <c:manualLayout>
                  <c:x val="-5.5663790704146981E-3"/>
                  <c:y val="3.3812341504649214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9D9-4D42-B975-FDC26C1B42FB}"/>
                </c:ext>
              </c:extLst>
            </c:dLbl>
            <c:dLbl>
              <c:idx val="8"/>
              <c:layout>
                <c:manualLayout>
                  <c:x val="5.5663790704146981E-3"/>
                  <c:y val="3.3812341504649138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9D9-4D42-B975-FDC26C1B42FB}"/>
                </c:ext>
              </c:extLst>
            </c:dLbl>
            <c:numFmt formatCode="#,##0" sourceLinked="0"/>
            <c:spPr>
              <a:noFill/>
              <a:ln>
                <a:noFill/>
              </a:ln>
              <a:effectLst/>
            </c:spPr>
            <c:txPr>
              <a:bodyPr wrap="square" lIns="38100" tIns="19050" rIns="38100" bIns="19050" anchor="ctr">
                <a:spAutoFit/>
              </a:bodyPr>
              <a:lstStyle/>
              <a:p>
                <a:pPr>
                  <a:defRPr sz="800" b="0">
                    <a:solidFill>
                      <a:sysClr val="windowText" lastClr="000000"/>
                    </a:solidFill>
                  </a:defRPr>
                </a:pPr>
                <a:endParaRPr lang="en-US"/>
              </a:p>
            </c:txPr>
            <c:dLblPos val="outEnd"/>
            <c:showVal val="1"/>
            <c:extLst xmlns:c16r2="http://schemas.microsoft.com/office/drawing/2015/06/chart">
              <c:ext xmlns:c15="http://schemas.microsoft.com/office/drawing/2012/chart" uri="{CE6537A1-D6FC-4f65-9D91-7224C49458BB}">
                <c15:showLeaderLines val="1"/>
              </c:ext>
            </c:extLst>
          </c:dLbls>
          <c:cat>
            <c:strRef>
              <c:f>Sheet1!$A$2:$A$11</c:f>
              <c:strCache>
                <c:ptCount val="6"/>
                <c:pt idx="0">
                  <c:v>Q1.19</c:v>
                </c:pt>
                <c:pt idx="1">
                  <c:v>Q2.19</c:v>
                </c:pt>
                <c:pt idx="2">
                  <c:v>Q3.19</c:v>
                </c:pt>
                <c:pt idx="3">
                  <c:v>Q4.19</c:v>
                </c:pt>
                <c:pt idx="4">
                  <c:v>Q1.20</c:v>
                </c:pt>
                <c:pt idx="5">
                  <c:v>Q2.20</c:v>
                </c:pt>
              </c:strCache>
            </c:strRef>
          </c:cat>
          <c:val>
            <c:numRef>
              <c:f>Sheet1!$B$2:$B$11</c:f>
              <c:numCache>
                <c:formatCode>0</c:formatCode>
                <c:ptCount val="6"/>
                <c:pt idx="0">
                  <c:v>429.37099999999987</c:v>
                </c:pt>
                <c:pt idx="1">
                  <c:v>435.63099999999986</c:v>
                </c:pt>
                <c:pt idx="2">
                  <c:v>434.05399999999986</c:v>
                </c:pt>
                <c:pt idx="3">
                  <c:v>454.00300000000004</c:v>
                </c:pt>
                <c:pt idx="4">
                  <c:v>431.24</c:v>
                </c:pt>
                <c:pt idx="5" formatCode="General">
                  <c:v>447</c:v>
                </c:pt>
              </c:numCache>
            </c:numRef>
          </c:val>
          <c:extLst xmlns:c16r2="http://schemas.microsoft.com/office/drawing/2015/06/chart">
            <c:ext xmlns:c16="http://schemas.microsoft.com/office/drawing/2014/chart" uri="{C3380CC4-5D6E-409C-BE32-E72D297353CC}">
              <c16:uniqueId val="{0000000A-C9D9-4D42-B975-FDC26C1B42FB}"/>
            </c:ext>
          </c:extLst>
        </c:ser>
        <c:dLbls>
          <c:showVal val="1"/>
        </c:dLbls>
        <c:gapWidth val="130"/>
        <c:overlap val="-24"/>
        <c:axId val="218691456"/>
        <c:axId val="218692992"/>
      </c:barChart>
      <c:catAx>
        <c:axId val="218691456"/>
        <c:scaling>
          <c:orientation val="minMax"/>
        </c:scaling>
        <c:axPos val="b"/>
        <c:numFmt formatCode="General" sourceLinked="1"/>
        <c:majorTickMark val="none"/>
        <c:tickLblPos val="nextTo"/>
        <c:spPr>
          <a:ln w="6350">
            <a:solidFill>
              <a:schemeClr val="bg1"/>
            </a:solidFill>
            <a:prstDash val="solid"/>
          </a:ln>
        </c:spPr>
        <c:txPr>
          <a:bodyPr/>
          <a:lstStyle/>
          <a:p>
            <a:pPr algn="ctr">
              <a:defRPr lang="en-GB" sz="700" b="0" i="0" u="none" strike="noStrike" kern="1200" baseline="0">
                <a:solidFill>
                  <a:schemeClr val="tx1">
                    <a:lumMod val="50000"/>
                    <a:lumOff val="50000"/>
                  </a:schemeClr>
                </a:solidFill>
                <a:latin typeface="+mn-lt"/>
                <a:ea typeface="+mn-ea"/>
                <a:cs typeface="+mn-cs"/>
              </a:defRPr>
            </a:pPr>
            <a:endParaRPr lang="en-US"/>
          </a:p>
        </c:txPr>
        <c:crossAx val="218692992"/>
        <c:crosses val="autoZero"/>
        <c:auto val="1"/>
        <c:lblAlgn val="ctr"/>
        <c:lblOffset val="100"/>
      </c:catAx>
      <c:valAx>
        <c:axId val="218692992"/>
        <c:scaling>
          <c:orientation val="minMax"/>
          <c:min val="300"/>
        </c:scaling>
        <c:delete val="1"/>
        <c:axPos val="l"/>
        <c:numFmt formatCode="0" sourceLinked="1"/>
        <c:tickLblPos val="nextTo"/>
        <c:crossAx val="218691456"/>
        <c:crosses val="autoZero"/>
        <c:crossBetween val="between"/>
      </c:valAx>
      <c:spPr>
        <a:noFill/>
        <a:ln>
          <a:noFill/>
        </a:ln>
      </c:spPr>
    </c:plotArea>
    <c:plotVisOnly val="1"/>
    <c:dispBlanksAs val="gap"/>
  </c:chart>
  <c:spPr>
    <a:noFill/>
    <a:ln w="0">
      <a:noFill/>
    </a:ln>
  </c:spPr>
  <c:txPr>
    <a:bodyPr/>
    <a:lstStyle/>
    <a:p>
      <a:pPr>
        <a:defRPr sz="700">
          <a:latin typeface="+mj-lt"/>
        </a:defRPr>
      </a:pPr>
      <a:endParaRPr lang="en-US"/>
    </a:p>
  </c:txPr>
  <c:externalData r:id="rId2"/>
</c:chartSpace>
</file>

<file path=word/theme/theme1.xml><?xml version="1.0" encoding="utf-8"?>
<a:theme xmlns:a="http://schemas.openxmlformats.org/drawingml/2006/main" name="Θέμα του Office">
  <a:themeElements>
    <a:clrScheme name="corporatecolors">
      <a:dk1>
        <a:sysClr val="windowText" lastClr="000000"/>
      </a:dk1>
      <a:lt1>
        <a:sysClr val="window" lastClr="FFFFFF"/>
      </a:lt1>
      <a:dk2>
        <a:srgbClr val="003C96"/>
      </a:dk2>
      <a:lt2>
        <a:srgbClr val="D9D9D9"/>
      </a:lt2>
      <a:accent1>
        <a:srgbClr val="3A73AE"/>
      </a:accent1>
      <a:accent2>
        <a:srgbClr val="D1AA70"/>
      </a:accent2>
      <a:accent3>
        <a:srgbClr val="464646"/>
      </a:accent3>
      <a:accent4>
        <a:srgbClr val="FAB414"/>
      </a:accent4>
      <a:accent5>
        <a:srgbClr val="FF0000"/>
      </a:accent5>
      <a:accent6>
        <a:srgbClr val="00B050"/>
      </a:accent6>
      <a:hlink>
        <a:srgbClr val="0070C0"/>
      </a:hlink>
      <a:folHlink>
        <a:srgbClr val="7030A0"/>
      </a:folHlink>
    </a:clrScheme>
    <a:fontScheme name="Piraeus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orporatecolors">
    <a:dk1>
      <a:sysClr val="windowText" lastClr="000000"/>
    </a:dk1>
    <a:lt1>
      <a:sysClr val="window" lastClr="FFFFFF"/>
    </a:lt1>
    <a:dk2>
      <a:srgbClr val="003C96"/>
    </a:dk2>
    <a:lt2>
      <a:srgbClr val="D9D9D9"/>
    </a:lt2>
    <a:accent1>
      <a:srgbClr val="3A73AE"/>
    </a:accent1>
    <a:accent2>
      <a:srgbClr val="D1AA70"/>
    </a:accent2>
    <a:accent3>
      <a:srgbClr val="464646"/>
    </a:accent3>
    <a:accent4>
      <a:srgbClr val="FAB414"/>
    </a:accent4>
    <a:accent5>
      <a:srgbClr val="FF0000"/>
    </a:accent5>
    <a:accent6>
      <a:srgbClr val="00B050"/>
    </a:accent6>
    <a:hlink>
      <a:srgbClr val="0070C0"/>
    </a:hlink>
    <a:folHlink>
      <a:srgbClr val="7030A0"/>
    </a:folHlink>
  </a:clrScheme>
  <a:fontScheme name="Piraeus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iraeus Bank">
    <a:dk1>
      <a:srgbClr val="3C3B2F"/>
    </a:dk1>
    <a:lt1>
      <a:srgbClr val="FFFFFF"/>
    </a:lt1>
    <a:dk2>
      <a:srgbClr val="FAB414"/>
    </a:dk2>
    <a:lt2>
      <a:srgbClr val="E6E6E1"/>
    </a:lt2>
    <a:accent1>
      <a:srgbClr val="DCDCD7"/>
    </a:accent1>
    <a:accent2>
      <a:srgbClr val="003C96"/>
    </a:accent2>
    <a:accent3>
      <a:srgbClr val="D1AA71"/>
    </a:accent3>
    <a:accent4>
      <a:srgbClr val="B84F3E"/>
    </a:accent4>
    <a:accent5>
      <a:srgbClr val="3A73AE"/>
    </a:accent5>
    <a:accent6>
      <a:srgbClr val="A4A96D"/>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corporatecolors">
    <a:dk1>
      <a:sysClr val="windowText" lastClr="000000"/>
    </a:dk1>
    <a:lt1>
      <a:sysClr val="window" lastClr="FFFFFF"/>
    </a:lt1>
    <a:dk2>
      <a:srgbClr val="003C96"/>
    </a:dk2>
    <a:lt2>
      <a:srgbClr val="D9D9D9"/>
    </a:lt2>
    <a:accent1>
      <a:srgbClr val="3A73AE"/>
    </a:accent1>
    <a:accent2>
      <a:srgbClr val="D1AA70"/>
    </a:accent2>
    <a:accent3>
      <a:srgbClr val="464646"/>
    </a:accent3>
    <a:accent4>
      <a:srgbClr val="FAB414"/>
    </a:accent4>
    <a:accent5>
      <a:srgbClr val="FF0000"/>
    </a:accent5>
    <a:accent6>
      <a:srgbClr val="00B050"/>
    </a:accent6>
    <a:hlink>
      <a:srgbClr val="0070C0"/>
    </a:hlink>
    <a:folHlink>
      <a:srgbClr val="7030A0"/>
    </a:folHlink>
  </a:clrScheme>
  <a:fontScheme name="Piraeus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corporatecolors">
    <a:dk1>
      <a:sysClr val="windowText" lastClr="000000"/>
    </a:dk1>
    <a:lt1>
      <a:sysClr val="window" lastClr="FFFFFF"/>
    </a:lt1>
    <a:dk2>
      <a:srgbClr val="003C96"/>
    </a:dk2>
    <a:lt2>
      <a:srgbClr val="D9D9D9"/>
    </a:lt2>
    <a:accent1>
      <a:srgbClr val="3A73AE"/>
    </a:accent1>
    <a:accent2>
      <a:srgbClr val="D1AA70"/>
    </a:accent2>
    <a:accent3>
      <a:srgbClr val="464646"/>
    </a:accent3>
    <a:accent4>
      <a:srgbClr val="FAB414"/>
    </a:accent4>
    <a:accent5>
      <a:srgbClr val="FF0000"/>
    </a:accent5>
    <a:accent6>
      <a:srgbClr val="00B050"/>
    </a:accent6>
    <a:hlink>
      <a:srgbClr val="0070C0"/>
    </a:hlink>
    <a:folHlink>
      <a:srgbClr val="7030A0"/>
    </a:folHlink>
  </a:clrScheme>
  <a:fontScheme name="Piraeus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corporatecolors">
    <a:dk1>
      <a:sysClr val="windowText" lastClr="000000"/>
    </a:dk1>
    <a:lt1>
      <a:sysClr val="window" lastClr="FFFFFF"/>
    </a:lt1>
    <a:dk2>
      <a:srgbClr val="003C96"/>
    </a:dk2>
    <a:lt2>
      <a:srgbClr val="D9D9D9"/>
    </a:lt2>
    <a:accent1>
      <a:srgbClr val="3A73AE"/>
    </a:accent1>
    <a:accent2>
      <a:srgbClr val="D1AA70"/>
    </a:accent2>
    <a:accent3>
      <a:srgbClr val="464646"/>
    </a:accent3>
    <a:accent4>
      <a:srgbClr val="FAB414"/>
    </a:accent4>
    <a:accent5>
      <a:srgbClr val="FF0000"/>
    </a:accent5>
    <a:accent6>
      <a:srgbClr val="00B050"/>
    </a:accent6>
    <a:hlink>
      <a:srgbClr val="0070C0"/>
    </a:hlink>
    <a:folHlink>
      <a:srgbClr val="7030A0"/>
    </a:folHlink>
  </a:clrScheme>
  <a:fontScheme name="Piraeus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corporatecolors">
    <a:dk1>
      <a:sysClr val="windowText" lastClr="000000"/>
    </a:dk1>
    <a:lt1>
      <a:sysClr val="window" lastClr="FFFFFF"/>
    </a:lt1>
    <a:dk2>
      <a:srgbClr val="003C96"/>
    </a:dk2>
    <a:lt2>
      <a:srgbClr val="D9D9D9"/>
    </a:lt2>
    <a:accent1>
      <a:srgbClr val="3A73AE"/>
    </a:accent1>
    <a:accent2>
      <a:srgbClr val="D1AA70"/>
    </a:accent2>
    <a:accent3>
      <a:srgbClr val="464646"/>
    </a:accent3>
    <a:accent4>
      <a:srgbClr val="FAB414"/>
    </a:accent4>
    <a:accent5>
      <a:srgbClr val="FF0000"/>
    </a:accent5>
    <a:accent6>
      <a:srgbClr val="00B050"/>
    </a:accent6>
    <a:hlink>
      <a:srgbClr val="0070C0"/>
    </a:hlink>
    <a:folHlink>
      <a:srgbClr val="7030A0"/>
    </a:folHlink>
  </a:clrScheme>
  <a:fontScheme name="Piraeus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3E579B13FAF247ABC28155753603E4" ma:contentTypeVersion="9" ma:contentTypeDescription="Create a new document." ma:contentTypeScope="" ma:versionID="528e67b42b1d3e74eb9fd0ff09ee86d9">
  <xsd:schema xmlns:xsd="http://www.w3.org/2001/XMLSchema" xmlns:xs="http://www.w3.org/2001/XMLSchema" xmlns:p="http://schemas.microsoft.com/office/2006/metadata/properties" xmlns:ns2="ab64be8f-a0a2-413a-81d2-c9001901314f" targetNamespace="http://schemas.microsoft.com/office/2006/metadata/properties" ma:root="true" ma:fieldsID="14f87bdfe59ed82dd52a036566dad4fe" ns2:_="">
    <xsd:import namespace="ab64be8f-a0a2-413a-81d2-c900190131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4be8f-a0a2-413a-81d2-c90019013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1AAB0-8DE1-4361-B3D8-091A784C8ECF}">
  <ds:schemaRefs>
    <ds:schemaRef ds:uri="http://schemas.microsoft.com/sharepoint/v3/contenttype/forms"/>
  </ds:schemaRefs>
</ds:datastoreItem>
</file>

<file path=customXml/itemProps2.xml><?xml version="1.0" encoding="utf-8"?>
<ds:datastoreItem xmlns:ds="http://schemas.openxmlformats.org/officeDocument/2006/customXml" ds:itemID="{455F8FE3-3DC8-4C91-961F-E6DDA9F001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17407F-7CAB-4006-8147-D73B79D82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4be8f-a0a2-413a-81d2-c90019013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AE9E97-6605-4E37-95A9-BD56F23C4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4798</Words>
  <Characters>27353</Characters>
  <Application>Microsoft Office Word</Application>
  <DocSecurity>0</DocSecurity>
  <Lines>227</Lines>
  <Paragraphs>64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Μπερμπάτη Χρυσάνθη</dc:creator>
  <cp:lastModifiedBy>User</cp:lastModifiedBy>
  <cp:revision>2</cp:revision>
  <cp:lastPrinted>2020-08-04T08:38:00Z</cp:lastPrinted>
  <dcterms:created xsi:type="dcterms:W3CDTF">2020-08-04T15:11:00Z</dcterms:created>
  <dcterms:modified xsi:type="dcterms:W3CDTF">2020-08-04T15:11:00Z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2056465934</vt:i4>
  </property>
  <property fmtid="{D5CDD505-2E9C-101B-9397-08002B2CF9AE}" pid="3" name="ContentTypeId">
    <vt:lpwstr>0x010100403E579B13FAF247ABC28155753603E4</vt:lpwstr>
  </property>
</Properties>
</file>