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B42" w:rsidRPr="00F50813" w:rsidRDefault="00E706B5" w:rsidP="004929D8">
      <w:pPr>
        <w:spacing w:after="160" w:line="200" w:lineRule="atLeast"/>
        <w:jc w:val="both"/>
        <w:rPr>
          <w:rFonts w:ascii="Segoe UI" w:hAnsi="Segoe UI" w:cs="Segoe UI"/>
          <w:b/>
          <w:lang w:val="en-US"/>
        </w:rPr>
      </w:pPr>
      <w:bookmarkStart w:id="0" w:name="_GoBack"/>
      <w:bookmarkEnd w:id="0"/>
      <w:r>
        <w:rPr>
          <w:rFonts w:ascii="Segoe UI" w:hAnsi="Segoe UI" w:cs="Segoe UI"/>
          <w:b/>
          <w:noProof/>
          <w:lang w:val="el-GR" w:eastAsia="el-GR"/>
        </w:rPr>
        <w:pict>
          <v:shapetype id="_x0000_t202" coordsize="21600,21600" o:spt="202" path="m,l,21600r21600,l21600,xe">
            <v:stroke joinstyle="miter"/>
            <v:path gradientshapeok="t" o:connecttype="rect"/>
          </v:shapetype>
          <v:shape id="Text Box 3" o:spid="_x0000_s1026" type="#_x0000_t202" style="position:absolute;left:0;text-align:left;margin-left:-2.25pt;margin-top:-9.15pt;width:435.9pt;height:731.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" fillcolor="#d8d8d8 [2732]" stroked="f">
            <v:textbox>
              <w:txbxContent>
                <w:p w:rsidR="002E354B" w:rsidRPr="00BF459E" w:rsidRDefault="002E354B" w:rsidP="00BF459E">
                  <w:pPr>
                    <w:spacing w:before="120" w:after="0" w:line="240" w:lineRule="auto"/>
                    <w:jc w:val="center"/>
                    <w:rPr>
                      <w:rFonts w:ascii="Segoe UI" w:hAnsi="Segoe UI" w:cs="Segoe UI"/>
                      <w:b/>
                      <w:sz w:val="32"/>
                      <w:szCs w:val="26"/>
                      <w:lang w:val="el-GR"/>
                    </w:rPr>
                  </w:pPr>
                  <w:r w:rsidRPr="00BF459E">
                    <w:rPr>
                      <w:rFonts w:ascii="Segoe UI" w:hAnsi="Segoe UI" w:cs="Segoe UI"/>
                      <w:b/>
                      <w:sz w:val="32"/>
                      <w:szCs w:val="26"/>
                      <w:lang w:val="el-GR"/>
                    </w:rPr>
                    <w:t>ΔΕΛΤΙΟ ΤΥΠΟΥ</w:t>
                  </w:r>
                </w:p>
                <w:p w:rsidR="002E354B" w:rsidRPr="00BF459E" w:rsidRDefault="002E354B" w:rsidP="00BF459E">
                  <w:pPr>
                    <w:spacing w:before="120" w:after="0" w:line="240" w:lineRule="auto"/>
                    <w:jc w:val="center"/>
                    <w:rPr>
                      <w:rFonts w:ascii="Segoe UI" w:hAnsi="Segoe UI" w:cs="Segoe UI"/>
                      <w:b/>
                      <w:sz w:val="24"/>
                      <w:szCs w:val="30"/>
                      <w:lang w:val="el-GR"/>
                    </w:rPr>
                  </w:pPr>
                  <w:r w:rsidRPr="00BF459E">
                    <w:rPr>
                      <w:rFonts w:ascii="Segoe UI" w:hAnsi="Segoe UI" w:cs="Segoe UI"/>
                      <w:b/>
                      <w:sz w:val="24"/>
                      <w:szCs w:val="30"/>
                      <w:lang w:val="el-GR"/>
                    </w:rPr>
                    <w:t xml:space="preserve">Αποτελέσματα Ομίλου ΕΤΕ: </w:t>
                  </w:r>
                  <w:r>
                    <w:rPr>
                      <w:rFonts w:ascii="Segoe UI" w:hAnsi="Segoe UI" w:cs="Segoe UI"/>
                      <w:b/>
                      <w:sz w:val="24"/>
                      <w:szCs w:val="30"/>
                      <w:lang w:val="el-GR"/>
                    </w:rPr>
                    <w:t>Δ</w:t>
                  </w:r>
                  <w:r w:rsidRPr="00BF459E">
                    <w:rPr>
                      <w:rFonts w:ascii="Segoe UI" w:hAnsi="Segoe UI" w:cs="Segoe UI"/>
                      <w:b/>
                      <w:sz w:val="24"/>
                      <w:szCs w:val="30"/>
                      <w:lang w:val="el-GR"/>
                    </w:rPr>
                    <w:t>’ Τρίμηνο 2016</w:t>
                  </w:r>
                </w:p>
                <w:p w:rsidR="002E354B" w:rsidRPr="007605C4" w:rsidRDefault="002E354B" w:rsidP="00BF459E">
                  <w:pPr>
                    <w:spacing w:before="120" w:after="0" w:line="240" w:lineRule="auto"/>
                    <w:jc w:val="center"/>
                    <w:rPr>
                      <w:rFonts w:ascii="Segoe UI" w:hAnsi="Segoe UI" w:cs="Segoe UI"/>
                      <w:b/>
                      <w:sz w:val="2"/>
                      <w:szCs w:val="2"/>
                      <w:lang w:val="el-GR"/>
                    </w:rPr>
                  </w:pPr>
                </w:p>
                <w:p w:rsidR="002E354B" w:rsidRPr="005B3106" w:rsidRDefault="002E354B" w:rsidP="00BF459E">
                  <w:pPr>
                    <w:spacing w:before="120" w:after="0" w:line="240" w:lineRule="auto"/>
                    <w:rPr>
                      <w:rFonts w:ascii="Segoe UI" w:hAnsi="Segoe UI" w:cs="Segoe UI"/>
                      <w:b/>
                      <w:sz w:val="2"/>
                      <w:szCs w:val="2"/>
                      <w:lang w:val="el-GR"/>
                    </w:rPr>
                  </w:pPr>
                </w:p>
                <w:p w:rsidR="002E354B" w:rsidRPr="00E46E0F" w:rsidRDefault="002E354B" w:rsidP="008F0414">
                  <w:pPr>
                    <w:numPr>
                      <w:ilvl w:val="0"/>
                      <w:numId w:val="12"/>
                    </w:numPr>
                    <w:spacing w:before="120" w:after="0"/>
                    <w:rPr>
                      <w:rFonts w:ascii="Segoe UI" w:hAnsi="Segoe UI" w:cs="Segoe UI"/>
                      <w:b/>
                      <w:sz w:val="12"/>
                      <w:szCs w:val="10"/>
                      <w:lang w:val="el-GR"/>
                    </w:rPr>
                  </w:pPr>
                  <w:r>
                    <w:rPr>
                      <w:rFonts w:ascii="Segoe UI" w:hAnsi="Segoe UI" w:cs="Segoe UI"/>
                      <w:b/>
                      <w:sz w:val="18"/>
                      <w:szCs w:val="15"/>
                      <w:lang w:val="el-GR"/>
                    </w:rPr>
                    <w:t xml:space="preserve">Κύρια επιτεύγματα </w:t>
                  </w:r>
                  <w:r w:rsidRPr="00C03BE2">
                    <w:rPr>
                      <w:rFonts w:ascii="Segoe UI" w:hAnsi="Segoe UI" w:cs="Segoe UI"/>
                      <w:b/>
                      <w:sz w:val="18"/>
                      <w:szCs w:val="15"/>
                      <w:lang w:val="el-GR"/>
                    </w:rPr>
                    <w:t xml:space="preserve">του </w:t>
                  </w:r>
                  <w:r>
                    <w:rPr>
                      <w:rFonts w:ascii="Segoe UI" w:hAnsi="Segoe UI" w:cs="Segoe UI"/>
                      <w:b/>
                      <w:sz w:val="18"/>
                      <w:szCs w:val="15"/>
                      <w:lang w:val="el-GR"/>
                    </w:rPr>
                    <w:t>οικονομικού έτους 2016</w:t>
                  </w:r>
                </w:p>
                <w:p w:rsidR="002E354B" w:rsidRPr="00BF459E" w:rsidRDefault="002E354B" w:rsidP="001770EF">
                  <w:pPr>
                    <w:numPr>
                      <w:ilvl w:val="0"/>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Ο ρυθμός δημιουργίας νέων Μη Εξυπηρετούμενων Ανοιγμάτων παρέμεινε αρνητικός για 3</w:t>
                  </w:r>
                  <w:r w:rsidRPr="003437CF">
                    <w:rPr>
                      <w:rFonts w:ascii="Segoe UI" w:hAnsi="Segoe UI" w:cs="Segoe UI"/>
                      <w:sz w:val="18"/>
                      <w:szCs w:val="15"/>
                      <w:vertAlign w:val="superscript"/>
                      <w:lang w:val="el-GR"/>
                    </w:rPr>
                    <w:t>ο</w:t>
                  </w:r>
                  <w:r>
                    <w:rPr>
                      <w:rFonts w:ascii="Segoe UI" w:hAnsi="Segoe UI" w:cs="Segoe UI"/>
                      <w:sz w:val="18"/>
                      <w:szCs w:val="15"/>
                      <w:lang w:val="el-GR"/>
                    </w:rPr>
                    <w:t xml:space="preserve"> συνεχόμενο τρίμηνο. Ως αποτέλεσμα αυτής της τάσης, ο δείκτης Μη Εξυπηρετούμενων Ανοιγμάτων </w:t>
                  </w:r>
                  <w:r w:rsidRPr="00BF459E">
                    <w:rPr>
                      <w:rFonts w:ascii="Segoe UI" w:hAnsi="Segoe UI" w:cs="Segoe UI"/>
                      <w:sz w:val="18"/>
                      <w:szCs w:val="15"/>
                      <w:lang w:val="el-GR"/>
                    </w:rPr>
                    <w:t>μειώ</w:t>
                  </w:r>
                  <w:r>
                    <w:rPr>
                      <w:rFonts w:ascii="Segoe UI" w:hAnsi="Segoe UI" w:cs="Segoe UI"/>
                      <w:sz w:val="18"/>
                      <w:szCs w:val="15"/>
                      <w:lang w:val="el-GR"/>
                    </w:rPr>
                    <w:t xml:space="preserve">θηκε κατά 400 </w:t>
                  </w:r>
                  <w:proofErr w:type="spellStart"/>
                  <w:r>
                    <w:rPr>
                      <w:rFonts w:ascii="Segoe UI" w:hAnsi="Segoe UI" w:cs="Segoe UI"/>
                      <w:sz w:val="18"/>
                      <w:szCs w:val="15"/>
                      <w:lang w:val="el-GR"/>
                    </w:rPr>
                    <w:t>μ.β</w:t>
                  </w:r>
                  <w:proofErr w:type="spellEnd"/>
                  <w:r>
                    <w:rPr>
                      <w:rFonts w:ascii="Segoe UI" w:hAnsi="Segoe UI" w:cs="Segoe UI"/>
                      <w:sz w:val="18"/>
                      <w:szCs w:val="15"/>
                      <w:lang w:val="el-GR"/>
                    </w:rPr>
                    <w:t xml:space="preserve">. το 2016, σε σχέση με το προηγούμενο έτος  </w:t>
                  </w:r>
                </w:p>
                <w:p w:rsidR="002E354B" w:rsidRPr="00BF459E" w:rsidRDefault="002E354B" w:rsidP="00987081">
                  <w:pPr>
                    <w:numPr>
                      <w:ilvl w:val="0"/>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 xml:space="preserve">Σταδιακή υλοποίηση του σχεδίου αναδιάρθρωσης της Τράπεζας, όπως αυτή διαφαίνεται από την ολοκλήρωση των πωλήσεων των </w:t>
                  </w:r>
                  <w:proofErr w:type="spellStart"/>
                  <w:r>
                    <w:rPr>
                      <w:rFonts w:ascii="Segoe UI" w:hAnsi="Segoe UI" w:cs="Segoe UI"/>
                      <w:sz w:val="18"/>
                      <w:szCs w:val="15"/>
                      <w:lang w:val="en-US"/>
                    </w:rPr>
                    <w:t>Finansbank</w:t>
                  </w:r>
                  <w:proofErr w:type="spellEnd"/>
                  <w:r w:rsidRPr="004C0BE0">
                    <w:rPr>
                      <w:rFonts w:ascii="Segoe UI" w:hAnsi="Segoe UI" w:cs="Segoe UI"/>
                      <w:sz w:val="18"/>
                      <w:szCs w:val="15"/>
                      <w:lang w:val="el-GR"/>
                    </w:rPr>
                    <w:t xml:space="preserve">, </w:t>
                  </w:r>
                  <w:r>
                    <w:rPr>
                      <w:rFonts w:ascii="Segoe UI" w:hAnsi="Segoe UI" w:cs="Segoe UI"/>
                      <w:sz w:val="18"/>
                      <w:szCs w:val="15"/>
                      <w:lang w:val="en-US"/>
                    </w:rPr>
                    <w:t>NBGI</w:t>
                  </w:r>
                  <w:r>
                    <w:rPr>
                      <w:rFonts w:ascii="Segoe UI" w:hAnsi="Segoe UI" w:cs="Segoe UI"/>
                      <w:sz w:val="18"/>
                      <w:szCs w:val="15"/>
                      <w:lang w:val="el-GR"/>
                    </w:rPr>
                    <w:t xml:space="preserve"> </w:t>
                  </w:r>
                  <w:r>
                    <w:rPr>
                      <w:rFonts w:ascii="Segoe UI" w:hAnsi="Segoe UI" w:cs="Segoe UI"/>
                      <w:sz w:val="18"/>
                      <w:szCs w:val="15"/>
                      <w:lang w:val="en-US"/>
                    </w:rPr>
                    <w:t>Private</w:t>
                  </w:r>
                  <w:r w:rsidRPr="001D4A42">
                    <w:rPr>
                      <w:rFonts w:ascii="Segoe UI" w:hAnsi="Segoe UI" w:cs="Segoe UI"/>
                      <w:sz w:val="18"/>
                      <w:szCs w:val="15"/>
                      <w:lang w:val="el-GR"/>
                    </w:rPr>
                    <w:t xml:space="preserve"> </w:t>
                  </w:r>
                  <w:r>
                    <w:rPr>
                      <w:rFonts w:ascii="Segoe UI" w:hAnsi="Segoe UI" w:cs="Segoe UI"/>
                      <w:sz w:val="18"/>
                      <w:szCs w:val="15"/>
                      <w:lang w:val="en-US"/>
                    </w:rPr>
                    <w:t>Equity</w:t>
                  </w:r>
                  <w:r w:rsidRPr="001D4A42">
                    <w:rPr>
                      <w:rFonts w:ascii="Segoe UI" w:hAnsi="Segoe UI" w:cs="Segoe UI"/>
                      <w:sz w:val="18"/>
                      <w:szCs w:val="15"/>
                      <w:lang w:val="el-GR"/>
                    </w:rPr>
                    <w:t xml:space="preserve"> </w:t>
                  </w:r>
                  <w:r>
                    <w:rPr>
                      <w:rFonts w:ascii="Segoe UI" w:hAnsi="Segoe UI" w:cs="Segoe UI"/>
                      <w:sz w:val="18"/>
                      <w:szCs w:val="15"/>
                      <w:lang w:val="en-US"/>
                    </w:rPr>
                    <w:t>Funds</w:t>
                  </w:r>
                  <w:r w:rsidRPr="001D4A42">
                    <w:rPr>
                      <w:rFonts w:ascii="Segoe UI" w:hAnsi="Segoe UI" w:cs="Segoe UI"/>
                      <w:sz w:val="18"/>
                      <w:szCs w:val="15"/>
                      <w:lang w:val="el-GR"/>
                    </w:rPr>
                    <w:t xml:space="preserve"> </w:t>
                  </w:r>
                  <w:r>
                    <w:rPr>
                      <w:rFonts w:ascii="Segoe UI" w:hAnsi="Segoe UI" w:cs="Segoe UI"/>
                      <w:sz w:val="18"/>
                      <w:szCs w:val="15"/>
                      <w:lang w:val="el-GR"/>
                    </w:rPr>
                    <w:t>και</w:t>
                  </w:r>
                  <w:r w:rsidRPr="004C0BE0">
                    <w:rPr>
                      <w:rFonts w:ascii="Segoe UI" w:hAnsi="Segoe UI" w:cs="Segoe UI"/>
                      <w:sz w:val="18"/>
                      <w:szCs w:val="15"/>
                      <w:lang w:val="el-GR"/>
                    </w:rPr>
                    <w:t xml:space="preserve"> </w:t>
                  </w:r>
                  <w:r>
                    <w:rPr>
                      <w:rFonts w:ascii="Segoe UI" w:hAnsi="Segoe UI" w:cs="Segoe UI"/>
                      <w:sz w:val="18"/>
                      <w:szCs w:val="15"/>
                      <w:lang w:val="el-GR"/>
                    </w:rPr>
                    <w:t xml:space="preserve">ΑΣΤΗΡ ΠΑΛΑΣ, καθώς και από τη συμφωνία για την πώληση της </w:t>
                  </w:r>
                  <w:r>
                    <w:rPr>
                      <w:rFonts w:ascii="Segoe UI" w:hAnsi="Segoe UI" w:cs="Segoe UI"/>
                      <w:sz w:val="18"/>
                      <w:szCs w:val="15"/>
                      <w:lang w:val="en-US"/>
                    </w:rPr>
                    <w:t>South</w:t>
                  </w:r>
                  <w:r w:rsidRPr="005D270F">
                    <w:rPr>
                      <w:rFonts w:ascii="Segoe UI" w:hAnsi="Segoe UI" w:cs="Segoe UI"/>
                      <w:sz w:val="18"/>
                      <w:szCs w:val="15"/>
                      <w:lang w:val="el-GR"/>
                    </w:rPr>
                    <w:t xml:space="preserve"> </w:t>
                  </w:r>
                  <w:r>
                    <w:rPr>
                      <w:rFonts w:ascii="Segoe UI" w:hAnsi="Segoe UI" w:cs="Segoe UI"/>
                      <w:sz w:val="18"/>
                      <w:szCs w:val="15"/>
                      <w:lang w:val="en-US"/>
                    </w:rPr>
                    <w:t>African</w:t>
                  </w:r>
                  <w:r w:rsidRPr="005D270F">
                    <w:rPr>
                      <w:rFonts w:ascii="Segoe UI" w:hAnsi="Segoe UI" w:cs="Segoe UI"/>
                      <w:sz w:val="18"/>
                      <w:szCs w:val="15"/>
                      <w:lang w:val="el-GR"/>
                    </w:rPr>
                    <w:t xml:space="preserve"> </w:t>
                  </w:r>
                  <w:r>
                    <w:rPr>
                      <w:rFonts w:ascii="Segoe UI" w:hAnsi="Segoe UI" w:cs="Segoe UI"/>
                      <w:sz w:val="18"/>
                      <w:szCs w:val="15"/>
                      <w:lang w:val="en-US"/>
                    </w:rPr>
                    <w:t>Bank</w:t>
                  </w:r>
                  <w:r>
                    <w:rPr>
                      <w:rFonts w:ascii="Segoe UI" w:hAnsi="Segoe UI" w:cs="Segoe UI"/>
                      <w:sz w:val="18"/>
                      <w:szCs w:val="15"/>
                      <w:lang w:val="el-GR"/>
                    </w:rPr>
                    <w:t xml:space="preserve"> </w:t>
                  </w:r>
                  <w:r>
                    <w:rPr>
                      <w:rFonts w:ascii="Segoe UI" w:hAnsi="Segoe UI" w:cs="Segoe UI"/>
                      <w:sz w:val="18"/>
                      <w:szCs w:val="15"/>
                      <w:lang w:val="en-US"/>
                    </w:rPr>
                    <w:t>of</w:t>
                  </w:r>
                  <w:r w:rsidRPr="005D270F">
                    <w:rPr>
                      <w:rFonts w:ascii="Segoe UI" w:hAnsi="Segoe UI" w:cs="Segoe UI"/>
                      <w:sz w:val="18"/>
                      <w:szCs w:val="15"/>
                      <w:lang w:val="el-GR"/>
                    </w:rPr>
                    <w:t xml:space="preserve"> </w:t>
                  </w:r>
                  <w:r>
                    <w:rPr>
                      <w:rFonts w:ascii="Segoe UI" w:hAnsi="Segoe UI" w:cs="Segoe UI"/>
                      <w:sz w:val="18"/>
                      <w:szCs w:val="15"/>
                      <w:lang w:val="en-US"/>
                    </w:rPr>
                    <w:t>Athens</w:t>
                  </w:r>
                  <w:r w:rsidRPr="005D270F">
                    <w:rPr>
                      <w:rFonts w:ascii="Segoe UI" w:hAnsi="Segoe UI" w:cs="Segoe UI"/>
                      <w:sz w:val="18"/>
                      <w:szCs w:val="15"/>
                      <w:lang w:val="el-GR"/>
                    </w:rPr>
                    <w:t xml:space="preserve"> (</w:t>
                  </w:r>
                  <w:r>
                    <w:rPr>
                      <w:rFonts w:ascii="Segoe UI" w:hAnsi="Segoe UI" w:cs="Segoe UI"/>
                      <w:sz w:val="18"/>
                      <w:szCs w:val="15"/>
                      <w:lang w:val="en-US"/>
                    </w:rPr>
                    <w:t>SABA</w:t>
                  </w:r>
                  <w:r w:rsidRPr="005D270F">
                    <w:rPr>
                      <w:rFonts w:ascii="Segoe UI" w:hAnsi="Segoe UI" w:cs="Segoe UI"/>
                      <w:sz w:val="18"/>
                      <w:szCs w:val="15"/>
                      <w:lang w:val="el-GR"/>
                    </w:rPr>
                    <w:t xml:space="preserve">) </w:t>
                  </w:r>
                  <w:r>
                    <w:rPr>
                      <w:rFonts w:ascii="Segoe UI" w:hAnsi="Segoe UI" w:cs="Segoe UI"/>
                      <w:sz w:val="18"/>
                      <w:szCs w:val="15"/>
                      <w:lang w:val="el-GR"/>
                    </w:rPr>
                    <w:t xml:space="preserve">και των θυγατρικών στη Βουλγαρία, </w:t>
                  </w:r>
                  <w:r w:rsidRPr="00987081">
                    <w:rPr>
                      <w:rFonts w:ascii="Segoe UI" w:hAnsi="Segoe UI" w:cs="Segoe UI"/>
                      <w:sz w:val="18"/>
                      <w:szCs w:val="15"/>
                      <w:lang w:val="en-US"/>
                    </w:rPr>
                    <w:t>United</w:t>
                  </w:r>
                  <w:r w:rsidRPr="00987081">
                    <w:rPr>
                      <w:rFonts w:ascii="Segoe UI" w:hAnsi="Segoe UI" w:cs="Segoe UI"/>
                      <w:sz w:val="18"/>
                      <w:szCs w:val="15"/>
                      <w:lang w:val="el-GR"/>
                    </w:rPr>
                    <w:t xml:space="preserve"> </w:t>
                  </w:r>
                  <w:r w:rsidRPr="00987081">
                    <w:rPr>
                      <w:rFonts w:ascii="Segoe UI" w:hAnsi="Segoe UI" w:cs="Segoe UI"/>
                      <w:sz w:val="18"/>
                      <w:szCs w:val="15"/>
                      <w:lang w:val="en-US"/>
                    </w:rPr>
                    <w:t>Bulgarian</w:t>
                  </w:r>
                  <w:r w:rsidRPr="00987081">
                    <w:rPr>
                      <w:rFonts w:ascii="Segoe UI" w:hAnsi="Segoe UI" w:cs="Segoe UI"/>
                      <w:sz w:val="18"/>
                      <w:szCs w:val="15"/>
                      <w:lang w:val="el-GR"/>
                    </w:rPr>
                    <w:t xml:space="preserve"> </w:t>
                  </w:r>
                  <w:r w:rsidRPr="00987081">
                    <w:rPr>
                      <w:rFonts w:ascii="Segoe UI" w:hAnsi="Segoe UI" w:cs="Segoe UI"/>
                      <w:sz w:val="18"/>
                      <w:szCs w:val="15"/>
                      <w:lang w:val="en-US"/>
                    </w:rPr>
                    <w:t>Bank</w:t>
                  </w:r>
                  <w:r w:rsidRPr="00987081">
                    <w:rPr>
                      <w:rFonts w:ascii="Segoe UI" w:hAnsi="Segoe UI" w:cs="Segoe UI"/>
                      <w:sz w:val="18"/>
                      <w:szCs w:val="15"/>
                      <w:lang w:val="el-GR"/>
                    </w:rPr>
                    <w:t xml:space="preserve"> (</w:t>
                  </w:r>
                  <w:r w:rsidRPr="00987081">
                    <w:rPr>
                      <w:rFonts w:ascii="Segoe UI" w:hAnsi="Segoe UI" w:cs="Segoe UI"/>
                      <w:sz w:val="18"/>
                      <w:szCs w:val="15"/>
                      <w:lang w:val="en-US"/>
                    </w:rPr>
                    <w:t>UBB</w:t>
                  </w:r>
                  <w:r w:rsidRPr="00987081">
                    <w:rPr>
                      <w:rFonts w:ascii="Segoe UI" w:hAnsi="Segoe UI" w:cs="Segoe UI"/>
                      <w:sz w:val="18"/>
                      <w:szCs w:val="15"/>
                      <w:lang w:val="el-GR"/>
                    </w:rPr>
                    <w:t xml:space="preserve">) και </w:t>
                  </w:r>
                  <w:proofErr w:type="spellStart"/>
                  <w:r w:rsidRPr="00987081">
                    <w:rPr>
                      <w:rFonts w:ascii="Segoe UI" w:hAnsi="Segoe UI" w:cs="Segoe UI"/>
                      <w:sz w:val="18"/>
                      <w:szCs w:val="15"/>
                      <w:lang w:val="en-US"/>
                    </w:rPr>
                    <w:t>Interlease</w:t>
                  </w:r>
                  <w:proofErr w:type="spellEnd"/>
                  <w:r w:rsidRPr="004C0BE0">
                    <w:rPr>
                      <w:rFonts w:ascii="Segoe UI" w:hAnsi="Segoe UI" w:cs="Segoe UI"/>
                      <w:sz w:val="18"/>
                      <w:szCs w:val="15"/>
                      <w:lang w:val="el-GR"/>
                    </w:rPr>
                    <w:t xml:space="preserve">. </w:t>
                  </w:r>
                  <w:r>
                    <w:rPr>
                      <w:rFonts w:ascii="Segoe UI" w:hAnsi="Segoe UI" w:cs="Segoe UI"/>
                      <w:sz w:val="18"/>
                      <w:szCs w:val="15"/>
                      <w:lang w:val="el-GR"/>
                    </w:rPr>
                    <w:t>Ο</w:t>
                  </w:r>
                  <w:r w:rsidRPr="00BF459E">
                    <w:rPr>
                      <w:rFonts w:ascii="Segoe UI" w:hAnsi="Segoe UI" w:cs="Segoe UI"/>
                      <w:sz w:val="18"/>
                      <w:szCs w:val="15"/>
                      <w:lang w:val="el-GR"/>
                    </w:rPr>
                    <w:t xml:space="preserve"> δείκτης </w:t>
                  </w:r>
                  <w:r>
                    <w:rPr>
                      <w:rFonts w:ascii="Segoe UI" w:hAnsi="Segoe UI" w:cs="Segoe UI"/>
                      <w:sz w:val="18"/>
                      <w:szCs w:val="15"/>
                      <w:lang w:val="en-US"/>
                    </w:rPr>
                    <w:t>CET</w:t>
                  </w:r>
                  <w:r w:rsidRPr="004C0BE0">
                    <w:rPr>
                      <w:rFonts w:ascii="Segoe UI" w:hAnsi="Segoe UI" w:cs="Segoe UI"/>
                      <w:sz w:val="18"/>
                      <w:szCs w:val="15"/>
                      <w:lang w:val="el-GR"/>
                    </w:rPr>
                    <w:t xml:space="preserve">1 </w:t>
                  </w:r>
                  <w:r>
                    <w:rPr>
                      <w:rFonts w:ascii="Segoe UI" w:hAnsi="Segoe UI" w:cs="Segoe UI"/>
                      <w:sz w:val="18"/>
                      <w:szCs w:val="15"/>
                      <w:lang w:val="el-GR"/>
                    </w:rPr>
                    <w:t>της ΕΤΕ παραμένει ισχυρός, επιτρέποντας την αποπληρωμή των υπό αίρεση μετατρέψιμων ομολογιών</w:t>
                  </w:r>
                  <w:r w:rsidRPr="00BF459E">
                    <w:rPr>
                      <w:rFonts w:ascii="Segoe UI" w:hAnsi="Segoe UI" w:cs="Segoe UI"/>
                      <w:sz w:val="18"/>
                      <w:szCs w:val="15"/>
                      <w:lang w:val="el-GR"/>
                    </w:rPr>
                    <w:t xml:space="preserve"> </w:t>
                  </w:r>
                  <w:r>
                    <w:rPr>
                      <w:rFonts w:ascii="Segoe UI" w:hAnsi="Segoe UI" w:cs="Segoe UI"/>
                      <w:sz w:val="18"/>
                      <w:szCs w:val="15"/>
                      <w:lang w:val="el-GR"/>
                    </w:rPr>
                    <w:t>(</w:t>
                  </w:r>
                  <w:proofErr w:type="spellStart"/>
                  <w:r>
                    <w:rPr>
                      <w:rFonts w:ascii="Segoe UI" w:hAnsi="Segoe UI" w:cs="Segoe UI"/>
                      <w:sz w:val="18"/>
                      <w:szCs w:val="15"/>
                      <w:lang w:val="en-US"/>
                    </w:rPr>
                    <w:t>CoCos</w:t>
                  </w:r>
                  <w:proofErr w:type="spellEnd"/>
                  <w:r w:rsidRPr="004C0BE0">
                    <w:rPr>
                      <w:rFonts w:ascii="Segoe UI" w:hAnsi="Segoe UI" w:cs="Segoe UI"/>
                      <w:sz w:val="18"/>
                      <w:szCs w:val="15"/>
                      <w:lang w:val="el-GR"/>
                    </w:rPr>
                    <w:t>)</w:t>
                  </w:r>
                  <w:r w:rsidRPr="00BF459E">
                    <w:rPr>
                      <w:rFonts w:ascii="Segoe UI" w:hAnsi="Segoe UI" w:cs="Segoe UI"/>
                      <w:sz w:val="18"/>
                      <w:szCs w:val="15"/>
                      <w:lang w:val="el-GR"/>
                    </w:rPr>
                    <w:t xml:space="preserve"> </w:t>
                  </w:r>
                </w:p>
                <w:p w:rsidR="002E354B" w:rsidRDefault="002E354B" w:rsidP="00D074A8">
                  <w:pPr>
                    <w:numPr>
                      <w:ilvl w:val="0"/>
                      <w:numId w:val="4"/>
                    </w:numPr>
                    <w:spacing w:before="120" w:after="0" w:line="240" w:lineRule="auto"/>
                    <w:rPr>
                      <w:rFonts w:ascii="Segoe UI" w:hAnsi="Segoe UI" w:cs="Segoe UI"/>
                      <w:sz w:val="18"/>
                      <w:szCs w:val="15"/>
                      <w:lang w:val="el-GR"/>
                    </w:rPr>
                  </w:pPr>
                  <w:r w:rsidRPr="00D074A8">
                    <w:rPr>
                      <w:rFonts w:ascii="Segoe UI" w:hAnsi="Segoe UI" w:cs="Segoe UI"/>
                      <w:sz w:val="18"/>
                      <w:szCs w:val="15"/>
                      <w:lang w:val="el-GR"/>
                    </w:rPr>
                    <w:t xml:space="preserve">Εξάλειψη της έκθεσης σε ομόλογα Πυλώνα ΙΙ &amp; ΙΙΙ, </w:t>
                  </w:r>
                  <w:r>
                    <w:rPr>
                      <w:rFonts w:ascii="Segoe UI" w:hAnsi="Segoe UI" w:cs="Segoe UI"/>
                      <w:sz w:val="18"/>
                      <w:szCs w:val="15"/>
                      <w:lang w:val="el-GR"/>
                    </w:rPr>
                    <w:t xml:space="preserve">η οποία ισοδυναμεί με </w:t>
                  </w:r>
                  <w:proofErr w:type="spellStart"/>
                  <w:r w:rsidRPr="00D074A8">
                    <w:rPr>
                      <w:rFonts w:ascii="Segoe UI" w:hAnsi="Segoe UI" w:cs="Segoe UI"/>
                      <w:sz w:val="18"/>
                      <w:szCs w:val="15"/>
                      <w:lang w:val="el-GR"/>
                    </w:rPr>
                    <w:t>ετησιοποιημένο</w:t>
                  </w:r>
                  <w:proofErr w:type="spellEnd"/>
                  <w:r w:rsidRPr="00D074A8">
                    <w:rPr>
                      <w:rFonts w:ascii="Segoe UI" w:hAnsi="Segoe UI" w:cs="Segoe UI"/>
                      <w:sz w:val="18"/>
                      <w:szCs w:val="15"/>
                      <w:lang w:val="el-GR"/>
                    </w:rPr>
                    <w:t xml:space="preserve"> όφελος </w:t>
                  </w:r>
                  <w:r>
                    <w:rPr>
                      <w:rFonts w:ascii="Segoe UI" w:hAnsi="Segoe UI" w:cs="Segoe UI"/>
                      <w:sz w:val="18"/>
                      <w:szCs w:val="15"/>
                      <w:lang w:val="el-GR"/>
                    </w:rPr>
                    <w:t xml:space="preserve">ύψους </w:t>
                  </w:r>
                  <w:r w:rsidRPr="00D074A8">
                    <w:rPr>
                      <w:rFonts w:ascii="Segoe UI" w:hAnsi="Segoe UI" w:cs="Segoe UI"/>
                      <w:sz w:val="18"/>
                      <w:szCs w:val="15"/>
                      <w:lang w:val="el-GR"/>
                    </w:rPr>
                    <w:t>€200 εκατ.</w:t>
                  </w:r>
                  <w:r>
                    <w:rPr>
                      <w:rFonts w:ascii="Segoe UI" w:hAnsi="Segoe UI" w:cs="Segoe UI"/>
                      <w:sz w:val="18"/>
                      <w:szCs w:val="15"/>
                      <w:lang w:val="el-GR"/>
                    </w:rPr>
                    <w:t xml:space="preserve"> που θα διαφανεί </w:t>
                  </w:r>
                  <w:r w:rsidRPr="00D074A8">
                    <w:rPr>
                      <w:rFonts w:ascii="Segoe UI" w:hAnsi="Segoe UI" w:cs="Segoe UI"/>
                      <w:sz w:val="18"/>
                      <w:szCs w:val="15"/>
                      <w:lang w:val="el-GR"/>
                    </w:rPr>
                    <w:t>πλήρως στα αποτελέσματα του 2017.</w:t>
                  </w:r>
                  <w:r>
                    <w:rPr>
                      <w:rFonts w:ascii="Segoe UI" w:hAnsi="Segoe UI" w:cs="Segoe UI"/>
                      <w:sz w:val="18"/>
                      <w:szCs w:val="15"/>
                      <w:lang w:val="el-GR"/>
                    </w:rPr>
                    <w:t xml:space="preserve"> Η χρηματοδότηση μέσω του μηχανισμού ΕLA μειώθηκε </w:t>
                  </w:r>
                  <w:r w:rsidRPr="00D074A8">
                    <w:rPr>
                      <w:rFonts w:ascii="Segoe UI" w:hAnsi="Segoe UI" w:cs="Segoe UI"/>
                      <w:sz w:val="18"/>
                      <w:szCs w:val="15"/>
                      <w:lang w:val="el-GR"/>
                    </w:rPr>
                    <w:t>κατά €</w:t>
                  </w:r>
                  <w:r>
                    <w:rPr>
                      <w:rFonts w:ascii="Segoe UI" w:hAnsi="Segoe UI" w:cs="Segoe UI"/>
                      <w:sz w:val="18"/>
                      <w:szCs w:val="15"/>
                      <w:lang w:val="el-GR"/>
                    </w:rPr>
                    <w:t>5,7</w:t>
                  </w:r>
                  <w:r w:rsidRPr="00D074A8">
                    <w:rPr>
                      <w:rFonts w:ascii="Segoe UI" w:hAnsi="Segoe UI" w:cs="Segoe UI"/>
                      <w:sz w:val="18"/>
                      <w:szCs w:val="15"/>
                      <w:lang w:val="el-GR"/>
                    </w:rPr>
                    <w:t xml:space="preserve"> δισ. </w:t>
                  </w:r>
                  <w:r>
                    <w:rPr>
                      <w:rFonts w:ascii="Segoe UI" w:hAnsi="Segoe UI" w:cs="Segoe UI"/>
                      <w:sz w:val="18"/>
                      <w:szCs w:val="15"/>
                      <w:lang w:val="el-GR"/>
                    </w:rPr>
                    <w:t xml:space="preserve">από το τέλος Δεκεμβρίου του 2015 και διαμορφώθηκε </w:t>
                  </w:r>
                  <w:r w:rsidRPr="00D074A8">
                    <w:rPr>
                      <w:rFonts w:ascii="Segoe UI" w:hAnsi="Segoe UI" w:cs="Segoe UI"/>
                      <w:sz w:val="18"/>
                      <w:szCs w:val="15"/>
                      <w:lang w:val="el-GR"/>
                    </w:rPr>
                    <w:t>σε μόλις €</w:t>
                  </w:r>
                  <w:r>
                    <w:rPr>
                      <w:rFonts w:ascii="Segoe UI" w:hAnsi="Segoe UI" w:cs="Segoe UI"/>
                      <w:sz w:val="18"/>
                      <w:szCs w:val="15"/>
                      <w:lang w:val="el-GR"/>
                    </w:rPr>
                    <w:t>5,</w:t>
                  </w:r>
                  <w:r w:rsidRPr="003E43F7">
                    <w:rPr>
                      <w:rFonts w:ascii="Segoe UI" w:hAnsi="Segoe UI" w:cs="Segoe UI"/>
                      <w:sz w:val="18"/>
                      <w:szCs w:val="15"/>
                      <w:lang w:val="el-GR"/>
                    </w:rPr>
                    <w:t>8</w:t>
                  </w:r>
                  <w:r w:rsidRPr="00D074A8">
                    <w:rPr>
                      <w:rFonts w:ascii="Segoe UI" w:hAnsi="Segoe UI" w:cs="Segoe UI"/>
                      <w:sz w:val="18"/>
                      <w:szCs w:val="15"/>
                      <w:lang w:val="el-GR"/>
                    </w:rPr>
                    <w:t xml:space="preserve"> δισ. </w:t>
                  </w:r>
                  <w:r>
                    <w:rPr>
                      <w:rFonts w:ascii="Segoe UI" w:hAnsi="Segoe UI" w:cs="Segoe UI"/>
                      <w:sz w:val="18"/>
                      <w:szCs w:val="15"/>
                      <w:lang w:val="el-GR"/>
                    </w:rPr>
                    <w:t xml:space="preserve">το Μάρτιο </w:t>
                  </w:r>
                </w:p>
                <w:p w:rsidR="002E354B" w:rsidRPr="00D074A8" w:rsidRDefault="002E354B" w:rsidP="00D074A8">
                  <w:pPr>
                    <w:numPr>
                      <w:ilvl w:val="0"/>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 xml:space="preserve">Ολοκλήρωση του </w:t>
                  </w:r>
                  <w:r w:rsidRPr="001E6D0A">
                    <w:rPr>
                      <w:rFonts w:ascii="Segoe UI" w:hAnsi="Segoe UI" w:cs="Segoe UI"/>
                      <w:sz w:val="18"/>
                      <w:szCs w:val="15"/>
                      <w:lang w:val="el-GR"/>
                    </w:rPr>
                    <w:t>Προγράμματος Εθελουσίας Εξόδου Προσωπικού</w:t>
                  </w:r>
                  <w:r>
                    <w:rPr>
                      <w:rFonts w:ascii="Segoe UI" w:hAnsi="Segoe UI" w:cs="Segoe UI"/>
                      <w:sz w:val="18"/>
                      <w:szCs w:val="15"/>
                      <w:lang w:val="el-GR"/>
                    </w:rPr>
                    <w:t xml:space="preserve"> το Δεκέμβριο του 2016, με την συμμετοχή 1,150 εργαζομένων και </w:t>
                  </w:r>
                  <w:proofErr w:type="spellStart"/>
                  <w:r>
                    <w:rPr>
                      <w:rFonts w:ascii="Segoe UI" w:hAnsi="Segoe UI" w:cs="Segoe UI"/>
                      <w:sz w:val="18"/>
                      <w:szCs w:val="15"/>
                      <w:lang w:val="el-GR"/>
                    </w:rPr>
                    <w:t>ετησιοποιημένο</w:t>
                  </w:r>
                  <w:proofErr w:type="spellEnd"/>
                  <w:r>
                    <w:rPr>
                      <w:rFonts w:ascii="Segoe UI" w:hAnsi="Segoe UI" w:cs="Segoe UI"/>
                      <w:sz w:val="18"/>
                      <w:szCs w:val="15"/>
                      <w:lang w:val="el-GR"/>
                    </w:rPr>
                    <w:t xml:space="preserve"> όφελος περίπου €60 εκατ.</w:t>
                  </w:r>
                  <w:r w:rsidRPr="00D074A8">
                    <w:rPr>
                      <w:rFonts w:ascii="Segoe UI" w:hAnsi="Segoe UI" w:cs="Segoe UI"/>
                      <w:sz w:val="18"/>
                      <w:szCs w:val="15"/>
                      <w:lang w:val="el-GR"/>
                    </w:rPr>
                    <w:t xml:space="preserve"> </w:t>
                  </w:r>
                </w:p>
                <w:p w:rsidR="002E354B" w:rsidRDefault="002E354B" w:rsidP="00F23B5D">
                  <w:pPr>
                    <w:spacing w:before="120" w:after="0" w:line="240" w:lineRule="auto"/>
                    <w:ind w:left="786"/>
                    <w:rPr>
                      <w:rFonts w:ascii="Segoe UI" w:hAnsi="Segoe UI" w:cs="Segoe UI"/>
                      <w:sz w:val="18"/>
                      <w:szCs w:val="15"/>
                      <w:lang w:val="el-GR"/>
                    </w:rPr>
                  </w:pPr>
                </w:p>
                <w:p w:rsidR="002E354B" w:rsidRPr="00E46E0F" w:rsidRDefault="002E354B" w:rsidP="001770EF">
                  <w:pPr>
                    <w:numPr>
                      <w:ilvl w:val="0"/>
                      <w:numId w:val="12"/>
                    </w:numPr>
                    <w:spacing w:before="120" w:after="0"/>
                    <w:rPr>
                      <w:rFonts w:ascii="Segoe UI" w:hAnsi="Segoe UI" w:cs="Segoe UI"/>
                      <w:b/>
                      <w:sz w:val="12"/>
                      <w:szCs w:val="10"/>
                      <w:lang w:val="el-GR"/>
                    </w:rPr>
                  </w:pPr>
                  <w:r>
                    <w:rPr>
                      <w:rFonts w:ascii="Segoe UI" w:hAnsi="Segoe UI" w:cs="Segoe UI"/>
                      <w:b/>
                      <w:sz w:val="18"/>
                      <w:szCs w:val="15"/>
                      <w:lang w:val="el-GR"/>
                    </w:rPr>
                    <w:t>Τα Μ</w:t>
                  </w:r>
                  <w:r w:rsidRPr="00E46E0F">
                    <w:rPr>
                      <w:rFonts w:ascii="Segoe UI" w:hAnsi="Segoe UI" w:cs="Segoe UI"/>
                      <w:b/>
                      <w:sz w:val="18"/>
                      <w:szCs w:val="15"/>
                      <w:lang w:val="el-GR"/>
                    </w:rPr>
                    <w:t xml:space="preserve">η </w:t>
                  </w:r>
                  <w:r>
                    <w:rPr>
                      <w:rFonts w:ascii="Segoe UI" w:hAnsi="Segoe UI" w:cs="Segoe UI"/>
                      <w:b/>
                      <w:sz w:val="18"/>
                      <w:szCs w:val="15"/>
                      <w:lang w:val="el-GR"/>
                    </w:rPr>
                    <w:t>Ε</w:t>
                  </w:r>
                  <w:r w:rsidRPr="00E46E0F">
                    <w:rPr>
                      <w:rFonts w:ascii="Segoe UI" w:hAnsi="Segoe UI" w:cs="Segoe UI"/>
                      <w:b/>
                      <w:sz w:val="18"/>
                      <w:szCs w:val="15"/>
                      <w:lang w:val="el-GR"/>
                    </w:rPr>
                    <w:t>ξυπηρετούμεν</w:t>
                  </w:r>
                  <w:r>
                    <w:rPr>
                      <w:rFonts w:ascii="Segoe UI" w:hAnsi="Segoe UI" w:cs="Segoe UI"/>
                      <w:b/>
                      <w:sz w:val="18"/>
                      <w:szCs w:val="15"/>
                      <w:lang w:val="el-GR"/>
                    </w:rPr>
                    <w:t xml:space="preserve">α Ανοίγματα μειώθηκαν περαιτέρω κατά €0,9 </w:t>
                  </w:r>
                  <w:r w:rsidRPr="008F0414">
                    <w:rPr>
                      <w:rFonts w:ascii="Segoe UI" w:hAnsi="Segoe UI" w:cs="Segoe UI"/>
                      <w:b/>
                      <w:sz w:val="18"/>
                      <w:szCs w:val="15"/>
                      <w:lang w:val="el-GR"/>
                    </w:rPr>
                    <w:t>δι</w:t>
                  </w:r>
                  <w:r>
                    <w:rPr>
                      <w:rFonts w:ascii="Segoe UI" w:hAnsi="Segoe UI" w:cs="Segoe UI"/>
                      <w:b/>
                      <w:sz w:val="18"/>
                      <w:szCs w:val="15"/>
                      <w:lang w:val="el-GR"/>
                    </w:rPr>
                    <w:t xml:space="preserve">σ. σε τριμηνιαία βάση, οδηγώντας σε συνολική μείωση κατά </w:t>
                  </w:r>
                  <w:r w:rsidRPr="000067C5">
                    <w:rPr>
                      <w:rFonts w:ascii="Segoe UI" w:hAnsi="Segoe UI" w:cs="Segoe UI"/>
                      <w:b/>
                      <w:sz w:val="18"/>
                      <w:szCs w:val="15"/>
                      <w:lang w:val="el-GR"/>
                    </w:rPr>
                    <w:t>€2.8</w:t>
                  </w:r>
                  <w:r>
                    <w:rPr>
                      <w:rFonts w:ascii="Segoe UI" w:hAnsi="Segoe UI" w:cs="Segoe UI"/>
                      <w:b/>
                      <w:sz w:val="18"/>
                      <w:szCs w:val="15"/>
                      <w:lang w:val="el-GR"/>
                    </w:rPr>
                    <w:t xml:space="preserve"> δισ. για το 2016</w:t>
                  </w:r>
                </w:p>
                <w:p w:rsidR="002E354B" w:rsidRPr="00BF459E" w:rsidRDefault="002E354B" w:rsidP="001770EF">
                  <w:pPr>
                    <w:numPr>
                      <w:ilvl w:val="0"/>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 xml:space="preserve">Αντανακλώντας τις </w:t>
                  </w:r>
                  <w:r w:rsidRPr="00734139">
                    <w:rPr>
                      <w:rFonts w:ascii="Segoe UI" w:hAnsi="Segoe UI" w:cs="Segoe UI"/>
                      <w:sz w:val="18"/>
                      <w:szCs w:val="15"/>
                      <w:lang w:val="el-GR"/>
                    </w:rPr>
                    <w:t>επιτυχημένες αναδιαρθρώσεις</w:t>
                  </w:r>
                  <w:r>
                    <w:rPr>
                      <w:rFonts w:ascii="Segoe UI" w:hAnsi="Segoe UI" w:cs="Segoe UI"/>
                      <w:sz w:val="18"/>
                      <w:szCs w:val="15"/>
                      <w:lang w:val="el-GR"/>
                    </w:rPr>
                    <w:t xml:space="preserve"> και τις αυξημένες </w:t>
                  </w:r>
                  <w:r w:rsidRPr="00734139">
                    <w:rPr>
                      <w:rFonts w:ascii="Segoe UI" w:hAnsi="Segoe UI" w:cs="Segoe UI"/>
                      <w:sz w:val="18"/>
                      <w:szCs w:val="15"/>
                      <w:lang w:val="el-GR"/>
                    </w:rPr>
                    <w:t>διαγραφ</w:t>
                  </w:r>
                  <w:r>
                    <w:rPr>
                      <w:rFonts w:ascii="Segoe UI" w:hAnsi="Segoe UI" w:cs="Segoe UI"/>
                      <w:sz w:val="18"/>
                      <w:szCs w:val="15"/>
                      <w:lang w:val="el-GR"/>
                    </w:rPr>
                    <w:t>ές</w:t>
                  </w:r>
                  <w:r w:rsidRPr="00734139">
                    <w:rPr>
                      <w:rFonts w:ascii="Segoe UI" w:hAnsi="Segoe UI" w:cs="Segoe UI"/>
                      <w:sz w:val="18"/>
                      <w:szCs w:val="15"/>
                      <w:lang w:val="el-GR"/>
                    </w:rPr>
                    <w:t xml:space="preserve"> </w:t>
                  </w:r>
                  <w:r>
                    <w:rPr>
                      <w:rFonts w:ascii="Segoe UI" w:hAnsi="Segoe UI" w:cs="Segoe UI"/>
                      <w:sz w:val="18"/>
                      <w:szCs w:val="15"/>
                      <w:lang w:val="el-GR"/>
                    </w:rPr>
                    <w:t xml:space="preserve">πλήρως καλυμμένων από προβλέψεις </w:t>
                  </w:r>
                  <w:r w:rsidRPr="00734139">
                    <w:rPr>
                      <w:rFonts w:ascii="Segoe UI" w:hAnsi="Segoe UI" w:cs="Segoe UI"/>
                      <w:sz w:val="18"/>
                      <w:szCs w:val="15"/>
                      <w:lang w:val="el-GR"/>
                    </w:rPr>
                    <w:t>δανείων</w:t>
                  </w:r>
                  <w:r>
                    <w:rPr>
                      <w:rFonts w:ascii="Segoe UI" w:hAnsi="Segoe UI" w:cs="Segoe UI"/>
                      <w:sz w:val="18"/>
                      <w:szCs w:val="15"/>
                      <w:lang w:val="el-GR"/>
                    </w:rPr>
                    <w:t>, τ</w:t>
                  </w:r>
                  <w:r w:rsidRPr="00BF459E">
                    <w:rPr>
                      <w:rFonts w:ascii="Segoe UI" w:hAnsi="Segoe UI" w:cs="Segoe UI"/>
                      <w:sz w:val="18"/>
                      <w:szCs w:val="15"/>
                      <w:lang w:val="el-GR"/>
                    </w:rPr>
                    <w:t xml:space="preserve">α </w:t>
                  </w:r>
                  <w:r>
                    <w:rPr>
                      <w:rFonts w:ascii="Segoe UI" w:hAnsi="Segoe UI" w:cs="Segoe UI"/>
                      <w:sz w:val="18"/>
                      <w:szCs w:val="15"/>
                      <w:lang w:val="el-GR"/>
                    </w:rPr>
                    <w:t>Μ</w:t>
                  </w:r>
                  <w:r w:rsidRPr="00BF459E">
                    <w:rPr>
                      <w:rFonts w:ascii="Segoe UI" w:hAnsi="Segoe UI" w:cs="Segoe UI"/>
                      <w:sz w:val="18"/>
                      <w:szCs w:val="15"/>
                      <w:lang w:val="el-GR"/>
                    </w:rPr>
                    <w:t xml:space="preserve">η </w:t>
                  </w:r>
                  <w:r>
                    <w:rPr>
                      <w:rFonts w:ascii="Segoe UI" w:hAnsi="Segoe UI" w:cs="Segoe UI"/>
                      <w:sz w:val="18"/>
                      <w:szCs w:val="15"/>
                      <w:lang w:val="el-GR"/>
                    </w:rPr>
                    <w:t>Ε</w:t>
                  </w:r>
                  <w:r w:rsidRPr="00BF459E">
                    <w:rPr>
                      <w:rFonts w:ascii="Segoe UI" w:hAnsi="Segoe UI" w:cs="Segoe UI"/>
                      <w:sz w:val="18"/>
                      <w:szCs w:val="15"/>
                      <w:lang w:val="el-GR"/>
                    </w:rPr>
                    <w:t xml:space="preserve">ξυπηρετούμενα </w:t>
                  </w:r>
                  <w:r>
                    <w:rPr>
                      <w:rFonts w:ascii="Segoe UI" w:hAnsi="Segoe UI" w:cs="Segoe UI"/>
                      <w:sz w:val="18"/>
                      <w:szCs w:val="15"/>
                      <w:lang w:val="el-GR"/>
                    </w:rPr>
                    <w:t>Α</w:t>
                  </w:r>
                  <w:r w:rsidRPr="00BF459E">
                    <w:rPr>
                      <w:rFonts w:ascii="Segoe UI" w:hAnsi="Segoe UI" w:cs="Segoe UI"/>
                      <w:sz w:val="18"/>
                      <w:szCs w:val="15"/>
                      <w:lang w:val="el-GR"/>
                    </w:rPr>
                    <w:t>νοίγματα μειώ</w:t>
                  </w:r>
                  <w:r>
                    <w:rPr>
                      <w:rFonts w:ascii="Segoe UI" w:hAnsi="Segoe UI" w:cs="Segoe UI"/>
                      <w:sz w:val="18"/>
                      <w:szCs w:val="15"/>
                      <w:lang w:val="el-GR"/>
                    </w:rPr>
                    <w:t xml:space="preserve">θηκαν κατά </w:t>
                  </w:r>
                  <w:r w:rsidRPr="00BF459E">
                    <w:rPr>
                      <w:rFonts w:ascii="Segoe UI" w:hAnsi="Segoe UI" w:cs="Segoe UI"/>
                      <w:sz w:val="18"/>
                      <w:szCs w:val="15"/>
                      <w:lang w:val="el-GR"/>
                    </w:rPr>
                    <w:t>€</w:t>
                  </w:r>
                  <w:r>
                    <w:rPr>
                      <w:rFonts w:ascii="Segoe UI" w:hAnsi="Segoe UI" w:cs="Segoe UI"/>
                      <w:sz w:val="18"/>
                      <w:szCs w:val="15"/>
                      <w:lang w:val="el-GR"/>
                    </w:rPr>
                    <w:t>0,9</w:t>
                  </w:r>
                  <w:r w:rsidRPr="00BF459E">
                    <w:rPr>
                      <w:rFonts w:ascii="Segoe UI" w:hAnsi="Segoe UI" w:cs="Segoe UI"/>
                      <w:sz w:val="18"/>
                      <w:szCs w:val="15"/>
                      <w:lang w:val="el-GR"/>
                    </w:rPr>
                    <w:t xml:space="preserve"> δισ. σε τριμηνιαία βάση</w:t>
                  </w:r>
                  <w:r>
                    <w:rPr>
                      <w:rFonts w:ascii="Segoe UI" w:hAnsi="Segoe UI" w:cs="Segoe UI"/>
                      <w:sz w:val="18"/>
                      <w:szCs w:val="15"/>
                      <w:lang w:val="el-GR"/>
                    </w:rPr>
                    <w:t xml:space="preserve"> το Δ’ τρίμηνο του 2016. Η συνολική μείωση των </w:t>
                  </w:r>
                  <w:r w:rsidRPr="00D75AAF">
                    <w:rPr>
                      <w:rFonts w:ascii="Segoe UI" w:hAnsi="Segoe UI" w:cs="Segoe UI"/>
                      <w:sz w:val="18"/>
                      <w:szCs w:val="15"/>
                      <w:lang w:val="el-GR"/>
                    </w:rPr>
                    <w:t>Μη Εξυπηρετούμεν</w:t>
                  </w:r>
                  <w:r>
                    <w:rPr>
                      <w:rFonts w:ascii="Segoe UI" w:hAnsi="Segoe UI" w:cs="Segoe UI"/>
                      <w:sz w:val="18"/>
                      <w:szCs w:val="15"/>
                      <w:lang w:val="el-GR"/>
                    </w:rPr>
                    <w:t>ων</w:t>
                  </w:r>
                  <w:r w:rsidRPr="00D75AAF">
                    <w:rPr>
                      <w:rFonts w:ascii="Segoe UI" w:hAnsi="Segoe UI" w:cs="Segoe UI"/>
                      <w:sz w:val="18"/>
                      <w:szCs w:val="15"/>
                      <w:lang w:val="el-GR"/>
                    </w:rPr>
                    <w:t xml:space="preserve"> Αν</w:t>
                  </w:r>
                  <w:r>
                    <w:rPr>
                      <w:rFonts w:ascii="Segoe UI" w:hAnsi="Segoe UI" w:cs="Segoe UI"/>
                      <w:sz w:val="18"/>
                      <w:szCs w:val="15"/>
                      <w:lang w:val="el-GR"/>
                    </w:rPr>
                    <w:t>οιγμάτων ανέρχεται σε</w:t>
                  </w:r>
                  <w:r w:rsidRPr="00053A57">
                    <w:rPr>
                      <w:rFonts w:ascii="Segoe UI" w:hAnsi="Segoe UI" w:cs="Segoe UI"/>
                      <w:sz w:val="18"/>
                      <w:szCs w:val="15"/>
                      <w:lang w:val="el-GR"/>
                    </w:rPr>
                    <w:t xml:space="preserve"> </w:t>
                  </w:r>
                  <w:r>
                    <w:rPr>
                      <w:rFonts w:ascii="Segoe UI" w:hAnsi="Segoe UI" w:cs="Segoe UI"/>
                      <w:sz w:val="18"/>
                      <w:szCs w:val="15"/>
                      <w:lang w:val="el-GR"/>
                    </w:rPr>
                    <w:t>€2,8 δισ. για το 2016</w:t>
                  </w:r>
                </w:p>
                <w:p w:rsidR="002E354B" w:rsidRPr="00BF459E" w:rsidRDefault="002E354B" w:rsidP="001770EF">
                  <w:pPr>
                    <w:numPr>
                      <w:ilvl w:val="0"/>
                      <w:numId w:val="4"/>
                    </w:numPr>
                    <w:spacing w:before="120" w:after="0" w:line="240" w:lineRule="auto"/>
                    <w:rPr>
                      <w:rFonts w:ascii="Segoe UI" w:hAnsi="Segoe UI" w:cs="Segoe UI"/>
                      <w:sz w:val="18"/>
                      <w:szCs w:val="15"/>
                      <w:lang w:val="el-GR"/>
                    </w:rPr>
                  </w:pPr>
                  <w:r w:rsidRPr="00BF459E">
                    <w:rPr>
                      <w:rFonts w:ascii="Segoe UI" w:hAnsi="Segoe UI" w:cs="Segoe UI"/>
                      <w:sz w:val="18"/>
                      <w:szCs w:val="15"/>
                      <w:lang w:val="el-GR"/>
                    </w:rPr>
                    <w:t xml:space="preserve">Ο δείκτης </w:t>
                  </w:r>
                  <w:r>
                    <w:rPr>
                      <w:rFonts w:ascii="Segoe UI" w:hAnsi="Segoe UI" w:cs="Segoe UI"/>
                      <w:sz w:val="18"/>
                      <w:szCs w:val="15"/>
                      <w:lang w:val="el-GR"/>
                    </w:rPr>
                    <w:t>Μ</w:t>
                  </w:r>
                  <w:r w:rsidRPr="00BF459E">
                    <w:rPr>
                      <w:rFonts w:ascii="Segoe UI" w:hAnsi="Segoe UI" w:cs="Segoe UI"/>
                      <w:sz w:val="18"/>
                      <w:szCs w:val="15"/>
                      <w:lang w:val="el-GR"/>
                    </w:rPr>
                    <w:t xml:space="preserve">η </w:t>
                  </w:r>
                  <w:r>
                    <w:rPr>
                      <w:rFonts w:ascii="Segoe UI" w:hAnsi="Segoe UI" w:cs="Segoe UI"/>
                      <w:sz w:val="18"/>
                      <w:szCs w:val="15"/>
                      <w:lang w:val="el-GR"/>
                    </w:rPr>
                    <w:t>Ε</w:t>
                  </w:r>
                  <w:r w:rsidRPr="00BF459E">
                    <w:rPr>
                      <w:rFonts w:ascii="Segoe UI" w:hAnsi="Segoe UI" w:cs="Segoe UI"/>
                      <w:sz w:val="18"/>
                      <w:szCs w:val="15"/>
                      <w:lang w:val="el-GR"/>
                    </w:rPr>
                    <w:t xml:space="preserve">ξυπηρετούμενων </w:t>
                  </w:r>
                  <w:r>
                    <w:rPr>
                      <w:rFonts w:ascii="Segoe UI" w:hAnsi="Segoe UI" w:cs="Segoe UI"/>
                      <w:sz w:val="18"/>
                      <w:szCs w:val="15"/>
                      <w:lang w:val="el-GR"/>
                    </w:rPr>
                    <w:t>Α</w:t>
                  </w:r>
                  <w:r w:rsidRPr="00BF459E">
                    <w:rPr>
                      <w:rFonts w:ascii="Segoe UI" w:hAnsi="Segoe UI" w:cs="Segoe UI"/>
                      <w:sz w:val="18"/>
                      <w:szCs w:val="15"/>
                      <w:lang w:val="el-GR"/>
                    </w:rPr>
                    <w:t xml:space="preserve">νοιγμάτων </w:t>
                  </w:r>
                  <w:r>
                    <w:rPr>
                      <w:rFonts w:ascii="Segoe UI" w:hAnsi="Segoe UI" w:cs="Segoe UI"/>
                      <w:sz w:val="18"/>
                      <w:szCs w:val="15"/>
                      <w:lang w:val="el-GR"/>
                    </w:rPr>
                    <w:t xml:space="preserve">στην Ελλάδα υποχώρησε κατά 130 </w:t>
                  </w:r>
                  <w:proofErr w:type="spellStart"/>
                  <w:r>
                    <w:rPr>
                      <w:rFonts w:ascii="Segoe UI" w:hAnsi="Segoe UI" w:cs="Segoe UI"/>
                      <w:sz w:val="18"/>
                      <w:szCs w:val="15"/>
                      <w:lang w:val="el-GR"/>
                    </w:rPr>
                    <w:t>μ.β</w:t>
                  </w:r>
                  <w:proofErr w:type="spellEnd"/>
                  <w:r>
                    <w:rPr>
                      <w:rFonts w:ascii="Segoe UI" w:hAnsi="Segoe UI" w:cs="Segoe UI"/>
                      <w:sz w:val="18"/>
                      <w:szCs w:val="15"/>
                      <w:lang w:val="el-GR"/>
                    </w:rPr>
                    <w:t xml:space="preserve">. σε σχέση με το προηγούμενο τρίμηνο και διαμορφώθηκε σε 45,1%, στα χαμηλότερα επίπεδα </w:t>
                  </w:r>
                  <w:r w:rsidRPr="00C325D9">
                    <w:rPr>
                      <w:rFonts w:ascii="Segoe UI" w:hAnsi="Segoe UI" w:cs="Segoe UI"/>
                      <w:sz w:val="18"/>
                      <w:szCs w:val="15"/>
                      <w:lang w:val="el-GR"/>
                    </w:rPr>
                    <w:t>του εγχώριου τραπεζικού κλάδου</w:t>
                  </w:r>
                  <w:r w:rsidRPr="00C325D9">
                    <w:rPr>
                      <w:rFonts w:ascii="Segoe UI" w:hAnsi="Segoe UI" w:cs="Segoe UI"/>
                      <w:sz w:val="18"/>
                      <w:szCs w:val="15"/>
                      <w:vertAlign w:val="superscript"/>
                      <w:lang w:val="el-GR"/>
                    </w:rPr>
                    <w:t>1</w:t>
                  </w:r>
                  <w:r>
                    <w:rPr>
                      <w:rFonts w:ascii="Segoe UI" w:hAnsi="Segoe UI" w:cs="Segoe UI"/>
                      <w:sz w:val="18"/>
                      <w:szCs w:val="15"/>
                      <w:lang w:val="el-GR"/>
                    </w:rPr>
                    <w:t>. Τ</w:t>
                  </w:r>
                  <w:r w:rsidRPr="00BF459E">
                    <w:rPr>
                      <w:rFonts w:ascii="Segoe UI" w:hAnsi="Segoe UI" w:cs="Segoe UI"/>
                      <w:sz w:val="18"/>
                      <w:szCs w:val="15"/>
                      <w:lang w:val="el-GR"/>
                    </w:rPr>
                    <w:t xml:space="preserve">ο ποσοστό κάλυψης </w:t>
                  </w:r>
                  <w:r>
                    <w:rPr>
                      <w:rFonts w:ascii="Segoe UI" w:hAnsi="Segoe UI" w:cs="Segoe UI"/>
                      <w:sz w:val="18"/>
                      <w:szCs w:val="15"/>
                      <w:lang w:val="el-GR"/>
                    </w:rPr>
                    <w:t>από σωρευμένες προβλέψεις ανήλθε σε 56,</w:t>
                  </w:r>
                  <w:r w:rsidRPr="00DE0254">
                    <w:rPr>
                      <w:rFonts w:ascii="Segoe UI" w:hAnsi="Segoe UI" w:cs="Segoe UI"/>
                      <w:sz w:val="18"/>
                      <w:szCs w:val="15"/>
                      <w:lang w:val="el-GR"/>
                    </w:rPr>
                    <w:t>5</w:t>
                  </w:r>
                  <w:r w:rsidRPr="00BF459E">
                    <w:rPr>
                      <w:rFonts w:ascii="Segoe UI" w:hAnsi="Segoe UI" w:cs="Segoe UI"/>
                      <w:sz w:val="18"/>
                      <w:szCs w:val="15"/>
                      <w:lang w:val="el-GR"/>
                    </w:rPr>
                    <w:t xml:space="preserve">% </w:t>
                  </w:r>
                  <w:r>
                    <w:rPr>
                      <w:rFonts w:ascii="Segoe UI" w:hAnsi="Segoe UI" w:cs="Segoe UI"/>
                      <w:sz w:val="18"/>
                      <w:szCs w:val="15"/>
                      <w:lang w:val="el-GR"/>
                    </w:rPr>
                    <w:t xml:space="preserve">στην Ελλάδα, το υψηλότερο του </w:t>
                  </w:r>
                  <w:r w:rsidRPr="00BF459E">
                    <w:rPr>
                      <w:rFonts w:ascii="Segoe UI" w:hAnsi="Segoe UI" w:cs="Segoe UI"/>
                      <w:sz w:val="18"/>
                      <w:szCs w:val="15"/>
                      <w:lang w:val="el-GR"/>
                    </w:rPr>
                    <w:t>κλάδου</w:t>
                  </w:r>
                  <w:r>
                    <w:rPr>
                      <w:rFonts w:ascii="Segoe UI" w:hAnsi="Segoe UI" w:cs="Segoe UI"/>
                      <w:sz w:val="18"/>
                      <w:szCs w:val="15"/>
                      <w:vertAlign w:val="superscript"/>
                      <w:lang w:val="el-GR"/>
                    </w:rPr>
                    <w:t>1</w:t>
                  </w:r>
                  <w:r w:rsidRPr="00BF459E">
                    <w:rPr>
                      <w:rFonts w:ascii="Segoe UI" w:hAnsi="Segoe UI" w:cs="Segoe UI"/>
                      <w:sz w:val="18"/>
                      <w:szCs w:val="15"/>
                      <w:lang w:val="el-GR"/>
                    </w:rPr>
                    <w:t xml:space="preserve"> </w:t>
                  </w:r>
                </w:p>
                <w:p w:rsidR="002E354B" w:rsidRPr="00BF459E" w:rsidRDefault="002E354B" w:rsidP="001770EF">
                  <w:pPr>
                    <w:numPr>
                      <w:ilvl w:val="0"/>
                      <w:numId w:val="4"/>
                    </w:numPr>
                    <w:spacing w:before="120" w:after="0" w:line="240" w:lineRule="auto"/>
                    <w:rPr>
                      <w:rFonts w:ascii="Segoe UI" w:hAnsi="Segoe UI" w:cs="Segoe UI"/>
                      <w:sz w:val="18"/>
                      <w:szCs w:val="15"/>
                      <w:lang w:val="el-GR"/>
                    </w:rPr>
                  </w:pPr>
                  <w:r w:rsidRPr="00BF459E">
                    <w:rPr>
                      <w:rFonts w:ascii="Segoe UI" w:hAnsi="Segoe UI" w:cs="Segoe UI"/>
                      <w:sz w:val="18"/>
                      <w:szCs w:val="15"/>
                      <w:lang w:val="el-GR"/>
                    </w:rPr>
                    <w:t xml:space="preserve">Ο δείκτης δανείων σε καθυστέρηση άνω των 90 ημερών </w:t>
                  </w:r>
                  <w:r>
                    <w:rPr>
                      <w:rFonts w:ascii="Segoe UI" w:hAnsi="Segoe UI" w:cs="Segoe UI"/>
                      <w:sz w:val="18"/>
                      <w:szCs w:val="15"/>
                      <w:lang w:val="el-GR"/>
                    </w:rPr>
                    <w:t xml:space="preserve">μειώθηκε </w:t>
                  </w:r>
                  <w:r w:rsidRPr="005D4D2E">
                    <w:rPr>
                      <w:rFonts w:ascii="Segoe UI" w:hAnsi="Segoe UI" w:cs="Segoe UI"/>
                      <w:sz w:val="18"/>
                      <w:szCs w:val="15"/>
                      <w:lang w:val="el-GR"/>
                    </w:rPr>
                    <w:t xml:space="preserve">κατά </w:t>
                  </w:r>
                  <w:r>
                    <w:rPr>
                      <w:rFonts w:ascii="Segoe UI" w:hAnsi="Segoe UI" w:cs="Segoe UI"/>
                      <w:sz w:val="18"/>
                      <w:szCs w:val="15"/>
                      <w:lang w:val="el-GR"/>
                    </w:rPr>
                    <w:t>160</w:t>
                  </w:r>
                  <w:r w:rsidRPr="005D4D2E">
                    <w:rPr>
                      <w:rFonts w:ascii="Segoe UI" w:hAnsi="Segoe UI" w:cs="Segoe UI"/>
                      <w:sz w:val="18"/>
                      <w:szCs w:val="15"/>
                      <w:lang w:val="el-GR"/>
                    </w:rPr>
                    <w:t xml:space="preserve"> </w:t>
                  </w:r>
                  <w:proofErr w:type="spellStart"/>
                  <w:r w:rsidRPr="005D4D2E">
                    <w:rPr>
                      <w:rFonts w:ascii="Segoe UI" w:hAnsi="Segoe UI" w:cs="Segoe UI"/>
                      <w:sz w:val="18"/>
                      <w:szCs w:val="15"/>
                      <w:lang w:val="el-GR"/>
                    </w:rPr>
                    <w:t>μ.β</w:t>
                  </w:r>
                  <w:proofErr w:type="spellEnd"/>
                  <w:r w:rsidRPr="005D4D2E">
                    <w:rPr>
                      <w:rFonts w:ascii="Segoe UI" w:hAnsi="Segoe UI" w:cs="Segoe UI"/>
                      <w:sz w:val="18"/>
                      <w:szCs w:val="15"/>
                      <w:lang w:val="el-GR"/>
                    </w:rPr>
                    <w:t xml:space="preserve">. σε </w:t>
                  </w:r>
                  <w:r>
                    <w:rPr>
                      <w:rFonts w:ascii="Segoe UI" w:hAnsi="Segoe UI" w:cs="Segoe UI"/>
                      <w:sz w:val="18"/>
                      <w:szCs w:val="15"/>
                      <w:lang w:val="el-GR"/>
                    </w:rPr>
                    <w:t xml:space="preserve">τριμηνιαία βάση και διαμορφώθηκε σε 33,8% στην Ελλάδα, στα χαμηλότερα επίπεδα </w:t>
                  </w:r>
                  <w:r w:rsidRPr="005D4D2E">
                    <w:rPr>
                      <w:rFonts w:ascii="Segoe UI" w:hAnsi="Segoe UI" w:cs="Segoe UI"/>
                      <w:sz w:val="18"/>
                      <w:szCs w:val="15"/>
                      <w:lang w:val="el-GR"/>
                    </w:rPr>
                    <w:t>του κλάδου</w:t>
                  </w:r>
                  <w:r w:rsidRPr="005D4D2E">
                    <w:rPr>
                      <w:rFonts w:ascii="Segoe UI" w:hAnsi="Segoe UI" w:cs="Segoe UI"/>
                      <w:sz w:val="18"/>
                      <w:szCs w:val="15"/>
                      <w:vertAlign w:val="superscript"/>
                      <w:lang w:val="el-GR"/>
                    </w:rPr>
                    <w:t>1</w:t>
                  </w:r>
                  <w:r>
                    <w:rPr>
                      <w:rFonts w:ascii="Segoe UI" w:hAnsi="Segoe UI" w:cs="Segoe UI"/>
                      <w:sz w:val="18"/>
                      <w:szCs w:val="15"/>
                      <w:lang w:val="el-GR"/>
                    </w:rPr>
                    <w:t xml:space="preserve">. </w:t>
                  </w:r>
                  <w:r w:rsidRPr="00BF459E">
                    <w:rPr>
                      <w:rFonts w:ascii="Segoe UI" w:hAnsi="Segoe UI" w:cs="Segoe UI"/>
                      <w:sz w:val="18"/>
                      <w:szCs w:val="15"/>
                      <w:lang w:val="el-GR"/>
                    </w:rPr>
                    <w:t xml:space="preserve">Ο δείκτης κάλυψης δανείων σε καθυστέρηση άνω των 90 ημερών </w:t>
                  </w:r>
                  <w:r>
                    <w:rPr>
                      <w:rFonts w:ascii="Segoe UI" w:hAnsi="Segoe UI" w:cs="Segoe UI"/>
                      <w:sz w:val="18"/>
                      <w:szCs w:val="15"/>
                      <w:lang w:val="el-GR"/>
                    </w:rPr>
                    <w:t>από συσσωρευμένες προβλέψεις ανήλθε σε 75,</w:t>
                  </w:r>
                  <w:r w:rsidRPr="00DE0254">
                    <w:rPr>
                      <w:rFonts w:ascii="Segoe UI" w:hAnsi="Segoe UI" w:cs="Segoe UI"/>
                      <w:sz w:val="18"/>
                      <w:szCs w:val="15"/>
                      <w:lang w:val="el-GR"/>
                    </w:rPr>
                    <w:t>4</w:t>
                  </w:r>
                  <w:r w:rsidRPr="00BF459E">
                    <w:rPr>
                      <w:rFonts w:ascii="Segoe UI" w:hAnsi="Segoe UI" w:cs="Segoe UI"/>
                      <w:sz w:val="18"/>
                      <w:szCs w:val="15"/>
                      <w:lang w:val="el-GR"/>
                    </w:rPr>
                    <w:t xml:space="preserve">% </w:t>
                  </w:r>
                  <w:r>
                    <w:rPr>
                      <w:rFonts w:ascii="Segoe UI" w:hAnsi="Segoe UI" w:cs="Segoe UI"/>
                      <w:sz w:val="18"/>
                      <w:szCs w:val="15"/>
                      <w:lang w:val="el-GR"/>
                    </w:rPr>
                    <w:t>στην Ελλάδα</w:t>
                  </w:r>
                  <w:r w:rsidRPr="00BF459E">
                    <w:rPr>
                      <w:rFonts w:ascii="Segoe UI" w:hAnsi="Segoe UI" w:cs="Segoe UI"/>
                      <w:sz w:val="18"/>
                      <w:szCs w:val="15"/>
                      <w:lang w:val="el-GR"/>
                    </w:rPr>
                    <w:t>, στα υψηλότερα επίπεδα του κλάδου</w:t>
                  </w:r>
                  <w:r>
                    <w:rPr>
                      <w:rFonts w:ascii="Segoe UI" w:hAnsi="Segoe UI" w:cs="Segoe UI"/>
                      <w:sz w:val="18"/>
                      <w:szCs w:val="15"/>
                      <w:vertAlign w:val="superscript"/>
                      <w:lang w:val="el-GR"/>
                    </w:rPr>
                    <w:t>1</w:t>
                  </w:r>
                  <w:r w:rsidRPr="00BF459E">
                    <w:rPr>
                      <w:rFonts w:ascii="Segoe UI" w:hAnsi="Segoe UI" w:cs="Segoe UI"/>
                      <w:sz w:val="18"/>
                      <w:szCs w:val="15"/>
                      <w:lang w:val="el-GR"/>
                    </w:rPr>
                    <w:t xml:space="preserve"> </w:t>
                  </w:r>
                </w:p>
                <w:p w:rsidR="002E354B" w:rsidRDefault="002E354B" w:rsidP="001770EF">
                  <w:pPr>
                    <w:numPr>
                      <w:ilvl w:val="0"/>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Σ</w:t>
                  </w:r>
                  <w:r w:rsidRPr="00BF459E">
                    <w:rPr>
                      <w:rFonts w:ascii="Segoe UI" w:hAnsi="Segoe UI" w:cs="Segoe UI"/>
                      <w:sz w:val="18"/>
                      <w:szCs w:val="15"/>
                      <w:lang w:val="el-GR"/>
                    </w:rPr>
                    <w:t>την Ελλά</w:t>
                  </w:r>
                  <w:r>
                    <w:rPr>
                      <w:rFonts w:ascii="Segoe UI" w:hAnsi="Segoe UI" w:cs="Segoe UI"/>
                      <w:sz w:val="18"/>
                      <w:szCs w:val="15"/>
                      <w:lang w:val="el-GR"/>
                    </w:rPr>
                    <w:t>δα, τ</w:t>
                  </w:r>
                  <w:r w:rsidRPr="00BF459E">
                    <w:rPr>
                      <w:rFonts w:ascii="Segoe UI" w:hAnsi="Segoe UI" w:cs="Segoe UI"/>
                      <w:sz w:val="18"/>
                      <w:szCs w:val="15"/>
                      <w:lang w:val="el-GR"/>
                    </w:rPr>
                    <w:t xml:space="preserve">ο κόστος </w:t>
                  </w:r>
                  <w:r>
                    <w:rPr>
                      <w:rFonts w:ascii="Segoe UI" w:hAnsi="Segoe UI" w:cs="Segoe UI"/>
                      <w:sz w:val="18"/>
                      <w:szCs w:val="15"/>
                      <w:lang w:val="el-GR"/>
                    </w:rPr>
                    <w:t xml:space="preserve">πιστωτικού </w:t>
                  </w:r>
                  <w:r w:rsidRPr="00BF459E">
                    <w:rPr>
                      <w:rFonts w:ascii="Segoe UI" w:hAnsi="Segoe UI" w:cs="Segoe UI"/>
                      <w:sz w:val="18"/>
                      <w:szCs w:val="15"/>
                      <w:lang w:val="el-GR"/>
                    </w:rPr>
                    <w:t xml:space="preserve">κινδύνου </w:t>
                  </w:r>
                  <w:r>
                    <w:rPr>
                      <w:rFonts w:ascii="Segoe UI" w:hAnsi="Segoe UI" w:cs="Segoe UI"/>
                      <w:sz w:val="18"/>
                      <w:szCs w:val="15"/>
                      <w:lang w:val="el-GR"/>
                    </w:rPr>
                    <w:t xml:space="preserve">διαμορφώθηκε </w:t>
                  </w:r>
                  <w:r w:rsidRPr="00BF459E">
                    <w:rPr>
                      <w:rFonts w:ascii="Segoe UI" w:hAnsi="Segoe UI" w:cs="Segoe UI"/>
                      <w:sz w:val="18"/>
                      <w:szCs w:val="15"/>
                      <w:lang w:val="el-GR"/>
                    </w:rPr>
                    <w:t xml:space="preserve">σε </w:t>
                  </w:r>
                  <w:r>
                    <w:rPr>
                      <w:rFonts w:ascii="Segoe UI" w:hAnsi="Segoe UI" w:cs="Segoe UI"/>
                      <w:sz w:val="18"/>
                      <w:szCs w:val="15"/>
                      <w:lang w:val="el-GR"/>
                    </w:rPr>
                    <w:t>212</w:t>
                  </w:r>
                  <w:r w:rsidRPr="00BF459E">
                    <w:rPr>
                      <w:rFonts w:ascii="Segoe UI" w:hAnsi="Segoe UI" w:cs="Segoe UI"/>
                      <w:sz w:val="18"/>
                      <w:szCs w:val="15"/>
                      <w:lang w:val="el-GR"/>
                    </w:rPr>
                    <w:t xml:space="preserve"> </w:t>
                  </w:r>
                  <w:proofErr w:type="spellStart"/>
                  <w:r w:rsidRPr="00BF459E">
                    <w:rPr>
                      <w:rFonts w:ascii="Segoe UI" w:hAnsi="Segoe UI" w:cs="Segoe UI"/>
                      <w:sz w:val="18"/>
                      <w:szCs w:val="15"/>
                      <w:lang w:val="el-GR"/>
                    </w:rPr>
                    <w:t>μ.β</w:t>
                  </w:r>
                  <w:proofErr w:type="spellEnd"/>
                  <w:r w:rsidRPr="00BF459E">
                    <w:rPr>
                      <w:rFonts w:ascii="Segoe UI" w:hAnsi="Segoe UI" w:cs="Segoe UI"/>
                      <w:sz w:val="18"/>
                      <w:szCs w:val="15"/>
                      <w:lang w:val="el-GR"/>
                    </w:rPr>
                    <w:t xml:space="preserve">. το </w:t>
                  </w:r>
                  <w:r>
                    <w:rPr>
                      <w:rFonts w:ascii="Segoe UI" w:hAnsi="Segoe UI" w:cs="Segoe UI"/>
                      <w:sz w:val="18"/>
                      <w:szCs w:val="15"/>
                      <w:lang w:val="el-GR"/>
                    </w:rPr>
                    <w:t xml:space="preserve">2016 συγκριτικά με 1,004 </w:t>
                  </w:r>
                  <w:proofErr w:type="spellStart"/>
                  <w:r>
                    <w:rPr>
                      <w:rFonts w:ascii="Segoe UI" w:hAnsi="Segoe UI" w:cs="Segoe UI"/>
                      <w:sz w:val="18"/>
                      <w:szCs w:val="15"/>
                      <w:lang w:val="el-GR"/>
                    </w:rPr>
                    <w:t>μ.β</w:t>
                  </w:r>
                  <w:proofErr w:type="spellEnd"/>
                  <w:r>
                    <w:rPr>
                      <w:rFonts w:ascii="Segoe UI" w:hAnsi="Segoe UI" w:cs="Segoe UI"/>
                      <w:sz w:val="18"/>
                      <w:szCs w:val="15"/>
                      <w:lang w:val="el-GR"/>
                    </w:rPr>
                    <w:t>. το 2015</w:t>
                  </w:r>
                  <w:r w:rsidRPr="00BF459E">
                    <w:rPr>
                      <w:rFonts w:ascii="Segoe UI" w:hAnsi="Segoe UI" w:cs="Segoe UI"/>
                      <w:sz w:val="18"/>
                      <w:szCs w:val="15"/>
                      <w:lang w:val="el-GR"/>
                    </w:rPr>
                    <w:t xml:space="preserve"> </w:t>
                  </w:r>
                </w:p>
                <w:p w:rsidR="002E354B" w:rsidRDefault="002E354B" w:rsidP="008F0414">
                  <w:pPr>
                    <w:spacing w:before="120" w:after="0" w:line="240" w:lineRule="auto"/>
                    <w:ind w:left="786"/>
                    <w:rPr>
                      <w:rFonts w:ascii="Segoe UI" w:hAnsi="Segoe UI" w:cs="Segoe UI"/>
                      <w:sz w:val="18"/>
                      <w:szCs w:val="15"/>
                      <w:lang w:val="el-GR"/>
                    </w:rPr>
                  </w:pPr>
                </w:p>
                <w:p w:rsidR="002E354B" w:rsidRDefault="002E354B" w:rsidP="008F0414">
                  <w:pPr>
                    <w:spacing w:before="120" w:after="0" w:line="240" w:lineRule="auto"/>
                    <w:ind w:left="786"/>
                    <w:rPr>
                      <w:rFonts w:ascii="Segoe UI" w:hAnsi="Segoe UI" w:cs="Segoe UI"/>
                      <w:sz w:val="18"/>
                      <w:szCs w:val="15"/>
                      <w:lang w:val="el-GR"/>
                    </w:rPr>
                  </w:pPr>
                </w:p>
                <w:p w:rsidR="002E354B" w:rsidRDefault="002E354B" w:rsidP="008F0414">
                  <w:pPr>
                    <w:spacing w:before="120" w:after="0" w:line="240" w:lineRule="auto"/>
                    <w:ind w:left="786"/>
                    <w:rPr>
                      <w:rFonts w:ascii="Segoe UI" w:hAnsi="Segoe UI" w:cs="Segoe UI"/>
                      <w:sz w:val="18"/>
                      <w:szCs w:val="15"/>
                      <w:lang w:val="el-GR"/>
                    </w:rPr>
                  </w:pPr>
                </w:p>
                <w:p w:rsidR="002E354B" w:rsidRDefault="002E354B" w:rsidP="008F0414">
                  <w:pPr>
                    <w:spacing w:before="120" w:after="0" w:line="240" w:lineRule="auto"/>
                    <w:ind w:left="786"/>
                    <w:rPr>
                      <w:rFonts w:ascii="Segoe UI" w:hAnsi="Segoe UI" w:cs="Segoe UI"/>
                      <w:sz w:val="18"/>
                      <w:szCs w:val="15"/>
                      <w:lang w:val="el-GR"/>
                    </w:rPr>
                  </w:pPr>
                </w:p>
                <w:p w:rsidR="002E354B" w:rsidRDefault="002E354B" w:rsidP="008F0414">
                  <w:pPr>
                    <w:spacing w:before="120" w:after="0" w:line="240" w:lineRule="auto"/>
                    <w:ind w:left="786"/>
                    <w:rPr>
                      <w:rFonts w:ascii="Segoe UI" w:hAnsi="Segoe UI" w:cs="Segoe UI"/>
                      <w:sz w:val="18"/>
                      <w:szCs w:val="15"/>
                      <w:lang w:val="el-GR"/>
                    </w:rPr>
                  </w:pPr>
                </w:p>
                <w:p w:rsidR="002E354B" w:rsidRDefault="002E354B" w:rsidP="008F0414">
                  <w:pPr>
                    <w:spacing w:before="120" w:after="0" w:line="240" w:lineRule="auto"/>
                    <w:ind w:left="786"/>
                    <w:rPr>
                      <w:rFonts w:ascii="Segoe UI" w:hAnsi="Segoe UI" w:cs="Segoe UI"/>
                      <w:sz w:val="18"/>
                      <w:szCs w:val="15"/>
                      <w:lang w:val="el-GR"/>
                    </w:rPr>
                  </w:pPr>
                </w:p>
                <w:p w:rsidR="002E354B" w:rsidRPr="00BF459E" w:rsidRDefault="002E354B" w:rsidP="008F0414">
                  <w:pPr>
                    <w:spacing w:before="120" w:after="0" w:line="240" w:lineRule="auto"/>
                    <w:ind w:left="786"/>
                    <w:rPr>
                      <w:rFonts w:ascii="Segoe UI" w:hAnsi="Segoe UI" w:cs="Segoe UI"/>
                      <w:sz w:val="18"/>
                      <w:szCs w:val="15"/>
                      <w:lang w:val="el-GR"/>
                    </w:rPr>
                  </w:pPr>
                </w:p>
                <w:p w:rsidR="002E354B" w:rsidRDefault="002E354B" w:rsidP="007C565C">
                  <w:pPr>
                    <w:spacing w:after="0" w:line="240" w:lineRule="auto"/>
                    <w:ind w:left="360"/>
                    <w:jc w:val="right"/>
                    <w:rPr>
                      <w:rFonts w:ascii="Segoe UI" w:hAnsi="Segoe UI" w:cs="Segoe UI"/>
                      <w:sz w:val="16"/>
                      <w:szCs w:val="12"/>
                      <w:lang w:val="el-GR"/>
                    </w:rPr>
                  </w:pPr>
                  <w:r w:rsidRPr="00EE1E78">
                    <w:rPr>
                      <w:rFonts w:ascii="Segoe UI" w:hAnsi="Segoe UI" w:cs="Segoe UI"/>
                      <w:sz w:val="16"/>
                      <w:szCs w:val="12"/>
                      <w:lang w:val="el-GR"/>
                    </w:rPr>
                    <w:t xml:space="preserve">Αθήνα, </w:t>
                  </w:r>
                  <w:r>
                    <w:rPr>
                      <w:rFonts w:ascii="Segoe UI" w:hAnsi="Segoe UI" w:cs="Segoe UI"/>
                      <w:sz w:val="16"/>
                      <w:szCs w:val="12"/>
                      <w:lang w:val="el-GR"/>
                    </w:rPr>
                    <w:t>30 Μαρτίου</w:t>
                  </w:r>
                  <w:r w:rsidRPr="00EE1E78">
                    <w:rPr>
                      <w:rFonts w:ascii="Segoe UI" w:hAnsi="Segoe UI" w:cs="Segoe UI"/>
                      <w:sz w:val="16"/>
                      <w:szCs w:val="12"/>
                      <w:lang w:val="el-GR"/>
                    </w:rPr>
                    <w:t xml:space="preserve"> 201</w:t>
                  </w:r>
                  <w:r w:rsidR="008046D7">
                    <w:rPr>
                      <w:rFonts w:ascii="Segoe UI" w:hAnsi="Segoe UI" w:cs="Segoe UI"/>
                      <w:sz w:val="16"/>
                      <w:szCs w:val="12"/>
                      <w:lang w:val="el-GR"/>
                    </w:rPr>
                    <w:t>7</w:t>
                  </w:r>
                </w:p>
                <w:p w:rsidR="002E354B" w:rsidRPr="00EE1E78" w:rsidRDefault="002E354B" w:rsidP="007C565C">
                  <w:pPr>
                    <w:spacing w:after="0" w:line="240" w:lineRule="auto"/>
                    <w:ind w:left="360"/>
                    <w:jc w:val="right"/>
                    <w:rPr>
                      <w:rFonts w:ascii="Segoe UI" w:hAnsi="Segoe UI" w:cs="Segoe UI"/>
                      <w:sz w:val="16"/>
                      <w:szCs w:val="12"/>
                      <w:lang w:val="el-GR"/>
                    </w:rPr>
                  </w:pPr>
                </w:p>
                <w:p w:rsidR="002E354B" w:rsidRPr="006A38DD" w:rsidRDefault="002E354B" w:rsidP="00BF459E">
                  <w:pPr>
                    <w:spacing w:before="120" w:after="0" w:line="240" w:lineRule="auto"/>
                    <w:rPr>
                      <w:rFonts w:ascii="Segoe UI" w:hAnsi="Segoe UI" w:cs="Segoe UI"/>
                      <w:sz w:val="12"/>
                      <w:szCs w:val="12"/>
                      <w:lang w:val="el-GR"/>
                    </w:rPr>
                  </w:pPr>
                  <w:r w:rsidRPr="00E97620">
                    <w:rPr>
                      <w:rFonts w:ascii="Segoe UI" w:hAnsi="Segoe UI" w:cs="Segoe UI"/>
                      <w:sz w:val="12"/>
                      <w:szCs w:val="12"/>
                      <w:vertAlign w:val="superscript"/>
                      <w:lang w:val="el-GR"/>
                    </w:rPr>
                    <w:t>1</w:t>
                  </w:r>
                  <w:r w:rsidRPr="00DE05C0">
                    <w:rPr>
                      <w:rFonts w:ascii="Segoe UI" w:hAnsi="Segoe UI" w:cs="Segoe UI"/>
                      <w:sz w:val="12"/>
                      <w:szCs w:val="12"/>
                      <w:lang w:val="el-GR"/>
                    </w:rPr>
                    <w:t xml:space="preserve"> Η σύγκριση με τις λοιπές εγχώριες </w:t>
                  </w:r>
                  <w:proofErr w:type="spellStart"/>
                  <w:r w:rsidRPr="00DE05C0">
                    <w:rPr>
                      <w:rFonts w:ascii="Segoe UI" w:hAnsi="Segoe UI" w:cs="Segoe UI"/>
                      <w:sz w:val="12"/>
                      <w:szCs w:val="12"/>
                      <w:lang w:val="el-GR"/>
                    </w:rPr>
                    <w:t>συστημικές</w:t>
                  </w:r>
                  <w:proofErr w:type="spellEnd"/>
                  <w:r w:rsidRPr="00DE05C0">
                    <w:rPr>
                      <w:rFonts w:ascii="Segoe UI" w:hAnsi="Segoe UI" w:cs="Segoe UI"/>
                      <w:sz w:val="12"/>
                      <w:szCs w:val="12"/>
                      <w:lang w:val="el-GR"/>
                    </w:rPr>
                    <w:t xml:space="preserve"> τράπεζες βασίζεται σ</w:t>
                  </w:r>
                  <w:r>
                    <w:rPr>
                      <w:rFonts w:ascii="Segoe UI" w:hAnsi="Segoe UI" w:cs="Segoe UI"/>
                      <w:sz w:val="12"/>
                      <w:szCs w:val="12"/>
                      <w:lang w:val="el-GR"/>
                    </w:rPr>
                    <w:t>τα τελευταία διαθέσιμα</w:t>
                  </w:r>
                  <w:r w:rsidRPr="00DE05C0">
                    <w:rPr>
                      <w:rFonts w:ascii="Segoe UI" w:hAnsi="Segoe UI" w:cs="Segoe UI"/>
                      <w:sz w:val="12"/>
                      <w:szCs w:val="12"/>
                      <w:lang w:val="el-GR"/>
                    </w:rPr>
                    <w:t xml:space="preserve"> στοιχεία </w:t>
                  </w:r>
                </w:p>
                <w:p w:rsidR="002E354B" w:rsidRPr="002C2ABB" w:rsidRDefault="002E354B" w:rsidP="00BF459E">
                  <w:pPr>
                    <w:spacing w:before="120" w:after="0" w:line="240" w:lineRule="auto"/>
                    <w:ind w:left="360"/>
                    <w:jc w:val="right"/>
                    <w:rPr>
                      <w:rFonts w:ascii="Segoe UI" w:hAnsi="Segoe UI" w:cs="Segoe UI"/>
                      <w:sz w:val="2"/>
                      <w:szCs w:val="2"/>
                      <w:lang w:val="el-GR"/>
                    </w:rPr>
                  </w:pPr>
                </w:p>
              </w:txbxContent>
            </v:textbox>
          </v:shape>
        </w:pict>
      </w: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A202A0" w:rsidRPr="00F50813" w:rsidRDefault="00B17525" w:rsidP="004929D8">
      <w:pPr>
        <w:spacing w:after="160"/>
        <w:jc w:val="both"/>
        <w:rPr>
          <w:rFonts w:ascii="Segoe UI" w:hAnsi="Segoe UI" w:cs="Segoe UI"/>
          <w:i/>
          <w:lang w:eastAsia="en-GB"/>
        </w:rPr>
      </w:pPr>
      <w:r w:rsidRPr="00F50813">
        <w:rPr>
          <w:rFonts w:ascii="Segoe UI" w:hAnsi="Segoe UI" w:cs="Segoe UI"/>
          <w:i/>
          <w:lang w:eastAsia="en-GB"/>
        </w:rPr>
        <w:t xml:space="preserve">With the Bank’s strong position and the dynamics of its forward course </w:t>
      </w:r>
      <w:r w:rsidR="00411B8F" w:rsidRPr="00F50813">
        <w:rPr>
          <w:rFonts w:ascii="Segoe UI" w:hAnsi="Segoe UI" w:cs="Segoe UI"/>
          <w:i/>
          <w:lang w:eastAsia="en-GB"/>
        </w:rPr>
        <w:t xml:space="preserve">now </w:t>
      </w:r>
      <w:r w:rsidRPr="00F50813">
        <w:rPr>
          <w:rFonts w:ascii="Segoe UI" w:hAnsi="Segoe UI" w:cs="Segoe UI"/>
          <w:i/>
          <w:lang w:eastAsia="en-GB"/>
        </w:rPr>
        <w:t>verified</w:t>
      </w:r>
      <w:r w:rsidR="005E24C3" w:rsidRPr="00F50813">
        <w:rPr>
          <w:rFonts w:ascii="Segoe UI" w:hAnsi="Segoe UI" w:cs="Segoe UI"/>
          <w:i/>
          <w:lang w:eastAsia="en-GB"/>
        </w:rPr>
        <w:t xml:space="preserve"> by </w:t>
      </w:r>
    </w:p>
    <w:p w:rsidR="005E24C3" w:rsidRPr="00F50813" w:rsidRDefault="005E24C3" w:rsidP="004929D8">
      <w:pPr>
        <w:spacing w:after="160" w:line="240" w:lineRule="auto"/>
        <w:jc w:val="both"/>
        <w:rPr>
          <w:rFonts w:ascii="Segoe UI" w:hAnsi="Segoe UI" w:cs="Segoe UI"/>
          <w:i/>
          <w:iCs/>
          <w:lang w:val="en-US"/>
        </w:rPr>
      </w:pPr>
    </w:p>
    <w:p w:rsidR="00B70DD7" w:rsidRPr="00F50813" w:rsidRDefault="00B70DD7" w:rsidP="004929D8">
      <w:pPr>
        <w:spacing w:after="160" w:line="240" w:lineRule="auto"/>
        <w:jc w:val="both"/>
        <w:rPr>
          <w:rFonts w:ascii="Segoe UI" w:hAnsi="Segoe UI" w:cs="Segoe UI"/>
          <w:lang w:val="en-US"/>
        </w:rPr>
      </w:pPr>
      <w:r w:rsidRPr="00F50813">
        <w:rPr>
          <w:rFonts w:ascii="Segoe UI" w:hAnsi="Segoe UI" w:cs="Segoe UI"/>
          <w:lang w:val="en-US"/>
        </w:rPr>
        <w:br w:type="page"/>
      </w:r>
    </w:p>
    <w:p w:rsidR="00901454" w:rsidRPr="00F50813" w:rsidRDefault="00E706B5" w:rsidP="004929D8">
      <w:pPr>
        <w:spacing w:after="160"/>
        <w:jc w:val="both"/>
        <w:rPr>
          <w:rFonts w:ascii="Segoe UI" w:hAnsi="Segoe UI" w:cs="Segoe UI"/>
          <w:i/>
          <w:iCs/>
          <w:lang w:val="en-US"/>
        </w:rPr>
      </w:pPr>
      <w:r w:rsidRPr="00E706B5">
        <w:rPr>
          <w:rFonts w:ascii="Segoe UI" w:hAnsi="Segoe UI" w:cs="Segoe UI"/>
          <w:b/>
          <w:noProof/>
          <w:lang w:val="el-GR" w:eastAsia="el-GR"/>
        </w:rPr>
        <w:lastRenderedPageBreak/>
        <w:pict>
          <v:shape id="_x0000_s1027" type="#_x0000_t202" style="position:absolute;left:0;text-align:left;margin-left:-2.6pt;margin-top:-9.4pt;width:436.65pt;height:726.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" fillcolor="#d9d9d9" stroked="f">
            <v:textbox>
              <w:txbxContent>
                <w:p w:rsidR="002E354B" w:rsidRPr="00E46E0F" w:rsidRDefault="002E354B" w:rsidP="009D13D9">
                  <w:pPr>
                    <w:numPr>
                      <w:ilvl w:val="0"/>
                      <w:numId w:val="10"/>
                    </w:numPr>
                    <w:spacing w:before="120" w:after="0"/>
                    <w:rPr>
                      <w:rFonts w:ascii="Segoe UI" w:hAnsi="Segoe UI" w:cs="Segoe UI"/>
                      <w:b/>
                      <w:sz w:val="18"/>
                      <w:szCs w:val="15"/>
                      <w:lang w:val="el-GR"/>
                    </w:rPr>
                  </w:pPr>
                  <w:r>
                    <w:rPr>
                      <w:rFonts w:ascii="Segoe UI" w:hAnsi="Segoe UI" w:cs="Segoe UI"/>
                      <w:b/>
                      <w:sz w:val="18"/>
                      <w:szCs w:val="15"/>
                      <w:lang w:val="el-GR"/>
                    </w:rPr>
                    <w:t xml:space="preserve">Κέρδη </w:t>
                  </w:r>
                  <w:r w:rsidRPr="00F23B5D">
                    <w:rPr>
                      <w:rFonts w:ascii="Segoe UI" w:hAnsi="Segoe UI" w:cs="Segoe UI"/>
                      <w:b/>
                      <w:sz w:val="18"/>
                      <w:szCs w:val="15"/>
                      <w:lang w:val="el-GR"/>
                    </w:rPr>
                    <w:t>μετά φόρ</w:t>
                  </w:r>
                  <w:r>
                    <w:rPr>
                      <w:rFonts w:ascii="Segoe UI" w:hAnsi="Segoe UI" w:cs="Segoe UI"/>
                      <w:b/>
                      <w:sz w:val="18"/>
                      <w:szCs w:val="15"/>
                      <w:lang w:val="el-GR"/>
                    </w:rPr>
                    <w:t>ων</w:t>
                  </w:r>
                  <w:r w:rsidRPr="00F23B5D">
                    <w:rPr>
                      <w:rFonts w:ascii="Segoe UI" w:hAnsi="Segoe UI" w:cs="Segoe UI"/>
                      <w:b/>
                      <w:sz w:val="18"/>
                      <w:szCs w:val="15"/>
                      <w:lang w:val="el-GR"/>
                    </w:rPr>
                    <w:t xml:space="preserve"> από συνεχιζόμενες δραστηριότητες</w:t>
                  </w:r>
                  <w:r>
                    <w:rPr>
                      <w:rFonts w:ascii="Segoe UI" w:hAnsi="Segoe UI" w:cs="Segoe UI"/>
                      <w:b/>
                      <w:sz w:val="18"/>
                      <w:szCs w:val="15"/>
                      <w:lang w:val="el-GR"/>
                    </w:rPr>
                    <w:t xml:space="preserve"> στα €5</w:t>
                  </w:r>
                  <w:r w:rsidRPr="00055291">
                    <w:rPr>
                      <w:rFonts w:ascii="Segoe UI" w:hAnsi="Segoe UI" w:cs="Segoe UI"/>
                      <w:b/>
                      <w:sz w:val="18"/>
                      <w:szCs w:val="15"/>
                      <w:lang w:val="el-GR"/>
                    </w:rPr>
                    <w:t>3</w:t>
                  </w:r>
                  <w:r>
                    <w:rPr>
                      <w:rFonts w:ascii="Segoe UI" w:hAnsi="Segoe UI" w:cs="Segoe UI"/>
                      <w:b/>
                      <w:sz w:val="18"/>
                      <w:szCs w:val="15"/>
                      <w:lang w:val="el-GR"/>
                    </w:rPr>
                    <w:t xml:space="preserve"> εκατ. </w:t>
                  </w:r>
                  <w:r w:rsidRPr="00E46E0F">
                    <w:rPr>
                      <w:rFonts w:ascii="Segoe UI" w:hAnsi="Segoe UI" w:cs="Segoe UI"/>
                      <w:b/>
                      <w:sz w:val="18"/>
                      <w:szCs w:val="15"/>
                      <w:lang w:val="el-GR"/>
                    </w:rPr>
                    <w:t xml:space="preserve">σε επίπεδο Ομίλου </w:t>
                  </w:r>
                  <w:r>
                    <w:rPr>
                      <w:rFonts w:ascii="Segoe UI" w:hAnsi="Segoe UI" w:cs="Segoe UI"/>
                      <w:b/>
                      <w:sz w:val="18"/>
                      <w:szCs w:val="15"/>
                      <w:lang w:val="el-GR"/>
                    </w:rPr>
                    <w:t>έναντι ζημιών ύψους €2,5 δισ. το 2015. Στην Ελλάδα, τα κέ</w:t>
                  </w:r>
                  <w:r w:rsidRPr="009D13D9">
                    <w:rPr>
                      <w:rFonts w:ascii="Segoe UI" w:hAnsi="Segoe UI" w:cs="Segoe UI"/>
                      <w:b/>
                      <w:sz w:val="18"/>
                      <w:szCs w:val="15"/>
                      <w:lang w:val="el-GR"/>
                    </w:rPr>
                    <w:t xml:space="preserve">ρδη μετά φόρων από συνεχιζόμενες δραστηριότητες </w:t>
                  </w:r>
                  <w:r>
                    <w:rPr>
                      <w:rFonts w:ascii="Segoe UI" w:hAnsi="Segoe UI" w:cs="Segoe UI"/>
                      <w:b/>
                      <w:sz w:val="18"/>
                      <w:szCs w:val="15"/>
                      <w:lang w:val="el-GR"/>
                    </w:rPr>
                    <w:t>ανήλθαν σε</w:t>
                  </w:r>
                  <w:r w:rsidRPr="009D13D9">
                    <w:rPr>
                      <w:rFonts w:ascii="Segoe UI" w:hAnsi="Segoe UI" w:cs="Segoe UI"/>
                      <w:b/>
                      <w:sz w:val="18"/>
                      <w:szCs w:val="15"/>
                      <w:lang w:val="el-GR"/>
                    </w:rPr>
                    <w:t xml:space="preserve"> €</w:t>
                  </w:r>
                  <w:r>
                    <w:rPr>
                      <w:rFonts w:ascii="Segoe UI" w:hAnsi="Segoe UI" w:cs="Segoe UI"/>
                      <w:b/>
                      <w:sz w:val="18"/>
                      <w:szCs w:val="15"/>
                      <w:lang w:val="el-GR"/>
                    </w:rPr>
                    <w:t>1</w:t>
                  </w:r>
                  <w:r w:rsidRPr="00055291">
                    <w:rPr>
                      <w:rFonts w:ascii="Segoe UI" w:hAnsi="Segoe UI" w:cs="Segoe UI"/>
                      <w:b/>
                      <w:sz w:val="18"/>
                      <w:szCs w:val="15"/>
                      <w:lang w:val="el-GR"/>
                    </w:rPr>
                    <w:t>7</w:t>
                  </w:r>
                  <w:r w:rsidRPr="009D13D9">
                    <w:rPr>
                      <w:rFonts w:ascii="Segoe UI" w:hAnsi="Segoe UI" w:cs="Segoe UI"/>
                      <w:b/>
                      <w:sz w:val="18"/>
                      <w:szCs w:val="15"/>
                      <w:lang w:val="el-GR"/>
                    </w:rPr>
                    <w:t xml:space="preserve"> εκατ. έναντι ζημιών ύψους €2,5 δισ. το 2015</w:t>
                  </w:r>
                </w:p>
                <w:p w:rsidR="002E354B" w:rsidRDefault="002E354B" w:rsidP="00A93702">
                  <w:pPr>
                    <w:numPr>
                      <w:ilvl w:val="1"/>
                      <w:numId w:val="4"/>
                    </w:numPr>
                    <w:spacing w:before="120" w:after="0" w:line="240" w:lineRule="auto"/>
                    <w:rPr>
                      <w:rFonts w:ascii="Segoe UI" w:hAnsi="Segoe UI" w:cs="Segoe UI"/>
                      <w:sz w:val="18"/>
                      <w:szCs w:val="15"/>
                      <w:lang w:val="el-GR"/>
                    </w:rPr>
                  </w:pPr>
                  <w:r w:rsidRPr="007F3496">
                    <w:rPr>
                      <w:rFonts w:ascii="Segoe UI" w:hAnsi="Segoe UI" w:cs="Segoe UI"/>
                      <w:sz w:val="18"/>
                      <w:szCs w:val="15"/>
                      <w:lang w:val="el-GR"/>
                    </w:rPr>
                    <w:t>Τα οργανικά κέρδη προ προβλέψεων στην Ελλάδα αυξήθηκαν κ</w:t>
                  </w:r>
                  <w:r>
                    <w:rPr>
                      <w:rFonts w:ascii="Segoe UI" w:hAnsi="Segoe UI" w:cs="Segoe UI"/>
                      <w:sz w:val="18"/>
                      <w:szCs w:val="15"/>
                      <w:lang w:val="el-GR"/>
                    </w:rPr>
                    <w:t xml:space="preserve">ατά </w:t>
                  </w:r>
                  <w:r w:rsidRPr="00055291">
                    <w:rPr>
                      <w:rFonts w:ascii="Segoe UI" w:hAnsi="Segoe UI" w:cs="Segoe UI"/>
                      <w:sz w:val="18"/>
                      <w:szCs w:val="15"/>
                      <w:lang w:val="el-GR"/>
                    </w:rPr>
                    <w:t>31</w:t>
                  </w:r>
                  <w:r>
                    <w:rPr>
                      <w:rFonts w:ascii="Segoe UI" w:hAnsi="Segoe UI" w:cs="Segoe UI"/>
                      <w:sz w:val="18"/>
                      <w:szCs w:val="15"/>
                      <w:lang w:val="el-GR"/>
                    </w:rPr>
                    <w:t xml:space="preserve">% σε ετήσια βάση το 2016 και διαμορφώθηκαν σε €818 εκατ., </w:t>
                  </w:r>
                  <w:r w:rsidRPr="007F3496">
                    <w:rPr>
                      <w:rFonts w:ascii="Segoe UI" w:hAnsi="Segoe UI" w:cs="Segoe UI"/>
                      <w:sz w:val="18"/>
                      <w:szCs w:val="15"/>
                      <w:lang w:val="el-GR"/>
                    </w:rPr>
                    <w:t xml:space="preserve">αντανακλώντας τη σημαντική μείωση του κόστους άντλησης ρευστότητας </w:t>
                  </w:r>
                  <w:r>
                    <w:rPr>
                      <w:rFonts w:ascii="Segoe UI" w:hAnsi="Segoe UI" w:cs="Segoe UI"/>
                      <w:sz w:val="18"/>
                      <w:szCs w:val="15"/>
                      <w:lang w:val="el-GR"/>
                    </w:rPr>
                    <w:t xml:space="preserve">και την αποκλιμάκωση των λειτουργικών δαπανών </w:t>
                  </w:r>
                </w:p>
                <w:p w:rsidR="002E354B" w:rsidRPr="00A93702" w:rsidRDefault="002E354B" w:rsidP="00A93702">
                  <w:pPr>
                    <w:numPr>
                      <w:ilvl w:val="1"/>
                      <w:numId w:val="4"/>
                    </w:numPr>
                    <w:spacing w:before="120" w:after="0" w:line="240" w:lineRule="auto"/>
                    <w:rPr>
                      <w:rFonts w:ascii="Segoe UI" w:hAnsi="Segoe UI" w:cs="Segoe UI"/>
                      <w:sz w:val="18"/>
                      <w:szCs w:val="15"/>
                      <w:lang w:val="el-GR"/>
                    </w:rPr>
                  </w:pPr>
                  <w:r w:rsidRPr="00A93702">
                    <w:rPr>
                      <w:rFonts w:ascii="Segoe UI" w:hAnsi="Segoe UI" w:cs="Segoe UI"/>
                      <w:sz w:val="18"/>
                      <w:szCs w:val="15"/>
                      <w:lang w:val="el-GR"/>
                    </w:rPr>
                    <w:t>Τα καθαρά έσοδα από τόκους στην Ελλάδα ανήλθαν σε €</w:t>
                  </w:r>
                  <w:r>
                    <w:rPr>
                      <w:rFonts w:ascii="Segoe UI" w:hAnsi="Segoe UI" w:cs="Segoe UI"/>
                      <w:sz w:val="18"/>
                      <w:szCs w:val="15"/>
                      <w:lang w:val="el-GR"/>
                    </w:rPr>
                    <w:t xml:space="preserve">1,592 </w:t>
                  </w:r>
                  <w:r w:rsidRPr="00A93702">
                    <w:rPr>
                      <w:rFonts w:ascii="Segoe UI" w:hAnsi="Segoe UI" w:cs="Segoe UI"/>
                      <w:sz w:val="18"/>
                      <w:szCs w:val="15"/>
                      <w:lang w:val="el-GR"/>
                    </w:rPr>
                    <w:t xml:space="preserve">εκατ. </w:t>
                  </w:r>
                  <w:r>
                    <w:rPr>
                      <w:rFonts w:ascii="Segoe UI" w:hAnsi="Segoe UI" w:cs="Segoe UI"/>
                      <w:sz w:val="18"/>
                      <w:szCs w:val="15"/>
                      <w:lang w:val="el-GR"/>
                    </w:rPr>
                    <w:t>(+1,2% σε ετήσια βάση)</w:t>
                  </w:r>
                  <w:r w:rsidRPr="00A93702">
                    <w:rPr>
                      <w:rFonts w:ascii="Segoe UI" w:hAnsi="Segoe UI" w:cs="Segoe UI"/>
                      <w:sz w:val="18"/>
                      <w:szCs w:val="15"/>
                      <w:lang w:val="el-GR"/>
                    </w:rPr>
                    <w:t xml:space="preserve">, </w:t>
                  </w:r>
                  <w:r>
                    <w:rPr>
                      <w:rFonts w:ascii="Segoe UI" w:hAnsi="Segoe UI" w:cs="Segoe UI"/>
                      <w:sz w:val="18"/>
                      <w:szCs w:val="15"/>
                      <w:lang w:val="el-GR"/>
                    </w:rPr>
                    <w:t xml:space="preserve">με τη μείωση του κόστους </w:t>
                  </w:r>
                  <w:r w:rsidRPr="00A93702">
                    <w:rPr>
                      <w:rFonts w:ascii="Segoe UI" w:hAnsi="Segoe UI" w:cs="Segoe UI"/>
                      <w:sz w:val="18"/>
                      <w:szCs w:val="15"/>
                      <w:lang w:val="el-GR"/>
                    </w:rPr>
                    <w:t xml:space="preserve">άντλησης ρευστότητας </w:t>
                  </w:r>
                  <w:r>
                    <w:rPr>
                      <w:rFonts w:ascii="Segoe UI" w:hAnsi="Segoe UI" w:cs="Segoe UI"/>
                      <w:sz w:val="18"/>
                      <w:szCs w:val="15"/>
                      <w:lang w:val="el-GR"/>
                    </w:rPr>
                    <w:t xml:space="preserve">να αντισταθμίζει την αρνητική επίπτωση από την </w:t>
                  </w:r>
                  <w:proofErr w:type="spellStart"/>
                  <w:r>
                    <w:rPr>
                      <w:rFonts w:ascii="Segoe UI" w:hAnsi="Segoe UI" w:cs="Segoe UI"/>
                      <w:sz w:val="18"/>
                      <w:szCs w:val="15"/>
                      <w:lang w:val="el-GR"/>
                    </w:rPr>
                    <w:t>απομόχλευση</w:t>
                  </w:r>
                  <w:proofErr w:type="spellEnd"/>
                  <w:r>
                    <w:rPr>
                      <w:rFonts w:ascii="Segoe UI" w:hAnsi="Segoe UI" w:cs="Segoe UI"/>
                      <w:sz w:val="18"/>
                      <w:szCs w:val="15"/>
                      <w:lang w:val="el-GR"/>
                    </w:rPr>
                    <w:t xml:space="preserve"> των δανείων</w:t>
                  </w:r>
                </w:p>
                <w:p w:rsidR="002E354B" w:rsidRDefault="002E354B" w:rsidP="000B03D0">
                  <w:pPr>
                    <w:numPr>
                      <w:ilvl w:val="1"/>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Στην Ελλάδα, τ</w:t>
                  </w:r>
                  <w:r w:rsidRPr="00C17388">
                    <w:rPr>
                      <w:rFonts w:ascii="Segoe UI" w:hAnsi="Segoe UI" w:cs="Segoe UI"/>
                      <w:sz w:val="18"/>
                      <w:szCs w:val="15"/>
                      <w:lang w:val="el-GR"/>
                    </w:rPr>
                    <w:t xml:space="preserve">α καθαρά έσοδα από </w:t>
                  </w:r>
                  <w:r>
                    <w:rPr>
                      <w:rFonts w:ascii="Segoe UI" w:hAnsi="Segoe UI" w:cs="Segoe UI"/>
                      <w:sz w:val="18"/>
                      <w:szCs w:val="15"/>
                      <w:lang w:val="el-GR"/>
                    </w:rPr>
                    <w:t>τόκους</w:t>
                  </w:r>
                  <w:r w:rsidRPr="00C17388">
                    <w:rPr>
                      <w:rFonts w:ascii="Segoe UI" w:hAnsi="Segoe UI" w:cs="Segoe UI"/>
                      <w:sz w:val="18"/>
                      <w:szCs w:val="15"/>
                      <w:lang w:val="el-GR"/>
                    </w:rPr>
                    <w:t xml:space="preserve"> </w:t>
                  </w:r>
                  <w:r>
                    <w:rPr>
                      <w:rFonts w:ascii="Segoe UI" w:hAnsi="Segoe UI" w:cs="Segoe UI"/>
                      <w:sz w:val="18"/>
                      <w:szCs w:val="15"/>
                      <w:lang w:val="el-GR"/>
                    </w:rPr>
                    <w:t xml:space="preserve">και προμήθειες διαμορφώθηκαν σε </w:t>
                  </w:r>
                  <w:r w:rsidRPr="000B03D0">
                    <w:rPr>
                      <w:rFonts w:ascii="Segoe UI" w:hAnsi="Segoe UI" w:cs="Segoe UI"/>
                      <w:sz w:val="18"/>
                      <w:szCs w:val="15"/>
                      <w:lang w:val="el-GR"/>
                    </w:rPr>
                    <w:t>€149 εκατ.</w:t>
                  </w:r>
                  <w:r>
                    <w:rPr>
                      <w:rFonts w:ascii="Segoe UI" w:hAnsi="Segoe UI" w:cs="Segoe UI"/>
                      <w:sz w:val="18"/>
                      <w:szCs w:val="15"/>
                      <w:lang w:val="el-GR"/>
                    </w:rPr>
                    <w:t xml:space="preserve"> έναντι μηδενικών εσόδων το αντίστοιχο περυσινό διάστημα</w:t>
                  </w:r>
                  <w:r w:rsidRPr="00C17388">
                    <w:rPr>
                      <w:rFonts w:ascii="Segoe UI" w:hAnsi="Segoe UI" w:cs="Segoe UI"/>
                      <w:sz w:val="18"/>
                      <w:szCs w:val="15"/>
                      <w:lang w:val="el-GR"/>
                    </w:rPr>
                    <w:t xml:space="preserve">, αντικατοπτρίζοντας </w:t>
                  </w:r>
                  <w:r>
                    <w:rPr>
                      <w:rFonts w:ascii="Segoe UI" w:hAnsi="Segoe UI" w:cs="Segoe UI"/>
                      <w:sz w:val="18"/>
                      <w:szCs w:val="15"/>
                      <w:lang w:val="el-GR"/>
                    </w:rPr>
                    <w:t>τη μείωση του κόστους των ομολόγων του Πυλώνα ΙΙ &amp; ΙΙΙ</w:t>
                  </w:r>
                </w:p>
                <w:p w:rsidR="002E354B" w:rsidRPr="006D79FD" w:rsidRDefault="002E354B" w:rsidP="00891989">
                  <w:pPr>
                    <w:numPr>
                      <w:ilvl w:val="1"/>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Ο</w:t>
                  </w:r>
                  <w:r w:rsidRPr="006D79FD">
                    <w:rPr>
                      <w:rFonts w:ascii="Segoe UI" w:hAnsi="Segoe UI" w:cs="Segoe UI"/>
                      <w:sz w:val="18"/>
                      <w:szCs w:val="15"/>
                      <w:lang w:val="el-GR"/>
                    </w:rPr>
                    <w:t xml:space="preserve">ι </w:t>
                  </w:r>
                  <w:r>
                    <w:rPr>
                      <w:rFonts w:ascii="Segoe UI" w:hAnsi="Segoe UI" w:cs="Segoe UI"/>
                      <w:sz w:val="18"/>
                      <w:szCs w:val="15"/>
                      <w:lang w:val="el-GR"/>
                    </w:rPr>
                    <w:t xml:space="preserve">εγχώριες </w:t>
                  </w:r>
                  <w:r w:rsidRPr="006D79FD">
                    <w:rPr>
                      <w:rFonts w:ascii="Segoe UI" w:hAnsi="Segoe UI" w:cs="Segoe UI"/>
                      <w:sz w:val="18"/>
                      <w:szCs w:val="15"/>
                      <w:lang w:val="el-GR"/>
                    </w:rPr>
                    <w:t xml:space="preserve">λειτουργικές δαπάνες </w:t>
                  </w:r>
                  <w:r>
                    <w:rPr>
                      <w:rFonts w:ascii="Segoe UI" w:hAnsi="Segoe UI" w:cs="Segoe UI"/>
                      <w:sz w:val="18"/>
                      <w:szCs w:val="15"/>
                      <w:lang w:val="el-GR"/>
                    </w:rPr>
                    <w:t xml:space="preserve">διαμορφώθηκαν σε €991 εκατ. (-3,7% σε ετήσια βάση), </w:t>
                  </w:r>
                  <w:r w:rsidRPr="00891989">
                    <w:rPr>
                      <w:rFonts w:ascii="Segoe UI" w:hAnsi="Segoe UI" w:cs="Segoe UI"/>
                      <w:sz w:val="18"/>
                      <w:szCs w:val="15"/>
                      <w:lang w:val="el-GR"/>
                    </w:rPr>
                    <w:t>αντανακλώντας τη μείωση τόσο των δαπανών προσωπικού (-</w:t>
                  </w:r>
                  <w:r>
                    <w:rPr>
                      <w:rFonts w:ascii="Segoe UI" w:hAnsi="Segoe UI" w:cs="Segoe UI"/>
                      <w:sz w:val="18"/>
                      <w:szCs w:val="15"/>
                      <w:lang w:val="el-GR"/>
                    </w:rPr>
                    <w:t>3,4</w:t>
                  </w:r>
                  <w:r w:rsidRPr="00891989">
                    <w:rPr>
                      <w:rFonts w:ascii="Segoe UI" w:hAnsi="Segoe UI" w:cs="Segoe UI"/>
                      <w:sz w:val="18"/>
                      <w:szCs w:val="15"/>
                      <w:lang w:val="el-GR"/>
                    </w:rPr>
                    <w:t>% σε ετήσια βάση) όσο και των γενικών και διοικητικών εξόδων (-</w:t>
                  </w:r>
                  <w:r>
                    <w:rPr>
                      <w:rFonts w:ascii="Segoe UI" w:hAnsi="Segoe UI" w:cs="Segoe UI"/>
                      <w:sz w:val="18"/>
                      <w:szCs w:val="15"/>
                      <w:lang w:val="el-GR"/>
                    </w:rPr>
                    <w:t>5,6</w:t>
                  </w:r>
                  <w:r w:rsidRPr="00891989">
                    <w:rPr>
                      <w:rFonts w:ascii="Segoe UI" w:hAnsi="Segoe UI" w:cs="Segoe UI"/>
                      <w:sz w:val="18"/>
                      <w:szCs w:val="15"/>
                      <w:lang w:val="el-GR"/>
                    </w:rPr>
                    <w:t>% σε ετήσια βάση).</w:t>
                  </w:r>
                  <w:r>
                    <w:rPr>
                      <w:rFonts w:ascii="Segoe UI" w:hAnsi="Segoe UI" w:cs="Segoe UI"/>
                      <w:sz w:val="18"/>
                      <w:szCs w:val="15"/>
                      <w:lang w:val="el-GR"/>
                    </w:rPr>
                    <w:t xml:space="preserve"> Το Πρόγραμμα</w:t>
                  </w:r>
                  <w:r w:rsidRPr="00230486">
                    <w:rPr>
                      <w:rFonts w:ascii="Segoe UI" w:hAnsi="Segoe UI" w:cs="Segoe UI"/>
                      <w:sz w:val="18"/>
                      <w:szCs w:val="15"/>
                      <w:lang w:val="el-GR"/>
                    </w:rPr>
                    <w:t xml:space="preserve"> Εθελουσίας Εξόδου Προσωπικού</w:t>
                  </w:r>
                  <w:r>
                    <w:rPr>
                      <w:rFonts w:ascii="Segoe UI" w:hAnsi="Segoe UI" w:cs="Segoe UI"/>
                      <w:sz w:val="18"/>
                      <w:szCs w:val="15"/>
                      <w:lang w:val="el-GR"/>
                    </w:rPr>
                    <w:t xml:space="preserve"> αναμένεται να μειώσει τις δαπάνες σημαντικά μέσα στο 2017</w:t>
                  </w:r>
                </w:p>
                <w:p w:rsidR="002E354B" w:rsidRPr="00BF1B5B" w:rsidRDefault="002E354B" w:rsidP="00BF1B5B">
                  <w:pPr>
                    <w:numPr>
                      <w:ilvl w:val="1"/>
                      <w:numId w:val="4"/>
                    </w:numPr>
                    <w:spacing w:before="120" w:after="0" w:line="240" w:lineRule="auto"/>
                    <w:rPr>
                      <w:rFonts w:ascii="Segoe UI" w:hAnsi="Segoe UI" w:cs="Segoe UI"/>
                      <w:sz w:val="16"/>
                      <w:szCs w:val="15"/>
                      <w:lang w:val="el-GR"/>
                    </w:rPr>
                  </w:pPr>
                  <w:r>
                    <w:rPr>
                      <w:rFonts w:ascii="Segoe UI" w:hAnsi="Segoe UI" w:cs="Segoe UI"/>
                      <w:sz w:val="18"/>
                      <w:lang w:val="el-GR" w:eastAsia="el-GR" w:bidi="el-GR"/>
                    </w:rPr>
                    <w:t xml:space="preserve">Οι εγχώριες πρόβλεψες </w:t>
                  </w:r>
                  <w:r w:rsidRPr="00BF1B5B">
                    <w:rPr>
                      <w:rFonts w:ascii="Segoe UI" w:hAnsi="Segoe UI" w:cs="Segoe UI"/>
                      <w:sz w:val="18"/>
                      <w:lang w:val="el-GR" w:eastAsia="el-GR" w:bidi="el-GR"/>
                    </w:rPr>
                    <w:t xml:space="preserve">για επισφαλή δάνεια </w:t>
                  </w:r>
                  <w:r>
                    <w:rPr>
                      <w:rFonts w:ascii="Segoe UI" w:hAnsi="Segoe UI" w:cs="Segoe UI"/>
                      <w:sz w:val="18"/>
                      <w:lang w:val="el-GR" w:eastAsia="el-GR" w:bidi="el-GR"/>
                    </w:rPr>
                    <w:t xml:space="preserve">μειώθηκαν δραστικά σε </w:t>
                  </w:r>
                  <w:r w:rsidRPr="00BF1B5B">
                    <w:rPr>
                      <w:rFonts w:ascii="Segoe UI" w:hAnsi="Segoe UI" w:cs="Segoe UI"/>
                      <w:sz w:val="18"/>
                      <w:lang w:val="el-GR" w:eastAsia="el-GR" w:bidi="el-GR"/>
                    </w:rPr>
                    <w:t>€</w:t>
                  </w:r>
                  <w:r>
                    <w:rPr>
                      <w:rFonts w:ascii="Segoe UI" w:hAnsi="Segoe UI" w:cs="Segoe UI"/>
                      <w:sz w:val="18"/>
                      <w:lang w:val="el-GR" w:eastAsia="el-GR" w:bidi="el-GR"/>
                    </w:rPr>
                    <w:t>684</w:t>
                  </w:r>
                  <w:r w:rsidRPr="00BF1B5B">
                    <w:rPr>
                      <w:rFonts w:ascii="Segoe UI" w:hAnsi="Segoe UI" w:cs="Segoe UI"/>
                      <w:sz w:val="18"/>
                      <w:lang w:val="el-GR" w:eastAsia="el-GR" w:bidi="el-GR"/>
                    </w:rPr>
                    <w:t xml:space="preserve"> εκατ. από €</w:t>
                  </w:r>
                  <w:r>
                    <w:rPr>
                      <w:rFonts w:ascii="Segoe UI" w:hAnsi="Segoe UI" w:cs="Segoe UI"/>
                      <w:sz w:val="18"/>
                      <w:lang w:val="el-GR" w:eastAsia="el-GR" w:bidi="el-GR"/>
                    </w:rPr>
                    <w:t>3,528</w:t>
                  </w:r>
                  <w:r w:rsidRPr="00BF1B5B">
                    <w:rPr>
                      <w:rFonts w:ascii="Segoe UI" w:hAnsi="Segoe UI" w:cs="Segoe UI"/>
                      <w:sz w:val="18"/>
                      <w:lang w:val="el-GR" w:eastAsia="el-GR" w:bidi="el-GR"/>
                    </w:rPr>
                    <w:t xml:space="preserve"> εκατ. το </w:t>
                  </w:r>
                  <w:r>
                    <w:rPr>
                      <w:rFonts w:ascii="Segoe UI" w:hAnsi="Segoe UI" w:cs="Segoe UI"/>
                      <w:sz w:val="18"/>
                      <w:lang w:val="el-GR" w:eastAsia="el-GR" w:bidi="el-GR"/>
                    </w:rPr>
                    <w:t xml:space="preserve">2015 </w:t>
                  </w:r>
                </w:p>
                <w:p w:rsidR="002E354B" w:rsidRPr="006D79FD" w:rsidRDefault="002E354B" w:rsidP="00D53FEB">
                  <w:pPr>
                    <w:spacing w:before="120" w:after="0" w:line="240" w:lineRule="auto"/>
                    <w:ind w:left="786"/>
                    <w:rPr>
                      <w:rFonts w:ascii="Segoe UI" w:hAnsi="Segoe UI" w:cs="Segoe UI"/>
                      <w:sz w:val="18"/>
                      <w:szCs w:val="15"/>
                      <w:lang w:val="el-GR"/>
                    </w:rPr>
                  </w:pPr>
                </w:p>
                <w:p w:rsidR="002E354B" w:rsidRPr="00E46E0F" w:rsidRDefault="002E354B" w:rsidP="00DA35BD">
                  <w:pPr>
                    <w:numPr>
                      <w:ilvl w:val="0"/>
                      <w:numId w:val="12"/>
                    </w:numPr>
                    <w:spacing w:before="120" w:after="0"/>
                    <w:rPr>
                      <w:rFonts w:ascii="Segoe UI" w:hAnsi="Segoe UI" w:cs="Segoe UI"/>
                      <w:b/>
                      <w:sz w:val="18"/>
                      <w:szCs w:val="15"/>
                      <w:lang w:val="el-GR"/>
                    </w:rPr>
                  </w:pPr>
                  <w:r>
                    <w:rPr>
                      <w:rFonts w:ascii="Segoe UI" w:hAnsi="Segoe UI" w:cs="Segoe UI"/>
                      <w:b/>
                      <w:sz w:val="18"/>
                      <w:szCs w:val="15"/>
                      <w:lang w:val="el-GR"/>
                    </w:rPr>
                    <w:t xml:space="preserve">Χρηματοδότηση από </w:t>
                  </w:r>
                  <w:r w:rsidRPr="00E46E0F">
                    <w:rPr>
                      <w:rFonts w:ascii="Segoe UI" w:hAnsi="Segoe UI" w:cs="Segoe UI"/>
                      <w:b/>
                      <w:sz w:val="18"/>
                      <w:szCs w:val="15"/>
                      <w:lang w:val="el-GR"/>
                    </w:rPr>
                    <w:t xml:space="preserve">το μηχανισμό ELA </w:t>
                  </w:r>
                  <w:r>
                    <w:rPr>
                      <w:rFonts w:ascii="Segoe UI" w:hAnsi="Segoe UI" w:cs="Segoe UI"/>
                      <w:b/>
                      <w:sz w:val="18"/>
                      <w:szCs w:val="15"/>
                      <w:lang w:val="el-GR"/>
                    </w:rPr>
                    <w:t>στα χαμηλότερα επίπεδα του κλάδου</w:t>
                  </w:r>
                  <w:r w:rsidRPr="00D53FEB">
                    <w:rPr>
                      <w:rFonts w:ascii="Segoe UI" w:hAnsi="Segoe UI" w:cs="Segoe UI"/>
                      <w:b/>
                      <w:sz w:val="18"/>
                      <w:szCs w:val="15"/>
                      <w:vertAlign w:val="superscript"/>
                      <w:lang w:val="el-GR"/>
                    </w:rPr>
                    <w:t>1</w:t>
                  </w:r>
                  <w:r>
                    <w:rPr>
                      <w:rFonts w:ascii="Segoe UI" w:hAnsi="Segoe UI" w:cs="Segoe UI"/>
                      <w:b/>
                      <w:sz w:val="18"/>
                      <w:szCs w:val="15"/>
                      <w:lang w:val="el-GR"/>
                    </w:rPr>
                    <w:t>. Δε</w:t>
                  </w:r>
                  <w:r w:rsidRPr="00DA35BD">
                    <w:rPr>
                      <w:rFonts w:ascii="Segoe UI" w:hAnsi="Segoe UI" w:cs="Segoe UI"/>
                      <w:b/>
                      <w:sz w:val="18"/>
                      <w:szCs w:val="15"/>
                      <w:lang w:val="el-GR"/>
                    </w:rPr>
                    <w:t xml:space="preserve">ίκτης Δανείων προς Καταθέσεις </w:t>
                  </w:r>
                  <w:r>
                    <w:rPr>
                      <w:rFonts w:ascii="Segoe UI" w:hAnsi="Segoe UI" w:cs="Segoe UI"/>
                      <w:b/>
                      <w:sz w:val="18"/>
                      <w:szCs w:val="15"/>
                      <w:lang w:val="el-GR"/>
                    </w:rPr>
                    <w:t xml:space="preserve">στο </w:t>
                  </w:r>
                  <w:r w:rsidRPr="00DA35BD">
                    <w:rPr>
                      <w:rFonts w:ascii="Segoe UI" w:hAnsi="Segoe UI" w:cs="Segoe UI"/>
                      <w:b/>
                      <w:sz w:val="18"/>
                      <w:szCs w:val="15"/>
                      <w:lang w:val="el-GR"/>
                    </w:rPr>
                    <w:t>8</w:t>
                  </w:r>
                  <w:r>
                    <w:rPr>
                      <w:rFonts w:ascii="Segoe UI" w:hAnsi="Segoe UI" w:cs="Segoe UI"/>
                      <w:b/>
                      <w:sz w:val="18"/>
                      <w:szCs w:val="15"/>
                      <w:lang w:val="el-GR"/>
                    </w:rPr>
                    <w:t>6% στην Ελλάδα, ο χαμηλότερος του κλάδου</w:t>
                  </w:r>
                  <w:r w:rsidRPr="00D53FEB">
                    <w:rPr>
                      <w:rFonts w:ascii="Segoe UI" w:hAnsi="Segoe UI" w:cs="Segoe UI"/>
                      <w:b/>
                      <w:sz w:val="18"/>
                      <w:szCs w:val="15"/>
                      <w:vertAlign w:val="superscript"/>
                      <w:lang w:val="el-GR"/>
                    </w:rPr>
                    <w:t>1</w:t>
                  </w:r>
                </w:p>
                <w:p w:rsidR="002E354B" w:rsidRPr="00D53FEB" w:rsidRDefault="002E354B" w:rsidP="00BC111F">
                  <w:pPr>
                    <w:numPr>
                      <w:ilvl w:val="0"/>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Η χρηματοδότηση μέσω</w:t>
                  </w:r>
                  <w:r w:rsidRPr="00E46E0F">
                    <w:rPr>
                      <w:rFonts w:ascii="Segoe UI" w:hAnsi="Segoe UI" w:cs="Segoe UI"/>
                      <w:sz w:val="18"/>
                      <w:szCs w:val="15"/>
                      <w:lang w:val="el-GR"/>
                    </w:rPr>
                    <w:t xml:space="preserve"> ΕLA</w:t>
                  </w:r>
                  <w:r>
                    <w:rPr>
                      <w:rFonts w:ascii="Segoe UI" w:hAnsi="Segoe UI" w:cs="Segoe UI"/>
                      <w:sz w:val="18"/>
                      <w:szCs w:val="15"/>
                      <w:lang w:val="el-GR"/>
                    </w:rPr>
                    <w:t xml:space="preserve"> έχει μειωθεί </w:t>
                  </w:r>
                  <w:r w:rsidRPr="00E46E0F">
                    <w:rPr>
                      <w:rFonts w:ascii="Segoe UI" w:hAnsi="Segoe UI" w:cs="Segoe UI"/>
                      <w:sz w:val="18"/>
                      <w:szCs w:val="15"/>
                      <w:lang w:val="el-GR"/>
                    </w:rPr>
                    <w:t>κατά €</w:t>
                  </w:r>
                  <w:r>
                    <w:rPr>
                      <w:rFonts w:ascii="Segoe UI" w:hAnsi="Segoe UI" w:cs="Segoe UI"/>
                      <w:sz w:val="18"/>
                      <w:szCs w:val="15"/>
                      <w:lang w:val="el-GR"/>
                    </w:rPr>
                    <w:t>11,8</w:t>
                  </w:r>
                  <w:r w:rsidRPr="00E46E0F">
                    <w:rPr>
                      <w:rFonts w:ascii="Segoe UI" w:hAnsi="Segoe UI" w:cs="Segoe UI"/>
                      <w:sz w:val="18"/>
                      <w:szCs w:val="15"/>
                      <w:lang w:val="el-GR"/>
                    </w:rPr>
                    <w:t xml:space="preserve"> δισ. </w:t>
                  </w:r>
                  <w:r>
                    <w:rPr>
                      <w:rFonts w:ascii="Segoe UI" w:hAnsi="Segoe UI" w:cs="Segoe UI"/>
                      <w:sz w:val="18"/>
                      <w:szCs w:val="15"/>
                      <w:lang w:val="el-GR"/>
                    </w:rPr>
                    <w:t xml:space="preserve">από την επιβολή περιορισμών στην κίνηση κεφαλαίων έως σήμερα, ανερχόμενη σε μόλις </w:t>
                  </w:r>
                  <w:r w:rsidRPr="00E46E0F">
                    <w:rPr>
                      <w:rFonts w:ascii="Segoe UI" w:hAnsi="Segoe UI" w:cs="Segoe UI"/>
                      <w:sz w:val="18"/>
                      <w:szCs w:val="15"/>
                      <w:lang w:val="el-GR"/>
                    </w:rPr>
                    <w:t>€</w:t>
                  </w:r>
                  <w:r>
                    <w:rPr>
                      <w:rFonts w:ascii="Segoe UI" w:hAnsi="Segoe UI" w:cs="Segoe UI"/>
                      <w:sz w:val="18"/>
                      <w:szCs w:val="15"/>
                      <w:lang w:val="el-GR"/>
                    </w:rPr>
                    <w:t>5,8</w:t>
                  </w:r>
                  <w:r w:rsidRPr="00E46E0F">
                    <w:rPr>
                      <w:rFonts w:ascii="Segoe UI" w:hAnsi="Segoe UI" w:cs="Segoe UI"/>
                      <w:sz w:val="18"/>
                      <w:szCs w:val="15"/>
                      <w:lang w:val="el-GR"/>
                    </w:rPr>
                    <w:t xml:space="preserve"> δι</w:t>
                  </w:r>
                  <w:r>
                    <w:rPr>
                      <w:rFonts w:ascii="Segoe UI" w:hAnsi="Segoe UI" w:cs="Segoe UI"/>
                      <w:sz w:val="18"/>
                      <w:szCs w:val="15"/>
                      <w:lang w:val="el-GR"/>
                    </w:rPr>
                    <w:t>ς</w:t>
                  </w:r>
                  <w:r>
                    <w:rPr>
                      <w:rFonts w:ascii="Segoe UI" w:hAnsi="Segoe UI" w:cs="Segoe UI"/>
                      <w:sz w:val="18"/>
                      <w:szCs w:val="15"/>
                      <w:vertAlign w:val="superscript"/>
                      <w:lang w:val="el-GR"/>
                    </w:rPr>
                    <w:t>2</w:t>
                  </w:r>
                  <w:r w:rsidRPr="00E46E0F">
                    <w:rPr>
                      <w:rFonts w:ascii="Segoe UI" w:hAnsi="Segoe UI" w:cs="Segoe UI"/>
                      <w:sz w:val="18"/>
                      <w:szCs w:val="15"/>
                      <w:lang w:val="el-GR"/>
                    </w:rPr>
                    <w:t>.</w:t>
                  </w:r>
                  <w:r>
                    <w:rPr>
                      <w:rFonts w:ascii="Segoe UI" w:hAnsi="Segoe UI" w:cs="Segoe UI"/>
                      <w:sz w:val="18"/>
                      <w:szCs w:val="15"/>
                      <w:lang w:val="el-GR"/>
                    </w:rPr>
                    <w:t xml:space="preserve"> Η ΕΤΕ παραμένει η τράπεζα με τη</w:t>
                  </w:r>
                  <w:r w:rsidRPr="004E47B2">
                    <w:rPr>
                      <w:rFonts w:ascii="Segoe UI" w:hAnsi="Segoe UI" w:cs="Segoe UI"/>
                      <w:sz w:val="18"/>
                      <w:szCs w:val="15"/>
                      <w:lang w:val="el-GR"/>
                    </w:rPr>
                    <w:t xml:space="preserve"> χαμηλότερη εξάρτηση από τον έκτακτο μηχανισμό ELA στην Ελλάδα</w:t>
                  </w:r>
                  <w:r>
                    <w:rPr>
                      <w:rFonts w:ascii="Segoe UI" w:hAnsi="Segoe UI" w:cs="Segoe UI"/>
                      <w:sz w:val="18"/>
                      <w:szCs w:val="15"/>
                      <w:vertAlign w:val="superscript"/>
                      <w:lang w:val="el-GR"/>
                    </w:rPr>
                    <w:t>1</w:t>
                  </w:r>
                  <w:r w:rsidRPr="00D53FEB">
                    <w:rPr>
                      <w:rFonts w:ascii="Segoe UI" w:hAnsi="Segoe UI" w:cs="Segoe UI"/>
                      <w:sz w:val="18"/>
                      <w:szCs w:val="15"/>
                      <w:lang w:val="el-GR"/>
                    </w:rPr>
                    <w:t xml:space="preserve">. Η χρηματοδότηση από το </w:t>
                  </w:r>
                  <w:proofErr w:type="spellStart"/>
                  <w:r w:rsidRPr="00D53FEB">
                    <w:rPr>
                      <w:rFonts w:ascii="Segoe UI" w:hAnsi="Segoe UI" w:cs="Segoe UI"/>
                      <w:sz w:val="18"/>
                      <w:szCs w:val="15"/>
                      <w:lang w:val="el-GR"/>
                    </w:rPr>
                    <w:t>Ευρωσύστημα</w:t>
                  </w:r>
                  <w:proofErr w:type="spellEnd"/>
                  <w:r w:rsidRPr="00D53FEB">
                    <w:rPr>
                      <w:rFonts w:ascii="Segoe UI" w:hAnsi="Segoe UI" w:cs="Segoe UI"/>
                      <w:sz w:val="18"/>
                      <w:szCs w:val="15"/>
                      <w:lang w:val="el-GR"/>
                    </w:rPr>
                    <w:t xml:space="preserve"> </w:t>
                  </w:r>
                  <w:r>
                    <w:rPr>
                      <w:rFonts w:ascii="Segoe UI" w:hAnsi="Segoe UI" w:cs="Segoe UI"/>
                      <w:sz w:val="18"/>
                      <w:szCs w:val="15"/>
                      <w:lang w:val="el-GR"/>
                    </w:rPr>
                    <w:t xml:space="preserve">διαμορφώθηκε σε €10,4 δισ. το Μάρτιο </w:t>
                  </w:r>
                  <w:r w:rsidR="008046D7">
                    <w:rPr>
                      <w:rFonts w:ascii="Segoe UI" w:hAnsi="Segoe UI" w:cs="Segoe UI"/>
                      <w:sz w:val="18"/>
                      <w:szCs w:val="15"/>
                      <w:lang w:val="el-GR"/>
                    </w:rPr>
                    <w:t xml:space="preserve">του 2017 </w:t>
                  </w:r>
                  <w:r>
                    <w:rPr>
                      <w:rFonts w:ascii="Segoe UI" w:hAnsi="Segoe UI" w:cs="Segoe UI"/>
                      <w:sz w:val="18"/>
                      <w:szCs w:val="15"/>
                      <w:lang w:val="el-GR"/>
                    </w:rPr>
                    <w:t>από €24,0 δισ. το τέλος του Δ’ Τριμήνου 2015</w:t>
                  </w:r>
                </w:p>
                <w:p w:rsidR="002E354B" w:rsidRPr="00BC111F" w:rsidRDefault="002E354B" w:rsidP="00D66C48">
                  <w:pPr>
                    <w:numPr>
                      <w:ilvl w:val="0"/>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Ο δ</w:t>
                  </w:r>
                  <w:r w:rsidRPr="00D66C48">
                    <w:rPr>
                      <w:rFonts w:ascii="Segoe UI" w:hAnsi="Segoe UI" w:cs="Segoe UI"/>
                      <w:sz w:val="18"/>
                      <w:szCs w:val="15"/>
                      <w:lang w:val="el-GR"/>
                    </w:rPr>
                    <w:t xml:space="preserve">είκτης Δανείων προς Καταθέσεις </w:t>
                  </w:r>
                  <w:r>
                    <w:rPr>
                      <w:rFonts w:ascii="Segoe UI" w:hAnsi="Segoe UI" w:cs="Segoe UI"/>
                      <w:sz w:val="18"/>
                      <w:szCs w:val="15"/>
                      <w:lang w:val="el-GR"/>
                    </w:rPr>
                    <w:t>μειώθηκε περαιτέρω σε</w:t>
                  </w:r>
                  <w:r w:rsidRPr="00D66C48">
                    <w:rPr>
                      <w:rFonts w:ascii="Segoe UI" w:hAnsi="Segoe UI" w:cs="Segoe UI"/>
                      <w:sz w:val="18"/>
                      <w:szCs w:val="15"/>
                      <w:lang w:val="el-GR"/>
                    </w:rPr>
                    <w:t xml:space="preserve"> 86% στην Ελλάδα</w:t>
                  </w:r>
                  <w:r>
                    <w:rPr>
                      <w:rFonts w:ascii="Segoe UI" w:hAnsi="Segoe UI" w:cs="Segoe UI"/>
                      <w:sz w:val="18"/>
                      <w:szCs w:val="15"/>
                      <w:lang w:val="el-GR"/>
                    </w:rPr>
                    <w:t>, αντανακλώντας την αύξηση στις εγχώριες κ</w:t>
                  </w:r>
                  <w:r w:rsidRPr="00BC111F">
                    <w:rPr>
                      <w:rFonts w:ascii="Segoe UI" w:hAnsi="Segoe UI" w:cs="Segoe UI"/>
                      <w:sz w:val="18"/>
                      <w:szCs w:val="15"/>
                      <w:lang w:val="el-GR"/>
                    </w:rPr>
                    <w:t>αταθέσ</w:t>
                  </w:r>
                  <w:r>
                    <w:rPr>
                      <w:rFonts w:ascii="Segoe UI" w:hAnsi="Segoe UI" w:cs="Segoe UI"/>
                      <w:sz w:val="18"/>
                      <w:szCs w:val="15"/>
                      <w:lang w:val="el-GR"/>
                    </w:rPr>
                    <w:t xml:space="preserve">εις κατά €0,9 δισ. </w:t>
                  </w:r>
                  <w:r w:rsidRPr="00BC111F">
                    <w:rPr>
                      <w:rFonts w:ascii="Segoe UI" w:hAnsi="Segoe UI" w:cs="Segoe UI"/>
                      <w:sz w:val="18"/>
                      <w:szCs w:val="15"/>
                      <w:lang w:val="el-GR"/>
                    </w:rPr>
                    <w:t xml:space="preserve">σε </w:t>
                  </w:r>
                  <w:r>
                    <w:rPr>
                      <w:rFonts w:ascii="Segoe UI" w:hAnsi="Segoe UI" w:cs="Segoe UI"/>
                      <w:sz w:val="18"/>
                      <w:szCs w:val="15"/>
                      <w:lang w:val="el-GR"/>
                    </w:rPr>
                    <w:t xml:space="preserve">τριμηνιαία βάση </w:t>
                  </w:r>
                  <w:r w:rsidRPr="00BC111F">
                    <w:rPr>
                      <w:rFonts w:ascii="Segoe UI" w:hAnsi="Segoe UI" w:cs="Segoe UI"/>
                      <w:sz w:val="18"/>
                      <w:szCs w:val="15"/>
                      <w:lang w:val="el-GR"/>
                    </w:rPr>
                    <w:t xml:space="preserve">το </w:t>
                  </w:r>
                  <w:r>
                    <w:rPr>
                      <w:rFonts w:ascii="Segoe UI" w:hAnsi="Segoe UI" w:cs="Segoe UI"/>
                      <w:sz w:val="18"/>
                      <w:szCs w:val="15"/>
                      <w:lang w:val="el-GR"/>
                    </w:rPr>
                    <w:t>Δ</w:t>
                  </w:r>
                  <w:r w:rsidRPr="00BC111F">
                    <w:rPr>
                      <w:rFonts w:ascii="Segoe UI" w:hAnsi="Segoe UI" w:cs="Segoe UI"/>
                      <w:sz w:val="18"/>
                      <w:szCs w:val="15"/>
                      <w:lang w:val="el-GR"/>
                    </w:rPr>
                    <w:t>’ τρίμηνο του 2016</w:t>
                  </w:r>
                  <w:r>
                    <w:rPr>
                      <w:rFonts w:ascii="Segoe UI" w:hAnsi="Segoe UI" w:cs="Segoe UI"/>
                      <w:sz w:val="18"/>
                      <w:szCs w:val="15"/>
                      <w:lang w:val="el-GR"/>
                    </w:rPr>
                    <w:t xml:space="preserve">, κυρίως λόγω εποχικότητας </w:t>
                  </w:r>
                </w:p>
                <w:p w:rsidR="002E354B" w:rsidRDefault="002E354B" w:rsidP="00BC111F">
                  <w:pPr>
                    <w:spacing w:before="120" w:after="0" w:line="240" w:lineRule="auto"/>
                    <w:ind w:left="360"/>
                    <w:rPr>
                      <w:rFonts w:ascii="Segoe UI" w:hAnsi="Segoe UI" w:cs="Segoe UI"/>
                      <w:b/>
                      <w:sz w:val="18"/>
                      <w:szCs w:val="15"/>
                      <w:lang w:val="el-GR"/>
                    </w:rPr>
                  </w:pPr>
                </w:p>
                <w:p w:rsidR="002E354B" w:rsidRPr="00E46E0F" w:rsidRDefault="002E354B" w:rsidP="00E33DCE">
                  <w:pPr>
                    <w:numPr>
                      <w:ilvl w:val="0"/>
                      <w:numId w:val="10"/>
                    </w:numPr>
                    <w:spacing w:before="120" w:after="0" w:line="240" w:lineRule="auto"/>
                    <w:rPr>
                      <w:rFonts w:ascii="Segoe UI" w:hAnsi="Segoe UI" w:cs="Segoe UI"/>
                      <w:b/>
                      <w:sz w:val="18"/>
                      <w:szCs w:val="15"/>
                      <w:lang w:val="el-GR"/>
                    </w:rPr>
                  </w:pPr>
                  <w:r w:rsidRPr="00E46E0F">
                    <w:rPr>
                      <w:rFonts w:ascii="Segoe UI" w:hAnsi="Segoe UI" w:cs="Segoe UI"/>
                      <w:b/>
                      <w:sz w:val="18"/>
                      <w:szCs w:val="15"/>
                      <w:lang w:val="el-GR"/>
                    </w:rPr>
                    <w:t>Δείκτης CET 1 στο 16,</w:t>
                  </w:r>
                  <w:r>
                    <w:rPr>
                      <w:rFonts w:ascii="Segoe UI" w:hAnsi="Segoe UI" w:cs="Segoe UI"/>
                      <w:b/>
                      <w:sz w:val="18"/>
                      <w:szCs w:val="15"/>
                      <w:lang w:val="el-GR"/>
                    </w:rPr>
                    <w:t>3</w:t>
                  </w:r>
                  <w:r w:rsidRPr="00E46E0F">
                    <w:rPr>
                      <w:rFonts w:ascii="Segoe UI" w:hAnsi="Segoe UI" w:cs="Segoe UI"/>
                      <w:b/>
                      <w:sz w:val="18"/>
                      <w:szCs w:val="15"/>
                      <w:lang w:val="el-GR"/>
                    </w:rPr>
                    <w:t>%</w:t>
                  </w:r>
                  <w:r>
                    <w:rPr>
                      <w:rFonts w:ascii="Segoe UI" w:hAnsi="Segoe UI" w:cs="Segoe UI"/>
                      <w:b/>
                      <w:sz w:val="18"/>
                      <w:szCs w:val="15"/>
                      <w:vertAlign w:val="superscript"/>
                      <w:lang w:val="el-GR"/>
                    </w:rPr>
                    <w:t>3</w:t>
                  </w:r>
                  <w:r w:rsidRPr="00E46E0F">
                    <w:rPr>
                      <w:rFonts w:ascii="Segoe UI" w:hAnsi="Segoe UI" w:cs="Segoe UI"/>
                      <w:b/>
                      <w:sz w:val="18"/>
                      <w:szCs w:val="15"/>
                      <w:lang w:val="el-GR"/>
                    </w:rPr>
                    <w:t xml:space="preserve"> </w:t>
                  </w:r>
                </w:p>
                <w:p w:rsidR="002E354B" w:rsidRDefault="002E354B" w:rsidP="003368F5">
                  <w:pPr>
                    <w:numPr>
                      <w:ilvl w:val="1"/>
                      <w:numId w:val="2"/>
                    </w:numPr>
                    <w:spacing w:before="120" w:after="0" w:line="240" w:lineRule="auto"/>
                    <w:rPr>
                      <w:rFonts w:ascii="Segoe UI" w:hAnsi="Segoe UI" w:cs="Segoe UI"/>
                      <w:sz w:val="18"/>
                      <w:szCs w:val="15"/>
                      <w:lang w:val="el-GR"/>
                    </w:rPr>
                  </w:pPr>
                  <w:r w:rsidRPr="006D79FD">
                    <w:rPr>
                      <w:rFonts w:ascii="Segoe UI" w:hAnsi="Segoe UI" w:cs="Segoe UI"/>
                      <w:sz w:val="18"/>
                      <w:szCs w:val="15"/>
                      <w:lang w:val="el-GR"/>
                    </w:rPr>
                    <w:t>Ο δείκτης CET 1 ανέρχεται σε 16,</w:t>
                  </w:r>
                  <w:r>
                    <w:rPr>
                      <w:rFonts w:ascii="Segoe UI" w:hAnsi="Segoe UI" w:cs="Segoe UI"/>
                      <w:sz w:val="18"/>
                      <w:szCs w:val="15"/>
                      <w:lang w:val="el-GR"/>
                    </w:rPr>
                    <w:t>3</w:t>
                  </w:r>
                  <w:r w:rsidRPr="006D79FD">
                    <w:rPr>
                      <w:rFonts w:ascii="Segoe UI" w:hAnsi="Segoe UI" w:cs="Segoe UI"/>
                      <w:sz w:val="18"/>
                      <w:szCs w:val="15"/>
                      <w:lang w:val="el-GR"/>
                    </w:rPr>
                    <w:t>%</w:t>
                  </w:r>
                  <w:r>
                    <w:rPr>
                      <w:rFonts w:ascii="Segoe UI" w:hAnsi="Segoe UI" w:cs="Segoe UI"/>
                      <w:sz w:val="18"/>
                      <w:szCs w:val="15"/>
                      <w:lang w:val="el-GR"/>
                    </w:rPr>
                    <w:t xml:space="preserve"> και σε</w:t>
                  </w:r>
                  <w:r w:rsidRPr="00C241AA">
                    <w:rPr>
                      <w:rFonts w:ascii="Segoe UI" w:hAnsi="Segoe UI" w:cs="Segoe UI"/>
                      <w:sz w:val="18"/>
                      <w:szCs w:val="15"/>
                      <w:lang w:val="el-GR"/>
                    </w:rPr>
                    <w:t xml:space="preserve"> </w:t>
                  </w:r>
                  <w:r>
                    <w:rPr>
                      <w:rFonts w:ascii="Segoe UI" w:hAnsi="Segoe UI" w:cs="Segoe UI"/>
                      <w:sz w:val="18"/>
                      <w:szCs w:val="15"/>
                      <w:lang w:val="el-GR"/>
                    </w:rPr>
                    <w:t>15,8</w:t>
                  </w:r>
                  <w:r w:rsidRPr="006D79FD">
                    <w:rPr>
                      <w:rFonts w:ascii="Segoe UI" w:hAnsi="Segoe UI" w:cs="Segoe UI"/>
                      <w:sz w:val="18"/>
                      <w:szCs w:val="15"/>
                      <w:lang w:val="el-GR"/>
                    </w:rPr>
                    <w:t>%</w:t>
                  </w:r>
                  <w:r>
                    <w:rPr>
                      <w:rFonts w:ascii="Segoe UI" w:hAnsi="Segoe UI" w:cs="Segoe UI"/>
                      <w:sz w:val="18"/>
                      <w:szCs w:val="15"/>
                      <w:lang w:val="el-GR"/>
                    </w:rPr>
                    <w:t xml:space="preserve"> μ</w:t>
                  </w:r>
                  <w:r w:rsidRPr="006D79FD">
                    <w:rPr>
                      <w:rFonts w:ascii="Segoe UI" w:hAnsi="Segoe UI" w:cs="Segoe UI"/>
                      <w:sz w:val="18"/>
                      <w:szCs w:val="15"/>
                      <w:lang w:val="el-GR"/>
                    </w:rPr>
                    <w:t>ε πλήρη εφαρμογή της Βασιλείας ΙΙΙ</w:t>
                  </w:r>
                </w:p>
                <w:p w:rsidR="002E354B" w:rsidRPr="003368F5" w:rsidRDefault="002E354B" w:rsidP="003368F5">
                  <w:pPr>
                    <w:numPr>
                      <w:ilvl w:val="1"/>
                      <w:numId w:val="2"/>
                    </w:numPr>
                    <w:spacing w:before="120" w:after="0" w:line="240" w:lineRule="auto"/>
                    <w:rPr>
                      <w:rFonts w:ascii="Segoe UI" w:hAnsi="Segoe UI" w:cs="Segoe UI"/>
                      <w:sz w:val="18"/>
                      <w:szCs w:val="15"/>
                      <w:lang w:val="el-GR"/>
                    </w:rPr>
                  </w:pPr>
                  <w:r w:rsidRPr="003368F5">
                    <w:rPr>
                      <w:rFonts w:ascii="Segoe UI" w:hAnsi="Segoe UI" w:cs="Segoe UI"/>
                      <w:sz w:val="18"/>
                      <w:szCs w:val="15"/>
                      <w:lang w:val="el-GR"/>
                    </w:rPr>
                    <w:t xml:space="preserve">Τα κεφάλαια της ΕΤΕ θα ενισχυθούν περαιτέρω από την πλήρη εφαρμογή του σχεδίου </w:t>
                  </w:r>
                  <w:r>
                    <w:rPr>
                      <w:rFonts w:ascii="Segoe UI" w:hAnsi="Segoe UI" w:cs="Segoe UI"/>
                      <w:sz w:val="18"/>
                      <w:szCs w:val="15"/>
                      <w:lang w:val="el-GR"/>
                    </w:rPr>
                    <w:t>αναδιάρθρωσης</w:t>
                  </w:r>
                  <w:r w:rsidRPr="003368F5">
                    <w:rPr>
                      <w:rFonts w:ascii="Segoe UI" w:hAnsi="Segoe UI" w:cs="Segoe UI"/>
                      <w:sz w:val="18"/>
                      <w:szCs w:val="15"/>
                      <w:lang w:val="el-GR"/>
                    </w:rPr>
                    <w:t xml:space="preserve"> της Τράπεζας </w:t>
                  </w:r>
                </w:p>
                <w:p w:rsidR="002E354B" w:rsidRDefault="002E354B" w:rsidP="00BF459E">
                  <w:pPr>
                    <w:spacing w:after="0" w:line="240" w:lineRule="auto"/>
                    <w:ind w:left="360"/>
                    <w:jc w:val="right"/>
                    <w:rPr>
                      <w:rFonts w:ascii="Segoe UI" w:hAnsi="Segoe UI" w:cs="Segoe UI"/>
                      <w:sz w:val="16"/>
                      <w:szCs w:val="12"/>
                      <w:lang w:val="el-GR"/>
                    </w:rPr>
                  </w:pPr>
                </w:p>
                <w:p w:rsidR="002E354B" w:rsidRDefault="002E354B" w:rsidP="00BF459E">
                  <w:pPr>
                    <w:spacing w:after="0" w:line="240" w:lineRule="auto"/>
                    <w:ind w:left="360"/>
                    <w:jc w:val="right"/>
                    <w:rPr>
                      <w:rFonts w:ascii="Segoe UI" w:hAnsi="Segoe UI" w:cs="Segoe UI"/>
                      <w:sz w:val="16"/>
                      <w:szCs w:val="12"/>
                      <w:lang w:val="el-GR"/>
                    </w:rPr>
                  </w:pPr>
                </w:p>
                <w:p w:rsidR="002E354B" w:rsidRDefault="002E354B" w:rsidP="00BF459E">
                  <w:pPr>
                    <w:spacing w:after="0" w:line="240" w:lineRule="auto"/>
                    <w:ind w:left="360"/>
                    <w:jc w:val="right"/>
                    <w:rPr>
                      <w:rFonts w:ascii="Segoe UI" w:hAnsi="Segoe UI" w:cs="Segoe UI"/>
                      <w:sz w:val="16"/>
                      <w:szCs w:val="12"/>
                      <w:lang w:val="el-GR"/>
                    </w:rPr>
                  </w:pPr>
                </w:p>
                <w:p w:rsidR="002E354B" w:rsidRDefault="002E354B" w:rsidP="00BF459E">
                  <w:pPr>
                    <w:spacing w:after="0" w:line="240" w:lineRule="auto"/>
                    <w:ind w:left="360"/>
                    <w:jc w:val="right"/>
                    <w:rPr>
                      <w:rFonts w:ascii="Segoe UI" w:hAnsi="Segoe UI" w:cs="Segoe UI"/>
                      <w:sz w:val="16"/>
                      <w:szCs w:val="12"/>
                      <w:lang w:val="el-GR"/>
                    </w:rPr>
                  </w:pPr>
                </w:p>
                <w:p w:rsidR="002E354B" w:rsidRDefault="002E354B" w:rsidP="00BF459E">
                  <w:pPr>
                    <w:spacing w:after="0" w:line="240" w:lineRule="auto"/>
                    <w:ind w:left="360"/>
                    <w:jc w:val="right"/>
                    <w:rPr>
                      <w:rFonts w:ascii="Segoe UI" w:hAnsi="Segoe UI" w:cs="Segoe UI"/>
                      <w:sz w:val="16"/>
                      <w:szCs w:val="12"/>
                      <w:lang w:val="el-GR"/>
                    </w:rPr>
                  </w:pPr>
                </w:p>
                <w:p w:rsidR="002E354B" w:rsidRDefault="002E354B" w:rsidP="00BF459E">
                  <w:pPr>
                    <w:spacing w:after="0" w:line="240" w:lineRule="auto"/>
                    <w:ind w:left="360"/>
                    <w:jc w:val="right"/>
                    <w:rPr>
                      <w:rFonts w:ascii="Segoe UI" w:hAnsi="Segoe UI" w:cs="Segoe UI"/>
                      <w:sz w:val="16"/>
                      <w:szCs w:val="12"/>
                      <w:lang w:val="el-GR"/>
                    </w:rPr>
                  </w:pPr>
                </w:p>
                <w:p w:rsidR="002E354B" w:rsidRDefault="002E354B" w:rsidP="00BF459E">
                  <w:pPr>
                    <w:spacing w:after="0" w:line="240" w:lineRule="auto"/>
                    <w:ind w:left="360"/>
                    <w:jc w:val="right"/>
                    <w:rPr>
                      <w:rFonts w:ascii="Segoe UI" w:hAnsi="Segoe UI" w:cs="Segoe UI"/>
                      <w:sz w:val="16"/>
                      <w:szCs w:val="12"/>
                      <w:lang w:val="el-GR"/>
                    </w:rPr>
                  </w:pPr>
                </w:p>
                <w:p w:rsidR="002E354B" w:rsidRDefault="002E354B" w:rsidP="00BF459E">
                  <w:pPr>
                    <w:spacing w:after="0" w:line="240" w:lineRule="auto"/>
                    <w:ind w:left="360"/>
                    <w:jc w:val="right"/>
                    <w:rPr>
                      <w:rFonts w:ascii="Segoe UI" w:hAnsi="Segoe UI" w:cs="Segoe UI"/>
                      <w:sz w:val="16"/>
                      <w:szCs w:val="12"/>
                      <w:lang w:val="el-GR"/>
                    </w:rPr>
                  </w:pPr>
                </w:p>
                <w:p w:rsidR="002E354B" w:rsidRDefault="002E354B" w:rsidP="00BF459E">
                  <w:pPr>
                    <w:spacing w:after="0" w:line="240" w:lineRule="auto"/>
                    <w:ind w:left="360"/>
                    <w:jc w:val="right"/>
                    <w:rPr>
                      <w:rFonts w:ascii="Segoe UI" w:hAnsi="Segoe UI" w:cs="Segoe UI"/>
                      <w:sz w:val="16"/>
                      <w:szCs w:val="12"/>
                      <w:lang w:val="el-GR"/>
                    </w:rPr>
                  </w:pPr>
                </w:p>
                <w:p w:rsidR="002E354B" w:rsidRDefault="002E354B" w:rsidP="00BF459E">
                  <w:pPr>
                    <w:spacing w:after="0" w:line="240" w:lineRule="auto"/>
                    <w:ind w:left="360"/>
                    <w:jc w:val="right"/>
                    <w:rPr>
                      <w:rFonts w:ascii="Segoe UI" w:hAnsi="Segoe UI" w:cs="Segoe UI"/>
                      <w:sz w:val="16"/>
                      <w:szCs w:val="12"/>
                      <w:lang w:val="el-GR"/>
                    </w:rPr>
                  </w:pPr>
                </w:p>
                <w:p w:rsidR="002E354B" w:rsidRDefault="002E354B" w:rsidP="00BF459E">
                  <w:pPr>
                    <w:spacing w:after="0" w:line="240" w:lineRule="auto"/>
                    <w:ind w:left="360"/>
                    <w:jc w:val="right"/>
                    <w:rPr>
                      <w:rFonts w:ascii="Segoe UI" w:hAnsi="Segoe UI" w:cs="Segoe UI"/>
                      <w:sz w:val="16"/>
                      <w:szCs w:val="12"/>
                      <w:lang w:val="el-GR"/>
                    </w:rPr>
                  </w:pPr>
                </w:p>
                <w:p w:rsidR="002E354B" w:rsidRDefault="002E354B" w:rsidP="00BF459E">
                  <w:pPr>
                    <w:spacing w:after="0" w:line="240" w:lineRule="auto"/>
                    <w:ind w:left="360"/>
                    <w:jc w:val="right"/>
                    <w:rPr>
                      <w:rFonts w:ascii="Segoe UI" w:hAnsi="Segoe UI" w:cs="Segoe UI"/>
                      <w:sz w:val="16"/>
                      <w:szCs w:val="12"/>
                      <w:lang w:val="el-GR"/>
                    </w:rPr>
                  </w:pPr>
                </w:p>
                <w:p w:rsidR="002E354B" w:rsidRDefault="002E354B" w:rsidP="00BF459E">
                  <w:pPr>
                    <w:spacing w:after="0" w:line="240" w:lineRule="auto"/>
                    <w:ind w:left="360"/>
                    <w:jc w:val="right"/>
                    <w:rPr>
                      <w:rFonts w:ascii="Segoe UI" w:hAnsi="Segoe UI" w:cs="Segoe UI"/>
                      <w:sz w:val="16"/>
                      <w:szCs w:val="12"/>
                      <w:lang w:val="el-GR"/>
                    </w:rPr>
                  </w:pPr>
                  <w:r w:rsidRPr="00EE1E78">
                    <w:rPr>
                      <w:rFonts w:ascii="Segoe UI" w:hAnsi="Segoe UI" w:cs="Segoe UI"/>
                      <w:sz w:val="16"/>
                      <w:szCs w:val="12"/>
                      <w:lang w:val="el-GR"/>
                    </w:rPr>
                    <w:t xml:space="preserve">Αθήνα, </w:t>
                  </w:r>
                  <w:r>
                    <w:rPr>
                      <w:rFonts w:ascii="Segoe UI" w:hAnsi="Segoe UI" w:cs="Segoe UI"/>
                      <w:sz w:val="16"/>
                      <w:szCs w:val="12"/>
                      <w:lang w:val="el-GR"/>
                    </w:rPr>
                    <w:t>30 Μαρτίου</w:t>
                  </w:r>
                  <w:r w:rsidRPr="00EE1E78">
                    <w:rPr>
                      <w:rFonts w:ascii="Segoe UI" w:hAnsi="Segoe UI" w:cs="Segoe UI"/>
                      <w:sz w:val="16"/>
                      <w:szCs w:val="12"/>
                      <w:lang w:val="el-GR"/>
                    </w:rPr>
                    <w:t xml:space="preserve"> 201</w:t>
                  </w:r>
                  <w:r>
                    <w:rPr>
                      <w:rFonts w:ascii="Segoe UI" w:hAnsi="Segoe UI" w:cs="Segoe UI"/>
                      <w:sz w:val="16"/>
                      <w:szCs w:val="12"/>
                      <w:lang w:val="el-GR"/>
                    </w:rPr>
                    <w:t>7</w:t>
                  </w:r>
                </w:p>
                <w:p w:rsidR="002E354B" w:rsidRPr="00EE1E78" w:rsidRDefault="002E354B" w:rsidP="00BF459E">
                  <w:pPr>
                    <w:spacing w:after="0" w:line="240" w:lineRule="auto"/>
                    <w:ind w:left="360"/>
                    <w:jc w:val="right"/>
                    <w:rPr>
                      <w:rFonts w:ascii="Segoe UI" w:hAnsi="Segoe UI" w:cs="Segoe UI"/>
                      <w:sz w:val="16"/>
                      <w:szCs w:val="12"/>
                      <w:lang w:val="el-GR"/>
                    </w:rPr>
                  </w:pPr>
                </w:p>
                <w:p w:rsidR="002E354B" w:rsidRDefault="002E354B" w:rsidP="00BF459E">
                  <w:pPr>
                    <w:tabs>
                      <w:tab w:val="left" w:pos="993"/>
                    </w:tabs>
                    <w:spacing w:after="0" w:line="240" w:lineRule="auto"/>
                    <w:rPr>
                      <w:rFonts w:ascii="Segoe UI" w:hAnsi="Segoe UI" w:cs="Segoe UI"/>
                      <w:sz w:val="8"/>
                      <w:szCs w:val="4"/>
                      <w:vertAlign w:val="superscript"/>
                      <w:lang w:val="el-GR"/>
                    </w:rPr>
                  </w:pPr>
                </w:p>
                <w:p w:rsidR="002E354B" w:rsidRPr="00EE1E78" w:rsidRDefault="002E354B" w:rsidP="00BF459E">
                  <w:pPr>
                    <w:tabs>
                      <w:tab w:val="left" w:pos="993"/>
                    </w:tabs>
                    <w:spacing w:after="0" w:line="240" w:lineRule="auto"/>
                    <w:rPr>
                      <w:rFonts w:ascii="Segoe UI" w:hAnsi="Segoe UI" w:cs="Segoe UI"/>
                      <w:sz w:val="8"/>
                      <w:szCs w:val="4"/>
                      <w:vertAlign w:val="superscript"/>
                      <w:lang w:val="el-GR"/>
                    </w:rPr>
                  </w:pPr>
                </w:p>
                <w:p w:rsidR="002E354B" w:rsidRPr="00BE3498" w:rsidRDefault="002E354B" w:rsidP="001523EE">
                  <w:pPr>
                    <w:spacing w:before="120" w:after="0" w:line="240" w:lineRule="auto"/>
                    <w:rPr>
                      <w:rFonts w:ascii="Segoe UI" w:hAnsi="Segoe UI" w:cs="Segoe UI"/>
                      <w:sz w:val="12"/>
                      <w:szCs w:val="14"/>
                      <w:lang w:val="el-GR"/>
                    </w:rPr>
                  </w:pPr>
                  <w:r w:rsidRPr="00BE3498">
                    <w:rPr>
                      <w:rFonts w:ascii="Segoe UI" w:hAnsi="Segoe UI" w:cs="Segoe UI"/>
                      <w:sz w:val="12"/>
                      <w:szCs w:val="14"/>
                      <w:vertAlign w:val="superscript"/>
                      <w:lang w:val="el-GR"/>
                    </w:rPr>
                    <w:t xml:space="preserve">1 </w:t>
                  </w:r>
                  <w:r w:rsidRPr="00BE3498">
                    <w:rPr>
                      <w:rFonts w:ascii="Segoe UI" w:hAnsi="Segoe UI" w:cs="Segoe UI"/>
                      <w:sz w:val="12"/>
                      <w:szCs w:val="14"/>
                      <w:lang w:val="el-GR"/>
                    </w:rPr>
                    <w:t xml:space="preserve">Η </w:t>
                  </w:r>
                  <w:r w:rsidRPr="00F67F17">
                    <w:rPr>
                      <w:rFonts w:ascii="Segoe UI" w:hAnsi="Segoe UI" w:cs="Segoe UI"/>
                      <w:sz w:val="12"/>
                      <w:szCs w:val="14"/>
                      <w:lang w:val="el-GR"/>
                    </w:rPr>
                    <w:t xml:space="preserve">σύγκριση με τις λοιπές εγχώριες </w:t>
                  </w:r>
                  <w:proofErr w:type="spellStart"/>
                  <w:r w:rsidRPr="00F67F17">
                    <w:rPr>
                      <w:rFonts w:ascii="Segoe UI" w:hAnsi="Segoe UI" w:cs="Segoe UI"/>
                      <w:sz w:val="12"/>
                      <w:szCs w:val="14"/>
                      <w:lang w:val="el-GR"/>
                    </w:rPr>
                    <w:t>συστημικές</w:t>
                  </w:r>
                  <w:proofErr w:type="spellEnd"/>
                  <w:r w:rsidRPr="00F67F17">
                    <w:rPr>
                      <w:rFonts w:ascii="Segoe UI" w:hAnsi="Segoe UI" w:cs="Segoe UI"/>
                      <w:sz w:val="12"/>
                      <w:szCs w:val="14"/>
                      <w:lang w:val="el-GR"/>
                    </w:rPr>
                    <w:t xml:space="preserve"> τράπεζες βασίζεται στα τελευταία διαθέσιμα στοιχεία</w:t>
                  </w:r>
                </w:p>
                <w:p w:rsidR="002E354B" w:rsidRPr="00BE3498" w:rsidRDefault="002E354B" w:rsidP="001523EE">
                  <w:pPr>
                    <w:spacing w:before="120" w:after="0" w:line="240" w:lineRule="auto"/>
                    <w:rPr>
                      <w:rFonts w:ascii="Segoe UI" w:hAnsi="Segoe UI" w:cs="Segoe UI"/>
                      <w:sz w:val="12"/>
                      <w:szCs w:val="14"/>
                      <w:lang w:val="el-GR"/>
                    </w:rPr>
                  </w:pPr>
                  <w:r w:rsidRPr="00BE3498">
                    <w:rPr>
                      <w:rFonts w:ascii="Segoe UI" w:hAnsi="Segoe UI" w:cs="Segoe UI"/>
                      <w:sz w:val="12"/>
                      <w:szCs w:val="14"/>
                      <w:vertAlign w:val="superscript"/>
                      <w:lang w:val="el-GR"/>
                    </w:rPr>
                    <w:t xml:space="preserve">2 </w:t>
                  </w:r>
                  <w:r w:rsidRPr="00BE3498">
                    <w:rPr>
                      <w:rFonts w:ascii="Segoe UI" w:hAnsi="Segoe UI" w:cs="Segoe UI"/>
                      <w:sz w:val="12"/>
                      <w:szCs w:val="14"/>
                      <w:lang w:val="el-GR"/>
                    </w:rPr>
                    <w:t xml:space="preserve">Στοιχεία με ημερομηνία </w:t>
                  </w:r>
                  <w:r>
                    <w:rPr>
                      <w:rFonts w:ascii="Segoe UI" w:hAnsi="Segoe UI" w:cs="Segoe UI"/>
                      <w:sz w:val="12"/>
                      <w:szCs w:val="14"/>
                      <w:lang w:val="el-GR"/>
                    </w:rPr>
                    <w:t>22 Μαρτίου</w:t>
                  </w:r>
                  <w:r w:rsidRPr="00BE3498">
                    <w:rPr>
                      <w:rFonts w:ascii="Segoe UI" w:hAnsi="Segoe UI" w:cs="Segoe UI"/>
                      <w:sz w:val="12"/>
                      <w:szCs w:val="14"/>
                      <w:lang w:val="el-GR"/>
                    </w:rPr>
                    <w:t>, 201</w:t>
                  </w:r>
                  <w:r>
                    <w:rPr>
                      <w:rFonts w:ascii="Segoe UI" w:hAnsi="Segoe UI" w:cs="Segoe UI"/>
                      <w:sz w:val="12"/>
                      <w:szCs w:val="14"/>
                      <w:lang w:val="el-GR"/>
                    </w:rPr>
                    <w:t>7</w:t>
                  </w:r>
                </w:p>
                <w:p w:rsidR="002E354B" w:rsidRPr="006B72CC" w:rsidRDefault="002E354B" w:rsidP="001523EE">
                  <w:pPr>
                    <w:spacing w:before="120" w:after="0" w:line="240" w:lineRule="auto"/>
                    <w:rPr>
                      <w:rFonts w:ascii="Segoe UI" w:hAnsi="Segoe UI" w:cs="Segoe UI"/>
                      <w:sz w:val="12"/>
                      <w:szCs w:val="14"/>
                      <w:lang w:val="el-GR"/>
                    </w:rPr>
                  </w:pPr>
                  <w:r>
                    <w:rPr>
                      <w:rFonts w:ascii="Segoe UI" w:hAnsi="Segoe UI" w:cs="Segoe UI"/>
                      <w:sz w:val="12"/>
                      <w:szCs w:val="14"/>
                      <w:vertAlign w:val="superscript"/>
                      <w:lang w:val="el-GR"/>
                    </w:rPr>
                    <w:t>3</w:t>
                  </w:r>
                  <w:r w:rsidRPr="00BE3498">
                    <w:rPr>
                      <w:rFonts w:ascii="Segoe UI" w:hAnsi="Segoe UI" w:cs="Segoe UI"/>
                      <w:sz w:val="12"/>
                      <w:szCs w:val="14"/>
                      <w:vertAlign w:val="superscript"/>
                      <w:lang w:val="el-GR"/>
                    </w:rPr>
                    <w:t xml:space="preserve"> </w:t>
                  </w:r>
                  <w:r>
                    <w:rPr>
                      <w:rFonts w:ascii="Segoe UI" w:hAnsi="Segoe UI" w:cs="Segoe UI"/>
                      <w:sz w:val="12"/>
                      <w:szCs w:val="14"/>
                      <w:lang w:val="el-GR"/>
                    </w:rPr>
                    <w:t xml:space="preserve">Ο δείκτης δεν περιλαμβάνει το όφελος από τις συμφωνηθείσες, αλλά όχι ολοκληρωμένες, </w:t>
                  </w:r>
                  <w:proofErr w:type="spellStart"/>
                  <w:r w:rsidRPr="00BE3498">
                    <w:rPr>
                      <w:rFonts w:ascii="Segoe UI" w:hAnsi="Segoe UI" w:cs="Segoe UI"/>
                      <w:sz w:val="12"/>
                      <w:szCs w:val="14"/>
                      <w:lang w:val="el-GR"/>
                    </w:rPr>
                    <w:t>αποεπ</w:t>
                  </w:r>
                  <w:r>
                    <w:rPr>
                      <w:rFonts w:ascii="Segoe UI" w:hAnsi="Segoe UI" w:cs="Segoe UI"/>
                      <w:sz w:val="12"/>
                      <w:szCs w:val="14"/>
                      <w:lang w:val="el-GR"/>
                    </w:rPr>
                    <w:t>ενδύσεις</w:t>
                  </w:r>
                  <w:proofErr w:type="spellEnd"/>
                  <w:r>
                    <w:rPr>
                      <w:rFonts w:ascii="Segoe UI" w:hAnsi="Segoe UI" w:cs="Segoe UI"/>
                      <w:sz w:val="12"/>
                      <w:szCs w:val="14"/>
                      <w:lang w:val="el-GR"/>
                    </w:rPr>
                    <w:t xml:space="preserve"> από τις Βουλγαρικές θυγατρικές, </w:t>
                  </w:r>
                  <w:r>
                    <w:rPr>
                      <w:rFonts w:ascii="Segoe UI" w:hAnsi="Segoe UI" w:cs="Segoe UI"/>
                      <w:sz w:val="12"/>
                      <w:szCs w:val="14"/>
                      <w:lang w:val="en-US"/>
                    </w:rPr>
                    <w:t>UBB</w:t>
                  </w:r>
                  <w:r w:rsidRPr="0017031D">
                    <w:rPr>
                      <w:rFonts w:ascii="Segoe UI" w:hAnsi="Segoe UI" w:cs="Segoe UI"/>
                      <w:sz w:val="12"/>
                      <w:szCs w:val="14"/>
                      <w:lang w:val="el-GR"/>
                    </w:rPr>
                    <w:t xml:space="preserve"> </w:t>
                  </w:r>
                  <w:r w:rsidRPr="00C77B6B">
                    <w:rPr>
                      <w:rFonts w:ascii="Segoe UI" w:hAnsi="Segoe UI" w:cs="Segoe UI"/>
                      <w:sz w:val="12"/>
                      <w:szCs w:val="14"/>
                      <w:lang w:val="el-GR"/>
                    </w:rPr>
                    <w:t xml:space="preserve">&amp; </w:t>
                  </w:r>
                  <w:proofErr w:type="spellStart"/>
                  <w:r>
                    <w:rPr>
                      <w:rFonts w:ascii="Segoe UI" w:hAnsi="Segoe UI" w:cs="Segoe UI"/>
                      <w:sz w:val="12"/>
                      <w:szCs w:val="14"/>
                      <w:lang w:val="en-US"/>
                    </w:rPr>
                    <w:t>Interlease</w:t>
                  </w:r>
                  <w:proofErr w:type="spellEnd"/>
                  <w:r w:rsidRPr="00C77B6B">
                    <w:rPr>
                      <w:rFonts w:ascii="Segoe UI" w:hAnsi="Segoe UI" w:cs="Segoe UI"/>
                      <w:sz w:val="12"/>
                      <w:szCs w:val="14"/>
                      <w:lang w:val="el-GR"/>
                    </w:rPr>
                    <w:t xml:space="preserve">, </w:t>
                  </w:r>
                  <w:r>
                    <w:rPr>
                      <w:rFonts w:ascii="Segoe UI" w:hAnsi="Segoe UI" w:cs="Segoe UI"/>
                      <w:sz w:val="12"/>
                      <w:szCs w:val="14"/>
                      <w:lang w:val="el-GR"/>
                    </w:rPr>
                    <w:t xml:space="preserve">καθώς και από τη </w:t>
                  </w:r>
                  <w:r>
                    <w:rPr>
                      <w:rFonts w:ascii="Segoe UI" w:hAnsi="Segoe UI" w:cs="Segoe UI"/>
                      <w:sz w:val="12"/>
                      <w:szCs w:val="14"/>
                      <w:lang w:val="en-US"/>
                    </w:rPr>
                    <w:t>SA</w:t>
                  </w:r>
                  <w:r w:rsidRPr="006B72CC">
                    <w:rPr>
                      <w:rFonts w:ascii="Segoe UI" w:hAnsi="Segoe UI" w:cs="Segoe UI"/>
                      <w:sz w:val="12"/>
                      <w:szCs w:val="14"/>
                      <w:lang w:val="el-GR"/>
                    </w:rPr>
                    <w:t>.</w:t>
                  </w:r>
                  <w:r>
                    <w:rPr>
                      <w:rFonts w:ascii="Segoe UI" w:hAnsi="Segoe UI" w:cs="Segoe UI"/>
                      <w:sz w:val="12"/>
                      <w:szCs w:val="14"/>
                      <w:lang w:val="en-US"/>
                    </w:rPr>
                    <w:t>B</w:t>
                  </w:r>
                  <w:r w:rsidRPr="006B72CC">
                    <w:rPr>
                      <w:rFonts w:ascii="Segoe UI" w:hAnsi="Segoe UI" w:cs="Segoe UI"/>
                      <w:sz w:val="12"/>
                      <w:szCs w:val="14"/>
                      <w:lang w:val="el-GR"/>
                    </w:rPr>
                    <w:t>.</w:t>
                  </w:r>
                  <w:r>
                    <w:rPr>
                      <w:rFonts w:ascii="Segoe UI" w:hAnsi="Segoe UI" w:cs="Segoe UI"/>
                      <w:sz w:val="12"/>
                      <w:szCs w:val="14"/>
                      <w:lang w:val="en-US"/>
                    </w:rPr>
                    <w:t>A</w:t>
                  </w:r>
                  <w:r w:rsidRPr="006B72CC">
                    <w:rPr>
                      <w:rFonts w:ascii="Segoe UI" w:hAnsi="Segoe UI" w:cs="Segoe UI"/>
                      <w:sz w:val="12"/>
                      <w:szCs w:val="14"/>
                      <w:lang w:val="el-GR"/>
                    </w:rPr>
                    <w:t>.</w:t>
                  </w:r>
                </w:p>
                <w:p w:rsidR="002E354B" w:rsidRPr="00EE1E78" w:rsidRDefault="002E354B" w:rsidP="00BF459E">
                  <w:pPr>
                    <w:spacing w:before="120" w:after="0" w:line="240" w:lineRule="auto"/>
                    <w:ind w:left="360"/>
                    <w:jc w:val="right"/>
                    <w:rPr>
                      <w:rFonts w:ascii="Segoe UI" w:hAnsi="Segoe UI" w:cs="Segoe UI"/>
                      <w:sz w:val="6"/>
                      <w:szCs w:val="2"/>
                      <w:lang w:val="el-GR"/>
                    </w:rPr>
                  </w:pPr>
                </w:p>
              </w:txbxContent>
            </v:textbox>
          </v:shape>
        </w:pict>
      </w:r>
    </w:p>
    <w:p w:rsidR="00BF459E" w:rsidRPr="00BF459E" w:rsidRDefault="00BF459E">
      <w:pPr>
        <w:spacing w:after="0" w:line="240" w:lineRule="auto"/>
        <w:rPr>
          <w:rFonts w:asciiTheme="minorHAnsi" w:hAnsiTheme="minorHAnsi" w:cs="Segoe UI"/>
          <w:i/>
          <w:iCs/>
          <w:sz w:val="24"/>
          <w:lang w:val="en-US"/>
        </w:rPr>
      </w:pPr>
      <w:r w:rsidRPr="00BF459E">
        <w:rPr>
          <w:rFonts w:asciiTheme="minorHAnsi" w:hAnsiTheme="minorHAnsi" w:cs="Segoe UI"/>
          <w:i/>
          <w:iCs/>
          <w:sz w:val="24"/>
          <w:lang w:val="en-US"/>
        </w:rPr>
        <w:br w:type="page"/>
      </w:r>
    </w:p>
    <w:p w:rsidR="00542A85" w:rsidRPr="00F12E4A" w:rsidRDefault="00542A85" w:rsidP="00BC55BA">
      <w:pPr>
        <w:spacing w:after="160" w:line="240" w:lineRule="auto"/>
        <w:rPr>
          <w:rFonts w:asciiTheme="minorHAnsi" w:hAnsiTheme="minorHAnsi" w:cs="Segoe UI"/>
          <w:i/>
          <w:iCs/>
          <w:sz w:val="24"/>
          <w:lang w:val="el-GR"/>
        </w:rPr>
      </w:pPr>
      <w:r w:rsidRPr="00F12E4A">
        <w:rPr>
          <w:rFonts w:asciiTheme="minorHAnsi" w:hAnsiTheme="minorHAnsi" w:cs="Segoe UI"/>
          <w:i/>
          <w:iCs/>
          <w:sz w:val="24"/>
          <w:lang w:val="el-GR"/>
        </w:rPr>
        <w:lastRenderedPageBreak/>
        <w:t xml:space="preserve">Σε ένα δύσκολο περιβάλλον, η Εθνική Τράπεζα κατόρθωσε να επιτύχει </w:t>
      </w:r>
      <w:r w:rsidR="00F17C37">
        <w:rPr>
          <w:rFonts w:asciiTheme="minorHAnsi" w:hAnsiTheme="minorHAnsi" w:cs="Segoe UI"/>
          <w:i/>
          <w:iCs/>
          <w:sz w:val="24"/>
          <w:lang w:val="el-GR"/>
        </w:rPr>
        <w:t>ισχυρά</w:t>
      </w:r>
      <w:r w:rsidRPr="00F12E4A">
        <w:rPr>
          <w:rFonts w:asciiTheme="minorHAnsi" w:hAnsiTheme="minorHAnsi" w:cs="Segoe UI"/>
          <w:i/>
          <w:iCs/>
          <w:sz w:val="24"/>
          <w:lang w:val="el-GR"/>
        </w:rPr>
        <w:t xml:space="preserve"> αποτελέσματα </w:t>
      </w:r>
      <w:r w:rsidR="00F17C37" w:rsidRPr="00F17C37">
        <w:rPr>
          <w:rFonts w:asciiTheme="minorHAnsi" w:hAnsiTheme="minorHAnsi" w:cs="Segoe UI"/>
          <w:i/>
          <w:iCs/>
          <w:sz w:val="24"/>
          <w:lang w:val="el-GR"/>
        </w:rPr>
        <w:t>σε όλες τις βασικές δραστηριότητές της</w:t>
      </w:r>
      <w:r w:rsidRPr="00F12E4A">
        <w:rPr>
          <w:rFonts w:asciiTheme="minorHAnsi" w:hAnsiTheme="minorHAnsi" w:cs="Segoe UI"/>
          <w:i/>
          <w:iCs/>
          <w:sz w:val="24"/>
          <w:lang w:val="el-GR"/>
        </w:rPr>
        <w:t xml:space="preserve">, </w:t>
      </w:r>
      <w:r w:rsidR="006B0180">
        <w:rPr>
          <w:rFonts w:asciiTheme="minorHAnsi" w:hAnsiTheme="minorHAnsi" w:cs="Segoe UI"/>
          <w:i/>
          <w:iCs/>
          <w:sz w:val="24"/>
          <w:lang w:val="el-GR"/>
        </w:rPr>
        <w:t>περιορίζοντας τ</w:t>
      </w:r>
      <w:r w:rsidRPr="00F12E4A">
        <w:rPr>
          <w:rFonts w:asciiTheme="minorHAnsi" w:hAnsiTheme="minorHAnsi" w:cs="Segoe UI"/>
          <w:i/>
          <w:iCs/>
          <w:sz w:val="24"/>
          <w:lang w:val="el-GR"/>
        </w:rPr>
        <w:t xml:space="preserve">α Μη Εξυπηρετούμενα Ανοίγματα, βελτιώνοντας τη ρευστότητά της, ενισχύοντας την κεφαλαιακή της επάρκεια και επιστρέφοντας σε θετική κερδοφορία.   </w:t>
      </w:r>
    </w:p>
    <w:p w:rsidR="00B57F55" w:rsidRPr="00F12E4A" w:rsidRDefault="00B57F55" w:rsidP="00BC55BA">
      <w:pPr>
        <w:spacing w:after="160" w:line="240" w:lineRule="auto"/>
        <w:rPr>
          <w:rFonts w:asciiTheme="minorHAnsi" w:hAnsiTheme="minorHAnsi" w:cs="Segoe UI"/>
          <w:i/>
          <w:iCs/>
          <w:sz w:val="24"/>
          <w:lang w:val="el-GR"/>
        </w:rPr>
      </w:pPr>
      <w:r w:rsidRPr="00F12E4A">
        <w:rPr>
          <w:rFonts w:asciiTheme="minorHAnsi" w:hAnsiTheme="minorHAnsi" w:cs="Segoe UI"/>
          <w:i/>
          <w:iCs/>
          <w:sz w:val="24"/>
          <w:lang w:val="el-GR"/>
        </w:rPr>
        <w:t xml:space="preserve">Αναφορικά με την ποιότητα του δανειακού χαρτοφυλακίου, η </w:t>
      </w:r>
      <w:r w:rsidR="00752E70" w:rsidRPr="00F12E4A">
        <w:rPr>
          <w:rFonts w:asciiTheme="minorHAnsi" w:hAnsiTheme="minorHAnsi" w:cs="Segoe UI"/>
          <w:i/>
          <w:iCs/>
          <w:sz w:val="24"/>
          <w:lang w:val="el-GR"/>
        </w:rPr>
        <w:t>ΕΤΕ</w:t>
      </w:r>
      <w:r w:rsidRPr="00F12E4A">
        <w:rPr>
          <w:rFonts w:asciiTheme="minorHAnsi" w:hAnsiTheme="minorHAnsi" w:cs="Segoe UI"/>
          <w:i/>
          <w:iCs/>
          <w:sz w:val="24"/>
          <w:lang w:val="el-GR"/>
        </w:rPr>
        <w:t xml:space="preserve"> </w:t>
      </w:r>
      <w:r w:rsidR="00542A85" w:rsidRPr="00F12E4A">
        <w:rPr>
          <w:rFonts w:asciiTheme="minorHAnsi" w:hAnsiTheme="minorHAnsi" w:cs="Segoe UI"/>
          <w:i/>
          <w:iCs/>
          <w:sz w:val="24"/>
          <w:lang w:val="el-GR"/>
        </w:rPr>
        <w:t xml:space="preserve">διατήρησε </w:t>
      </w:r>
      <w:r w:rsidR="00852F3B" w:rsidRPr="00F12E4A">
        <w:rPr>
          <w:rFonts w:asciiTheme="minorHAnsi" w:hAnsiTheme="minorHAnsi" w:cs="Segoe UI"/>
          <w:i/>
          <w:iCs/>
          <w:sz w:val="24"/>
          <w:lang w:val="el-GR"/>
        </w:rPr>
        <w:t xml:space="preserve">ένα </w:t>
      </w:r>
      <w:r w:rsidR="00F17C37">
        <w:rPr>
          <w:rFonts w:asciiTheme="minorHAnsi" w:hAnsiTheme="minorHAnsi" w:cs="Segoe UI"/>
          <w:i/>
          <w:iCs/>
          <w:sz w:val="24"/>
          <w:lang w:val="el-GR"/>
        </w:rPr>
        <w:t>σημαντικό</w:t>
      </w:r>
      <w:r w:rsidR="00852F3B" w:rsidRPr="00F12E4A">
        <w:rPr>
          <w:rFonts w:asciiTheme="minorHAnsi" w:hAnsiTheme="minorHAnsi" w:cs="Segoe UI"/>
          <w:i/>
          <w:iCs/>
          <w:sz w:val="24"/>
          <w:lang w:val="el-GR"/>
        </w:rPr>
        <w:t xml:space="preserve"> ρυθμό μείωσης των </w:t>
      </w:r>
      <w:r w:rsidR="001D4A42" w:rsidRPr="001D4A42">
        <w:rPr>
          <w:rFonts w:asciiTheme="minorHAnsi" w:hAnsiTheme="minorHAnsi" w:cs="Segoe UI"/>
          <w:i/>
          <w:iCs/>
          <w:sz w:val="24"/>
          <w:lang w:val="el-GR"/>
        </w:rPr>
        <w:t xml:space="preserve">Μη Εξυπηρετούμενων Ανοιγμάτων </w:t>
      </w:r>
      <w:r w:rsidR="00852F3B" w:rsidRPr="00F12E4A">
        <w:rPr>
          <w:rFonts w:asciiTheme="minorHAnsi" w:hAnsiTheme="minorHAnsi" w:cs="Segoe UI"/>
          <w:i/>
          <w:iCs/>
          <w:sz w:val="24"/>
          <w:lang w:val="el-GR"/>
        </w:rPr>
        <w:t xml:space="preserve">καθ’ όλη τη διάρκεια της χρονιάς, </w:t>
      </w:r>
      <w:r w:rsidR="001D4A42">
        <w:rPr>
          <w:rFonts w:asciiTheme="minorHAnsi" w:hAnsiTheme="minorHAnsi" w:cs="Segoe UI"/>
          <w:i/>
          <w:iCs/>
          <w:sz w:val="24"/>
          <w:lang w:val="el-GR"/>
        </w:rPr>
        <w:t xml:space="preserve">περιορίζοντας </w:t>
      </w:r>
      <w:r w:rsidR="00F12E4A" w:rsidRPr="00F12E4A">
        <w:rPr>
          <w:rFonts w:asciiTheme="minorHAnsi" w:hAnsiTheme="minorHAnsi" w:cs="Segoe UI"/>
          <w:i/>
          <w:iCs/>
          <w:sz w:val="24"/>
          <w:lang w:val="el-GR"/>
        </w:rPr>
        <w:t xml:space="preserve">τα Μη Εξυπηρετούμενα Ανοίγματα </w:t>
      </w:r>
      <w:r w:rsidR="00F17C37" w:rsidRPr="00F17C37">
        <w:rPr>
          <w:rFonts w:asciiTheme="minorHAnsi" w:hAnsiTheme="minorHAnsi" w:cs="Segoe UI"/>
          <w:i/>
          <w:iCs/>
          <w:sz w:val="24"/>
          <w:lang w:val="el-GR"/>
        </w:rPr>
        <w:t>κατά €2,8 δισ.</w:t>
      </w:r>
      <w:r w:rsidRPr="00F12E4A">
        <w:rPr>
          <w:rFonts w:asciiTheme="minorHAnsi" w:hAnsiTheme="minorHAnsi" w:cs="Segoe UI"/>
          <w:i/>
          <w:iCs/>
          <w:sz w:val="24"/>
          <w:lang w:val="el-GR"/>
        </w:rPr>
        <w:t xml:space="preserve"> </w:t>
      </w:r>
      <w:r w:rsidR="00F17C37">
        <w:rPr>
          <w:rFonts w:asciiTheme="minorHAnsi" w:hAnsiTheme="minorHAnsi" w:cs="Segoe UI"/>
          <w:i/>
          <w:iCs/>
          <w:sz w:val="24"/>
          <w:lang w:val="el-GR"/>
        </w:rPr>
        <w:t xml:space="preserve">Το αποτέλεσμα αυτό </w:t>
      </w:r>
      <w:r w:rsidR="00F12E4A" w:rsidRPr="00F12E4A">
        <w:rPr>
          <w:rFonts w:asciiTheme="minorHAnsi" w:hAnsiTheme="minorHAnsi" w:cs="Segoe UI"/>
          <w:i/>
          <w:iCs/>
          <w:sz w:val="24"/>
          <w:lang w:val="el-GR"/>
        </w:rPr>
        <w:t xml:space="preserve">ξεπερνά </w:t>
      </w:r>
      <w:r w:rsidR="00D65B5E">
        <w:rPr>
          <w:rFonts w:asciiTheme="minorHAnsi" w:hAnsiTheme="minorHAnsi" w:cs="Segoe UI"/>
          <w:i/>
          <w:iCs/>
          <w:sz w:val="24"/>
          <w:lang w:val="el-GR"/>
        </w:rPr>
        <w:t xml:space="preserve">και </w:t>
      </w:r>
      <w:r w:rsidR="00F12E4A" w:rsidRPr="00F12E4A">
        <w:rPr>
          <w:rFonts w:asciiTheme="minorHAnsi" w:hAnsiTheme="minorHAnsi" w:cs="Segoe UI"/>
          <w:i/>
          <w:iCs/>
          <w:sz w:val="24"/>
          <w:lang w:val="el-GR"/>
        </w:rPr>
        <w:t>το</w:t>
      </w:r>
      <w:r w:rsidR="0093447C">
        <w:rPr>
          <w:rFonts w:asciiTheme="minorHAnsi" w:hAnsiTheme="minorHAnsi" w:cs="Segoe UI"/>
          <w:i/>
          <w:iCs/>
          <w:sz w:val="24"/>
          <w:lang w:val="el-GR"/>
        </w:rPr>
        <w:t>ν</w:t>
      </w:r>
      <w:r w:rsidR="00F12E4A" w:rsidRPr="00F12E4A">
        <w:rPr>
          <w:rFonts w:asciiTheme="minorHAnsi" w:hAnsiTheme="minorHAnsi" w:cs="Segoe UI"/>
          <w:i/>
          <w:iCs/>
          <w:sz w:val="24"/>
          <w:lang w:val="el-GR"/>
        </w:rPr>
        <w:t xml:space="preserve"> </w:t>
      </w:r>
      <w:r w:rsidR="0093447C">
        <w:rPr>
          <w:rFonts w:asciiTheme="minorHAnsi" w:hAnsiTheme="minorHAnsi" w:cs="Segoe UI"/>
          <w:i/>
          <w:iCs/>
          <w:sz w:val="24"/>
          <w:lang w:val="el-GR"/>
        </w:rPr>
        <w:t xml:space="preserve">επιμέρους </w:t>
      </w:r>
      <w:r w:rsidR="00F12E4A" w:rsidRPr="00F12E4A">
        <w:rPr>
          <w:rFonts w:asciiTheme="minorHAnsi" w:hAnsiTheme="minorHAnsi" w:cs="Segoe UI"/>
          <w:i/>
          <w:iCs/>
          <w:sz w:val="24"/>
          <w:lang w:val="el-GR"/>
        </w:rPr>
        <w:t xml:space="preserve">στόχο για το 2016 κατά €0,5 δισ. </w:t>
      </w:r>
      <w:r w:rsidR="00B0172D">
        <w:rPr>
          <w:rFonts w:asciiTheme="minorHAnsi" w:hAnsiTheme="minorHAnsi" w:cs="Segoe UI"/>
          <w:i/>
          <w:iCs/>
          <w:sz w:val="24"/>
          <w:lang w:val="el-GR"/>
        </w:rPr>
        <w:t>Κατά</w:t>
      </w:r>
      <w:r w:rsidR="00F17C37">
        <w:rPr>
          <w:rFonts w:asciiTheme="minorHAnsi" w:hAnsiTheme="minorHAnsi" w:cs="Segoe UI"/>
          <w:i/>
          <w:iCs/>
          <w:sz w:val="24"/>
          <w:lang w:val="el-GR"/>
        </w:rPr>
        <w:t xml:space="preserve"> συνέπεια, η</w:t>
      </w:r>
      <w:r w:rsidR="00F12E4A" w:rsidRPr="00F12E4A">
        <w:rPr>
          <w:rFonts w:asciiTheme="minorHAnsi" w:hAnsiTheme="minorHAnsi" w:cs="Segoe UI"/>
          <w:i/>
          <w:iCs/>
          <w:sz w:val="24"/>
          <w:lang w:val="el-GR"/>
        </w:rPr>
        <w:t xml:space="preserve"> ΕΤΕ </w:t>
      </w:r>
      <w:r w:rsidR="00F17C37">
        <w:rPr>
          <w:rFonts w:asciiTheme="minorHAnsi" w:hAnsiTheme="minorHAnsi" w:cs="Segoe UI"/>
          <w:i/>
          <w:iCs/>
          <w:sz w:val="24"/>
          <w:lang w:val="el-GR"/>
        </w:rPr>
        <w:t>είναι η</w:t>
      </w:r>
      <w:r w:rsidR="00F12E4A" w:rsidRPr="00F12E4A">
        <w:rPr>
          <w:rFonts w:asciiTheme="minorHAnsi" w:hAnsiTheme="minorHAnsi" w:cs="Segoe UI"/>
          <w:i/>
          <w:iCs/>
          <w:sz w:val="24"/>
          <w:lang w:val="el-GR"/>
        </w:rPr>
        <w:t xml:space="preserve"> Τράπεζα με το χαμηλότερο δείκτη Μη Εξυπηρετούμενων Ανοιγμάτων στην Ελλάδα, το υψηλότερο ποσοστό κάλυψης από σωρευμένες προβλέψεις και </w:t>
      </w:r>
      <w:r w:rsidR="00F17C37">
        <w:rPr>
          <w:rFonts w:asciiTheme="minorHAnsi" w:hAnsiTheme="minorHAnsi" w:cs="Segoe UI"/>
          <w:i/>
          <w:iCs/>
          <w:sz w:val="24"/>
          <w:lang w:val="el-GR"/>
        </w:rPr>
        <w:t xml:space="preserve">την καλύτερη επίδοση </w:t>
      </w:r>
      <w:r w:rsidR="00F17C37" w:rsidRPr="00F17C37">
        <w:rPr>
          <w:rFonts w:asciiTheme="minorHAnsi" w:hAnsiTheme="minorHAnsi" w:cs="Segoe UI"/>
          <w:i/>
          <w:iCs/>
          <w:sz w:val="24"/>
          <w:lang w:val="el-GR"/>
        </w:rPr>
        <w:t xml:space="preserve">όσον αφορά </w:t>
      </w:r>
      <w:r w:rsidR="00F17C37">
        <w:rPr>
          <w:rFonts w:asciiTheme="minorHAnsi" w:hAnsiTheme="minorHAnsi" w:cs="Segoe UI"/>
          <w:i/>
          <w:iCs/>
          <w:sz w:val="24"/>
          <w:lang w:val="el-GR"/>
        </w:rPr>
        <w:t>σ</w:t>
      </w:r>
      <w:r w:rsidR="00F17C37" w:rsidRPr="00F17C37">
        <w:rPr>
          <w:rFonts w:asciiTheme="minorHAnsi" w:hAnsiTheme="minorHAnsi" w:cs="Segoe UI"/>
          <w:i/>
          <w:iCs/>
          <w:sz w:val="24"/>
          <w:lang w:val="el-GR"/>
        </w:rPr>
        <w:t>τη μείωση των Μη Εξυπηρετούμενων Ανοιγμάτων</w:t>
      </w:r>
      <w:r w:rsidRPr="00F12E4A">
        <w:rPr>
          <w:rFonts w:asciiTheme="minorHAnsi" w:hAnsiTheme="minorHAnsi" w:cs="Segoe UI"/>
          <w:i/>
          <w:iCs/>
          <w:sz w:val="24"/>
          <w:lang w:val="el-GR"/>
        </w:rPr>
        <w:t xml:space="preserve">. </w:t>
      </w:r>
    </w:p>
    <w:p w:rsidR="00752E70" w:rsidRPr="002B1020" w:rsidRDefault="00F17C37" w:rsidP="00BC55BA">
      <w:pPr>
        <w:spacing w:after="160" w:line="240" w:lineRule="auto"/>
        <w:rPr>
          <w:rFonts w:asciiTheme="minorHAnsi" w:hAnsiTheme="minorHAnsi" w:cs="Segoe UI"/>
          <w:i/>
          <w:iCs/>
          <w:sz w:val="24"/>
          <w:lang w:val="el-GR"/>
        </w:rPr>
      </w:pPr>
      <w:r w:rsidRPr="00F17C37">
        <w:rPr>
          <w:rFonts w:asciiTheme="minorHAnsi" w:hAnsiTheme="minorHAnsi" w:cs="Segoe UI"/>
          <w:i/>
          <w:iCs/>
          <w:sz w:val="24"/>
          <w:lang w:val="el-GR"/>
        </w:rPr>
        <w:t>Σε επίπεδο ρευστότητας</w:t>
      </w:r>
      <w:r w:rsidR="00B57F55" w:rsidRPr="002B1020">
        <w:rPr>
          <w:rFonts w:asciiTheme="minorHAnsi" w:hAnsiTheme="minorHAnsi" w:cs="Segoe UI"/>
          <w:i/>
          <w:iCs/>
          <w:sz w:val="24"/>
          <w:lang w:val="el-GR"/>
        </w:rPr>
        <w:t xml:space="preserve">, η ΕΤΕ </w:t>
      </w:r>
      <w:r w:rsidR="002B1020">
        <w:rPr>
          <w:rFonts w:asciiTheme="minorHAnsi" w:hAnsiTheme="minorHAnsi" w:cs="Segoe UI"/>
          <w:i/>
          <w:iCs/>
          <w:sz w:val="24"/>
          <w:lang w:val="el-GR"/>
        </w:rPr>
        <w:t>εξ</w:t>
      </w:r>
      <w:r w:rsidR="002E354B">
        <w:rPr>
          <w:rFonts w:asciiTheme="minorHAnsi" w:hAnsiTheme="minorHAnsi" w:cs="Segoe UI"/>
          <w:i/>
          <w:iCs/>
          <w:sz w:val="24"/>
          <w:lang w:val="el-GR"/>
        </w:rPr>
        <w:t>ά</w:t>
      </w:r>
      <w:r w:rsidR="002B1020">
        <w:rPr>
          <w:rFonts w:asciiTheme="minorHAnsi" w:hAnsiTheme="minorHAnsi" w:cs="Segoe UI"/>
          <w:i/>
          <w:iCs/>
          <w:sz w:val="24"/>
          <w:lang w:val="el-GR"/>
        </w:rPr>
        <w:t>λε</w:t>
      </w:r>
      <w:r w:rsidR="008C5C4E">
        <w:rPr>
          <w:rFonts w:asciiTheme="minorHAnsi" w:hAnsiTheme="minorHAnsi" w:cs="Segoe UI"/>
          <w:i/>
          <w:iCs/>
          <w:sz w:val="24"/>
          <w:lang w:val="el-GR"/>
        </w:rPr>
        <w:t>ι</w:t>
      </w:r>
      <w:r w:rsidR="002B1020">
        <w:rPr>
          <w:rFonts w:asciiTheme="minorHAnsi" w:hAnsiTheme="minorHAnsi" w:cs="Segoe UI"/>
          <w:i/>
          <w:iCs/>
          <w:sz w:val="24"/>
          <w:lang w:val="el-GR"/>
        </w:rPr>
        <w:t>ψε</w:t>
      </w:r>
      <w:r w:rsidR="004964F5">
        <w:rPr>
          <w:rFonts w:asciiTheme="minorHAnsi" w:hAnsiTheme="minorHAnsi" w:cs="Segoe UI"/>
          <w:i/>
          <w:iCs/>
          <w:sz w:val="24"/>
          <w:lang w:val="el-GR"/>
        </w:rPr>
        <w:t xml:space="preserve"> πλήρως</w:t>
      </w:r>
      <w:r w:rsidR="002B1020">
        <w:rPr>
          <w:rFonts w:asciiTheme="minorHAnsi" w:hAnsiTheme="minorHAnsi" w:cs="Segoe UI"/>
          <w:i/>
          <w:iCs/>
          <w:sz w:val="24"/>
          <w:lang w:val="el-GR"/>
        </w:rPr>
        <w:t xml:space="preserve"> την έκθεσή της σε </w:t>
      </w:r>
      <w:r w:rsidR="0030304E">
        <w:rPr>
          <w:rFonts w:asciiTheme="minorHAnsi" w:hAnsiTheme="minorHAnsi" w:cs="Segoe UI"/>
          <w:i/>
          <w:iCs/>
          <w:sz w:val="24"/>
          <w:lang w:val="el-GR"/>
        </w:rPr>
        <w:t>εγγυήσεις του Ελληνικού Δημοσίου</w:t>
      </w:r>
      <w:r w:rsidR="008E6DFA" w:rsidRPr="008E6DFA">
        <w:rPr>
          <w:rFonts w:asciiTheme="minorHAnsi" w:hAnsiTheme="minorHAnsi" w:cs="Segoe UI"/>
          <w:i/>
          <w:iCs/>
          <w:sz w:val="24"/>
          <w:lang w:val="el-GR"/>
        </w:rPr>
        <w:t xml:space="preserve"> </w:t>
      </w:r>
      <w:r w:rsidR="008E6DFA">
        <w:rPr>
          <w:rFonts w:asciiTheme="minorHAnsi" w:hAnsiTheme="minorHAnsi" w:cs="Segoe UI"/>
          <w:i/>
          <w:iCs/>
          <w:sz w:val="24"/>
          <w:lang w:val="el-GR"/>
        </w:rPr>
        <w:t>που χρησιμοποιούντ</w:t>
      </w:r>
      <w:r w:rsidR="00162FB7">
        <w:rPr>
          <w:rFonts w:asciiTheme="minorHAnsi" w:hAnsiTheme="minorHAnsi" w:cs="Segoe UI"/>
          <w:i/>
          <w:iCs/>
          <w:sz w:val="24"/>
          <w:lang w:val="el-GR"/>
        </w:rPr>
        <w:t xml:space="preserve">αν </w:t>
      </w:r>
      <w:r w:rsidR="008E6DFA">
        <w:rPr>
          <w:rFonts w:asciiTheme="minorHAnsi" w:hAnsiTheme="minorHAnsi" w:cs="Segoe UI"/>
          <w:i/>
          <w:iCs/>
          <w:sz w:val="24"/>
          <w:lang w:val="el-GR"/>
        </w:rPr>
        <w:t xml:space="preserve">ως ενέχυρα για άντληση ρευστότητας από το μηχανισμό </w:t>
      </w:r>
      <w:r w:rsidR="008E6DFA">
        <w:rPr>
          <w:rFonts w:asciiTheme="minorHAnsi" w:hAnsiTheme="minorHAnsi" w:cs="Segoe UI"/>
          <w:i/>
          <w:iCs/>
          <w:sz w:val="24"/>
          <w:lang w:val="en-US"/>
        </w:rPr>
        <w:t>ELA</w:t>
      </w:r>
      <w:r w:rsidR="009E4BA4">
        <w:rPr>
          <w:rFonts w:asciiTheme="minorHAnsi" w:hAnsiTheme="minorHAnsi" w:cs="Segoe UI"/>
          <w:i/>
          <w:iCs/>
          <w:sz w:val="24"/>
          <w:lang w:val="el-GR"/>
        </w:rPr>
        <w:t xml:space="preserve">, </w:t>
      </w:r>
      <w:r w:rsidR="00B57F55" w:rsidRPr="002B1020">
        <w:rPr>
          <w:rFonts w:asciiTheme="minorHAnsi" w:hAnsiTheme="minorHAnsi" w:cs="Segoe UI"/>
          <w:i/>
          <w:iCs/>
          <w:sz w:val="24"/>
          <w:lang w:val="el-GR"/>
        </w:rPr>
        <w:t>μειώ</w:t>
      </w:r>
      <w:r w:rsidR="009E4BA4">
        <w:rPr>
          <w:rFonts w:asciiTheme="minorHAnsi" w:hAnsiTheme="minorHAnsi" w:cs="Segoe UI"/>
          <w:i/>
          <w:iCs/>
          <w:sz w:val="24"/>
          <w:lang w:val="el-GR"/>
        </w:rPr>
        <w:t xml:space="preserve">νοντας </w:t>
      </w:r>
      <w:r w:rsidR="008E6DFA">
        <w:rPr>
          <w:rFonts w:asciiTheme="minorHAnsi" w:hAnsiTheme="minorHAnsi" w:cs="Segoe UI"/>
          <w:i/>
          <w:iCs/>
          <w:sz w:val="24"/>
          <w:lang w:val="el-GR"/>
        </w:rPr>
        <w:t xml:space="preserve">την εξάρτησή της από τον </w:t>
      </w:r>
      <w:r w:rsidR="00B57F55" w:rsidRPr="002B1020">
        <w:rPr>
          <w:rFonts w:asciiTheme="minorHAnsi" w:hAnsiTheme="minorHAnsi" w:cs="Segoe UI"/>
          <w:i/>
          <w:iCs/>
          <w:sz w:val="24"/>
          <w:lang w:val="en-US"/>
        </w:rPr>
        <w:t>ELA</w:t>
      </w:r>
      <w:r w:rsidR="00B57F55" w:rsidRPr="002B1020">
        <w:rPr>
          <w:rFonts w:asciiTheme="minorHAnsi" w:hAnsiTheme="minorHAnsi" w:cs="Segoe UI"/>
          <w:i/>
          <w:iCs/>
          <w:sz w:val="24"/>
          <w:lang w:val="el-GR"/>
        </w:rPr>
        <w:t xml:space="preserve"> </w:t>
      </w:r>
      <w:r w:rsidR="00752E70" w:rsidRPr="002B1020">
        <w:rPr>
          <w:rFonts w:asciiTheme="minorHAnsi" w:hAnsiTheme="minorHAnsi" w:cs="Segoe UI"/>
          <w:i/>
          <w:iCs/>
          <w:sz w:val="24"/>
          <w:lang w:val="el-GR"/>
        </w:rPr>
        <w:t>κατά €</w:t>
      </w:r>
      <w:r w:rsidR="009E4BA4">
        <w:rPr>
          <w:rFonts w:asciiTheme="minorHAnsi" w:hAnsiTheme="minorHAnsi" w:cs="Segoe UI"/>
          <w:i/>
          <w:iCs/>
          <w:sz w:val="24"/>
          <w:lang w:val="el-GR"/>
        </w:rPr>
        <w:t>6 δισ.</w:t>
      </w:r>
      <w:r w:rsidR="00523FA5">
        <w:rPr>
          <w:rFonts w:asciiTheme="minorHAnsi" w:hAnsiTheme="minorHAnsi" w:cs="Segoe UI"/>
          <w:i/>
          <w:iCs/>
          <w:sz w:val="24"/>
          <w:lang w:val="el-GR"/>
        </w:rPr>
        <w:t>,</w:t>
      </w:r>
      <w:r w:rsidR="009E4BA4">
        <w:rPr>
          <w:rFonts w:asciiTheme="minorHAnsi" w:hAnsiTheme="minorHAnsi" w:cs="Segoe UI"/>
          <w:i/>
          <w:iCs/>
          <w:sz w:val="24"/>
          <w:lang w:val="el-GR"/>
        </w:rPr>
        <w:t xml:space="preserve"> </w:t>
      </w:r>
      <w:r w:rsidR="009411AE">
        <w:rPr>
          <w:rFonts w:asciiTheme="minorHAnsi" w:hAnsiTheme="minorHAnsi" w:cs="Segoe UI"/>
          <w:i/>
          <w:iCs/>
          <w:sz w:val="24"/>
          <w:lang w:val="el-GR"/>
        </w:rPr>
        <w:t xml:space="preserve">παρά </w:t>
      </w:r>
      <w:r w:rsidR="009E4BA4">
        <w:rPr>
          <w:rFonts w:asciiTheme="minorHAnsi" w:hAnsiTheme="minorHAnsi" w:cs="Segoe UI"/>
          <w:i/>
          <w:iCs/>
          <w:sz w:val="24"/>
          <w:lang w:val="el-GR"/>
        </w:rPr>
        <w:t>την αποπληρωμή των υπ</w:t>
      </w:r>
      <w:r w:rsidR="002E354B">
        <w:rPr>
          <w:rFonts w:asciiTheme="minorHAnsi" w:hAnsiTheme="minorHAnsi" w:cs="Segoe UI"/>
          <w:i/>
          <w:iCs/>
          <w:sz w:val="24"/>
          <w:lang w:val="el-GR"/>
        </w:rPr>
        <w:t>ό</w:t>
      </w:r>
      <w:r w:rsidR="009E4BA4">
        <w:rPr>
          <w:rFonts w:asciiTheme="minorHAnsi" w:hAnsiTheme="minorHAnsi" w:cs="Segoe UI"/>
          <w:i/>
          <w:iCs/>
          <w:sz w:val="24"/>
          <w:lang w:val="el-GR"/>
        </w:rPr>
        <w:t xml:space="preserve"> αίρεση μετατρέψιμων ομολογιών </w:t>
      </w:r>
      <w:r w:rsidR="00523FA5">
        <w:rPr>
          <w:rFonts w:asciiTheme="minorHAnsi" w:hAnsiTheme="minorHAnsi" w:cs="Segoe UI"/>
          <w:i/>
          <w:iCs/>
          <w:sz w:val="24"/>
          <w:lang w:val="el-GR"/>
        </w:rPr>
        <w:t>(</w:t>
      </w:r>
      <w:proofErr w:type="spellStart"/>
      <w:r w:rsidR="00523FA5">
        <w:rPr>
          <w:rFonts w:asciiTheme="minorHAnsi" w:hAnsiTheme="minorHAnsi" w:cs="Segoe UI"/>
          <w:i/>
          <w:iCs/>
          <w:sz w:val="24"/>
          <w:lang w:val="en-US"/>
        </w:rPr>
        <w:t>CoCos</w:t>
      </w:r>
      <w:proofErr w:type="spellEnd"/>
      <w:r w:rsidR="00523FA5" w:rsidRPr="00523FA5">
        <w:rPr>
          <w:rFonts w:asciiTheme="minorHAnsi" w:hAnsiTheme="minorHAnsi" w:cs="Segoe UI"/>
          <w:i/>
          <w:iCs/>
          <w:sz w:val="24"/>
          <w:lang w:val="el-GR"/>
        </w:rPr>
        <w:t xml:space="preserve">) </w:t>
      </w:r>
      <w:r w:rsidR="009E4BA4">
        <w:rPr>
          <w:rFonts w:asciiTheme="minorHAnsi" w:hAnsiTheme="minorHAnsi" w:cs="Segoe UI"/>
          <w:i/>
          <w:iCs/>
          <w:sz w:val="24"/>
          <w:lang w:val="el-GR"/>
        </w:rPr>
        <w:t>ύψους €2 δισ. στο τέλος της χρονιάς. Ως αποτέλεσμα, η</w:t>
      </w:r>
      <w:r w:rsidR="009E4BA4" w:rsidRPr="009E4BA4">
        <w:rPr>
          <w:rFonts w:asciiTheme="minorHAnsi" w:hAnsiTheme="minorHAnsi" w:cs="Segoe UI"/>
          <w:i/>
          <w:iCs/>
          <w:sz w:val="24"/>
          <w:lang w:val="el-GR"/>
        </w:rPr>
        <w:t xml:space="preserve"> εξάρτησ</w:t>
      </w:r>
      <w:r w:rsidR="009E4BA4">
        <w:rPr>
          <w:rFonts w:asciiTheme="minorHAnsi" w:hAnsiTheme="minorHAnsi" w:cs="Segoe UI"/>
          <w:i/>
          <w:iCs/>
          <w:sz w:val="24"/>
          <w:lang w:val="el-GR"/>
        </w:rPr>
        <w:t xml:space="preserve">η </w:t>
      </w:r>
      <w:r w:rsidR="009E4BA4" w:rsidRPr="009E4BA4">
        <w:rPr>
          <w:rFonts w:asciiTheme="minorHAnsi" w:hAnsiTheme="minorHAnsi" w:cs="Segoe UI"/>
          <w:i/>
          <w:iCs/>
          <w:sz w:val="24"/>
          <w:lang w:val="el-GR"/>
        </w:rPr>
        <w:t xml:space="preserve">της </w:t>
      </w:r>
      <w:r w:rsidR="009E4BA4">
        <w:rPr>
          <w:rFonts w:asciiTheme="minorHAnsi" w:hAnsiTheme="minorHAnsi" w:cs="Segoe UI"/>
          <w:i/>
          <w:iCs/>
          <w:sz w:val="24"/>
          <w:lang w:val="el-GR"/>
        </w:rPr>
        <w:t xml:space="preserve">Τράπεζας </w:t>
      </w:r>
      <w:r w:rsidR="009E4BA4" w:rsidRPr="009E4BA4">
        <w:rPr>
          <w:rFonts w:asciiTheme="minorHAnsi" w:hAnsiTheme="minorHAnsi" w:cs="Segoe UI"/>
          <w:i/>
          <w:iCs/>
          <w:sz w:val="24"/>
          <w:lang w:val="el-GR"/>
        </w:rPr>
        <w:t xml:space="preserve">από το μηχανισμό ELA </w:t>
      </w:r>
      <w:r w:rsidR="009E4BA4">
        <w:rPr>
          <w:rFonts w:asciiTheme="minorHAnsi" w:hAnsiTheme="minorHAnsi" w:cs="Segoe UI"/>
          <w:i/>
          <w:iCs/>
          <w:sz w:val="24"/>
          <w:lang w:val="el-GR"/>
        </w:rPr>
        <w:t xml:space="preserve">έχει περιοριστεί σε λιγότερο από </w:t>
      </w:r>
      <w:r w:rsidR="00F85C55" w:rsidRPr="002B1020">
        <w:rPr>
          <w:rFonts w:asciiTheme="minorHAnsi" w:hAnsiTheme="minorHAnsi" w:cs="Segoe UI"/>
          <w:i/>
          <w:iCs/>
          <w:sz w:val="24"/>
          <w:lang w:val="el-GR"/>
        </w:rPr>
        <w:t>€</w:t>
      </w:r>
      <w:r w:rsidR="009E4BA4">
        <w:rPr>
          <w:rFonts w:asciiTheme="minorHAnsi" w:hAnsiTheme="minorHAnsi" w:cs="Segoe UI"/>
          <w:i/>
          <w:iCs/>
          <w:sz w:val="24"/>
          <w:lang w:val="el-GR"/>
        </w:rPr>
        <w:t>6</w:t>
      </w:r>
      <w:r w:rsidR="00F85C55" w:rsidRPr="002B1020">
        <w:rPr>
          <w:rFonts w:asciiTheme="minorHAnsi" w:hAnsiTheme="minorHAnsi" w:cs="Segoe UI"/>
          <w:i/>
          <w:iCs/>
          <w:sz w:val="24"/>
          <w:lang w:val="el-GR"/>
        </w:rPr>
        <w:t xml:space="preserve"> δισ</w:t>
      </w:r>
      <w:r w:rsidR="00752E70" w:rsidRPr="002B1020">
        <w:rPr>
          <w:rFonts w:asciiTheme="minorHAnsi" w:hAnsiTheme="minorHAnsi" w:cs="Segoe UI"/>
          <w:i/>
          <w:iCs/>
          <w:sz w:val="24"/>
          <w:lang w:val="el-GR"/>
        </w:rPr>
        <w:t>.</w:t>
      </w:r>
      <w:r w:rsidR="009E4BA4">
        <w:rPr>
          <w:rFonts w:asciiTheme="minorHAnsi" w:hAnsiTheme="minorHAnsi" w:cs="Segoe UI"/>
          <w:i/>
          <w:iCs/>
          <w:sz w:val="24"/>
          <w:lang w:val="el-GR"/>
        </w:rPr>
        <w:t xml:space="preserve">, γεγονός το οποίο καθιστά </w:t>
      </w:r>
      <w:r w:rsidR="008E6DFA">
        <w:rPr>
          <w:rFonts w:asciiTheme="minorHAnsi" w:hAnsiTheme="minorHAnsi" w:cs="Segoe UI"/>
          <w:i/>
          <w:iCs/>
          <w:sz w:val="24"/>
          <w:lang w:val="el-GR"/>
        </w:rPr>
        <w:t>το στόχο της Τράπεζας για την</w:t>
      </w:r>
      <w:r w:rsidR="00B0172D" w:rsidRPr="00B0172D">
        <w:rPr>
          <w:rFonts w:asciiTheme="minorHAnsi" w:hAnsiTheme="minorHAnsi" w:cs="Segoe UI"/>
          <w:i/>
          <w:iCs/>
          <w:sz w:val="24"/>
          <w:lang w:val="el-GR"/>
        </w:rPr>
        <w:t xml:space="preserve"> πλήρ</w:t>
      </w:r>
      <w:r w:rsidR="008E6DFA">
        <w:rPr>
          <w:rFonts w:asciiTheme="minorHAnsi" w:hAnsiTheme="minorHAnsi" w:cs="Segoe UI"/>
          <w:i/>
          <w:iCs/>
          <w:sz w:val="24"/>
          <w:lang w:val="el-GR"/>
        </w:rPr>
        <w:t>η</w:t>
      </w:r>
      <w:r w:rsidR="00B0172D" w:rsidRPr="00B0172D">
        <w:rPr>
          <w:rFonts w:asciiTheme="minorHAnsi" w:hAnsiTheme="minorHAnsi" w:cs="Segoe UI"/>
          <w:i/>
          <w:iCs/>
          <w:sz w:val="24"/>
          <w:lang w:val="el-GR"/>
        </w:rPr>
        <w:t xml:space="preserve"> απεξάρτηση από </w:t>
      </w:r>
      <w:r w:rsidR="00B0172D">
        <w:rPr>
          <w:rFonts w:asciiTheme="minorHAnsi" w:hAnsiTheme="minorHAnsi" w:cs="Segoe UI"/>
          <w:i/>
          <w:iCs/>
          <w:sz w:val="24"/>
          <w:lang w:val="el-GR"/>
        </w:rPr>
        <w:t>τον</w:t>
      </w:r>
      <w:r w:rsidR="004D7124">
        <w:rPr>
          <w:rFonts w:asciiTheme="minorHAnsi" w:hAnsiTheme="minorHAnsi" w:cs="Segoe UI"/>
          <w:i/>
          <w:iCs/>
          <w:sz w:val="24"/>
          <w:lang w:val="el-GR"/>
        </w:rPr>
        <w:t xml:space="preserve"> μηχανισμό </w:t>
      </w:r>
      <w:r w:rsidR="009E4BA4">
        <w:rPr>
          <w:rFonts w:asciiTheme="minorHAnsi" w:hAnsiTheme="minorHAnsi" w:cs="Segoe UI"/>
          <w:i/>
          <w:iCs/>
          <w:sz w:val="24"/>
          <w:lang w:val="en-US"/>
        </w:rPr>
        <w:t>ELA</w:t>
      </w:r>
      <w:r w:rsidR="008E6DFA">
        <w:rPr>
          <w:rFonts w:asciiTheme="minorHAnsi" w:hAnsiTheme="minorHAnsi" w:cs="Segoe UI"/>
          <w:i/>
          <w:iCs/>
          <w:sz w:val="24"/>
          <w:lang w:val="el-GR"/>
        </w:rPr>
        <w:t xml:space="preserve"> εφικτό</w:t>
      </w:r>
      <w:r w:rsidR="009E4BA4">
        <w:rPr>
          <w:rFonts w:asciiTheme="minorHAnsi" w:hAnsiTheme="minorHAnsi" w:cs="Segoe UI"/>
          <w:i/>
          <w:iCs/>
          <w:sz w:val="24"/>
          <w:lang w:val="el-GR"/>
        </w:rPr>
        <w:t xml:space="preserve">. </w:t>
      </w:r>
      <w:r w:rsidR="00752E70" w:rsidRPr="002B1020">
        <w:rPr>
          <w:rFonts w:asciiTheme="minorHAnsi" w:hAnsiTheme="minorHAnsi" w:cs="Segoe UI"/>
          <w:i/>
          <w:iCs/>
          <w:sz w:val="24"/>
          <w:lang w:val="el-GR"/>
        </w:rPr>
        <w:t xml:space="preserve"> </w:t>
      </w:r>
    </w:p>
    <w:p w:rsidR="00A56823" w:rsidRDefault="00273CFB" w:rsidP="009E4BA4">
      <w:pPr>
        <w:spacing w:after="160" w:line="240" w:lineRule="auto"/>
        <w:rPr>
          <w:rFonts w:asciiTheme="minorHAnsi" w:hAnsiTheme="minorHAnsi" w:cs="Segoe UI"/>
          <w:i/>
          <w:iCs/>
          <w:sz w:val="24"/>
          <w:lang w:val="el-GR"/>
        </w:rPr>
      </w:pPr>
      <w:r w:rsidRPr="00273CFB">
        <w:rPr>
          <w:rFonts w:asciiTheme="minorHAnsi" w:hAnsiTheme="minorHAnsi" w:cs="Segoe UI"/>
          <w:i/>
          <w:iCs/>
          <w:sz w:val="24"/>
          <w:lang w:val="el-GR"/>
        </w:rPr>
        <w:t>Όσον αφορά την κεφαλαιακή της επάρκεια</w:t>
      </w:r>
      <w:r w:rsidR="009E4BA4" w:rsidRPr="009E4BA4">
        <w:rPr>
          <w:rFonts w:asciiTheme="minorHAnsi" w:hAnsiTheme="minorHAnsi" w:cs="Segoe UI"/>
          <w:i/>
          <w:iCs/>
          <w:sz w:val="24"/>
          <w:lang w:val="el-GR"/>
        </w:rPr>
        <w:t>, η ΕΤΕ εν</w:t>
      </w:r>
      <w:r w:rsidR="002E354B">
        <w:rPr>
          <w:rFonts w:asciiTheme="minorHAnsi" w:hAnsiTheme="minorHAnsi" w:cs="Segoe UI"/>
          <w:i/>
          <w:iCs/>
          <w:sz w:val="24"/>
          <w:lang w:val="el-GR"/>
        </w:rPr>
        <w:t>ί</w:t>
      </w:r>
      <w:r w:rsidR="009E4BA4" w:rsidRPr="009E4BA4">
        <w:rPr>
          <w:rFonts w:asciiTheme="minorHAnsi" w:hAnsiTheme="minorHAnsi" w:cs="Segoe UI"/>
          <w:i/>
          <w:iCs/>
          <w:sz w:val="24"/>
          <w:lang w:val="el-GR"/>
        </w:rPr>
        <w:t>σχ</w:t>
      </w:r>
      <w:r w:rsidR="002E354B">
        <w:rPr>
          <w:rFonts w:asciiTheme="minorHAnsi" w:hAnsiTheme="minorHAnsi" w:cs="Segoe UI"/>
          <w:i/>
          <w:iCs/>
          <w:sz w:val="24"/>
          <w:lang w:val="el-GR"/>
        </w:rPr>
        <w:t>υ</w:t>
      </w:r>
      <w:r w:rsidR="009E4BA4" w:rsidRPr="009E4BA4">
        <w:rPr>
          <w:rFonts w:asciiTheme="minorHAnsi" w:hAnsiTheme="minorHAnsi" w:cs="Segoe UI"/>
          <w:i/>
          <w:iCs/>
          <w:sz w:val="24"/>
          <w:lang w:val="el-GR"/>
        </w:rPr>
        <w:t xml:space="preserve">σε τα Κύρια Βασικά Ίδια Κεφάλαιά της </w:t>
      </w:r>
      <w:r w:rsidR="009E4BA4">
        <w:rPr>
          <w:rFonts w:asciiTheme="minorHAnsi" w:hAnsiTheme="minorHAnsi" w:cs="Segoe UI"/>
          <w:i/>
          <w:iCs/>
          <w:sz w:val="24"/>
          <w:lang w:val="el-GR"/>
        </w:rPr>
        <w:t>(</w:t>
      </w:r>
      <w:r w:rsidR="009E4BA4">
        <w:rPr>
          <w:rFonts w:asciiTheme="minorHAnsi" w:hAnsiTheme="minorHAnsi" w:cs="Segoe UI"/>
          <w:i/>
          <w:iCs/>
          <w:sz w:val="24"/>
          <w:lang w:val="en-US"/>
        </w:rPr>
        <w:t>CET</w:t>
      </w:r>
      <w:r w:rsidR="009E4BA4" w:rsidRPr="009E4BA4">
        <w:rPr>
          <w:rFonts w:asciiTheme="minorHAnsi" w:hAnsiTheme="minorHAnsi" w:cs="Segoe UI"/>
          <w:i/>
          <w:iCs/>
          <w:sz w:val="24"/>
          <w:lang w:val="el-GR"/>
        </w:rPr>
        <w:t xml:space="preserve">1) </w:t>
      </w:r>
      <w:r w:rsidR="009E4BA4">
        <w:rPr>
          <w:rFonts w:asciiTheme="minorHAnsi" w:hAnsiTheme="minorHAnsi" w:cs="Segoe UI"/>
          <w:i/>
          <w:iCs/>
          <w:sz w:val="24"/>
          <w:lang w:val="el-GR"/>
        </w:rPr>
        <w:t xml:space="preserve">κατά </w:t>
      </w:r>
      <w:r w:rsidR="0018713C">
        <w:rPr>
          <w:rFonts w:asciiTheme="minorHAnsi" w:hAnsiTheme="minorHAnsi" w:cs="Segoe UI"/>
          <w:i/>
          <w:iCs/>
          <w:sz w:val="24"/>
          <w:lang w:val="el-GR"/>
        </w:rPr>
        <w:t xml:space="preserve">περίπου </w:t>
      </w:r>
      <w:r w:rsidR="00930174">
        <w:rPr>
          <w:rFonts w:asciiTheme="minorHAnsi" w:hAnsiTheme="minorHAnsi" w:cs="Segoe UI"/>
          <w:i/>
          <w:iCs/>
          <w:sz w:val="24"/>
          <w:lang w:val="el-GR"/>
        </w:rPr>
        <w:t>7</w:t>
      </w:r>
      <w:r w:rsidR="0018713C">
        <w:rPr>
          <w:rFonts w:asciiTheme="minorHAnsi" w:hAnsiTheme="minorHAnsi" w:cs="Segoe UI"/>
          <w:i/>
          <w:iCs/>
          <w:sz w:val="24"/>
          <w:lang w:val="el-GR"/>
        </w:rPr>
        <w:t>5</w:t>
      </w:r>
      <w:r w:rsidR="00930174">
        <w:rPr>
          <w:rFonts w:asciiTheme="minorHAnsi" w:hAnsiTheme="minorHAnsi" w:cs="Segoe UI"/>
          <w:i/>
          <w:iCs/>
          <w:sz w:val="24"/>
          <w:lang w:val="el-GR"/>
        </w:rPr>
        <w:t xml:space="preserve">0 </w:t>
      </w:r>
      <w:proofErr w:type="spellStart"/>
      <w:r w:rsidR="00930174">
        <w:rPr>
          <w:rFonts w:asciiTheme="minorHAnsi" w:hAnsiTheme="minorHAnsi" w:cs="Segoe UI"/>
          <w:i/>
          <w:iCs/>
          <w:sz w:val="24"/>
          <w:lang w:val="el-GR"/>
        </w:rPr>
        <w:t>μ.β</w:t>
      </w:r>
      <w:proofErr w:type="spellEnd"/>
      <w:r w:rsidR="00930174">
        <w:rPr>
          <w:rFonts w:asciiTheme="minorHAnsi" w:hAnsiTheme="minorHAnsi" w:cs="Segoe UI"/>
          <w:i/>
          <w:iCs/>
          <w:sz w:val="24"/>
          <w:lang w:val="el-GR"/>
        </w:rPr>
        <w:t>. το 2016,</w:t>
      </w:r>
      <w:r w:rsidR="009E4BA4" w:rsidRPr="009E4BA4">
        <w:rPr>
          <w:rFonts w:asciiTheme="minorHAnsi" w:hAnsiTheme="minorHAnsi" w:cs="Segoe UI"/>
          <w:i/>
          <w:iCs/>
          <w:sz w:val="24"/>
          <w:lang w:val="el-GR"/>
        </w:rPr>
        <w:t xml:space="preserve"> </w:t>
      </w:r>
      <w:r w:rsidR="009E4BA4">
        <w:rPr>
          <w:rFonts w:asciiTheme="minorHAnsi" w:hAnsiTheme="minorHAnsi" w:cs="Segoe UI"/>
          <w:i/>
          <w:iCs/>
          <w:sz w:val="24"/>
          <w:lang w:val="el-GR"/>
        </w:rPr>
        <w:t xml:space="preserve">μέσω της επιτυχούς ολοκλήρωσης των </w:t>
      </w:r>
      <w:proofErr w:type="spellStart"/>
      <w:r w:rsidR="009E4BA4">
        <w:rPr>
          <w:rFonts w:asciiTheme="minorHAnsi" w:hAnsiTheme="minorHAnsi" w:cs="Segoe UI"/>
          <w:i/>
          <w:iCs/>
          <w:sz w:val="24"/>
          <w:lang w:val="el-GR"/>
        </w:rPr>
        <w:t>αποεπενδύσεων</w:t>
      </w:r>
      <w:proofErr w:type="spellEnd"/>
      <w:r w:rsidR="009E4BA4">
        <w:rPr>
          <w:rFonts w:asciiTheme="minorHAnsi" w:hAnsiTheme="minorHAnsi" w:cs="Segoe UI"/>
          <w:i/>
          <w:iCs/>
          <w:sz w:val="24"/>
          <w:lang w:val="el-GR"/>
        </w:rPr>
        <w:t xml:space="preserve"> από τη </w:t>
      </w:r>
      <w:proofErr w:type="spellStart"/>
      <w:r w:rsidR="009E4BA4">
        <w:rPr>
          <w:rFonts w:asciiTheme="minorHAnsi" w:hAnsiTheme="minorHAnsi" w:cs="Segoe UI"/>
          <w:i/>
          <w:iCs/>
          <w:sz w:val="24"/>
          <w:lang w:val="en-US"/>
        </w:rPr>
        <w:t>Finansbank</w:t>
      </w:r>
      <w:proofErr w:type="spellEnd"/>
      <w:r w:rsidR="009E4BA4" w:rsidRPr="009E4BA4">
        <w:rPr>
          <w:rFonts w:asciiTheme="minorHAnsi" w:hAnsiTheme="minorHAnsi" w:cs="Segoe UI"/>
          <w:i/>
          <w:iCs/>
          <w:sz w:val="24"/>
          <w:lang w:val="el-GR"/>
        </w:rPr>
        <w:t xml:space="preserve">, </w:t>
      </w:r>
      <w:r w:rsidR="009E4BA4">
        <w:rPr>
          <w:rFonts w:asciiTheme="minorHAnsi" w:hAnsiTheme="minorHAnsi" w:cs="Segoe UI"/>
          <w:i/>
          <w:iCs/>
          <w:sz w:val="24"/>
          <w:lang w:val="el-GR"/>
        </w:rPr>
        <w:t>την ΑΣΤΗΡ ΠΑΛΑΣ και</w:t>
      </w:r>
      <w:r w:rsidR="002A0EE6">
        <w:rPr>
          <w:rFonts w:asciiTheme="minorHAnsi" w:hAnsiTheme="minorHAnsi" w:cs="Segoe UI"/>
          <w:i/>
          <w:iCs/>
          <w:sz w:val="24"/>
          <w:lang w:val="el-GR"/>
        </w:rPr>
        <w:t xml:space="preserve"> την</w:t>
      </w:r>
      <w:r w:rsidR="009E4BA4">
        <w:rPr>
          <w:rFonts w:asciiTheme="minorHAnsi" w:hAnsiTheme="minorHAnsi" w:cs="Segoe UI"/>
          <w:i/>
          <w:iCs/>
          <w:sz w:val="24"/>
          <w:lang w:val="el-GR"/>
        </w:rPr>
        <w:t xml:space="preserve"> </w:t>
      </w:r>
      <w:r w:rsidR="009E4BA4">
        <w:rPr>
          <w:rFonts w:asciiTheme="minorHAnsi" w:hAnsiTheme="minorHAnsi" w:cs="Segoe UI"/>
          <w:i/>
          <w:iCs/>
          <w:sz w:val="24"/>
          <w:lang w:val="en-US"/>
        </w:rPr>
        <w:t>NBGI</w:t>
      </w:r>
      <w:r w:rsidR="00A56823" w:rsidRPr="00A56823">
        <w:rPr>
          <w:rFonts w:asciiTheme="minorHAnsi" w:hAnsiTheme="minorHAnsi" w:cs="Segoe UI"/>
          <w:i/>
          <w:iCs/>
          <w:sz w:val="24"/>
          <w:lang w:val="el-GR"/>
        </w:rPr>
        <w:t xml:space="preserve"> </w:t>
      </w:r>
      <w:r w:rsidR="00A56823">
        <w:rPr>
          <w:rFonts w:asciiTheme="minorHAnsi" w:hAnsiTheme="minorHAnsi" w:cs="Segoe UI"/>
          <w:i/>
          <w:iCs/>
          <w:sz w:val="24"/>
          <w:lang w:val="en-US"/>
        </w:rPr>
        <w:t>Private</w:t>
      </w:r>
      <w:r w:rsidR="00A56823" w:rsidRPr="00A56823">
        <w:rPr>
          <w:rFonts w:asciiTheme="minorHAnsi" w:hAnsiTheme="minorHAnsi" w:cs="Segoe UI"/>
          <w:i/>
          <w:iCs/>
          <w:sz w:val="24"/>
          <w:lang w:val="el-GR"/>
        </w:rPr>
        <w:t xml:space="preserve"> </w:t>
      </w:r>
      <w:r w:rsidR="00A56823">
        <w:rPr>
          <w:rFonts w:asciiTheme="minorHAnsi" w:hAnsiTheme="minorHAnsi" w:cs="Segoe UI"/>
          <w:i/>
          <w:iCs/>
          <w:sz w:val="24"/>
          <w:lang w:val="en-US"/>
        </w:rPr>
        <w:t>Equity</w:t>
      </w:r>
      <w:r w:rsidR="009E4BA4">
        <w:rPr>
          <w:rFonts w:asciiTheme="minorHAnsi" w:hAnsiTheme="minorHAnsi" w:cs="Segoe UI"/>
          <w:i/>
          <w:iCs/>
          <w:sz w:val="24"/>
          <w:lang w:val="el-GR"/>
        </w:rPr>
        <w:t xml:space="preserve">. </w:t>
      </w:r>
      <w:r w:rsidR="00B7776D">
        <w:rPr>
          <w:rFonts w:asciiTheme="minorHAnsi" w:hAnsiTheme="minorHAnsi" w:cs="Segoe UI"/>
          <w:i/>
          <w:iCs/>
          <w:sz w:val="24"/>
          <w:lang w:val="el-GR"/>
        </w:rPr>
        <w:t>Σαν συνέπεια</w:t>
      </w:r>
      <w:r w:rsidR="009E4BA4">
        <w:rPr>
          <w:rFonts w:asciiTheme="minorHAnsi" w:hAnsiTheme="minorHAnsi" w:cs="Segoe UI"/>
          <w:i/>
          <w:iCs/>
          <w:sz w:val="24"/>
          <w:lang w:val="el-GR"/>
        </w:rPr>
        <w:t xml:space="preserve">, </w:t>
      </w:r>
      <w:r w:rsidR="00996395">
        <w:rPr>
          <w:rFonts w:asciiTheme="minorHAnsi" w:hAnsiTheme="minorHAnsi" w:cs="Segoe UI"/>
          <w:i/>
          <w:iCs/>
          <w:sz w:val="24"/>
          <w:lang w:val="el-GR"/>
        </w:rPr>
        <w:t xml:space="preserve">η Τράπεζα έλαβε την έγκριση από την </w:t>
      </w:r>
      <w:r w:rsidR="001C4D06" w:rsidRPr="001C4D06">
        <w:rPr>
          <w:rFonts w:asciiTheme="minorHAnsi" w:hAnsiTheme="minorHAnsi" w:cs="Segoe UI"/>
          <w:i/>
          <w:iCs/>
          <w:sz w:val="24"/>
          <w:lang w:val="el-GR"/>
        </w:rPr>
        <w:t xml:space="preserve">Ευρωπαϊκή Επιτροπή </w:t>
      </w:r>
      <w:r w:rsidR="00996395">
        <w:rPr>
          <w:rFonts w:asciiTheme="minorHAnsi" w:hAnsiTheme="minorHAnsi" w:cs="Segoe UI"/>
          <w:i/>
          <w:iCs/>
          <w:sz w:val="24"/>
          <w:lang w:val="el-GR"/>
        </w:rPr>
        <w:t>για</w:t>
      </w:r>
      <w:r w:rsidR="001C4D06">
        <w:rPr>
          <w:rFonts w:asciiTheme="minorHAnsi" w:hAnsiTheme="minorHAnsi" w:cs="Segoe UI"/>
          <w:i/>
          <w:iCs/>
          <w:sz w:val="24"/>
          <w:lang w:val="el-GR"/>
        </w:rPr>
        <w:t xml:space="preserve"> την αποπληρωμή </w:t>
      </w:r>
      <w:r w:rsidR="0070473D">
        <w:rPr>
          <w:rFonts w:asciiTheme="minorHAnsi" w:hAnsiTheme="minorHAnsi" w:cs="Segoe UI"/>
          <w:i/>
          <w:iCs/>
          <w:sz w:val="24"/>
          <w:lang w:val="el-GR"/>
        </w:rPr>
        <w:t xml:space="preserve">κεφαλαίων </w:t>
      </w:r>
      <w:r w:rsidR="0070473D" w:rsidRPr="002A0EE6">
        <w:rPr>
          <w:rFonts w:asciiTheme="minorHAnsi" w:hAnsiTheme="minorHAnsi" w:cs="Segoe UI"/>
          <w:i/>
          <w:iCs/>
          <w:sz w:val="24"/>
          <w:lang w:val="el-GR"/>
        </w:rPr>
        <w:t xml:space="preserve">ύψους €2 δισ. </w:t>
      </w:r>
      <w:proofErr w:type="spellStart"/>
      <w:r w:rsidR="004E5EDF">
        <w:rPr>
          <w:rFonts w:asciiTheme="minorHAnsi" w:hAnsiTheme="minorHAnsi" w:cs="Segoe UI"/>
          <w:i/>
          <w:iCs/>
          <w:sz w:val="24"/>
          <w:lang w:val="el-GR"/>
        </w:rPr>
        <w:t>υπο</w:t>
      </w:r>
      <w:proofErr w:type="spellEnd"/>
      <w:r w:rsidR="004E5EDF">
        <w:rPr>
          <w:rFonts w:asciiTheme="minorHAnsi" w:hAnsiTheme="minorHAnsi" w:cs="Segoe UI"/>
          <w:i/>
          <w:iCs/>
          <w:sz w:val="24"/>
          <w:lang w:val="el-GR"/>
        </w:rPr>
        <w:t xml:space="preserve"> </w:t>
      </w:r>
      <w:proofErr w:type="spellStart"/>
      <w:r w:rsidR="0070473D">
        <w:rPr>
          <w:rFonts w:asciiTheme="minorHAnsi" w:hAnsiTheme="minorHAnsi" w:cs="Segoe UI"/>
          <w:i/>
          <w:iCs/>
          <w:sz w:val="24"/>
          <w:lang w:val="el-GR"/>
        </w:rPr>
        <w:t>μορφ</w:t>
      </w:r>
      <w:r w:rsidR="004E5EDF">
        <w:rPr>
          <w:rFonts w:asciiTheme="minorHAnsi" w:hAnsiTheme="minorHAnsi" w:cs="Segoe UI"/>
          <w:i/>
          <w:iCs/>
          <w:sz w:val="24"/>
          <w:lang w:val="el-GR"/>
        </w:rPr>
        <w:t>ήν</w:t>
      </w:r>
      <w:proofErr w:type="spellEnd"/>
      <w:r w:rsidR="004E5EDF">
        <w:rPr>
          <w:rFonts w:asciiTheme="minorHAnsi" w:hAnsiTheme="minorHAnsi" w:cs="Segoe UI"/>
          <w:i/>
          <w:iCs/>
          <w:sz w:val="24"/>
          <w:lang w:val="el-GR"/>
        </w:rPr>
        <w:t xml:space="preserve"> </w:t>
      </w:r>
      <w:proofErr w:type="spellStart"/>
      <w:r w:rsidR="001C4D06" w:rsidRPr="009E4BA4">
        <w:rPr>
          <w:rFonts w:asciiTheme="minorHAnsi" w:hAnsiTheme="minorHAnsi" w:cs="Segoe UI"/>
          <w:i/>
          <w:iCs/>
          <w:sz w:val="24"/>
          <w:lang w:val="en-US"/>
        </w:rPr>
        <w:t>CoCos</w:t>
      </w:r>
      <w:proofErr w:type="spellEnd"/>
      <w:r w:rsidR="001C4D06" w:rsidRPr="009E4BA4">
        <w:rPr>
          <w:rFonts w:asciiTheme="minorHAnsi" w:hAnsiTheme="minorHAnsi" w:cs="Segoe UI"/>
          <w:i/>
          <w:iCs/>
          <w:sz w:val="24"/>
          <w:lang w:val="el-GR"/>
        </w:rPr>
        <w:t xml:space="preserve"> </w:t>
      </w:r>
      <w:r w:rsidR="002A0EE6" w:rsidRPr="002A0EE6">
        <w:rPr>
          <w:rFonts w:asciiTheme="minorHAnsi" w:hAnsiTheme="minorHAnsi" w:cs="Segoe UI"/>
          <w:i/>
          <w:iCs/>
          <w:sz w:val="24"/>
          <w:lang w:val="el-GR"/>
        </w:rPr>
        <w:t>στο τέλος της χρονιάς</w:t>
      </w:r>
      <w:r w:rsidR="00A56823">
        <w:rPr>
          <w:rFonts w:asciiTheme="minorHAnsi" w:hAnsiTheme="minorHAnsi" w:cs="Segoe UI"/>
          <w:i/>
          <w:iCs/>
          <w:sz w:val="24"/>
          <w:lang w:val="el-GR"/>
        </w:rPr>
        <w:t xml:space="preserve">. Η επιτυχής ολοκλήρωση των υπόλοιπων </w:t>
      </w:r>
      <w:proofErr w:type="spellStart"/>
      <w:r w:rsidR="00A56823">
        <w:rPr>
          <w:rFonts w:asciiTheme="minorHAnsi" w:hAnsiTheme="minorHAnsi" w:cs="Segoe UI"/>
          <w:i/>
          <w:iCs/>
          <w:sz w:val="24"/>
          <w:lang w:val="el-GR"/>
        </w:rPr>
        <w:t>αποεπενδύσεων</w:t>
      </w:r>
      <w:proofErr w:type="spellEnd"/>
      <w:r w:rsidR="00A56823">
        <w:rPr>
          <w:rFonts w:asciiTheme="minorHAnsi" w:hAnsiTheme="minorHAnsi" w:cs="Segoe UI"/>
          <w:i/>
          <w:iCs/>
          <w:sz w:val="24"/>
          <w:lang w:val="el-GR"/>
        </w:rPr>
        <w:t xml:space="preserve">, είτε αυτές έχουν ήδη συμφωνηθεί, είτε βρίσκονται </w:t>
      </w:r>
      <w:r w:rsidR="00F80DB0">
        <w:rPr>
          <w:rFonts w:asciiTheme="minorHAnsi" w:hAnsiTheme="minorHAnsi" w:cs="Segoe UI"/>
          <w:i/>
          <w:iCs/>
          <w:sz w:val="24"/>
          <w:lang w:val="el-GR"/>
        </w:rPr>
        <w:t>σε εξέλιξη</w:t>
      </w:r>
      <w:r w:rsidR="001C4D06" w:rsidRPr="001C4D06">
        <w:rPr>
          <w:rFonts w:asciiTheme="minorHAnsi" w:hAnsiTheme="minorHAnsi" w:cs="Segoe UI"/>
          <w:i/>
          <w:iCs/>
          <w:sz w:val="24"/>
          <w:lang w:val="el-GR"/>
        </w:rPr>
        <w:t xml:space="preserve">, </w:t>
      </w:r>
      <w:r w:rsidR="00A56823">
        <w:rPr>
          <w:rFonts w:asciiTheme="minorHAnsi" w:hAnsiTheme="minorHAnsi" w:cs="Segoe UI"/>
          <w:i/>
          <w:iCs/>
          <w:sz w:val="24"/>
          <w:lang w:val="el-GR"/>
        </w:rPr>
        <w:t>αναμένεται να ενισχύσ</w:t>
      </w:r>
      <w:r w:rsidR="00F80DB0">
        <w:rPr>
          <w:rFonts w:asciiTheme="minorHAnsi" w:hAnsiTheme="minorHAnsi" w:cs="Segoe UI"/>
          <w:i/>
          <w:iCs/>
          <w:sz w:val="24"/>
          <w:lang w:val="el-GR"/>
        </w:rPr>
        <w:t>ει</w:t>
      </w:r>
      <w:r w:rsidR="00967EB2">
        <w:rPr>
          <w:rFonts w:asciiTheme="minorHAnsi" w:hAnsiTheme="minorHAnsi" w:cs="Segoe UI"/>
          <w:i/>
          <w:iCs/>
          <w:sz w:val="24"/>
          <w:lang w:val="el-GR"/>
        </w:rPr>
        <w:t xml:space="preserve"> τους</w:t>
      </w:r>
      <w:r w:rsidR="00A56823">
        <w:rPr>
          <w:rFonts w:asciiTheme="minorHAnsi" w:hAnsiTheme="minorHAnsi" w:cs="Segoe UI"/>
          <w:i/>
          <w:iCs/>
          <w:sz w:val="24"/>
          <w:lang w:val="el-GR"/>
        </w:rPr>
        <w:t xml:space="preserve"> δείκτ</w:t>
      </w:r>
      <w:r w:rsidR="00967EB2">
        <w:rPr>
          <w:rFonts w:asciiTheme="minorHAnsi" w:hAnsiTheme="minorHAnsi" w:cs="Segoe UI"/>
          <w:i/>
          <w:iCs/>
          <w:sz w:val="24"/>
          <w:lang w:val="el-GR"/>
        </w:rPr>
        <w:t>ες κεφαλαιακής επάρκειας</w:t>
      </w:r>
      <w:r w:rsidR="00F80DB0">
        <w:rPr>
          <w:rFonts w:asciiTheme="minorHAnsi" w:hAnsiTheme="minorHAnsi" w:cs="Segoe UI"/>
          <w:i/>
          <w:iCs/>
          <w:sz w:val="24"/>
          <w:lang w:val="el-GR"/>
        </w:rPr>
        <w:t xml:space="preserve"> της Τράπεζας</w:t>
      </w:r>
      <w:r w:rsidR="00967EB2">
        <w:rPr>
          <w:rFonts w:asciiTheme="minorHAnsi" w:hAnsiTheme="minorHAnsi" w:cs="Segoe UI"/>
          <w:i/>
          <w:iCs/>
          <w:sz w:val="24"/>
          <w:lang w:val="el-GR"/>
        </w:rPr>
        <w:t xml:space="preserve"> </w:t>
      </w:r>
      <w:r w:rsidR="000645FB">
        <w:rPr>
          <w:rFonts w:asciiTheme="minorHAnsi" w:hAnsiTheme="minorHAnsi" w:cs="Segoe UI"/>
          <w:i/>
          <w:iCs/>
          <w:sz w:val="24"/>
          <w:lang w:val="el-GR"/>
        </w:rPr>
        <w:t>περαιτέρω</w:t>
      </w:r>
      <w:r w:rsidR="003847F5">
        <w:rPr>
          <w:rFonts w:asciiTheme="minorHAnsi" w:hAnsiTheme="minorHAnsi" w:cs="Segoe UI"/>
          <w:i/>
          <w:iCs/>
          <w:sz w:val="24"/>
          <w:lang w:val="el-GR"/>
        </w:rPr>
        <w:t>.</w:t>
      </w:r>
      <w:r w:rsidR="00A56823">
        <w:rPr>
          <w:rFonts w:asciiTheme="minorHAnsi" w:hAnsiTheme="minorHAnsi" w:cs="Segoe UI"/>
          <w:i/>
          <w:iCs/>
          <w:sz w:val="24"/>
          <w:lang w:val="el-GR"/>
        </w:rPr>
        <w:t xml:space="preserve"> </w:t>
      </w:r>
      <w:r w:rsidR="00F80DB0">
        <w:rPr>
          <w:rFonts w:asciiTheme="minorHAnsi" w:hAnsiTheme="minorHAnsi" w:cs="Segoe UI"/>
          <w:i/>
          <w:iCs/>
          <w:sz w:val="24"/>
          <w:lang w:val="el-GR"/>
        </w:rPr>
        <w:t xml:space="preserve"> </w:t>
      </w:r>
    </w:p>
    <w:p w:rsidR="00A56823" w:rsidRPr="00A56823" w:rsidRDefault="00B42160" w:rsidP="00BC55BA">
      <w:pPr>
        <w:spacing w:after="160" w:line="240" w:lineRule="auto"/>
        <w:rPr>
          <w:rFonts w:asciiTheme="minorHAnsi" w:hAnsiTheme="minorHAnsi" w:cs="Segoe UI"/>
          <w:i/>
          <w:iCs/>
          <w:sz w:val="24"/>
          <w:lang w:val="el-GR"/>
        </w:rPr>
      </w:pPr>
      <w:r>
        <w:rPr>
          <w:rFonts w:asciiTheme="minorHAnsi" w:hAnsiTheme="minorHAnsi" w:cs="Segoe UI"/>
          <w:i/>
          <w:iCs/>
          <w:sz w:val="24"/>
          <w:lang w:val="el-GR"/>
        </w:rPr>
        <w:t xml:space="preserve">Αναφορικά με </w:t>
      </w:r>
      <w:r w:rsidR="00A56823" w:rsidRPr="00A56823">
        <w:rPr>
          <w:rFonts w:asciiTheme="minorHAnsi" w:hAnsiTheme="minorHAnsi" w:cs="Segoe UI"/>
          <w:i/>
          <w:iCs/>
          <w:sz w:val="24"/>
          <w:lang w:val="el-GR"/>
        </w:rPr>
        <w:t>τ</w:t>
      </w:r>
      <w:r w:rsidR="00752E70" w:rsidRPr="00A56823">
        <w:rPr>
          <w:rFonts w:asciiTheme="minorHAnsi" w:hAnsiTheme="minorHAnsi" w:cs="Segoe UI"/>
          <w:i/>
          <w:iCs/>
          <w:sz w:val="24"/>
          <w:lang w:val="el-GR"/>
        </w:rPr>
        <w:t xml:space="preserve">α λειτουργικά </w:t>
      </w:r>
      <w:r w:rsidR="00D96EFF" w:rsidRPr="00A56823">
        <w:rPr>
          <w:rFonts w:asciiTheme="minorHAnsi" w:hAnsiTheme="minorHAnsi" w:cs="Segoe UI"/>
          <w:i/>
          <w:iCs/>
          <w:sz w:val="24"/>
          <w:lang w:val="el-GR"/>
        </w:rPr>
        <w:t xml:space="preserve">αποτελέσματα της Τράπεζας, τα κέρδη </w:t>
      </w:r>
      <w:r w:rsidR="00A56823" w:rsidRPr="00A56823">
        <w:rPr>
          <w:rFonts w:asciiTheme="minorHAnsi" w:hAnsiTheme="minorHAnsi" w:cs="Segoe UI"/>
          <w:i/>
          <w:iCs/>
          <w:sz w:val="24"/>
          <w:lang w:val="el-GR"/>
        </w:rPr>
        <w:t xml:space="preserve">μετά φόρων από συνεχιζόμενες δραστηριότητες κινήθηκαν σε θετικά επίπεδα έναντι </w:t>
      </w:r>
      <w:proofErr w:type="spellStart"/>
      <w:r w:rsidR="00A56823" w:rsidRPr="00A56823">
        <w:rPr>
          <w:rFonts w:asciiTheme="minorHAnsi" w:hAnsiTheme="minorHAnsi" w:cs="Segoe UI"/>
          <w:i/>
          <w:iCs/>
          <w:sz w:val="24"/>
          <w:lang w:val="el-GR"/>
        </w:rPr>
        <w:t>ζημίων</w:t>
      </w:r>
      <w:proofErr w:type="spellEnd"/>
      <w:r w:rsidR="00A56823" w:rsidRPr="00A56823">
        <w:rPr>
          <w:rFonts w:asciiTheme="minorHAnsi" w:hAnsiTheme="minorHAnsi" w:cs="Segoe UI"/>
          <w:i/>
          <w:iCs/>
          <w:sz w:val="24"/>
          <w:lang w:val="el-GR"/>
        </w:rPr>
        <w:t xml:space="preserve"> ύψους €2,5 δισ. το 2015, με παρόμοια αποτελέσματα και τάσεις και σε επίπεδο λειτουργικών αποτελεσμάτων. </w:t>
      </w:r>
    </w:p>
    <w:p w:rsidR="00901454" w:rsidRPr="00F50813" w:rsidRDefault="006D786A" w:rsidP="00BC55BA">
      <w:pPr>
        <w:spacing w:after="160" w:line="240" w:lineRule="auto"/>
        <w:rPr>
          <w:rFonts w:ascii="Segoe UI" w:hAnsi="Segoe UI" w:cs="Segoe UI"/>
          <w:b/>
          <w:lang w:val="el-GR" w:eastAsia="el-GR" w:bidi="el-GR"/>
        </w:rPr>
      </w:pPr>
      <w:r w:rsidRPr="007B65B8">
        <w:rPr>
          <w:rFonts w:asciiTheme="minorHAnsi" w:hAnsiTheme="minorHAnsi" w:cs="Segoe UI"/>
          <w:i/>
          <w:iCs/>
          <w:sz w:val="24"/>
          <w:lang w:val="el-GR"/>
        </w:rPr>
        <w:t>Το 2017, το οικονομικό περιβάλλον αναμένεται να συνεχίσει να βελτιώνεται</w:t>
      </w:r>
      <w:r>
        <w:rPr>
          <w:rFonts w:asciiTheme="minorHAnsi" w:hAnsiTheme="minorHAnsi" w:cs="Segoe UI"/>
          <w:i/>
          <w:iCs/>
          <w:sz w:val="24"/>
          <w:lang w:val="el-GR"/>
        </w:rPr>
        <w:t xml:space="preserve">. </w:t>
      </w:r>
      <w:r w:rsidR="00B53AB4">
        <w:rPr>
          <w:rFonts w:asciiTheme="minorHAnsi" w:hAnsiTheme="minorHAnsi" w:cs="Segoe UI"/>
          <w:i/>
          <w:iCs/>
          <w:sz w:val="24"/>
          <w:lang w:val="el-GR"/>
        </w:rPr>
        <w:t xml:space="preserve">Οι στρατηγικές μας προτεραιότητες περιλαμβάνουν την </w:t>
      </w:r>
      <w:r w:rsidR="000645FB">
        <w:rPr>
          <w:rFonts w:asciiTheme="minorHAnsi" w:hAnsiTheme="minorHAnsi" w:cs="Segoe UI"/>
          <w:i/>
          <w:iCs/>
          <w:sz w:val="24"/>
          <w:lang w:val="el-GR"/>
        </w:rPr>
        <w:t>περαιτέρω</w:t>
      </w:r>
      <w:r w:rsidR="00A56823" w:rsidRPr="00A56823">
        <w:rPr>
          <w:rFonts w:asciiTheme="minorHAnsi" w:hAnsiTheme="minorHAnsi" w:cs="Segoe UI"/>
          <w:i/>
          <w:iCs/>
          <w:sz w:val="24"/>
          <w:lang w:val="el-GR"/>
        </w:rPr>
        <w:t xml:space="preserve"> </w:t>
      </w:r>
      <w:r w:rsidR="00B53AB4">
        <w:rPr>
          <w:rFonts w:asciiTheme="minorHAnsi" w:hAnsiTheme="minorHAnsi" w:cs="Segoe UI"/>
          <w:i/>
          <w:iCs/>
          <w:sz w:val="24"/>
          <w:lang w:val="el-GR"/>
        </w:rPr>
        <w:t xml:space="preserve">αποκλιμάκωση των </w:t>
      </w:r>
      <w:r w:rsidR="00A56823" w:rsidRPr="00A56823">
        <w:rPr>
          <w:rFonts w:asciiTheme="minorHAnsi" w:hAnsiTheme="minorHAnsi" w:cs="Segoe UI"/>
          <w:i/>
          <w:iCs/>
          <w:sz w:val="24"/>
          <w:lang w:val="el-GR"/>
        </w:rPr>
        <w:t>Μη Εξυπηρετούμεν</w:t>
      </w:r>
      <w:r w:rsidR="00B53AB4">
        <w:rPr>
          <w:rFonts w:asciiTheme="minorHAnsi" w:hAnsiTheme="minorHAnsi" w:cs="Segoe UI"/>
          <w:i/>
          <w:iCs/>
          <w:sz w:val="24"/>
          <w:lang w:val="el-GR"/>
        </w:rPr>
        <w:t>ων</w:t>
      </w:r>
      <w:r w:rsidR="00A56823" w:rsidRPr="00A56823">
        <w:rPr>
          <w:rFonts w:asciiTheme="minorHAnsi" w:hAnsiTheme="minorHAnsi" w:cs="Segoe UI"/>
          <w:i/>
          <w:iCs/>
          <w:sz w:val="24"/>
          <w:lang w:val="el-GR"/>
        </w:rPr>
        <w:t xml:space="preserve"> Ανο</w:t>
      </w:r>
      <w:r w:rsidR="00B53AB4">
        <w:rPr>
          <w:rFonts w:asciiTheme="minorHAnsi" w:hAnsiTheme="minorHAnsi" w:cs="Segoe UI"/>
          <w:i/>
          <w:iCs/>
          <w:sz w:val="24"/>
          <w:lang w:val="el-GR"/>
        </w:rPr>
        <w:t>ιγμά</w:t>
      </w:r>
      <w:r w:rsidR="00A56823" w:rsidRPr="00A56823">
        <w:rPr>
          <w:rFonts w:asciiTheme="minorHAnsi" w:hAnsiTheme="minorHAnsi" w:cs="Segoe UI"/>
          <w:i/>
          <w:iCs/>
          <w:sz w:val="24"/>
          <w:lang w:val="el-GR"/>
        </w:rPr>
        <w:t>τ</w:t>
      </w:r>
      <w:r w:rsidR="00B53AB4">
        <w:rPr>
          <w:rFonts w:asciiTheme="minorHAnsi" w:hAnsiTheme="minorHAnsi" w:cs="Segoe UI"/>
          <w:i/>
          <w:iCs/>
          <w:sz w:val="24"/>
          <w:lang w:val="el-GR"/>
        </w:rPr>
        <w:t>ων</w:t>
      </w:r>
      <w:r w:rsidR="00A56823" w:rsidRPr="00A56823">
        <w:rPr>
          <w:rFonts w:asciiTheme="minorHAnsi" w:hAnsiTheme="minorHAnsi" w:cs="Segoe UI"/>
          <w:i/>
          <w:iCs/>
          <w:sz w:val="24"/>
          <w:lang w:val="el-GR"/>
        </w:rPr>
        <w:t xml:space="preserve">, σύμφωνα με </w:t>
      </w:r>
      <w:r w:rsidR="00967EB2">
        <w:rPr>
          <w:rFonts w:asciiTheme="minorHAnsi" w:hAnsiTheme="minorHAnsi" w:cs="Segoe UI"/>
          <w:i/>
          <w:iCs/>
          <w:sz w:val="24"/>
          <w:lang w:val="el-GR"/>
        </w:rPr>
        <w:t xml:space="preserve">τους στόχους μας </w:t>
      </w:r>
      <w:r w:rsidR="00485BE6">
        <w:rPr>
          <w:rFonts w:asciiTheme="minorHAnsi" w:hAnsiTheme="minorHAnsi" w:cs="Segoe UI"/>
          <w:i/>
          <w:iCs/>
          <w:sz w:val="24"/>
          <w:lang w:val="el-GR"/>
        </w:rPr>
        <w:t xml:space="preserve">προς τον </w:t>
      </w:r>
      <w:r w:rsidR="00B42160">
        <w:rPr>
          <w:rFonts w:asciiTheme="minorHAnsi" w:hAnsiTheme="minorHAnsi" w:cs="Segoe UI"/>
          <w:i/>
          <w:iCs/>
          <w:sz w:val="24"/>
          <w:lang w:val="el-GR"/>
        </w:rPr>
        <w:t>Ενιαίο Μηχανισμό Στήριξης (</w:t>
      </w:r>
      <w:r w:rsidR="00A56823" w:rsidRPr="00A56823">
        <w:rPr>
          <w:rFonts w:asciiTheme="minorHAnsi" w:hAnsiTheme="minorHAnsi" w:cs="Segoe UI"/>
          <w:i/>
          <w:iCs/>
          <w:sz w:val="24"/>
          <w:lang w:val="el-GR"/>
        </w:rPr>
        <w:t>ΕΜΣ</w:t>
      </w:r>
      <w:r w:rsidR="00B42160">
        <w:rPr>
          <w:rFonts w:asciiTheme="minorHAnsi" w:hAnsiTheme="minorHAnsi" w:cs="Segoe UI"/>
          <w:i/>
          <w:iCs/>
          <w:sz w:val="24"/>
          <w:lang w:val="el-GR"/>
        </w:rPr>
        <w:t>)</w:t>
      </w:r>
      <w:r w:rsidR="00A56823" w:rsidRPr="00A56823">
        <w:rPr>
          <w:rFonts w:asciiTheme="minorHAnsi" w:hAnsiTheme="minorHAnsi" w:cs="Segoe UI"/>
          <w:i/>
          <w:iCs/>
          <w:sz w:val="24"/>
          <w:lang w:val="el-GR"/>
        </w:rPr>
        <w:t>,</w:t>
      </w:r>
      <w:r w:rsidR="00B53AB4">
        <w:rPr>
          <w:rFonts w:asciiTheme="minorHAnsi" w:hAnsiTheme="minorHAnsi" w:cs="Segoe UI"/>
          <w:i/>
          <w:iCs/>
          <w:sz w:val="24"/>
          <w:lang w:val="el-GR"/>
        </w:rPr>
        <w:t xml:space="preserve"> τη σημαντική μείωση </w:t>
      </w:r>
      <w:r w:rsidR="00967EB2">
        <w:rPr>
          <w:rFonts w:asciiTheme="minorHAnsi" w:hAnsiTheme="minorHAnsi" w:cs="Segoe UI"/>
          <w:i/>
          <w:iCs/>
          <w:sz w:val="24"/>
          <w:lang w:val="el-GR"/>
        </w:rPr>
        <w:t xml:space="preserve">της έκθεσης στο μηχανισμό ELA, η οποία θα θέσει τις βάσεις για την πλήρη εξάλειψή της στις αρχές του 2018, </w:t>
      </w:r>
      <w:r w:rsidR="00645271">
        <w:rPr>
          <w:rFonts w:asciiTheme="minorHAnsi" w:hAnsiTheme="minorHAnsi" w:cs="Segoe UI"/>
          <w:i/>
          <w:iCs/>
          <w:sz w:val="24"/>
          <w:lang w:val="el-GR"/>
        </w:rPr>
        <w:t xml:space="preserve">την ενίσχυση των κεφαλαίων μας μέσω </w:t>
      </w:r>
      <w:r w:rsidR="00EC7FDD">
        <w:rPr>
          <w:rFonts w:asciiTheme="minorHAnsi" w:hAnsiTheme="minorHAnsi" w:cs="Segoe UI"/>
          <w:i/>
          <w:iCs/>
          <w:sz w:val="24"/>
          <w:lang w:val="el-GR"/>
        </w:rPr>
        <w:t>επιπλέον</w:t>
      </w:r>
      <w:r w:rsidR="00645271">
        <w:rPr>
          <w:rFonts w:asciiTheme="minorHAnsi" w:hAnsiTheme="minorHAnsi" w:cs="Segoe UI"/>
          <w:i/>
          <w:iCs/>
          <w:sz w:val="24"/>
          <w:lang w:val="el-GR"/>
        </w:rPr>
        <w:t xml:space="preserve"> κεφαλαιακών ενεργειών, όπως ορίζει το σχέδιο αναδιάρθρωσης της Τράπεζας, </w:t>
      </w:r>
      <w:r w:rsidR="00967EB2">
        <w:rPr>
          <w:rFonts w:asciiTheme="minorHAnsi" w:hAnsiTheme="minorHAnsi" w:cs="Segoe UI"/>
          <w:i/>
          <w:iCs/>
          <w:sz w:val="24"/>
          <w:lang w:val="el-GR"/>
        </w:rPr>
        <w:t xml:space="preserve">καθώς και </w:t>
      </w:r>
      <w:r w:rsidR="00645271">
        <w:rPr>
          <w:rFonts w:asciiTheme="minorHAnsi" w:hAnsiTheme="minorHAnsi" w:cs="Segoe UI"/>
          <w:i/>
          <w:iCs/>
          <w:sz w:val="24"/>
          <w:lang w:val="el-GR"/>
        </w:rPr>
        <w:t>τ</w:t>
      </w:r>
      <w:r w:rsidR="00967EB2">
        <w:rPr>
          <w:rFonts w:asciiTheme="minorHAnsi" w:hAnsiTheme="minorHAnsi" w:cs="Segoe UI"/>
          <w:i/>
          <w:iCs/>
          <w:sz w:val="24"/>
          <w:lang w:val="el-GR"/>
        </w:rPr>
        <w:t xml:space="preserve">η </w:t>
      </w:r>
      <w:r w:rsidR="00A56823" w:rsidRPr="00A56823">
        <w:rPr>
          <w:rFonts w:asciiTheme="minorHAnsi" w:hAnsiTheme="minorHAnsi" w:cs="Segoe UI"/>
          <w:i/>
          <w:iCs/>
          <w:sz w:val="24"/>
          <w:lang w:val="el-GR"/>
        </w:rPr>
        <w:t>διατ</w:t>
      </w:r>
      <w:r w:rsidR="00967EB2">
        <w:rPr>
          <w:rFonts w:asciiTheme="minorHAnsi" w:hAnsiTheme="minorHAnsi" w:cs="Segoe UI"/>
          <w:i/>
          <w:iCs/>
          <w:sz w:val="24"/>
          <w:lang w:val="el-GR"/>
        </w:rPr>
        <w:t>ήρηση των</w:t>
      </w:r>
      <w:r w:rsidR="00A56823" w:rsidRPr="00A56823">
        <w:rPr>
          <w:rFonts w:asciiTheme="minorHAnsi" w:hAnsiTheme="minorHAnsi" w:cs="Segoe UI"/>
          <w:i/>
          <w:iCs/>
          <w:sz w:val="24"/>
          <w:lang w:val="el-GR"/>
        </w:rPr>
        <w:t xml:space="preserve"> θετικ</w:t>
      </w:r>
      <w:r w:rsidR="00967EB2">
        <w:rPr>
          <w:rFonts w:asciiTheme="minorHAnsi" w:hAnsiTheme="minorHAnsi" w:cs="Segoe UI"/>
          <w:i/>
          <w:iCs/>
          <w:sz w:val="24"/>
          <w:lang w:val="el-GR"/>
        </w:rPr>
        <w:t>ών τάσεων</w:t>
      </w:r>
      <w:r w:rsidR="00A56823" w:rsidRPr="00A56823">
        <w:rPr>
          <w:rFonts w:asciiTheme="minorHAnsi" w:hAnsiTheme="minorHAnsi" w:cs="Segoe UI"/>
          <w:i/>
          <w:iCs/>
          <w:sz w:val="24"/>
          <w:lang w:val="el-GR"/>
        </w:rPr>
        <w:t xml:space="preserve"> στην εγχώρια οργανική κερδοφορία</w:t>
      </w:r>
      <w:r w:rsidR="00967EB2">
        <w:rPr>
          <w:rFonts w:asciiTheme="minorHAnsi" w:hAnsiTheme="minorHAnsi" w:cs="Segoe UI"/>
          <w:i/>
          <w:iCs/>
          <w:sz w:val="24"/>
          <w:lang w:val="el-GR"/>
        </w:rPr>
        <w:t>, η οποία περιλαμβάνει την αύξηση των χορηγήσεων σε εγχώριες επιχειρήσεις.</w:t>
      </w:r>
      <w:r w:rsidR="00A56823" w:rsidRPr="00A56823">
        <w:rPr>
          <w:rFonts w:asciiTheme="minorHAnsi" w:hAnsiTheme="minorHAnsi" w:cs="Segoe UI"/>
          <w:i/>
          <w:iCs/>
          <w:sz w:val="24"/>
          <w:lang w:val="el-GR"/>
        </w:rPr>
        <w:t xml:space="preserve">   </w:t>
      </w:r>
    </w:p>
    <w:p w:rsidR="00901454" w:rsidRPr="00D53B37" w:rsidRDefault="00901454" w:rsidP="00BC55BA">
      <w:pPr>
        <w:spacing w:after="160" w:line="240" w:lineRule="auto"/>
        <w:rPr>
          <w:rFonts w:ascii="Segoe UI" w:hAnsi="Segoe UI" w:cs="Segoe UI"/>
          <w:b/>
          <w:sz w:val="10"/>
          <w:szCs w:val="10"/>
          <w:lang w:val="el-GR" w:eastAsia="el-GR" w:bidi="el-GR"/>
        </w:rPr>
      </w:pPr>
    </w:p>
    <w:p w:rsidR="00901454" w:rsidRPr="0007762E" w:rsidRDefault="00901454" w:rsidP="004929D8">
      <w:pPr>
        <w:spacing w:after="160" w:line="240" w:lineRule="auto"/>
        <w:jc w:val="right"/>
        <w:rPr>
          <w:rFonts w:asciiTheme="minorHAnsi" w:hAnsiTheme="minorHAnsi" w:cs="Segoe UI"/>
          <w:i/>
          <w:iCs/>
          <w:lang w:val="el-GR"/>
        </w:rPr>
      </w:pPr>
      <w:r w:rsidRPr="0007762E">
        <w:rPr>
          <w:rFonts w:asciiTheme="minorHAnsi" w:hAnsiTheme="minorHAnsi" w:cs="Segoe UI"/>
          <w:i/>
          <w:lang w:val="el-GR" w:eastAsia="en-GB"/>
        </w:rPr>
        <w:t xml:space="preserve">Αθήνα, </w:t>
      </w:r>
      <w:r w:rsidR="00437FF5">
        <w:rPr>
          <w:rFonts w:asciiTheme="minorHAnsi" w:hAnsiTheme="minorHAnsi" w:cs="Segoe UI"/>
          <w:i/>
          <w:lang w:val="el-GR" w:eastAsia="en-GB"/>
        </w:rPr>
        <w:t xml:space="preserve">30 Μαρτίου </w:t>
      </w:r>
      <w:r w:rsidRPr="0007762E">
        <w:rPr>
          <w:rFonts w:asciiTheme="minorHAnsi" w:hAnsiTheme="minorHAnsi" w:cs="Segoe UI"/>
          <w:i/>
          <w:lang w:val="el-GR" w:eastAsia="en-GB"/>
        </w:rPr>
        <w:t>201</w:t>
      </w:r>
      <w:r w:rsidR="00437FF5">
        <w:rPr>
          <w:rFonts w:asciiTheme="minorHAnsi" w:hAnsiTheme="minorHAnsi" w:cs="Segoe UI"/>
          <w:i/>
          <w:lang w:val="el-GR" w:eastAsia="en-GB"/>
        </w:rPr>
        <w:t>7</w:t>
      </w:r>
    </w:p>
    <w:p w:rsidR="00901454" w:rsidRPr="0007762E" w:rsidRDefault="00901454" w:rsidP="004929D8">
      <w:pPr>
        <w:spacing w:after="160" w:line="240" w:lineRule="auto"/>
        <w:jc w:val="right"/>
        <w:rPr>
          <w:rFonts w:asciiTheme="minorHAnsi" w:hAnsiTheme="minorHAnsi" w:cs="Segoe UI"/>
          <w:i/>
          <w:iCs/>
          <w:lang w:val="el-GR"/>
        </w:rPr>
      </w:pPr>
      <w:r w:rsidRPr="0007762E">
        <w:rPr>
          <w:rFonts w:asciiTheme="minorHAnsi" w:hAnsiTheme="minorHAnsi" w:cs="Segoe UI"/>
          <w:i/>
          <w:lang w:val="el-GR" w:eastAsia="en-GB"/>
        </w:rPr>
        <w:t xml:space="preserve">Λεωνίδας </w:t>
      </w:r>
      <w:proofErr w:type="spellStart"/>
      <w:r w:rsidRPr="0007762E">
        <w:rPr>
          <w:rFonts w:asciiTheme="minorHAnsi" w:hAnsiTheme="minorHAnsi" w:cs="Segoe UI"/>
          <w:i/>
          <w:lang w:val="el-GR" w:eastAsia="en-GB"/>
        </w:rPr>
        <w:t>Φραγκιαδάκης</w:t>
      </w:r>
      <w:proofErr w:type="spellEnd"/>
    </w:p>
    <w:p w:rsidR="00901454" w:rsidRPr="00F50813" w:rsidRDefault="00901454" w:rsidP="004929D8">
      <w:pPr>
        <w:spacing w:after="160" w:line="240" w:lineRule="auto"/>
        <w:jc w:val="right"/>
        <w:rPr>
          <w:rFonts w:ascii="Segoe UI" w:hAnsi="Segoe UI" w:cs="Segoe UI"/>
          <w:b/>
          <w:lang w:val="el-GR" w:eastAsia="el-GR" w:bidi="el-GR"/>
        </w:rPr>
      </w:pPr>
      <w:r w:rsidRPr="0007762E">
        <w:rPr>
          <w:rFonts w:asciiTheme="minorHAnsi" w:hAnsiTheme="minorHAnsi" w:cs="Segoe UI"/>
          <w:i/>
          <w:lang w:val="el-GR" w:eastAsia="en-GB"/>
        </w:rPr>
        <w:t>Διευθύνων Σύμβουλος ΕΤΕ</w:t>
      </w:r>
    </w:p>
    <w:p w:rsidR="00901454" w:rsidRPr="00D53B37" w:rsidRDefault="00901454" w:rsidP="004929D8">
      <w:pPr>
        <w:spacing w:after="160" w:line="240" w:lineRule="auto"/>
        <w:jc w:val="both"/>
        <w:rPr>
          <w:rFonts w:ascii="Segoe UI" w:hAnsi="Segoe UI" w:cs="Segoe UI"/>
          <w:b/>
          <w:sz w:val="4"/>
          <w:lang w:val="el-GR" w:eastAsia="el-GR" w:bidi="el-GR"/>
        </w:rPr>
      </w:pPr>
      <w:r w:rsidRPr="00D53B37">
        <w:rPr>
          <w:rFonts w:ascii="Segoe UI" w:hAnsi="Segoe UI" w:cs="Segoe UI"/>
          <w:b/>
          <w:sz w:val="4"/>
          <w:lang w:val="el-GR" w:eastAsia="el-GR" w:bidi="el-GR"/>
        </w:rPr>
        <w:br w:type="page"/>
      </w:r>
    </w:p>
    <w:p w:rsidR="00F33DA9" w:rsidRPr="00A6792B" w:rsidRDefault="00F33DA9" w:rsidP="004929D8">
      <w:pPr>
        <w:autoSpaceDE w:val="0"/>
        <w:autoSpaceDN w:val="0"/>
        <w:adjustRightInd w:val="0"/>
        <w:spacing w:after="160" w:line="320" w:lineRule="atLeast"/>
        <w:jc w:val="both"/>
        <w:rPr>
          <w:rFonts w:ascii="Segoe UI" w:hAnsi="Segoe UI" w:cs="Segoe UI"/>
          <w:b/>
          <w:sz w:val="20"/>
          <w:lang w:val="el-GR" w:eastAsia="el-GR" w:bidi="el-GR"/>
        </w:rPr>
      </w:pPr>
      <w:r w:rsidRPr="00A6792B">
        <w:rPr>
          <w:rFonts w:ascii="Segoe UI" w:hAnsi="Segoe UI" w:cs="Segoe UI"/>
          <w:b/>
          <w:sz w:val="20"/>
          <w:lang w:val="el-GR" w:eastAsia="el-GR" w:bidi="el-GR"/>
        </w:rPr>
        <w:lastRenderedPageBreak/>
        <w:t>Κερδοφορία</w:t>
      </w:r>
    </w:p>
    <w:p w:rsidR="00F33DA9" w:rsidRPr="005F29CA" w:rsidRDefault="00F33DA9" w:rsidP="004929D8">
      <w:pPr>
        <w:autoSpaceDE w:val="0"/>
        <w:autoSpaceDN w:val="0"/>
        <w:adjustRightInd w:val="0"/>
        <w:spacing w:after="160" w:line="320" w:lineRule="atLeast"/>
        <w:jc w:val="both"/>
        <w:rPr>
          <w:rFonts w:ascii="Segoe UI" w:hAnsi="Segoe UI" w:cs="Segoe UI"/>
          <w:sz w:val="20"/>
          <w:u w:val="single"/>
          <w:lang w:val="el-GR" w:eastAsia="el-GR" w:bidi="el-GR"/>
        </w:rPr>
      </w:pPr>
      <w:r w:rsidRPr="00A6792B">
        <w:rPr>
          <w:rFonts w:ascii="Segoe UI" w:hAnsi="Segoe UI" w:cs="Segoe UI"/>
          <w:sz w:val="20"/>
          <w:u w:val="single"/>
          <w:lang w:val="el-GR" w:eastAsia="el-GR" w:bidi="el-GR"/>
        </w:rPr>
        <w:t>Ελλάδα</w:t>
      </w:r>
    </w:p>
    <w:p w:rsidR="00907637" w:rsidRPr="00B7603D" w:rsidRDefault="00F33DA9"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 xml:space="preserve">Τα οργανικά κέρδη προ προβλέψεων </w:t>
      </w:r>
      <w:r w:rsidR="00437FF5">
        <w:rPr>
          <w:rFonts w:ascii="Segoe UI" w:hAnsi="Segoe UI" w:cs="Segoe UI"/>
          <w:sz w:val="20"/>
          <w:lang w:val="el-GR" w:eastAsia="el-GR" w:bidi="el-GR"/>
        </w:rPr>
        <w:t>ενισχύθηκαν κατά 5,</w:t>
      </w:r>
      <w:r w:rsidR="00CD7EEE">
        <w:rPr>
          <w:rFonts w:ascii="Segoe UI" w:hAnsi="Segoe UI" w:cs="Segoe UI"/>
          <w:sz w:val="20"/>
          <w:lang w:val="el-GR" w:eastAsia="el-GR" w:bidi="el-GR"/>
        </w:rPr>
        <w:t>2</w:t>
      </w:r>
      <w:r w:rsidR="00437FF5">
        <w:rPr>
          <w:rFonts w:ascii="Segoe UI" w:hAnsi="Segoe UI" w:cs="Segoe UI"/>
          <w:sz w:val="20"/>
          <w:lang w:val="el-GR" w:eastAsia="el-GR" w:bidi="el-GR"/>
        </w:rPr>
        <w:t xml:space="preserve">% σε </w:t>
      </w:r>
      <w:r w:rsidR="00B06FAA" w:rsidRPr="00B06FAA">
        <w:rPr>
          <w:rFonts w:ascii="Segoe UI" w:hAnsi="Segoe UI" w:cs="Segoe UI"/>
          <w:sz w:val="20"/>
          <w:lang w:val="el-GR" w:eastAsia="el-GR" w:bidi="el-GR"/>
        </w:rPr>
        <w:t xml:space="preserve">τριμηνιαία βάση </w:t>
      </w:r>
      <w:r w:rsidR="00B06FAA" w:rsidRPr="00A6792B">
        <w:rPr>
          <w:rFonts w:ascii="Segoe UI" w:hAnsi="Segoe UI" w:cs="Segoe UI"/>
          <w:sz w:val="20"/>
          <w:lang w:val="el-GR" w:eastAsia="el-GR" w:bidi="el-GR"/>
        </w:rPr>
        <w:t xml:space="preserve">το </w:t>
      </w:r>
      <w:r w:rsidR="00437FF5">
        <w:rPr>
          <w:rFonts w:ascii="Segoe UI" w:hAnsi="Segoe UI" w:cs="Segoe UI"/>
          <w:sz w:val="20"/>
          <w:lang w:val="el-GR" w:eastAsia="el-GR" w:bidi="el-GR"/>
        </w:rPr>
        <w:t>Δ</w:t>
      </w:r>
      <w:r w:rsidR="00B06FAA" w:rsidRPr="00A6792B">
        <w:rPr>
          <w:rFonts w:ascii="Segoe UI" w:hAnsi="Segoe UI" w:cs="Segoe UI"/>
          <w:sz w:val="20"/>
          <w:lang w:val="el-GR" w:eastAsia="el-GR" w:bidi="el-GR"/>
        </w:rPr>
        <w:t xml:space="preserve">΄ τρίμηνο του 2016 </w:t>
      </w:r>
      <w:r w:rsidR="00907637" w:rsidRPr="00A6792B">
        <w:rPr>
          <w:rFonts w:ascii="Segoe UI" w:hAnsi="Segoe UI" w:cs="Segoe UI"/>
          <w:sz w:val="20"/>
          <w:lang w:val="el-GR" w:eastAsia="el-GR" w:bidi="el-GR"/>
        </w:rPr>
        <w:t xml:space="preserve">σε </w:t>
      </w:r>
      <w:r w:rsidRPr="00A6792B">
        <w:rPr>
          <w:rFonts w:ascii="Segoe UI" w:hAnsi="Segoe UI" w:cs="Segoe UI"/>
          <w:sz w:val="20"/>
          <w:lang w:val="el-GR" w:eastAsia="el-GR" w:bidi="el-GR"/>
        </w:rPr>
        <w:t>€</w:t>
      </w:r>
      <w:r w:rsidR="00907637" w:rsidRPr="00A6792B">
        <w:rPr>
          <w:rFonts w:ascii="Segoe UI" w:hAnsi="Segoe UI" w:cs="Segoe UI"/>
          <w:sz w:val="20"/>
          <w:lang w:val="el-GR" w:eastAsia="el-GR" w:bidi="el-GR"/>
        </w:rPr>
        <w:t>2</w:t>
      </w:r>
      <w:r w:rsidR="00437FF5">
        <w:rPr>
          <w:rFonts w:ascii="Segoe UI" w:hAnsi="Segoe UI" w:cs="Segoe UI"/>
          <w:sz w:val="20"/>
          <w:lang w:val="el-GR" w:eastAsia="el-GR" w:bidi="el-GR"/>
        </w:rPr>
        <w:t>16</w:t>
      </w:r>
      <w:r w:rsidR="0069173C">
        <w:rPr>
          <w:rFonts w:ascii="Segoe UI" w:hAnsi="Segoe UI" w:cs="Segoe UI"/>
          <w:sz w:val="20"/>
          <w:lang w:val="el-GR" w:eastAsia="el-GR" w:bidi="el-GR"/>
        </w:rPr>
        <w:t xml:space="preserve"> εκατ.</w:t>
      </w:r>
      <w:r w:rsidR="00437FF5">
        <w:rPr>
          <w:rFonts w:ascii="Segoe UI" w:hAnsi="Segoe UI" w:cs="Segoe UI"/>
          <w:sz w:val="20"/>
          <w:lang w:val="el-GR" w:eastAsia="el-GR" w:bidi="el-GR"/>
        </w:rPr>
        <w:t>, αντανακλώντας τ</w:t>
      </w:r>
      <w:r w:rsidR="00B06FAA" w:rsidRPr="00B06FAA">
        <w:rPr>
          <w:rFonts w:ascii="Segoe UI" w:hAnsi="Segoe UI" w:cs="Segoe UI"/>
          <w:sz w:val="20"/>
          <w:lang w:val="el-GR" w:eastAsia="el-GR" w:bidi="el-GR"/>
        </w:rPr>
        <w:t>η μείωση του κόστους ρευστότητας</w:t>
      </w:r>
      <w:r w:rsidR="00437FF5">
        <w:rPr>
          <w:rFonts w:ascii="Segoe UI" w:hAnsi="Segoe UI" w:cs="Segoe UI"/>
          <w:sz w:val="20"/>
          <w:lang w:val="el-GR" w:eastAsia="el-GR" w:bidi="el-GR"/>
        </w:rPr>
        <w:t xml:space="preserve"> και την περιστολή των λειτουργικών δαπανών, παρά την εποχικότητα</w:t>
      </w:r>
      <w:r w:rsidR="00952AC3" w:rsidRPr="00B7603D">
        <w:rPr>
          <w:rFonts w:ascii="Segoe UI" w:hAnsi="Segoe UI" w:cs="Segoe UI"/>
          <w:sz w:val="20"/>
          <w:lang w:val="el-GR" w:eastAsia="el-GR" w:bidi="el-GR"/>
        </w:rPr>
        <w:t>.</w:t>
      </w:r>
    </w:p>
    <w:p w:rsidR="00E60901" w:rsidRPr="00EF056D" w:rsidRDefault="00F33DA9"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 xml:space="preserve">Τα </w:t>
      </w:r>
      <w:r w:rsidR="00EF056D">
        <w:rPr>
          <w:rFonts w:ascii="Segoe UI" w:hAnsi="Segoe UI" w:cs="Segoe UI"/>
          <w:sz w:val="20"/>
          <w:lang w:val="el-GR" w:eastAsia="el-GR" w:bidi="el-GR"/>
        </w:rPr>
        <w:t xml:space="preserve">καθαρά </w:t>
      </w:r>
      <w:r w:rsidRPr="00A6792B">
        <w:rPr>
          <w:rFonts w:ascii="Segoe UI" w:hAnsi="Segoe UI" w:cs="Segoe UI"/>
          <w:sz w:val="20"/>
          <w:lang w:val="el-GR" w:eastAsia="el-GR" w:bidi="el-GR"/>
        </w:rPr>
        <w:t xml:space="preserve">έσοδα από τόκους </w:t>
      </w:r>
      <w:r w:rsidR="00437FF5">
        <w:rPr>
          <w:rFonts w:ascii="Segoe UI" w:hAnsi="Segoe UI" w:cs="Segoe UI"/>
          <w:sz w:val="20"/>
          <w:lang w:val="el-GR" w:eastAsia="el-GR" w:bidi="el-GR"/>
        </w:rPr>
        <w:t xml:space="preserve">διαμορφώθηκαν σε €393 εκατ. από </w:t>
      </w:r>
      <w:r w:rsidRPr="00A6792B">
        <w:rPr>
          <w:rFonts w:ascii="Segoe UI" w:hAnsi="Segoe UI" w:cs="Segoe UI"/>
          <w:sz w:val="20"/>
          <w:lang w:val="el-GR" w:eastAsia="el-GR" w:bidi="el-GR"/>
        </w:rPr>
        <w:t>€</w:t>
      </w:r>
      <w:r w:rsidR="00907637" w:rsidRPr="00A6792B">
        <w:rPr>
          <w:rFonts w:ascii="Segoe UI" w:hAnsi="Segoe UI" w:cs="Segoe UI"/>
          <w:sz w:val="20"/>
          <w:lang w:val="el-GR" w:eastAsia="el-GR" w:bidi="el-GR"/>
        </w:rPr>
        <w:t>40</w:t>
      </w:r>
      <w:r w:rsidR="00B06FAA">
        <w:rPr>
          <w:rFonts w:ascii="Segoe UI" w:hAnsi="Segoe UI" w:cs="Segoe UI"/>
          <w:sz w:val="20"/>
          <w:lang w:val="el-GR" w:eastAsia="el-GR" w:bidi="el-GR"/>
        </w:rPr>
        <w:t>3</w:t>
      </w:r>
      <w:r w:rsidRPr="00A6792B">
        <w:rPr>
          <w:rFonts w:ascii="Segoe UI" w:hAnsi="Segoe UI" w:cs="Segoe UI"/>
          <w:sz w:val="20"/>
          <w:lang w:val="el-GR" w:eastAsia="el-GR" w:bidi="el-GR"/>
        </w:rPr>
        <w:t xml:space="preserve"> εκατ.</w:t>
      </w:r>
      <w:r w:rsidR="00E60901">
        <w:rPr>
          <w:rFonts w:ascii="Segoe UI" w:hAnsi="Segoe UI" w:cs="Segoe UI"/>
          <w:sz w:val="20"/>
          <w:lang w:val="el-GR" w:eastAsia="el-GR" w:bidi="el-GR"/>
        </w:rPr>
        <w:t xml:space="preserve"> </w:t>
      </w:r>
      <w:r w:rsidRPr="00A6792B">
        <w:rPr>
          <w:rFonts w:ascii="Segoe UI" w:hAnsi="Segoe UI" w:cs="Segoe UI"/>
          <w:sz w:val="20"/>
          <w:lang w:val="el-GR" w:eastAsia="el-GR" w:bidi="el-GR"/>
        </w:rPr>
        <w:t xml:space="preserve">το </w:t>
      </w:r>
      <w:r w:rsidR="00E60901">
        <w:rPr>
          <w:rFonts w:ascii="Segoe UI" w:hAnsi="Segoe UI" w:cs="Segoe UI"/>
          <w:sz w:val="20"/>
          <w:lang w:val="el-GR" w:eastAsia="el-GR" w:bidi="el-GR"/>
        </w:rPr>
        <w:t>Γ</w:t>
      </w:r>
      <w:r w:rsidRPr="00A6792B">
        <w:rPr>
          <w:rFonts w:ascii="Segoe UI" w:hAnsi="Segoe UI" w:cs="Segoe UI"/>
          <w:sz w:val="20"/>
          <w:lang w:val="el-GR" w:eastAsia="el-GR" w:bidi="el-GR"/>
        </w:rPr>
        <w:t>΄ τρίμηνο του 201</w:t>
      </w:r>
      <w:r w:rsidR="00907637" w:rsidRPr="00A6792B">
        <w:rPr>
          <w:rFonts w:ascii="Segoe UI" w:hAnsi="Segoe UI" w:cs="Segoe UI"/>
          <w:sz w:val="20"/>
          <w:lang w:val="el-GR" w:eastAsia="el-GR" w:bidi="el-GR"/>
        </w:rPr>
        <w:t>6</w:t>
      </w:r>
      <w:r w:rsidRPr="00A6792B">
        <w:rPr>
          <w:rFonts w:ascii="Segoe UI" w:hAnsi="Segoe UI" w:cs="Segoe UI"/>
          <w:sz w:val="20"/>
          <w:lang w:val="el-GR" w:eastAsia="el-GR" w:bidi="el-GR"/>
        </w:rPr>
        <w:t>,</w:t>
      </w:r>
      <w:r w:rsidR="00227B4D">
        <w:rPr>
          <w:rFonts w:ascii="Segoe UI" w:hAnsi="Segoe UI" w:cs="Segoe UI"/>
          <w:sz w:val="20"/>
          <w:lang w:val="el-GR" w:eastAsia="el-GR" w:bidi="el-GR"/>
        </w:rPr>
        <w:t xml:space="preserve"> </w:t>
      </w:r>
      <w:r w:rsidR="00E60901">
        <w:rPr>
          <w:rFonts w:ascii="Segoe UI" w:hAnsi="Segoe UI" w:cs="Segoe UI"/>
          <w:sz w:val="20"/>
          <w:lang w:val="el-GR" w:eastAsia="el-GR" w:bidi="el-GR"/>
        </w:rPr>
        <w:t xml:space="preserve">καθώς η αρνητική </w:t>
      </w:r>
      <w:r w:rsidR="00C03BE2">
        <w:rPr>
          <w:rFonts w:ascii="Segoe UI" w:hAnsi="Segoe UI" w:cs="Segoe UI"/>
          <w:sz w:val="20"/>
          <w:lang w:val="el-GR" w:eastAsia="el-GR" w:bidi="el-GR"/>
        </w:rPr>
        <w:t>επίπτωση</w:t>
      </w:r>
      <w:r w:rsidR="00E60901">
        <w:rPr>
          <w:rFonts w:ascii="Segoe UI" w:hAnsi="Segoe UI" w:cs="Segoe UI"/>
          <w:sz w:val="20"/>
          <w:lang w:val="el-GR" w:eastAsia="el-GR" w:bidi="el-GR"/>
        </w:rPr>
        <w:t xml:space="preserve"> από την </w:t>
      </w:r>
      <w:proofErr w:type="spellStart"/>
      <w:r w:rsidR="00E60901">
        <w:rPr>
          <w:rFonts w:ascii="Segoe UI" w:hAnsi="Segoe UI" w:cs="Segoe UI"/>
          <w:sz w:val="20"/>
          <w:lang w:val="el-GR" w:eastAsia="el-GR" w:bidi="el-GR"/>
        </w:rPr>
        <w:t>απομόχλευση</w:t>
      </w:r>
      <w:proofErr w:type="spellEnd"/>
      <w:r w:rsidR="00E60901">
        <w:rPr>
          <w:rFonts w:ascii="Segoe UI" w:hAnsi="Segoe UI" w:cs="Segoe UI"/>
          <w:sz w:val="20"/>
          <w:lang w:val="el-GR" w:eastAsia="el-GR" w:bidi="el-GR"/>
        </w:rPr>
        <w:t xml:space="preserve"> δανείω</w:t>
      </w:r>
      <w:r w:rsidR="00844412">
        <w:rPr>
          <w:rFonts w:ascii="Segoe UI" w:hAnsi="Segoe UI" w:cs="Segoe UI"/>
          <w:sz w:val="20"/>
          <w:lang w:val="el-GR" w:eastAsia="el-GR" w:bidi="el-GR"/>
        </w:rPr>
        <w:t xml:space="preserve">ν αντιστάθμισε το όφελος από την </w:t>
      </w:r>
      <w:proofErr w:type="spellStart"/>
      <w:r w:rsidR="00844412" w:rsidRPr="00844412">
        <w:rPr>
          <w:rFonts w:ascii="Segoe UI" w:hAnsi="Segoe UI" w:cs="Segoe UI"/>
          <w:sz w:val="20"/>
          <w:lang w:val="el-GR" w:eastAsia="el-GR" w:bidi="el-GR"/>
        </w:rPr>
        <w:t>ανατιμολόγηση</w:t>
      </w:r>
      <w:proofErr w:type="spellEnd"/>
      <w:r w:rsidR="00844412" w:rsidRPr="00844412">
        <w:rPr>
          <w:rFonts w:ascii="Segoe UI" w:hAnsi="Segoe UI" w:cs="Segoe UI"/>
          <w:sz w:val="20"/>
          <w:lang w:val="el-GR" w:eastAsia="el-GR" w:bidi="el-GR"/>
        </w:rPr>
        <w:t xml:space="preserve"> του κόστους των προθεσμιακών καταθέσεων και την αποκλιμάκωση της χρηματοδότησης από τον ELA</w:t>
      </w:r>
      <w:r w:rsidR="00E60901">
        <w:rPr>
          <w:rFonts w:ascii="Segoe UI" w:hAnsi="Segoe UI" w:cs="Segoe UI"/>
          <w:sz w:val="20"/>
          <w:lang w:val="el-GR" w:eastAsia="el-GR" w:bidi="el-GR"/>
        </w:rPr>
        <w:t>.</w:t>
      </w:r>
      <w:r w:rsidR="00EF056D">
        <w:rPr>
          <w:rFonts w:ascii="Segoe UI" w:hAnsi="Segoe UI" w:cs="Segoe UI"/>
          <w:sz w:val="20"/>
          <w:lang w:val="el-GR" w:eastAsia="el-GR" w:bidi="el-GR"/>
        </w:rPr>
        <w:t xml:space="preserve"> </w:t>
      </w:r>
      <w:r w:rsidR="002E354B">
        <w:rPr>
          <w:rFonts w:ascii="Segoe UI" w:hAnsi="Segoe UI" w:cs="Segoe UI"/>
          <w:sz w:val="20"/>
          <w:lang w:val="el-GR" w:eastAsia="el-GR" w:bidi="el-GR"/>
        </w:rPr>
        <w:t>Η μείωση του ενεργητικού λόγω</w:t>
      </w:r>
      <w:r w:rsidR="00EF056D">
        <w:rPr>
          <w:rFonts w:ascii="Segoe UI" w:hAnsi="Segoe UI" w:cs="Segoe UI"/>
          <w:sz w:val="20"/>
          <w:lang w:val="el-GR" w:eastAsia="el-GR" w:bidi="el-GR"/>
        </w:rPr>
        <w:t xml:space="preserve"> πωλήσε</w:t>
      </w:r>
      <w:r w:rsidR="002E354B">
        <w:rPr>
          <w:rFonts w:ascii="Segoe UI" w:hAnsi="Segoe UI" w:cs="Segoe UI"/>
          <w:sz w:val="20"/>
          <w:lang w:val="el-GR" w:eastAsia="el-GR" w:bidi="el-GR"/>
        </w:rPr>
        <w:t>ων</w:t>
      </w:r>
      <w:r w:rsidR="00EF056D">
        <w:rPr>
          <w:rFonts w:ascii="Segoe UI" w:hAnsi="Segoe UI" w:cs="Segoe UI"/>
          <w:sz w:val="20"/>
          <w:lang w:val="el-GR" w:eastAsia="el-GR" w:bidi="el-GR"/>
        </w:rPr>
        <w:t xml:space="preserve"> ομολόγων </w:t>
      </w:r>
      <w:r w:rsidR="00BF4C5B" w:rsidRPr="00BF4C5B">
        <w:rPr>
          <w:rFonts w:ascii="Segoe UI" w:hAnsi="Segoe UI" w:cs="Segoe UI"/>
          <w:sz w:val="20"/>
          <w:lang w:val="el-GR" w:eastAsia="el-GR" w:bidi="el-GR"/>
        </w:rPr>
        <w:t>Ευρωπαϊκού Ταμείου Χρηματοπιστωτικής Σταθερότητας (</w:t>
      </w:r>
      <w:r w:rsidR="00EF056D">
        <w:rPr>
          <w:rFonts w:ascii="Segoe UI" w:hAnsi="Segoe UI" w:cs="Segoe UI"/>
          <w:sz w:val="20"/>
          <w:lang w:val="el-GR" w:eastAsia="el-GR" w:bidi="el-GR"/>
        </w:rPr>
        <w:t>ΕΤΧΣ</w:t>
      </w:r>
      <w:r w:rsidR="00BF4C5B" w:rsidRPr="00BF4C5B">
        <w:rPr>
          <w:rFonts w:ascii="Segoe UI" w:hAnsi="Segoe UI" w:cs="Segoe UI"/>
          <w:sz w:val="20"/>
          <w:lang w:val="el-GR" w:eastAsia="el-GR" w:bidi="el-GR"/>
        </w:rPr>
        <w:t>)</w:t>
      </w:r>
      <w:r w:rsidR="00EF056D">
        <w:rPr>
          <w:rFonts w:ascii="Segoe UI" w:hAnsi="Segoe UI" w:cs="Segoe UI"/>
          <w:sz w:val="20"/>
          <w:lang w:val="el-GR" w:eastAsia="el-GR" w:bidi="el-GR"/>
        </w:rPr>
        <w:t xml:space="preserve"> αξίας €0,9 δι</w:t>
      </w:r>
      <w:r w:rsidR="007F3501">
        <w:rPr>
          <w:rFonts w:ascii="Segoe UI" w:hAnsi="Segoe UI" w:cs="Segoe UI"/>
          <w:sz w:val="20"/>
          <w:lang w:val="el-GR" w:eastAsia="el-GR" w:bidi="el-GR"/>
        </w:rPr>
        <w:t>σ</w:t>
      </w:r>
      <w:r w:rsidR="00EF056D">
        <w:rPr>
          <w:rFonts w:ascii="Segoe UI" w:hAnsi="Segoe UI" w:cs="Segoe UI"/>
          <w:sz w:val="20"/>
          <w:lang w:val="el-GR" w:eastAsia="el-GR" w:bidi="el-GR"/>
        </w:rPr>
        <w:t>.</w:t>
      </w:r>
      <w:r w:rsidR="007F3501">
        <w:rPr>
          <w:rFonts w:ascii="Segoe UI" w:hAnsi="Segoe UI" w:cs="Segoe UI"/>
          <w:sz w:val="20"/>
          <w:lang w:val="el-GR" w:eastAsia="el-GR" w:bidi="el-GR"/>
        </w:rPr>
        <w:t xml:space="preserve"> το Δ’ τρίμηνο</w:t>
      </w:r>
      <w:r w:rsidR="00EF056D">
        <w:rPr>
          <w:rFonts w:ascii="Segoe UI" w:hAnsi="Segoe UI" w:cs="Segoe UI"/>
          <w:sz w:val="20"/>
          <w:lang w:val="el-GR" w:eastAsia="el-GR" w:bidi="el-GR"/>
        </w:rPr>
        <w:t xml:space="preserve">, </w:t>
      </w:r>
      <w:r w:rsidR="002E354B">
        <w:rPr>
          <w:rFonts w:ascii="Segoe UI" w:hAnsi="Segoe UI" w:cs="Segoe UI"/>
          <w:sz w:val="20"/>
          <w:lang w:val="el-GR" w:eastAsia="el-GR" w:bidi="el-GR"/>
        </w:rPr>
        <w:t xml:space="preserve">συνέβαλε στη βελτίωση </w:t>
      </w:r>
      <w:r w:rsidR="00EF056D">
        <w:rPr>
          <w:rFonts w:ascii="Segoe UI" w:hAnsi="Segoe UI" w:cs="Segoe UI"/>
          <w:sz w:val="20"/>
          <w:lang w:val="el-GR" w:eastAsia="el-GR" w:bidi="el-GR"/>
        </w:rPr>
        <w:t>το</w:t>
      </w:r>
      <w:r w:rsidR="002E354B">
        <w:rPr>
          <w:rFonts w:ascii="Segoe UI" w:hAnsi="Segoe UI" w:cs="Segoe UI"/>
          <w:sz w:val="20"/>
          <w:lang w:val="el-GR" w:eastAsia="el-GR" w:bidi="el-GR"/>
        </w:rPr>
        <w:t>υ</w:t>
      </w:r>
      <w:r w:rsidR="00EF056D">
        <w:rPr>
          <w:rFonts w:ascii="Segoe UI" w:hAnsi="Segoe UI" w:cs="Segoe UI"/>
          <w:sz w:val="20"/>
          <w:lang w:val="el-GR" w:eastAsia="el-GR" w:bidi="el-GR"/>
        </w:rPr>
        <w:t xml:space="preserve"> καθαρ</w:t>
      </w:r>
      <w:r w:rsidR="002E354B">
        <w:rPr>
          <w:rFonts w:ascii="Segoe UI" w:hAnsi="Segoe UI" w:cs="Segoe UI"/>
          <w:sz w:val="20"/>
          <w:lang w:val="el-GR" w:eastAsia="el-GR" w:bidi="el-GR"/>
        </w:rPr>
        <w:t>ού</w:t>
      </w:r>
      <w:r w:rsidR="00EF056D">
        <w:rPr>
          <w:rFonts w:ascii="Segoe UI" w:hAnsi="Segoe UI" w:cs="Segoe UI"/>
          <w:sz w:val="20"/>
          <w:lang w:val="el-GR" w:eastAsia="el-GR" w:bidi="el-GR"/>
        </w:rPr>
        <w:t xml:space="preserve"> </w:t>
      </w:r>
      <w:proofErr w:type="spellStart"/>
      <w:r w:rsidR="00EF056D">
        <w:rPr>
          <w:rFonts w:ascii="Segoe UI" w:hAnsi="Segoe UI" w:cs="Segoe UI"/>
          <w:sz w:val="20"/>
          <w:lang w:val="el-GR" w:eastAsia="el-GR" w:bidi="el-GR"/>
        </w:rPr>
        <w:t>επιτοκιακ</w:t>
      </w:r>
      <w:r w:rsidR="002E354B">
        <w:rPr>
          <w:rFonts w:ascii="Segoe UI" w:hAnsi="Segoe UI" w:cs="Segoe UI"/>
          <w:sz w:val="20"/>
          <w:lang w:val="el-GR" w:eastAsia="el-GR" w:bidi="el-GR"/>
        </w:rPr>
        <w:t>ού</w:t>
      </w:r>
      <w:proofErr w:type="spellEnd"/>
      <w:r w:rsidR="00EF056D">
        <w:rPr>
          <w:rFonts w:ascii="Segoe UI" w:hAnsi="Segoe UI" w:cs="Segoe UI"/>
          <w:sz w:val="20"/>
          <w:lang w:val="el-GR" w:eastAsia="el-GR" w:bidi="el-GR"/>
        </w:rPr>
        <w:t xml:space="preserve"> περιθ</w:t>
      </w:r>
      <w:r w:rsidR="002E354B">
        <w:rPr>
          <w:rFonts w:ascii="Segoe UI" w:hAnsi="Segoe UI" w:cs="Segoe UI"/>
          <w:sz w:val="20"/>
          <w:lang w:val="el-GR" w:eastAsia="el-GR" w:bidi="el-GR"/>
        </w:rPr>
        <w:t>ω</w:t>
      </w:r>
      <w:r w:rsidR="00EF056D">
        <w:rPr>
          <w:rFonts w:ascii="Segoe UI" w:hAnsi="Segoe UI" w:cs="Segoe UI"/>
          <w:sz w:val="20"/>
          <w:lang w:val="el-GR" w:eastAsia="el-GR" w:bidi="el-GR"/>
        </w:rPr>
        <w:t>ρ</w:t>
      </w:r>
      <w:r w:rsidR="002E354B">
        <w:rPr>
          <w:rFonts w:ascii="Segoe UI" w:hAnsi="Segoe UI" w:cs="Segoe UI"/>
          <w:sz w:val="20"/>
          <w:lang w:val="el-GR" w:eastAsia="el-GR" w:bidi="el-GR"/>
        </w:rPr>
        <w:t>ί</w:t>
      </w:r>
      <w:r w:rsidR="00EF056D">
        <w:rPr>
          <w:rFonts w:ascii="Segoe UI" w:hAnsi="Segoe UI" w:cs="Segoe UI"/>
          <w:sz w:val="20"/>
          <w:lang w:val="el-GR" w:eastAsia="el-GR" w:bidi="el-GR"/>
        </w:rPr>
        <w:t>ο</w:t>
      </w:r>
      <w:r w:rsidR="002E354B">
        <w:rPr>
          <w:rFonts w:ascii="Segoe UI" w:hAnsi="Segoe UI" w:cs="Segoe UI"/>
          <w:sz w:val="20"/>
          <w:lang w:val="el-GR" w:eastAsia="el-GR" w:bidi="el-GR"/>
        </w:rPr>
        <w:t>υ</w:t>
      </w:r>
      <w:r w:rsidR="00EF056D">
        <w:rPr>
          <w:rFonts w:ascii="Segoe UI" w:hAnsi="Segoe UI" w:cs="Segoe UI"/>
          <w:sz w:val="20"/>
          <w:lang w:val="el-GR" w:eastAsia="el-GR" w:bidi="el-GR"/>
        </w:rPr>
        <w:t xml:space="preserve">  κατά 3 </w:t>
      </w:r>
      <w:proofErr w:type="spellStart"/>
      <w:r w:rsidR="00EF056D">
        <w:rPr>
          <w:rFonts w:ascii="Segoe UI" w:hAnsi="Segoe UI" w:cs="Segoe UI"/>
          <w:sz w:val="20"/>
          <w:lang w:val="el-GR" w:eastAsia="el-GR" w:bidi="el-GR"/>
        </w:rPr>
        <w:t>μ.β</w:t>
      </w:r>
      <w:proofErr w:type="spellEnd"/>
      <w:r w:rsidR="00EF056D">
        <w:rPr>
          <w:rFonts w:ascii="Segoe UI" w:hAnsi="Segoe UI" w:cs="Segoe UI"/>
          <w:sz w:val="20"/>
          <w:lang w:val="el-GR" w:eastAsia="el-GR" w:bidi="el-GR"/>
        </w:rPr>
        <w:t xml:space="preserve">. σε </w:t>
      </w:r>
      <w:r w:rsidR="006F494C">
        <w:rPr>
          <w:rFonts w:ascii="Segoe UI" w:hAnsi="Segoe UI" w:cs="Segoe UI"/>
          <w:sz w:val="20"/>
          <w:lang w:val="el-GR" w:eastAsia="el-GR" w:bidi="el-GR"/>
        </w:rPr>
        <w:t>τριμηνιαία βάση</w:t>
      </w:r>
      <w:r w:rsidR="000105CF" w:rsidRPr="00B205D0">
        <w:rPr>
          <w:rFonts w:ascii="Segoe UI" w:hAnsi="Segoe UI" w:cs="Segoe UI"/>
          <w:sz w:val="20"/>
          <w:lang w:val="el-GR" w:eastAsia="el-GR" w:bidi="el-GR"/>
        </w:rPr>
        <w:t xml:space="preserve">, </w:t>
      </w:r>
      <w:r w:rsidR="000105CF">
        <w:rPr>
          <w:rFonts w:ascii="Segoe UI" w:hAnsi="Segoe UI" w:cs="Segoe UI"/>
          <w:sz w:val="20"/>
          <w:lang w:val="el-GR" w:eastAsia="el-GR" w:bidi="el-GR"/>
        </w:rPr>
        <w:t>ανερχόμενο</w:t>
      </w:r>
      <w:r w:rsidR="006F494C">
        <w:rPr>
          <w:rFonts w:ascii="Segoe UI" w:hAnsi="Segoe UI" w:cs="Segoe UI"/>
          <w:sz w:val="20"/>
          <w:lang w:val="el-GR" w:eastAsia="el-GR" w:bidi="el-GR"/>
        </w:rPr>
        <w:t xml:space="preserve"> </w:t>
      </w:r>
      <w:r w:rsidR="00EF056D">
        <w:rPr>
          <w:rFonts w:ascii="Segoe UI" w:hAnsi="Segoe UI" w:cs="Segoe UI"/>
          <w:sz w:val="20"/>
          <w:lang w:val="el-GR" w:eastAsia="el-GR" w:bidi="el-GR"/>
        </w:rPr>
        <w:t xml:space="preserve">σε 286 </w:t>
      </w:r>
      <w:proofErr w:type="spellStart"/>
      <w:r w:rsidR="00EF056D">
        <w:rPr>
          <w:rFonts w:ascii="Segoe UI" w:hAnsi="Segoe UI" w:cs="Segoe UI"/>
          <w:sz w:val="20"/>
          <w:lang w:val="el-GR" w:eastAsia="el-GR" w:bidi="el-GR"/>
        </w:rPr>
        <w:t>μ.β</w:t>
      </w:r>
      <w:proofErr w:type="spellEnd"/>
      <w:r w:rsidR="00EF056D">
        <w:rPr>
          <w:rFonts w:ascii="Segoe UI" w:hAnsi="Segoe UI" w:cs="Segoe UI"/>
          <w:sz w:val="20"/>
          <w:lang w:val="el-GR" w:eastAsia="el-GR" w:bidi="el-GR"/>
        </w:rPr>
        <w:t>.</w:t>
      </w:r>
      <w:r w:rsidR="00EF056D" w:rsidRPr="00EF056D">
        <w:rPr>
          <w:rFonts w:ascii="Segoe UI" w:hAnsi="Segoe UI" w:cs="Segoe UI"/>
          <w:sz w:val="20"/>
          <w:lang w:val="el-GR" w:eastAsia="el-GR" w:bidi="el-GR"/>
        </w:rPr>
        <w:t xml:space="preserve"> </w:t>
      </w:r>
    </w:p>
    <w:p w:rsidR="00907637" w:rsidRPr="00A6792B" w:rsidRDefault="00907637"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 xml:space="preserve">Τα </w:t>
      </w:r>
      <w:r w:rsidR="00C274A2">
        <w:rPr>
          <w:rFonts w:ascii="Segoe UI" w:hAnsi="Segoe UI" w:cs="Segoe UI"/>
          <w:sz w:val="20"/>
          <w:lang w:val="el-GR" w:eastAsia="el-GR" w:bidi="el-GR"/>
        </w:rPr>
        <w:t xml:space="preserve">καθαρά </w:t>
      </w:r>
      <w:r w:rsidRPr="00A6792B">
        <w:rPr>
          <w:rFonts w:ascii="Segoe UI" w:hAnsi="Segoe UI" w:cs="Segoe UI"/>
          <w:sz w:val="20"/>
          <w:lang w:val="el-GR" w:eastAsia="el-GR" w:bidi="el-GR"/>
        </w:rPr>
        <w:t xml:space="preserve">έσοδα από προμήθειες αυξήθηκαν </w:t>
      </w:r>
      <w:r w:rsidR="00C274A2">
        <w:rPr>
          <w:rFonts w:ascii="Segoe UI" w:hAnsi="Segoe UI" w:cs="Segoe UI"/>
          <w:sz w:val="20"/>
          <w:lang w:val="el-GR" w:eastAsia="el-GR" w:bidi="el-GR"/>
        </w:rPr>
        <w:t>σε</w:t>
      </w:r>
      <w:r w:rsidRPr="00A6792B">
        <w:rPr>
          <w:rFonts w:ascii="Segoe UI" w:hAnsi="Segoe UI" w:cs="Segoe UI"/>
          <w:sz w:val="20"/>
          <w:lang w:val="el-GR" w:eastAsia="el-GR" w:bidi="el-GR"/>
        </w:rPr>
        <w:t xml:space="preserve"> €</w:t>
      </w:r>
      <w:r w:rsidR="00B06FAA">
        <w:rPr>
          <w:rFonts w:ascii="Segoe UI" w:hAnsi="Segoe UI" w:cs="Segoe UI"/>
          <w:sz w:val="20"/>
          <w:lang w:val="el-GR" w:eastAsia="el-GR" w:bidi="el-GR"/>
        </w:rPr>
        <w:t>4</w:t>
      </w:r>
      <w:r w:rsidR="0000651D">
        <w:rPr>
          <w:rFonts w:ascii="Segoe UI" w:hAnsi="Segoe UI" w:cs="Segoe UI"/>
          <w:sz w:val="20"/>
          <w:lang w:val="el-GR" w:eastAsia="el-GR" w:bidi="el-GR"/>
        </w:rPr>
        <w:t>7</w:t>
      </w:r>
      <w:r w:rsidRPr="00A6792B">
        <w:rPr>
          <w:rFonts w:ascii="Segoe UI" w:hAnsi="Segoe UI" w:cs="Segoe UI"/>
          <w:sz w:val="20"/>
          <w:lang w:val="el-GR" w:eastAsia="el-GR" w:bidi="el-GR"/>
        </w:rPr>
        <w:t xml:space="preserve"> εκατ. το </w:t>
      </w:r>
      <w:r w:rsidR="0000651D">
        <w:rPr>
          <w:rFonts w:ascii="Segoe UI" w:hAnsi="Segoe UI" w:cs="Segoe UI"/>
          <w:sz w:val="20"/>
          <w:lang w:val="el-GR" w:eastAsia="el-GR" w:bidi="el-GR"/>
        </w:rPr>
        <w:t>Δ’</w:t>
      </w:r>
      <w:r w:rsidRPr="00A6792B">
        <w:rPr>
          <w:rFonts w:ascii="Segoe UI" w:hAnsi="Segoe UI" w:cs="Segoe UI"/>
          <w:sz w:val="20"/>
          <w:lang w:val="el-GR" w:eastAsia="el-GR" w:bidi="el-GR"/>
        </w:rPr>
        <w:t xml:space="preserve"> τρίμηνο του 2016 από €</w:t>
      </w:r>
      <w:r w:rsidR="0000651D">
        <w:rPr>
          <w:rFonts w:ascii="Segoe UI" w:hAnsi="Segoe UI" w:cs="Segoe UI"/>
          <w:sz w:val="20"/>
          <w:lang w:val="el-GR" w:eastAsia="el-GR" w:bidi="el-GR"/>
        </w:rPr>
        <w:t xml:space="preserve">44 </w:t>
      </w:r>
      <w:r w:rsidRPr="00A6792B">
        <w:rPr>
          <w:rFonts w:ascii="Segoe UI" w:hAnsi="Segoe UI" w:cs="Segoe UI"/>
          <w:sz w:val="20"/>
          <w:lang w:val="el-GR" w:eastAsia="el-GR" w:bidi="el-GR"/>
        </w:rPr>
        <w:t xml:space="preserve">εκατ. </w:t>
      </w:r>
      <w:r w:rsidR="0088563A" w:rsidRPr="00A6792B">
        <w:rPr>
          <w:rFonts w:ascii="Segoe UI" w:hAnsi="Segoe UI" w:cs="Segoe UI"/>
          <w:sz w:val="20"/>
          <w:lang w:val="el-GR" w:eastAsia="el-GR" w:bidi="el-GR"/>
        </w:rPr>
        <w:t>το προηγούμενο τρίμηνο</w:t>
      </w:r>
      <w:r w:rsidRPr="00A6792B">
        <w:rPr>
          <w:rFonts w:ascii="Segoe UI" w:hAnsi="Segoe UI" w:cs="Segoe UI"/>
          <w:sz w:val="20"/>
          <w:lang w:val="el-GR" w:eastAsia="el-GR" w:bidi="el-GR"/>
        </w:rPr>
        <w:t xml:space="preserve">, </w:t>
      </w:r>
      <w:r w:rsidR="00EF28E1" w:rsidRPr="00EF28E1">
        <w:rPr>
          <w:rFonts w:ascii="Segoe UI" w:hAnsi="Segoe UI" w:cs="Segoe UI"/>
          <w:sz w:val="20"/>
          <w:lang w:val="el-GR" w:eastAsia="el-GR" w:bidi="el-GR"/>
        </w:rPr>
        <w:t xml:space="preserve">αντικατοπτρίζοντας τη </w:t>
      </w:r>
      <w:r w:rsidR="00ED0458" w:rsidRPr="00ED0458">
        <w:rPr>
          <w:rFonts w:ascii="Segoe UI" w:hAnsi="Segoe UI" w:cs="Segoe UI"/>
          <w:sz w:val="20"/>
          <w:lang w:val="el-GR" w:eastAsia="el-GR" w:bidi="el-GR"/>
        </w:rPr>
        <w:t xml:space="preserve">μείωση του κόστους άντλησης ρευστότητας </w:t>
      </w:r>
      <w:r w:rsidR="00ED0458">
        <w:rPr>
          <w:rFonts w:ascii="Segoe UI" w:hAnsi="Segoe UI" w:cs="Segoe UI"/>
          <w:sz w:val="20"/>
          <w:lang w:val="el-GR" w:eastAsia="el-GR" w:bidi="el-GR"/>
        </w:rPr>
        <w:t>μέσω</w:t>
      </w:r>
      <w:r w:rsidR="00EF28E1" w:rsidRPr="00EF28E1">
        <w:rPr>
          <w:rFonts w:ascii="Segoe UI" w:hAnsi="Segoe UI" w:cs="Segoe UI"/>
          <w:sz w:val="20"/>
          <w:lang w:val="el-GR" w:eastAsia="el-GR" w:bidi="el-GR"/>
        </w:rPr>
        <w:t xml:space="preserve"> ομολόγων του Πυλώνα ΙΙ</w:t>
      </w:r>
      <w:r w:rsidR="00ED0458">
        <w:rPr>
          <w:rFonts w:ascii="Segoe UI" w:hAnsi="Segoe UI" w:cs="Segoe UI"/>
          <w:sz w:val="20"/>
          <w:lang w:val="el-GR" w:eastAsia="el-GR" w:bidi="el-GR"/>
        </w:rPr>
        <w:t xml:space="preserve"> &amp; ΙΙΙ</w:t>
      </w:r>
      <w:r w:rsidR="0000651D">
        <w:rPr>
          <w:rFonts w:ascii="Segoe UI" w:hAnsi="Segoe UI" w:cs="Segoe UI"/>
          <w:sz w:val="20"/>
          <w:lang w:val="el-GR" w:eastAsia="el-GR" w:bidi="el-GR"/>
        </w:rPr>
        <w:t xml:space="preserve"> (</w:t>
      </w:r>
      <w:proofErr w:type="spellStart"/>
      <w:r w:rsidR="0000651D">
        <w:rPr>
          <w:rFonts w:ascii="Segoe UI" w:hAnsi="Segoe UI" w:cs="Segoe UI"/>
          <w:sz w:val="20"/>
          <w:lang w:val="el-GR" w:eastAsia="el-GR" w:bidi="el-GR"/>
        </w:rPr>
        <w:t>€3</w:t>
      </w:r>
      <w:proofErr w:type="spellEnd"/>
      <w:r w:rsidR="0000651D">
        <w:rPr>
          <w:rFonts w:ascii="Segoe UI" w:hAnsi="Segoe UI" w:cs="Segoe UI"/>
          <w:sz w:val="20"/>
          <w:lang w:val="el-GR" w:eastAsia="el-GR" w:bidi="el-GR"/>
        </w:rPr>
        <w:t xml:space="preserve"> εκατ. από €6 εκατ. το προηγούμενο τρίμηνο)</w:t>
      </w:r>
      <w:r w:rsidR="00E72D2D" w:rsidRPr="00E72D2D">
        <w:rPr>
          <w:rFonts w:ascii="Segoe UI" w:hAnsi="Segoe UI" w:cs="Segoe UI"/>
          <w:sz w:val="20"/>
          <w:lang w:val="el-GR" w:eastAsia="el-GR" w:bidi="el-GR"/>
        </w:rPr>
        <w:t xml:space="preserve">, </w:t>
      </w:r>
      <w:r w:rsidR="00E72D2D">
        <w:rPr>
          <w:rFonts w:ascii="Segoe UI" w:hAnsi="Segoe UI" w:cs="Segoe UI"/>
          <w:sz w:val="20"/>
          <w:lang w:val="el-GR" w:eastAsia="el-GR" w:bidi="el-GR"/>
        </w:rPr>
        <w:t xml:space="preserve">τα οποία </w:t>
      </w:r>
      <w:r w:rsidR="006311FC">
        <w:rPr>
          <w:rFonts w:ascii="Segoe UI" w:hAnsi="Segoe UI" w:cs="Segoe UI"/>
          <w:sz w:val="20"/>
          <w:lang w:val="el-GR" w:eastAsia="el-GR" w:bidi="el-GR"/>
        </w:rPr>
        <w:t xml:space="preserve">αποπληρώθηκαν </w:t>
      </w:r>
      <w:r w:rsidR="0000651D">
        <w:rPr>
          <w:rFonts w:ascii="Segoe UI" w:hAnsi="Segoe UI" w:cs="Segoe UI"/>
          <w:sz w:val="20"/>
          <w:lang w:val="el-GR" w:eastAsia="el-GR" w:bidi="el-GR"/>
        </w:rPr>
        <w:t>πλήρως</w:t>
      </w:r>
      <w:r w:rsidR="006311FC">
        <w:rPr>
          <w:rFonts w:ascii="Segoe UI" w:hAnsi="Segoe UI" w:cs="Segoe UI"/>
          <w:sz w:val="20"/>
          <w:lang w:val="el-GR" w:eastAsia="el-GR" w:bidi="el-GR"/>
        </w:rPr>
        <w:t xml:space="preserve"> το </w:t>
      </w:r>
      <w:r w:rsidR="00900CFD">
        <w:rPr>
          <w:rFonts w:ascii="Segoe UI" w:hAnsi="Segoe UI" w:cs="Segoe UI"/>
          <w:sz w:val="20"/>
          <w:lang w:val="el-GR" w:eastAsia="el-GR" w:bidi="el-GR"/>
        </w:rPr>
        <w:t>Γ</w:t>
      </w:r>
      <w:r w:rsidR="006311FC">
        <w:rPr>
          <w:rFonts w:ascii="Segoe UI" w:hAnsi="Segoe UI" w:cs="Segoe UI"/>
          <w:sz w:val="20"/>
          <w:lang w:val="el-GR" w:eastAsia="el-GR" w:bidi="el-GR"/>
        </w:rPr>
        <w:t>’ τρίμηνο του 2016</w:t>
      </w:r>
      <w:r w:rsidR="00F834B5" w:rsidRPr="00F834B5">
        <w:rPr>
          <w:rFonts w:ascii="Segoe UI" w:hAnsi="Segoe UI" w:cs="Segoe UI"/>
          <w:sz w:val="20"/>
          <w:lang w:val="el-GR" w:eastAsia="el-GR" w:bidi="el-GR"/>
        </w:rPr>
        <w:t xml:space="preserve">. </w:t>
      </w:r>
      <w:r w:rsidR="00537F03">
        <w:rPr>
          <w:rFonts w:ascii="Segoe UI" w:hAnsi="Segoe UI" w:cs="Segoe UI"/>
          <w:sz w:val="20"/>
          <w:lang w:val="el-GR" w:eastAsia="el-GR" w:bidi="el-GR"/>
        </w:rPr>
        <w:t>Σε ετήσια βάση, τ</w:t>
      </w:r>
      <w:r w:rsidR="00F834B5">
        <w:rPr>
          <w:rFonts w:ascii="Segoe UI" w:hAnsi="Segoe UI" w:cs="Segoe UI"/>
          <w:sz w:val="20"/>
          <w:lang w:val="en-US" w:eastAsia="el-GR" w:bidi="el-GR"/>
        </w:rPr>
        <w:t>o</w:t>
      </w:r>
      <w:r w:rsidR="00F834B5" w:rsidRPr="00F834B5">
        <w:rPr>
          <w:rFonts w:ascii="Segoe UI" w:hAnsi="Segoe UI" w:cs="Segoe UI"/>
          <w:sz w:val="20"/>
          <w:lang w:val="el-GR" w:eastAsia="el-GR" w:bidi="el-GR"/>
        </w:rPr>
        <w:t xml:space="preserve"> </w:t>
      </w:r>
      <w:r w:rsidR="00ED0458">
        <w:rPr>
          <w:rFonts w:ascii="Segoe UI" w:hAnsi="Segoe UI" w:cs="Segoe UI"/>
          <w:sz w:val="20"/>
          <w:lang w:val="el-GR" w:eastAsia="el-GR" w:bidi="el-GR"/>
        </w:rPr>
        <w:t xml:space="preserve">εν λόγω </w:t>
      </w:r>
      <w:r w:rsidRPr="00A6792B">
        <w:rPr>
          <w:rFonts w:ascii="Segoe UI" w:hAnsi="Segoe UI" w:cs="Segoe UI"/>
          <w:sz w:val="20"/>
          <w:lang w:val="el-GR" w:eastAsia="el-GR" w:bidi="el-GR"/>
        </w:rPr>
        <w:t xml:space="preserve">κόστος των ομολόγων Πυλώνα </w:t>
      </w:r>
      <w:r w:rsidR="00F834B5">
        <w:rPr>
          <w:rFonts w:ascii="Segoe UI" w:hAnsi="Segoe UI" w:cs="Segoe UI"/>
          <w:sz w:val="20"/>
          <w:lang w:val="el-GR" w:eastAsia="el-GR" w:bidi="el-GR"/>
        </w:rPr>
        <w:t xml:space="preserve">μειώθηκε </w:t>
      </w:r>
      <w:r w:rsidRPr="00A6792B">
        <w:rPr>
          <w:rFonts w:ascii="Segoe UI" w:hAnsi="Segoe UI" w:cs="Segoe UI"/>
          <w:sz w:val="20"/>
          <w:lang w:val="el-GR" w:eastAsia="el-GR" w:bidi="el-GR"/>
        </w:rPr>
        <w:t>σε €</w:t>
      </w:r>
      <w:r w:rsidR="00537F03">
        <w:rPr>
          <w:rFonts w:ascii="Segoe UI" w:hAnsi="Segoe UI" w:cs="Segoe UI"/>
          <w:sz w:val="20"/>
          <w:lang w:val="el-GR" w:eastAsia="el-GR" w:bidi="el-GR"/>
        </w:rPr>
        <w:t>54</w:t>
      </w:r>
      <w:r w:rsidRPr="00A6792B">
        <w:rPr>
          <w:rFonts w:ascii="Segoe UI" w:hAnsi="Segoe UI" w:cs="Segoe UI"/>
          <w:sz w:val="20"/>
          <w:lang w:val="el-GR" w:eastAsia="el-GR" w:bidi="el-GR"/>
        </w:rPr>
        <w:t xml:space="preserve"> εκατ. το 2016 από €</w:t>
      </w:r>
      <w:r w:rsidR="00537F03">
        <w:rPr>
          <w:rFonts w:ascii="Segoe UI" w:hAnsi="Segoe UI" w:cs="Segoe UI"/>
          <w:sz w:val="20"/>
          <w:lang w:val="el-GR" w:eastAsia="el-GR" w:bidi="el-GR"/>
        </w:rPr>
        <w:t>19</w:t>
      </w:r>
      <w:r w:rsidR="00CD7EEE">
        <w:rPr>
          <w:rFonts w:ascii="Segoe UI" w:hAnsi="Segoe UI" w:cs="Segoe UI"/>
          <w:sz w:val="20"/>
          <w:lang w:val="el-GR" w:eastAsia="el-GR" w:bidi="el-GR"/>
        </w:rPr>
        <w:t>7</w:t>
      </w:r>
      <w:r w:rsidRPr="00A6792B">
        <w:rPr>
          <w:rFonts w:ascii="Segoe UI" w:hAnsi="Segoe UI" w:cs="Segoe UI"/>
          <w:sz w:val="20"/>
          <w:lang w:val="el-GR" w:eastAsia="el-GR" w:bidi="el-GR"/>
        </w:rPr>
        <w:t xml:space="preserve"> εκατ. το </w:t>
      </w:r>
      <w:r w:rsidR="00537F03">
        <w:rPr>
          <w:rFonts w:ascii="Segoe UI" w:hAnsi="Segoe UI" w:cs="Segoe UI"/>
          <w:sz w:val="20"/>
          <w:lang w:val="el-GR" w:eastAsia="el-GR" w:bidi="el-GR"/>
        </w:rPr>
        <w:t>2015, με τ</w:t>
      </w:r>
      <w:r w:rsidR="00537F03" w:rsidRPr="00537F03">
        <w:rPr>
          <w:rFonts w:ascii="Segoe UI" w:hAnsi="Segoe UI" w:cs="Segoe UI"/>
          <w:sz w:val="20"/>
          <w:lang w:val="el-GR" w:eastAsia="el-GR" w:bidi="el-GR"/>
        </w:rPr>
        <w:t>α καθαρά έσοδα από προμήθειες</w:t>
      </w:r>
      <w:r w:rsidR="00537F03">
        <w:rPr>
          <w:rFonts w:ascii="Segoe UI" w:hAnsi="Segoe UI" w:cs="Segoe UI"/>
          <w:sz w:val="20"/>
          <w:lang w:val="el-GR" w:eastAsia="el-GR" w:bidi="el-GR"/>
        </w:rPr>
        <w:t xml:space="preserve"> </w:t>
      </w:r>
      <w:r w:rsidR="00C45FCC">
        <w:rPr>
          <w:rFonts w:ascii="Segoe UI" w:hAnsi="Segoe UI" w:cs="Segoe UI"/>
          <w:sz w:val="20"/>
          <w:lang w:val="el-GR" w:eastAsia="el-GR" w:bidi="el-GR"/>
        </w:rPr>
        <w:t xml:space="preserve">να </w:t>
      </w:r>
      <w:r w:rsidR="00CD7EEE">
        <w:rPr>
          <w:rFonts w:ascii="Segoe UI" w:hAnsi="Segoe UI" w:cs="Segoe UI"/>
          <w:sz w:val="20"/>
          <w:lang w:val="el-GR" w:eastAsia="el-GR" w:bidi="el-GR"/>
        </w:rPr>
        <w:t xml:space="preserve">διαμορφώνονται σε </w:t>
      </w:r>
      <w:r w:rsidR="00537F03">
        <w:rPr>
          <w:rFonts w:ascii="Segoe UI" w:hAnsi="Segoe UI" w:cs="Segoe UI"/>
          <w:sz w:val="20"/>
          <w:lang w:val="el-GR" w:eastAsia="el-GR" w:bidi="el-GR"/>
        </w:rPr>
        <w:t xml:space="preserve">€149 εκατ. </w:t>
      </w:r>
      <w:r w:rsidR="00CD7EEE" w:rsidRPr="00CD7EEE">
        <w:rPr>
          <w:rFonts w:ascii="Segoe UI" w:hAnsi="Segoe UI" w:cs="Segoe UI"/>
          <w:sz w:val="20"/>
          <w:lang w:val="el-GR" w:eastAsia="el-GR" w:bidi="el-GR"/>
        </w:rPr>
        <w:t>έναντι μηδενικών εσόδων το αντίστοιχο περυσινό διάστημα</w:t>
      </w:r>
      <w:r w:rsidR="00CD7EEE">
        <w:rPr>
          <w:rFonts w:ascii="Segoe UI" w:hAnsi="Segoe UI" w:cs="Segoe UI"/>
          <w:sz w:val="20"/>
          <w:lang w:val="el-GR" w:eastAsia="el-GR" w:bidi="el-GR"/>
        </w:rPr>
        <w:t xml:space="preserve"> (-€2 εκατ.).</w:t>
      </w:r>
    </w:p>
    <w:p w:rsidR="00104C39" w:rsidRDefault="006954AC" w:rsidP="004929D8">
      <w:pPr>
        <w:autoSpaceDE w:val="0"/>
        <w:autoSpaceDN w:val="0"/>
        <w:adjustRightInd w:val="0"/>
        <w:spacing w:after="160" w:line="320" w:lineRule="atLeast"/>
        <w:jc w:val="both"/>
        <w:rPr>
          <w:rFonts w:ascii="Segoe UI" w:hAnsi="Segoe UI" w:cs="Segoe UI"/>
          <w:sz w:val="20"/>
          <w:lang w:val="el-GR"/>
        </w:rPr>
      </w:pPr>
      <w:r w:rsidRPr="00A6792B">
        <w:rPr>
          <w:rFonts w:ascii="Segoe UI" w:hAnsi="Segoe UI" w:cs="Segoe UI"/>
          <w:sz w:val="20"/>
          <w:lang w:val="el-GR" w:eastAsia="el-GR" w:bidi="el-GR"/>
        </w:rPr>
        <w:t xml:space="preserve">Οι λειτουργικές δαπάνες </w:t>
      </w:r>
      <w:r w:rsidR="00537F03">
        <w:rPr>
          <w:rFonts w:ascii="Segoe UI" w:hAnsi="Segoe UI" w:cs="Segoe UI"/>
          <w:sz w:val="20"/>
          <w:lang w:val="el-GR" w:eastAsia="el-GR" w:bidi="el-GR"/>
        </w:rPr>
        <w:t>μειώθηκαν κατά 2,</w:t>
      </w:r>
      <w:r w:rsidR="00AD0E03">
        <w:rPr>
          <w:rFonts w:ascii="Segoe UI" w:hAnsi="Segoe UI" w:cs="Segoe UI"/>
          <w:sz w:val="20"/>
          <w:lang w:val="el-GR" w:eastAsia="el-GR" w:bidi="el-GR"/>
        </w:rPr>
        <w:t>7</w:t>
      </w:r>
      <w:r w:rsidR="00537F03">
        <w:rPr>
          <w:rFonts w:ascii="Segoe UI" w:hAnsi="Segoe UI" w:cs="Segoe UI"/>
          <w:sz w:val="20"/>
          <w:lang w:val="el-GR" w:eastAsia="el-GR" w:bidi="el-GR"/>
        </w:rPr>
        <w:t>%</w:t>
      </w:r>
      <w:r w:rsidR="007E5BC9">
        <w:rPr>
          <w:rFonts w:ascii="Segoe UI" w:hAnsi="Segoe UI" w:cs="Segoe UI"/>
          <w:sz w:val="20"/>
          <w:lang w:val="el-GR" w:eastAsia="el-GR" w:bidi="el-GR"/>
        </w:rPr>
        <w:t xml:space="preserve"> σε </w:t>
      </w:r>
      <w:r w:rsidR="00537F03">
        <w:rPr>
          <w:rFonts w:ascii="Segoe UI" w:hAnsi="Segoe UI" w:cs="Segoe UI"/>
          <w:sz w:val="20"/>
          <w:lang w:val="el-GR" w:eastAsia="el-GR" w:bidi="el-GR"/>
        </w:rPr>
        <w:t>τριμηνιαία βάση</w:t>
      </w:r>
      <w:r w:rsidR="0069173C">
        <w:rPr>
          <w:rFonts w:ascii="Segoe UI" w:hAnsi="Segoe UI" w:cs="Segoe UI"/>
          <w:sz w:val="20"/>
          <w:lang w:val="el-GR" w:eastAsia="el-GR" w:bidi="el-GR"/>
        </w:rPr>
        <w:t xml:space="preserve"> και διαμορφώθηκαν σε €</w:t>
      </w:r>
      <w:r w:rsidR="00537F03">
        <w:rPr>
          <w:rFonts w:ascii="Segoe UI" w:hAnsi="Segoe UI" w:cs="Segoe UI"/>
          <w:sz w:val="20"/>
          <w:lang w:val="el-GR" w:eastAsia="el-GR" w:bidi="el-GR"/>
        </w:rPr>
        <w:t>245</w:t>
      </w:r>
      <w:r w:rsidR="0069173C">
        <w:rPr>
          <w:rFonts w:ascii="Segoe UI" w:hAnsi="Segoe UI" w:cs="Segoe UI"/>
          <w:sz w:val="20"/>
          <w:lang w:val="el-GR" w:eastAsia="el-GR" w:bidi="el-GR"/>
        </w:rPr>
        <w:t xml:space="preserve"> εκατ. το </w:t>
      </w:r>
      <w:r w:rsidR="00537F03">
        <w:rPr>
          <w:rFonts w:ascii="Segoe UI" w:hAnsi="Segoe UI" w:cs="Segoe UI"/>
          <w:sz w:val="20"/>
          <w:lang w:val="el-GR" w:eastAsia="el-GR" w:bidi="el-GR"/>
        </w:rPr>
        <w:t>Δ</w:t>
      </w:r>
      <w:r w:rsidR="0069173C">
        <w:rPr>
          <w:rFonts w:ascii="Segoe UI" w:hAnsi="Segoe UI" w:cs="Segoe UI"/>
          <w:sz w:val="20"/>
          <w:lang w:val="el-GR" w:eastAsia="el-GR" w:bidi="el-GR"/>
        </w:rPr>
        <w:t>’ τρίμηνο του 2016</w:t>
      </w:r>
      <w:r w:rsidR="00C513A3">
        <w:rPr>
          <w:rFonts w:ascii="Segoe UI" w:hAnsi="Segoe UI" w:cs="Segoe UI"/>
          <w:sz w:val="20"/>
          <w:lang w:val="el-GR" w:eastAsia="el-GR" w:bidi="el-GR"/>
        </w:rPr>
        <w:t xml:space="preserve">, </w:t>
      </w:r>
      <w:r w:rsidR="004B6FA5">
        <w:rPr>
          <w:rFonts w:ascii="Segoe UI" w:hAnsi="Segoe UI" w:cs="Segoe UI"/>
          <w:sz w:val="20"/>
          <w:lang w:val="el-GR" w:eastAsia="el-GR" w:bidi="el-GR"/>
        </w:rPr>
        <w:t xml:space="preserve">λόγω της </w:t>
      </w:r>
      <w:r w:rsidR="00537F03">
        <w:rPr>
          <w:rFonts w:ascii="Segoe UI" w:hAnsi="Segoe UI" w:cs="Segoe UI"/>
          <w:sz w:val="20"/>
          <w:lang w:val="el-GR" w:eastAsia="el-GR" w:bidi="el-GR"/>
        </w:rPr>
        <w:t>αποκλιμάκωση</w:t>
      </w:r>
      <w:r w:rsidR="004B6FA5">
        <w:rPr>
          <w:rFonts w:ascii="Segoe UI" w:hAnsi="Segoe UI" w:cs="Segoe UI"/>
          <w:sz w:val="20"/>
          <w:lang w:val="el-GR" w:eastAsia="el-GR" w:bidi="el-GR"/>
        </w:rPr>
        <w:t xml:space="preserve">ς των </w:t>
      </w:r>
      <w:r w:rsidR="00537F03">
        <w:rPr>
          <w:rFonts w:ascii="Segoe UI" w:hAnsi="Segoe UI" w:cs="Segoe UI"/>
          <w:sz w:val="20"/>
          <w:lang w:val="el-GR" w:eastAsia="el-GR" w:bidi="el-GR"/>
        </w:rPr>
        <w:t>δαπ</w:t>
      </w:r>
      <w:r w:rsidR="004B6FA5">
        <w:rPr>
          <w:rFonts w:ascii="Segoe UI" w:hAnsi="Segoe UI" w:cs="Segoe UI"/>
          <w:sz w:val="20"/>
          <w:lang w:val="el-GR" w:eastAsia="el-GR" w:bidi="el-GR"/>
        </w:rPr>
        <w:t xml:space="preserve">ανών προσωπικού κατά </w:t>
      </w:r>
      <w:r w:rsidR="00537F03">
        <w:rPr>
          <w:rFonts w:ascii="Segoe UI" w:hAnsi="Segoe UI" w:cs="Segoe UI"/>
          <w:sz w:val="20"/>
          <w:lang w:val="el-GR" w:eastAsia="el-GR" w:bidi="el-GR"/>
        </w:rPr>
        <w:t xml:space="preserve">8,2% σε σχέση με το προηγούμενο τρίμηνο. </w:t>
      </w:r>
      <w:r w:rsidR="004B6FA5">
        <w:rPr>
          <w:rFonts w:ascii="Segoe UI" w:hAnsi="Segoe UI" w:cs="Segoe UI"/>
          <w:sz w:val="20"/>
          <w:lang w:val="el-GR" w:eastAsia="el-GR" w:bidi="el-GR"/>
        </w:rPr>
        <w:t>Ο</w:t>
      </w:r>
      <w:r w:rsidR="00537F03">
        <w:rPr>
          <w:rFonts w:ascii="Segoe UI" w:hAnsi="Segoe UI" w:cs="Segoe UI"/>
          <w:sz w:val="20"/>
          <w:lang w:val="el-GR" w:eastAsia="el-GR" w:bidi="el-GR"/>
        </w:rPr>
        <w:t>ι λειτουργικές δαπάνες</w:t>
      </w:r>
      <w:r w:rsidR="004B6FA5">
        <w:rPr>
          <w:rFonts w:ascii="Segoe UI" w:hAnsi="Segoe UI" w:cs="Segoe UI"/>
          <w:sz w:val="20"/>
          <w:lang w:val="el-GR" w:eastAsia="el-GR" w:bidi="el-GR"/>
        </w:rPr>
        <w:t xml:space="preserve"> </w:t>
      </w:r>
      <w:r w:rsidR="004B6FA5" w:rsidRPr="004B6FA5">
        <w:rPr>
          <w:rFonts w:ascii="Segoe UI" w:hAnsi="Segoe UI" w:cs="Segoe UI"/>
          <w:sz w:val="20"/>
          <w:lang w:val="el-GR" w:eastAsia="el-GR" w:bidi="el-GR"/>
        </w:rPr>
        <w:t xml:space="preserve">διαμορφώθηκαν σε €991 εκατ. για το 2016, </w:t>
      </w:r>
      <w:r w:rsidR="004B6FA5">
        <w:rPr>
          <w:rFonts w:ascii="Segoe UI" w:hAnsi="Segoe UI" w:cs="Segoe UI"/>
          <w:sz w:val="20"/>
          <w:lang w:val="el-GR" w:eastAsia="el-GR" w:bidi="el-GR"/>
        </w:rPr>
        <w:t>μειωμέν</w:t>
      </w:r>
      <w:r w:rsidR="00E9439B">
        <w:rPr>
          <w:rFonts w:ascii="Segoe UI" w:hAnsi="Segoe UI" w:cs="Segoe UI"/>
          <w:sz w:val="20"/>
          <w:lang w:val="el-GR" w:eastAsia="el-GR" w:bidi="el-GR"/>
        </w:rPr>
        <w:t>ες</w:t>
      </w:r>
      <w:r w:rsidR="004B6FA5">
        <w:rPr>
          <w:rFonts w:ascii="Segoe UI" w:hAnsi="Segoe UI" w:cs="Segoe UI"/>
          <w:sz w:val="20"/>
          <w:lang w:val="el-GR" w:eastAsia="el-GR" w:bidi="el-GR"/>
        </w:rPr>
        <w:t xml:space="preserve"> </w:t>
      </w:r>
      <w:r w:rsidR="004B6FA5" w:rsidRPr="004B6FA5">
        <w:rPr>
          <w:rFonts w:ascii="Segoe UI" w:hAnsi="Segoe UI" w:cs="Segoe UI"/>
          <w:sz w:val="20"/>
          <w:lang w:val="el-GR" w:eastAsia="el-GR" w:bidi="el-GR"/>
        </w:rPr>
        <w:t xml:space="preserve">κατά 3,7% </w:t>
      </w:r>
      <w:r w:rsidRPr="00A6792B">
        <w:rPr>
          <w:rFonts w:ascii="Segoe UI" w:hAnsi="Segoe UI" w:cs="Segoe UI"/>
          <w:sz w:val="20"/>
          <w:lang w:val="el-GR" w:eastAsia="el-GR" w:bidi="el-GR"/>
        </w:rPr>
        <w:t xml:space="preserve">σε </w:t>
      </w:r>
      <w:r w:rsidR="00537F03">
        <w:rPr>
          <w:rFonts w:ascii="Segoe UI" w:hAnsi="Segoe UI" w:cs="Segoe UI"/>
          <w:sz w:val="20"/>
          <w:lang w:val="el-GR" w:eastAsia="el-GR" w:bidi="el-GR"/>
        </w:rPr>
        <w:t xml:space="preserve">σχέση με το </w:t>
      </w:r>
      <w:r w:rsidRPr="00A6792B">
        <w:rPr>
          <w:rFonts w:ascii="Segoe UI" w:hAnsi="Segoe UI" w:cs="Segoe UI"/>
          <w:sz w:val="20"/>
          <w:lang w:val="el-GR" w:eastAsia="el-GR" w:bidi="el-GR"/>
        </w:rPr>
        <w:t>201</w:t>
      </w:r>
      <w:r w:rsidR="00537F03">
        <w:rPr>
          <w:rFonts w:ascii="Segoe UI" w:hAnsi="Segoe UI" w:cs="Segoe UI"/>
          <w:sz w:val="20"/>
          <w:lang w:val="el-GR" w:eastAsia="el-GR" w:bidi="el-GR"/>
        </w:rPr>
        <w:t>5</w:t>
      </w:r>
      <w:r w:rsidR="00F00143">
        <w:rPr>
          <w:rFonts w:ascii="Segoe UI" w:hAnsi="Segoe UI" w:cs="Segoe UI"/>
          <w:sz w:val="20"/>
          <w:lang w:val="el-GR" w:eastAsia="el-GR" w:bidi="el-GR"/>
        </w:rPr>
        <w:t xml:space="preserve">, </w:t>
      </w:r>
      <w:r w:rsidR="008F6935">
        <w:rPr>
          <w:rFonts w:ascii="Segoe UI" w:hAnsi="Segoe UI" w:cs="Segoe UI"/>
          <w:sz w:val="20"/>
          <w:lang w:val="el-GR" w:eastAsia="el-GR" w:bidi="el-GR"/>
        </w:rPr>
        <w:t>λόγω</w:t>
      </w:r>
      <w:r w:rsidR="00F00143">
        <w:rPr>
          <w:rFonts w:ascii="Segoe UI" w:hAnsi="Segoe UI" w:cs="Segoe UI"/>
          <w:sz w:val="20"/>
          <w:lang w:val="el-GR" w:eastAsia="el-GR" w:bidi="el-GR"/>
        </w:rPr>
        <w:t xml:space="preserve"> τη</w:t>
      </w:r>
      <w:r w:rsidR="008F6935">
        <w:rPr>
          <w:rFonts w:ascii="Segoe UI" w:hAnsi="Segoe UI" w:cs="Segoe UI"/>
          <w:sz w:val="20"/>
          <w:lang w:val="el-GR" w:eastAsia="el-GR" w:bidi="el-GR"/>
        </w:rPr>
        <w:t>ς</w:t>
      </w:r>
      <w:r w:rsidR="00F00143">
        <w:rPr>
          <w:rFonts w:ascii="Segoe UI" w:hAnsi="Segoe UI" w:cs="Segoe UI"/>
          <w:sz w:val="20"/>
          <w:lang w:val="el-GR" w:eastAsia="el-GR" w:bidi="el-GR"/>
        </w:rPr>
        <w:t xml:space="preserve"> περιστολή</w:t>
      </w:r>
      <w:r w:rsidR="008F6935">
        <w:rPr>
          <w:rFonts w:ascii="Segoe UI" w:hAnsi="Segoe UI" w:cs="Segoe UI"/>
          <w:sz w:val="20"/>
          <w:lang w:val="el-GR" w:eastAsia="el-GR" w:bidi="el-GR"/>
        </w:rPr>
        <w:t>ς</w:t>
      </w:r>
      <w:r w:rsidR="00F00143">
        <w:rPr>
          <w:rFonts w:ascii="Segoe UI" w:hAnsi="Segoe UI" w:cs="Segoe UI"/>
          <w:sz w:val="20"/>
          <w:lang w:val="el-GR" w:eastAsia="el-GR" w:bidi="el-GR"/>
        </w:rPr>
        <w:t xml:space="preserve"> </w:t>
      </w:r>
      <w:r w:rsidRPr="00A6792B">
        <w:rPr>
          <w:rFonts w:ascii="Segoe UI" w:hAnsi="Segoe UI" w:cs="Segoe UI"/>
          <w:sz w:val="20"/>
          <w:lang w:val="el-GR" w:eastAsia="el-GR" w:bidi="el-GR"/>
        </w:rPr>
        <w:t>τόσο των δαπανών προσωπικού (-</w:t>
      </w:r>
      <w:r w:rsidR="006102B8">
        <w:rPr>
          <w:rFonts w:ascii="Segoe UI" w:hAnsi="Segoe UI" w:cs="Segoe UI"/>
          <w:sz w:val="20"/>
          <w:lang w:val="el-GR" w:eastAsia="el-GR" w:bidi="el-GR"/>
        </w:rPr>
        <w:t>3,4</w:t>
      </w:r>
      <w:r w:rsidRPr="00A6792B">
        <w:rPr>
          <w:rFonts w:ascii="Segoe UI" w:hAnsi="Segoe UI" w:cs="Segoe UI"/>
          <w:sz w:val="20"/>
          <w:lang w:val="el-GR" w:eastAsia="el-GR" w:bidi="el-GR"/>
        </w:rPr>
        <w:t>% σε ετήσια βάση) όσο και των γενικών και διοικητικών εξόδων</w:t>
      </w:r>
      <w:r w:rsidR="00F12FEC">
        <w:rPr>
          <w:rFonts w:ascii="Segoe UI" w:hAnsi="Segoe UI" w:cs="Segoe UI"/>
          <w:sz w:val="20"/>
          <w:lang w:val="el-GR" w:eastAsia="el-GR" w:bidi="el-GR"/>
        </w:rPr>
        <w:t xml:space="preserve"> </w:t>
      </w:r>
      <w:r w:rsidRPr="00A6792B">
        <w:rPr>
          <w:rFonts w:ascii="Segoe UI" w:hAnsi="Segoe UI" w:cs="Segoe UI"/>
          <w:sz w:val="20"/>
          <w:lang w:val="el-GR" w:eastAsia="el-GR" w:bidi="el-GR"/>
        </w:rPr>
        <w:t>(-</w:t>
      </w:r>
      <w:r w:rsidR="006102B8">
        <w:rPr>
          <w:rFonts w:ascii="Segoe UI" w:hAnsi="Segoe UI" w:cs="Segoe UI"/>
          <w:sz w:val="20"/>
          <w:lang w:val="el-GR" w:eastAsia="el-GR" w:bidi="el-GR"/>
        </w:rPr>
        <w:t>5,6</w:t>
      </w:r>
      <w:r w:rsidRPr="00A6792B">
        <w:rPr>
          <w:rFonts w:ascii="Segoe UI" w:hAnsi="Segoe UI" w:cs="Segoe UI"/>
          <w:sz w:val="20"/>
          <w:lang w:val="el-GR" w:eastAsia="el-GR" w:bidi="el-GR"/>
        </w:rPr>
        <w:t xml:space="preserve">% σε ετήσια βάση). Ο δείκτης </w:t>
      </w:r>
      <w:r w:rsidR="009630F2" w:rsidRPr="00A6792B">
        <w:rPr>
          <w:rFonts w:ascii="Segoe UI" w:hAnsi="Segoe UI" w:cs="Segoe UI"/>
          <w:sz w:val="20"/>
          <w:lang w:val="el-GR" w:eastAsia="el-GR" w:bidi="el-GR"/>
        </w:rPr>
        <w:t>Κ</w:t>
      </w:r>
      <w:r w:rsidRPr="00A6792B">
        <w:rPr>
          <w:rFonts w:ascii="Segoe UI" w:hAnsi="Segoe UI" w:cs="Segoe UI"/>
          <w:sz w:val="20"/>
          <w:lang w:val="el-GR" w:eastAsia="el-GR" w:bidi="el-GR"/>
        </w:rPr>
        <w:t xml:space="preserve">όστους προς </w:t>
      </w:r>
      <w:r w:rsidR="009630F2" w:rsidRPr="00A6792B">
        <w:rPr>
          <w:rFonts w:ascii="Segoe UI" w:hAnsi="Segoe UI" w:cs="Segoe UI"/>
          <w:sz w:val="20"/>
          <w:lang w:val="el-GR" w:eastAsia="el-GR" w:bidi="el-GR"/>
        </w:rPr>
        <w:t>Ο</w:t>
      </w:r>
      <w:r w:rsidRPr="00A6792B">
        <w:rPr>
          <w:rFonts w:ascii="Segoe UI" w:hAnsi="Segoe UI" w:cs="Segoe UI"/>
          <w:sz w:val="20"/>
          <w:lang w:val="el-GR" w:eastAsia="el-GR" w:bidi="el-GR"/>
        </w:rPr>
        <w:t xml:space="preserve">ργανικά έσοδα </w:t>
      </w:r>
      <w:r w:rsidR="00A72E83">
        <w:rPr>
          <w:rFonts w:ascii="Segoe UI" w:hAnsi="Segoe UI" w:cs="Segoe UI"/>
          <w:sz w:val="20"/>
          <w:lang w:val="el-GR" w:eastAsia="el-GR" w:bidi="el-GR"/>
        </w:rPr>
        <w:t>βελτιώθηκε</w:t>
      </w:r>
      <w:r w:rsidRPr="00A6792B">
        <w:rPr>
          <w:rFonts w:ascii="Segoe UI" w:hAnsi="Segoe UI" w:cs="Segoe UI"/>
          <w:sz w:val="20"/>
          <w:lang w:val="el-GR" w:eastAsia="el-GR" w:bidi="el-GR"/>
        </w:rPr>
        <w:t xml:space="preserve"> σε </w:t>
      </w:r>
      <w:r w:rsidR="00C513A3">
        <w:rPr>
          <w:rFonts w:ascii="Segoe UI" w:hAnsi="Segoe UI" w:cs="Segoe UI"/>
          <w:sz w:val="20"/>
          <w:lang w:val="el-GR" w:eastAsia="el-GR" w:bidi="el-GR"/>
        </w:rPr>
        <w:t xml:space="preserve">55% </w:t>
      </w:r>
      <w:r w:rsidR="0069173C">
        <w:rPr>
          <w:rFonts w:ascii="Segoe UI" w:hAnsi="Segoe UI" w:cs="Segoe UI"/>
          <w:sz w:val="20"/>
          <w:lang w:val="el-GR" w:eastAsia="el-GR" w:bidi="el-GR"/>
        </w:rPr>
        <w:t xml:space="preserve">το 2016 </w:t>
      </w:r>
      <w:r w:rsidR="00C513A3">
        <w:rPr>
          <w:rFonts w:ascii="Segoe UI" w:hAnsi="Segoe UI" w:cs="Segoe UI"/>
          <w:sz w:val="20"/>
          <w:lang w:val="el-GR" w:eastAsia="el-GR" w:bidi="el-GR"/>
        </w:rPr>
        <w:t>από 6</w:t>
      </w:r>
      <w:r w:rsidR="00AD0E03">
        <w:rPr>
          <w:rFonts w:ascii="Segoe UI" w:hAnsi="Segoe UI" w:cs="Segoe UI"/>
          <w:sz w:val="20"/>
          <w:lang w:val="el-GR" w:eastAsia="el-GR" w:bidi="el-GR"/>
        </w:rPr>
        <w:t>2</w:t>
      </w:r>
      <w:r w:rsidRPr="00A6792B">
        <w:rPr>
          <w:rFonts w:ascii="Segoe UI" w:hAnsi="Segoe UI" w:cs="Segoe UI"/>
          <w:sz w:val="20"/>
          <w:lang w:val="el-GR" w:eastAsia="el-GR" w:bidi="el-GR"/>
        </w:rPr>
        <w:t xml:space="preserve">% το </w:t>
      </w:r>
      <w:r w:rsidR="006102B8">
        <w:rPr>
          <w:rFonts w:ascii="Segoe UI" w:hAnsi="Segoe UI" w:cs="Segoe UI"/>
          <w:sz w:val="20"/>
          <w:lang w:val="el-GR" w:eastAsia="el-GR" w:bidi="el-GR"/>
        </w:rPr>
        <w:t>2015</w:t>
      </w:r>
      <w:r w:rsidRPr="00A6792B">
        <w:rPr>
          <w:rFonts w:ascii="Segoe UI" w:hAnsi="Segoe UI" w:cs="Segoe UI"/>
          <w:sz w:val="20"/>
          <w:lang w:val="el-GR" w:eastAsia="el-GR" w:bidi="el-GR"/>
        </w:rPr>
        <w:t xml:space="preserve">. </w:t>
      </w:r>
      <w:r w:rsidR="006102B8">
        <w:rPr>
          <w:rFonts w:ascii="Segoe UI" w:hAnsi="Segoe UI" w:cs="Segoe UI"/>
          <w:sz w:val="20"/>
          <w:lang w:val="el-GR" w:eastAsia="el-GR" w:bidi="el-GR"/>
        </w:rPr>
        <w:t xml:space="preserve">Το </w:t>
      </w:r>
      <w:r w:rsidR="00230486">
        <w:rPr>
          <w:rFonts w:ascii="Segoe UI" w:hAnsi="Segoe UI" w:cs="Segoe UI"/>
          <w:sz w:val="20"/>
          <w:lang w:val="el-GR" w:eastAsia="el-GR" w:bidi="el-GR"/>
        </w:rPr>
        <w:t>Πρ</w:t>
      </w:r>
      <w:r w:rsidR="008F6935">
        <w:rPr>
          <w:rFonts w:ascii="Segoe UI" w:hAnsi="Segoe UI" w:cs="Segoe UI"/>
          <w:sz w:val="20"/>
          <w:lang w:val="el-GR" w:eastAsia="el-GR" w:bidi="el-GR"/>
        </w:rPr>
        <w:t>ό</w:t>
      </w:r>
      <w:r w:rsidR="00230486">
        <w:rPr>
          <w:rFonts w:ascii="Segoe UI" w:hAnsi="Segoe UI" w:cs="Segoe UI"/>
          <w:sz w:val="20"/>
          <w:lang w:val="el-GR" w:eastAsia="el-GR" w:bidi="el-GR"/>
        </w:rPr>
        <w:t>γρ</w:t>
      </w:r>
      <w:r w:rsidR="008F6935">
        <w:rPr>
          <w:rFonts w:ascii="Segoe UI" w:hAnsi="Segoe UI" w:cs="Segoe UI"/>
          <w:sz w:val="20"/>
          <w:lang w:val="el-GR" w:eastAsia="el-GR" w:bidi="el-GR"/>
        </w:rPr>
        <w:t>α</w:t>
      </w:r>
      <w:r w:rsidR="00230486">
        <w:rPr>
          <w:rFonts w:ascii="Segoe UI" w:hAnsi="Segoe UI" w:cs="Segoe UI"/>
          <w:sz w:val="20"/>
          <w:lang w:val="el-GR" w:eastAsia="el-GR" w:bidi="el-GR"/>
        </w:rPr>
        <w:t>μμα Εθ</w:t>
      </w:r>
      <w:r w:rsidR="00195460">
        <w:rPr>
          <w:rFonts w:ascii="Segoe UI" w:hAnsi="Segoe UI" w:cs="Segoe UI"/>
          <w:sz w:val="20"/>
          <w:lang w:val="el-GR" w:eastAsia="el-GR" w:bidi="el-GR"/>
        </w:rPr>
        <w:t xml:space="preserve">ελουσίας </w:t>
      </w:r>
      <w:r w:rsidR="00230486">
        <w:rPr>
          <w:rFonts w:ascii="Segoe UI" w:hAnsi="Segoe UI" w:cs="Segoe UI"/>
          <w:sz w:val="20"/>
          <w:lang w:val="el-GR" w:eastAsia="el-GR" w:bidi="el-GR"/>
        </w:rPr>
        <w:t>Ε</w:t>
      </w:r>
      <w:r w:rsidR="00195460">
        <w:rPr>
          <w:rFonts w:ascii="Segoe UI" w:hAnsi="Segoe UI" w:cs="Segoe UI"/>
          <w:sz w:val="20"/>
          <w:lang w:val="el-GR" w:eastAsia="el-GR" w:bidi="el-GR"/>
        </w:rPr>
        <w:t>ξόδου</w:t>
      </w:r>
      <w:r w:rsidR="00230486">
        <w:rPr>
          <w:rFonts w:ascii="Segoe UI" w:hAnsi="Segoe UI" w:cs="Segoe UI"/>
          <w:sz w:val="20"/>
          <w:lang w:val="el-GR" w:eastAsia="el-GR" w:bidi="el-GR"/>
        </w:rPr>
        <w:t xml:space="preserve"> Προσωπικού</w:t>
      </w:r>
      <w:r w:rsidR="00F33DA9" w:rsidRPr="00A6792B">
        <w:rPr>
          <w:rFonts w:ascii="Segoe UI" w:hAnsi="Segoe UI" w:cs="Segoe UI"/>
          <w:sz w:val="20"/>
          <w:lang w:val="el-GR" w:eastAsia="el-GR" w:bidi="el-GR"/>
        </w:rPr>
        <w:t xml:space="preserve">, </w:t>
      </w:r>
      <w:r w:rsidR="00261672">
        <w:rPr>
          <w:rFonts w:ascii="Segoe UI" w:hAnsi="Segoe UI" w:cs="Segoe UI"/>
          <w:sz w:val="20"/>
          <w:lang w:val="el-GR" w:eastAsia="el-GR" w:bidi="el-GR"/>
        </w:rPr>
        <w:t xml:space="preserve">το οποίο </w:t>
      </w:r>
      <w:r w:rsidR="00B927D9">
        <w:rPr>
          <w:rFonts w:ascii="Segoe UI" w:hAnsi="Segoe UI" w:cs="Segoe UI"/>
          <w:sz w:val="20"/>
          <w:lang w:val="el-GR" w:eastAsia="el-GR" w:bidi="el-GR"/>
        </w:rPr>
        <w:t>ολοκληρώθηκε το Δεκέμβριο του 2016</w:t>
      </w:r>
      <w:r w:rsidR="00261672">
        <w:rPr>
          <w:rFonts w:ascii="Segoe UI" w:hAnsi="Segoe UI" w:cs="Segoe UI"/>
          <w:sz w:val="20"/>
          <w:lang w:val="el-GR" w:eastAsia="el-GR" w:bidi="el-GR"/>
        </w:rPr>
        <w:t xml:space="preserve">, </w:t>
      </w:r>
      <w:r w:rsidR="008C606D">
        <w:rPr>
          <w:rFonts w:ascii="Segoe UI" w:hAnsi="Segoe UI" w:cs="Segoe UI"/>
          <w:sz w:val="20"/>
          <w:lang w:val="el-GR" w:eastAsia="el-GR" w:bidi="el-GR"/>
        </w:rPr>
        <w:t>αναμένεται να μειώσει τις δαπάνες προσωπικού κατά €</w:t>
      </w:r>
      <w:r w:rsidR="00A62132">
        <w:rPr>
          <w:rFonts w:ascii="Segoe UI" w:hAnsi="Segoe UI" w:cs="Segoe UI"/>
          <w:sz w:val="20"/>
          <w:lang w:val="el-GR" w:eastAsia="el-GR" w:bidi="el-GR"/>
        </w:rPr>
        <w:t>6</w:t>
      </w:r>
      <w:r w:rsidR="008C606D">
        <w:rPr>
          <w:rFonts w:ascii="Segoe UI" w:hAnsi="Segoe UI" w:cs="Segoe UI"/>
          <w:sz w:val="20"/>
          <w:lang w:val="el-GR" w:eastAsia="el-GR" w:bidi="el-GR"/>
        </w:rPr>
        <w:t>0 εκατ</w:t>
      </w:r>
      <w:r w:rsidR="00F33DA9" w:rsidRPr="00A6792B">
        <w:rPr>
          <w:rFonts w:ascii="Segoe UI" w:hAnsi="Segoe UI" w:cs="Segoe UI"/>
          <w:sz w:val="20"/>
          <w:lang w:val="el-GR" w:eastAsia="el-GR" w:bidi="el-GR"/>
        </w:rPr>
        <w:t>.</w:t>
      </w:r>
      <w:r w:rsidR="00B927D9">
        <w:rPr>
          <w:rFonts w:ascii="Segoe UI" w:hAnsi="Segoe UI" w:cs="Segoe UI"/>
          <w:sz w:val="20"/>
          <w:lang w:val="el-GR" w:eastAsia="el-GR" w:bidi="el-GR"/>
        </w:rPr>
        <w:t xml:space="preserve"> </w:t>
      </w:r>
      <w:r w:rsidR="008F6935">
        <w:rPr>
          <w:rFonts w:ascii="Segoe UI" w:hAnsi="Segoe UI" w:cs="Segoe UI"/>
          <w:sz w:val="20"/>
          <w:lang w:val="el-GR" w:eastAsia="el-GR" w:bidi="el-GR"/>
        </w:rPr>
        <w:t xml:space="preserve">κατά το 2017. </w:t>
      </w:r>
      <w:r w:rsidR="00A62132" w:rsidRPr="00A62132">
        <w:rPr>
          <w:rFonts w:ascii="Segoe UI" w:hAnsi="Segoe UI" w:cs="Segoe UI"/>
          <w:sz w:val="20"/>
          <w:lang w:val="el-GR" w:eastAsia="el-GR" w:bidi="el-GR"/>
        </w:rPr>
        <w:t>Στο Πρόγραμμα Εθελούσιας Εξόδου</w:t>
      </w:r>
      <w:r w:rsidR="00A62132">
        <w:rPr>
          <w:rFonts w:ascii="Segoe UI" w:hAnsi="Segoe UI" w:cs="Segoe UI"/>
          <w:sz w:val="20"/>
          <w:lang w:val="el-GR" w:eastAsia="el-GR" w:bidi="el-GR"/>
        </w:rPr>
        <w:t>,</w:t>
      </w:r>
      <w:r w:rsidR="00A62132" w:rsidRPr="00A62132">
        <w:rPr>
          <w:rFonts w:ascii="Segoe UI" w:hAnsi="Segoe UI" w:cs="Segoe UI"/>
          <w:sz w:val="20"/>
          <w:lang w:val="el-GR" w:eastAsia="el-GR" w:bidi="el-GR"/>
        </w:rPr>
        <w:t xml:space="preserve"> </w:t>
      </w:r>
      <w:r w:rsidR="00A62132" w:rsidRPr="00A6792B">
        <w:rPr>
          <w:rFonts w:ascii="Segoe UI" w:hAnsi="Segoe UI" w:cs="Segoe UI"/>
          <w:sz w:val="20"/>
          <w:lang w:val="el-GR" w:eastAsia="el-GR" w:bidi="el-GR"/>
        </w:rPr>
        <w:t xml:space="preserve">τα κόστη </w:t>
      </w:r>
      <w:r w:rsidR="00A62132">
        <w:rPr>
          <w:rFonts w:ascii="Segoe UI" w:hAnsi="Segoe UI" w:cs="Segoe UI"/>
          <w:sz w:val="20"/>
          <w:lang w:val="el-GR" w:eastAsia="el-GR" w:bidi="el-GR"/>
        </w:rPr>
        <w:t>του</w:t>
      </w:r>
      <w:r w:rsidR="00A62132" w:rsidRPr="00A6792B">
        <w:rPr>
          <w:rFonts w:ascii="Segoe UI" w:hAnsi="Segoe UI" w:cs="Segoe UI"/>
          <w:sz w:val="20"/>
          <w:lang w:val="el-GR" w:eastAsia="el-GR" w:bidi="el-GR"/>
        </w:rPr>
        <w:t xml:space="preserve"> οποί</w:t>
      </w:r>
      <w:r w:rsidR="00A62132">
        <w:rPr>
          <w:rFonts w:ascii="Segoe UI" w:hAnsi="Segoe UI" w:cs="Segoe UI"/>
          <w:sz w:val="20"/>
          <w:lang w:val="el-GR" w:eastAsia="el-GR" w:bidi="el-GR"/>
        </w:rPr>
        <w:t>ου</w:t>
      </w:r>
      <w:r w:rsidR="00A62132" w:rsidRPr="00A6792B">
        <w:rPr>
          <w:rFonts w:ascii="Segoe UI" w:hAnsi="Segoe UI" w:cs="Segoe UI"/>
          <w:sz w:val="20"/>
          <w:lang w:val="el-GR" w:eastAsia="el-GR" w:bidi="el-GR"/>
        </w:rPr>
        <w:t xml:space="preserve"> </w:t>
      </w:r>
      <w:r w:rsidR="008F6935">
        <w:rPr>
          <w:rFonts w:ascii="Segoe UI" w:hAnsi="Segoe UI" w:cs="Segoe UI"/>
          <w:sz w:val="20"/>
          <w:lang w:val="el-GR" w:eastAsia="el-GR" w:bidi="el-GR"/>
        </w:rPr>
        <w:t>είχαν</w:t>
      </w:r>
      <w:r w:rsidR="00A62132" w:rsidRPr="00A6792B">
        <w:rPr>
          <w:rFonts w:ascii="Segoe UI" w:hAnsi="Segoe UI" w:cs="Segoe UI"/>
          <w:sz w:val="20"/>
          <w:lang w:val="el-GR" w:eastAsia="el-GR" w:bidi="el-GR"/>
        </w:rPr>
        <w:t xml:space="preserve"> ήδη επιβαρύνει το Δ’ τρίμηνο του 2015</w:t>
      </w:r>
      <w:r w:rsidR="00A62132">
        <w:rPr>
          <w:rFonts w:ascii="Segoe UI" w:hAnsi="Segoe UI" w:cs="Segoe UI"/>
          <w:sz w:val="20"/>
          <w:lang w:val="el-GR" w:eastAsia="el-GR" w:bidi="el-GR"/>
        </w:rPr>
        <w:t xml:space="preserve">, </w:t>
      </w:r>
      <w:r w:rsidR="00A62132" w:rsidRPr="00A62132">
        <w:rPr>
          <w:rFonts w:ascii="Segoe UI" w:hAnsi="Segoe UI" w:cs="Segoe UI"/>
          <w:sz w:val="20"/>
          <w:lang w:val="el-GR" w:eastAsia="el-GR" w:bidi="el-GR"/>
        </w:rPr>
        <w:t>συμμετείχαν 1.</w:t>
      </w:r>
      <w:r w:rsidR="00865EC0" w:rsidRPr="006F494C">
        <w:rPr>
          <w:rFonts w:ascii="Segoe UI" w:hAnsi="Segoe UI" w:cs="Segoe UI"/>
          <w:sz w:val="20"/>
          <w:lang w:val="el-GR" w:eastAsia="el-GR" w:bidi="el-GR"/>
        </w:rPr>
        <w:t>1</w:t>
      </w:r>
      <w:r w:rsidR="008F6935">
        <w:rPr>
          <w:rFonts w:ascii="Segoe UI" w:hAnsi="Segoe UI" w:cs="Segoe UI"/>
          <w:sz w:val="20"/>
          <w:lang w:val="el-GR" w:eastAsia="el-GR" w:bidi="el-GR"/>
        </w:rPr>
        <w:t>71</w:t>
      </w:r>
      <w:r w:rsidR="00A62132" w:rsidRPr="00A62132">
        <w:rPr>
          <w:rFonts w:ascii="Segoe UI" w:hAnsi="Segoe UI" w:cs="Segoe UI"/>
          <w:sz w:val="20"/>
          <w:lang w:val="el-GR" w:eastAsia="el-GR" w:bidi="el-GR"/>
        </w:rPr>
        <w:t xml:space="preserve"> εργαζόμενοι από το δίκτυο και τις διοικητικές υπηρεσίες</w:t>
      </w:r>
      <w:r w:rsidR="00CF2F45">
        <w:rPr>
          <w:rFonts w:ascii="Segoe UI" w:hAnsi="Segoe UI" w:cs="Segoe UI"/>
          <w:sz w:val="20"/>
          <w:lang w:val="el-GR" w:eastAsia="el-GR" w:bidi="el-GR"/>
        </w:rPr>
        <w:t xml:space="preserve">. </w:t>
      </w:r>
    </w:p>
    <w:p w:rsidR="00FA36D1" w:rsidRPr="00A6792B" w:rsidRDefault="00104C39" w:rsidP="004929D8">
      <w:pPr>
        <w:autoSpaceDE w:val="0"/>
        <w:autoSpaceDN w:val="0"/>
        <w:adjustRightInd w:val="0"/>
        <w:spacing w:after="160" w:line="320" w:lineRule="atLeast"/>
        <w:jc w:val="both"/>
        <w:rPr>
          <w:rFonts w:ascii="Segoe UI" w:hAnsi="Segoe UI" w:cs="Segoe UI"/>
          <w:sz w:val="20"/>
          <w:lang w:val="el-GR"/>
        </w:rPr>
      </w:pPr>
      <w:r>
        <w:rPr>
          <w:rFonts w:ascii="Segoe UI" w:hAnsi="Segoe UI" w:cs="Segoe UI"/>
          <w:sz w:val="20"/>
          <w:lang w:val="el-GR"/>
        </w:rPr>
        <w:t>Τ</w:t>
      </w:r>
      <w:r w:rsidRPr="00104C39">
        <w:rPr>
          <w:rFonts w:ascii="Segoe UI" w:hAnsi="Segoe UI" w:cs="Segoe UI"/>
          <w:sz w:val="20"/>
          <w:lang w:val="el-GR" w:eastAsia="el-GR" w:bidi="el-GR"/>
        </w:rPr>
        <w:t>α κέρδη μετά από φόρους από συνεχιζόμενες δραστηριότητες ανήλθαν σε €</w:t>
      </w:r>
      <w:r w:rsidR="00CE3F29">
        <w:rPr>
          <w:rFonts w:ascii="Segoe UI" w:hAnsi="Segoe UI" w:cs="Segoe UI"/>
          <w:sz w:val="20"/>
          <w:lang w:val="el-GR" w:eastAsia="el-GR" w:bidi="el-GR"/>
        </w:rPr>
        <w:t>7</w:t>
      </w:r>
      <w:r w:rsidR="00AD0E03">
        <w:rPr>
          <w:rFonts w:ascii="Segoe UI" w:hAnsi="Segoe UI" w:cs="Segoe UI"/>
          <w:sz w:val="20"/>
          <w:lang w:val="el-GR" w:eastAsia="el-GR" w:bidi="el-GR"/>
        </w:rPr>
        <w:t>2</w:t>
      </w:r>
      <w:r w:rsidRPr="00104C39">
        <w:rPr>
          <w:rFonts w:ascii="Segoe UI" w:hAnsi="Segoe UI" w:cs="Segoe UI"/>
          <w:sz w:val="20"/>
          <w:lang w:val="el-GR" w:eastAsia="el-GR" w:bidi="el-GR"/>
        </w:rPr>
        <w:t xml:space="preserve"> εκατ. έναντι ζημιών ύψους €</w:t>
      </w:r>
      <w:r w:rsidR="00CE3F29">
        <w:rPr>
          <w:rFonts w:ascii="Segoe UI" w:hAnsi="Segoe UI" w:cs="Segoe UI"/>
          <w:sz w:val="20"/>
          <w:lang w:val="el-GR" w:eastAsia="el-GR" w:bidi="el-GR"/>
        </w:rPr>
        <w:t xml:space="preserve">5 εκατ. το Γ’ Τρίμηνο του </w:t>
      </w:r>
      <w:r w:rsidRPr="00104C39">
        <w:rPr>
          <w:rFonts w:ascii="Segoe UI" w:hAnsi="Segoe UI" w:cs="Segoe UI"/>
          <w:sz w:val="20"/>
          <w:lang w:val="el-GR" w:eastAsia="el-GR" w:bidi="el-GR"/>
        </w:rPr>
        <w:t>2015</w:t>
      </w:r>
      <w:r w:rsidR="00CE3F29">
        <w:rPr>
          <w:rFonts w:ascii="Segoe UI" w:hAnsi="Segoe UI" w:cs="Segoe UI"/>
          <w:sz w:val="20"/>
          <w:lang w:val="el-GR" w:eastAsia="el-GR" w:bidi="el-GR"/>
        </w:rPr>
        <w:t xml:space="preserve">, με το κέρδος από την πώληση της ΑΣΤΗΡ ΠΑΛΑΣ </w:t>
      </w:r>
      <w:r w:rsidR="0027427F">
        <w:rPr>
          <w:rFonts w:ascii="Segoe UI" w:hAnsi="Segoe UI" w:cs="Segoe UI"/>
          <w:sz w:val="20"/>
          <w:lang w:val="el-GR" w:eastAsia="el-GR" w:bidi="el-GR"/>
        </w:rPr>
        <w:t>ύψους €</w:t>
      </w:r>
      <w:r w:rsidR="00E55386" w:rsidRPr="00E55386">
        <w:rPr>
          <w:rFonts w:ascii="Segoe UI" w:hAnsi="Segoe UI" w:cs="Segoe UI"/>
          <w:sz w:val="20"/>
          <w:lang w:val="el-GR" w:eastAsia="el-GR" w:bidi="el-GR"/>
        </w:rPr>
        <w:t xml:space="preserve">150 </w:t>
      </w:r>
      <w:r w:rsidR="00E55386">
        <w:rPr>
          <w:rFonts w:ascii="Segoe UI" w:hAnsi="Segoe UI" w:cs="Segoe UI"/>
          <w:sz w:val="20"/>
          <w:lang w:val="el-GR" w:eastAsia="el-GR" w:bidi="el-GR"/>
        </w:rPr>
        <w:t>εκατ.</w:t>
      </w:r>
      <w:r w:rsidR="0085286E">
        <w:rPr>
          <w:rFonts w:ascii="Segoe UI" w:hAnsi="Segoe UI" w:cs="Segoe UI"/>
          <w:sz w:val="20"/>
          <w:lang w:val="el-GR" w:eastAsia="el-GR" w:bidi="el-GR"/>
        </w:rPr>
        <w:t xml:space="preserve">, το οποίο </w:t>
      </w:r>
      <w:r w:rsidR="008F6935">
        <w:rPr>
          <w:rFonts w:ascii="Segoe UI" w:hAnsi="Segoe UI" w:cs="Segoe UI"/>
          <w:sz w:val="20"/>
          <w:lang w:val="el-GR" w:eastAsia="el-GR" w:bidi="el-GR"/>
        </w:rPr>
        <w:t xml:space="preserve">προσαύξησε </w:t>
      </w:r>
      <w:r w:rsidR="0085286E">
        <w:rPr>
          <w:rFonts w:ascii="Segoe UI" w:hAnsi="Segoe UI" w:cs="Segoe UI"/>
          <w:sz w:val="20"/>
          <w:lang w:val="el-GR" w:eastAsia="el-GR" w:bidi="el-GR"/>
        </w:rPr>
        <w:t xml:space="preserve">τα </w:t>
      </w:r>
      <w:r w:rsidR="00FD462B">
        <w:rPr>
          <w:rFonts w:ascii="Segoe UI" w:hAnsi="Segoe UI" w:cs="Segoe UI"/>
          <w:sz w:val="20"/>
          <w:lang w:val="el-GR" w:eastAsia="el-GR" w:bidi="el-GR"/>
        </w:rPr>
        <w:t>λ</w:t>
      </w:r>
      <w:r w:rsidR="0085286E" w:rsidRPr="0085286E">
        <w:rPr>
          <w:rFonts w:ascii="Segoe UI" w:hAnsi="Segoe UI" w:cs="Segoe UI"/>
          <w:sz w:val="20"/>
          <w:lang w:val="el-GR" w:eastAsia="el-GR" w:bidi="el-GR"/>
        </w:rPr>
        <w:t xml:space="preserve">οιπά </w:t>
      </w:r>
      <w:r w:rsidR="00FD462B">
        <w:rPr>
          <w:rFonts w:ascii="Segoe UI" w:hAnsi="Segoe UI" w:cs="Segoe UI"/>
          <w:sz w:val="20"/>
          <w:lang w:val="el-GR" w:eastAsia="el-GR" w:bidi="el-GR"/>
        </w:rPr>
        <w:t>έ</w:t>
      </w:r>
      <w:r w:rsidR="0085286E" w:rsidRPr="0085286E">
        <w:rPr>
          <w:rFonts w:ascii="Segoe UI" w:hAnsi="Segoe UI" w:cs="Segoe UI"/>
          <w:sz w:val="20"/>
          <w:lang w:val="el-GR" w:eastAsia="el-GR" w:bidi="el-GR"/>
        </w:rPr>
        <w:t>σοδα</w:t>
      </w:r>
      <w:r w:rsidR="0085286E">
        <w:rPr>
          <w:rFonts w:ascii="Segoe UI" w:hAnsi="Segoe UI" w:cs="Segoe UI"/>
          <w:sz w:val="20"/>
          <w:lang w:val="el-GR" w:eastAsia="el-GR" w:bidi="el-GR"/>
        </w:rPr>
        <w:t xml:space="preserve">, </w:t>
      </w:r>
      <w:r w:rsidR="00CE3F29">
        <w:rPr>
          <w:rFonts w:ascii="Segoe UI" w:hAnsi="Segoe UI" w:cs="Segoe UI"/>
          <w:sz w:val="20"/>
          <w:lang w:val="el-GR" w:eastAsia="el-GR" w:bidi="el-GR"/>
        </w:rPr>
        <w:t>να απορροφά τις αυξημένες π</w:t>
      </w:r>
      <w:r w:rsidR="006B4840">
        <w:rPr>
          <w:rFonts w:ascii="Segoe UI" w:hAnsi="Segoe UI" w:cs="Segoe UI"/>
          <w:sz w:val="20"/>
          <w:lang w:val="el-GR" w:eastAsia="el-GR" w:bidi="el-GR"/>
        </w:rPr>
        <w:t>ροβλέψ</w:t>
      </w:r>
      <w:r w:rsidR="00CE3F29">
        <w:rPr>
          <w:rFonts w:ascii="Segoe UI" w:hAnsi="Segoe UI" w:cs="Segoe UI"/>
          <w:sz w:val="20"/>
          <w:lang w:val="el-GR" w:eastAsia="el-GR" w:bidi="el-GR"/>
        </w:rPr>
        <w:t>εις γ</w:t>
      </w:r>
      <w:r w:rsidR="006B4840">
        <w:rPr>
          <w:rFonts w:ascii="Segoe UI" w:hAnsi="Segoe UI" w:cs="Segoe UI"/>
          <w:sz w:val="20"/>
          <w:lang w:val="el-GR" w:eastAsia="el-GR" w:bidi="el-GR"/>
        </w:rPr>
        <w:t>ια</w:t>
      </w:r>
      <w:r w:rsidR="00A72E83">
        <w:rPr>
          <w:rFonts w:ascii="Segoe UI" w:hAnsi="Segoe UI" w:cs="Segoe UI"/>
          <w:sz w:val="20"/>
          <w:lang w:val="el-GR" w:eastAsia="el-GR" w:bidi="el-GR"/>
        </w:rPr>
        <w:t xml:space="preserve"> </w:t>
      </w:r>
      <w:r w:rsidR="00AE37F9" w:rsidRPr="00AE37F9">
        <w:rPr>
          <w:rFonts w:ascii="Segoe UI" w:hAnsi="Segoe UI" w:cs="Segoe UI"/>
          <w:sz w:val="20"/>
          <w:lang w:val="el-GR" w:eastAsia="el-GR" w:bidi="el-GR"/>
        </w:rPr>
        <w:t>επισφαλ</w:t>
      </w:r>
      <w:r w:rsidR="009D0F47">
        <w:rPr>
          <w:rFonts w:ascii="Segoe UI" w:hAnsi="Segoe UI" w:cs="Segoe UI"/>
          <w:sz w:val="20"/>
          <w:lang w:val="el-GR" w:eastAsia="el-GR" w:bidi="el-GR"/>
        </w:rPr>
        <w:t>ή δάνεια</w:t>
      </w:r>
      <w:r w:rsidR="0002597A">
        <w:rPr>
          <w:rFonts w:ascii="Segoe UI" w:hAnsi="Segoe UI" w:cs="Segoe UI"/>
          <w:sz w:val="20"/>
          <w:lang w:val="el-GR" w:eastAsia="el-GR" w:bidi="el-GR"/>
        </w:rPr>
        <w:t xml:space="preserve"> (€</w:t>
      </w:r>
      <w:r w:rsidR="00CE3F29">
        <w:rPr>
          <w:rFonts w:ascii="Segoe UI" w:hAnsi="Segoe UI" w:cs="Segoe UI"/>
          <w:sz w:val="20"/>
          <w:lang w:val="el-GR" w:eastAsia="el-GR" w:bidi="el-GR"/>
        </w:rPr>
        <w:t>200</w:t>
      </w:r>
      <w:r w:rsidR="0002597A">
        <w:rPr>
          <w:rFonts w:ascii="Segoe UI" w:hAnsi="Segoe UI" w:cs="Segoe UI"/>
          <w:sz w:val="20"/>
          <w:lang w:val="el-GR" w:eastAsia="el-GR" w:bidi="el-GR"/>
        </w:rPr>
        <w:t xml:space="preserve"> εκατ. από €1</w:t>
      </w:r>
      <w:r w:rsidR="00CE3F29">
        <w:rPr>
          <w:rFonts w:ascii="Segoe UI" w:hAnsi="Segoe UI" w:cs="Segoe UI"/>
          <w:sz w:val="20"/>
          <w:lang w:val="el-GR" w:eastAsia="el-GR" w:bidi="el-GR"/>
        </w:rPr>
        <w:t>62</w:t>
      </w:r>
      <w:r w:rsidR="0002597A">
        <w:rPr>
          <w:rFonts w:ascii="Segoe UI" w:hAnsi="Segoe UI" w:cs="Segoe UI"/>
          <w:sz w:val="20"/>
          <w:lang w:val="el-GR" w:eastAsia="el-GR" w:bidi="el-GR"/>
        </w:rPr>
        <w:t xml:space="preserve"> εκατ. το</w:t>
      </w:r>
      <w:r w:rsidR="0002597A" w:rsidRPr="0002597A">
        <w:rPr>
          <w:rFonts w:ascii="Segoe UI" w:hAnsi="Segoe UI"/>
          <w:sz w:val="20"/>
          <w:lang w:val="el-GR"/>
        </w:rPr>
        <w:t xml:space="preserve"> </w:t>
      </w:r>
      <w:r w:rsidR="00CE3F29">
        <w:rPr>
          <w:rFonts w:ascii="Segoe UI" w:hAnsi="Segoe UI"/>
          <w:sz w:val="20"/>
          <w:lang w:val="el-GR"/>
        </w:rPr>
        <w:t>Γ</w:t>
      </w:r>
      <w:r w:rsidR="0002597A">
        <w:rPr>
          <w:rFonts w:ascii="Segoe UI" w:hAnsi="Segoe UI"/>
          <w:sz w:val="20"/>
          <w:lang w:val="el-GR"/>
        </w:rPr>
        <w:t>’ τρίμηνο του 2016</w:t>
      </w:r>
      <w:r w:rsidR="0002597A">
        <w:rPr>
          <w:rFonts w:ascii="Segoe UI" w:hAnsi="Segoe UI" w:cs="Segoe UI"/>
          <w:sz w:val="20"/>
          <w:lang w:val="el-GR" w:eastAsia="el-GR" w:bidi="el-GR"/>
        </w:rPr>
        <w:t>)</w:t>
      </w:r>
      <w:r w:rsidR="00396F8A">
        <w:rPr>
          <w:rFonts w:ascii="Segoe UI" w:hAnsi="Segoe UI" w:cs="Segoe UI"/>
          <w:sz w:val="20"/>
          <w:lang w:val="el-GR" w:eastAsia="el-GR" w:bidi="el-GR"/>
        </w:rPr>
        <w:t>, καθώς και τα αρνητικά αποτελέσματα των εσόδων από χρηματοοικονομικές πράξεις</w:t>
      </w:r>
      <w:r w:rsidR="0085286E">
        <w:rPr>
          <w:rFonts w:ascii="Segoe UI" w:hAnsi="Segoe UI" w:cs="Segoe UI"/>
          <w:sz w:val="20"/>
          <w:lang w:val="el-GR" w:eastAsia="el-GR" w:bidi="el-GR"/>
        </w:rPr>
        <w:t xml:space="preserve">. </w:t>
      </w:r>
    </w:p>
    <w:p w:rsidR="00910D5E" w:rsidRPr="00A6792B" w:rsidRDefault="00910D5E" w:rsidP="004929D8">
      <w:pPr>
        <w:autoSpaceDE w:val="0"/>
        <w:autoSpaceDN w:val="0"/>
        <w:adjustRightInd w:val="0"/>
        <w:spacing w:after="160" w:line="320" w:lineRule="atLeast"/>
        <w:jc w:val="both"/>
        <w:rPr>
          <w:rFonts w:ascii="Segoe UI" w:hAnsi="Segoe UI" w:cs="Segoe UI"/>
          <w:sz w:val="20"/>
          <w:u w:val="single"/>
          <w:lang w:val="el-GR" w:eastAsia="el-GR" w:bidi="el-GR"/>
        </w:rPr>
      </w:pPr>
      <w:r w:rsidRPr="00A6792B">
        <w:rPr>
          <w:rFonts w:ascii="Segoe UI" w:hAnsi="Segoe UI" w:cs="Segoe UI"/>
          <w:sz w:val="20"/>
          <w:u w:val="single"/>
          <w:lang w:val="el-GR" w:eastAsia="el-GR" w:bidi="el-GR"/>
        </w:rPr>
        <w:t>ΝΑ Ευρώπη</w:t>
      </w:r>
      <w:r w:rsidR="00437FF5" w:rsidRPr="00A6792B">
        <w:rPr>
          <w:rStyle w:val="a9"/>
          <w:rFonts w:ascii="Segoe UI" w:hAnsi="Segoe UI" w:cs="Segoe UI"/>
          <w:sz w:val="20"/>
          <w:lang w:val="el-GR" w:eastAsia="el-GR" w:bidi="el-GR"/>
        </w:rPr>
        <w:footnoteReference w:id="1"/>
      </w:r>
      <w:r w:rsidRPr="00A6792B">
        <w:rPr>
          <w:rFonts w:ascii="Segoe UI" w:hAnsi="Segoe UI" w:cs="Segoe UI"/>
          <w:sz w:val="20"/>
          <w:u w:val="single"/>
          <w:lang w:val="el-GR" w:eastAsia="el-GR" w:bidi="el-GR"/>
        </w:rPr>
        <w:t xml:space="preserve">: </w:t>
      </w:r>
    </w:p>
    <w:p w:rsidR="0053018E" w:rsidRDefault="00EC6DA7"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Στη ΝΑ</w:t>
      </w:r>
      <w:r w:rsidR="005E2A8A">
        <w:rPr>
          <w:rFonts w:ascii="Segoe UI" w:hAnsi="Segoe UI" w:cs="Segoe UI"/>
          <w:sz w:val="20"/>
          <w:lang w:val="el-GR" w:eastAsia="el-GR" w:bidi="el-GR"/>
        </w:rPr>
        <w:t xml:space="preserve"> Ευρώπη</w:t>
      </w:r>
      <w:r w:rsidR="00C86959" w:rsidRPr="00C86959">
        <w:rPr>
          <w:rFonts w:ascii="Segoe UI" w:hAnsi="Segoe UI" w:cs="Segoe UI"/>
          <w:sz w:val="20"/>
          <w:vertAlign w:val="superscript"/>
          <w:lang w:val="el-GR" w:eastAsia="el-GR" w:bidi="el-GR"/>
        </w:rPr>
        <w:t>1</w:t>
      </w:r>
      <w:r w:rsidR="005E2A8A">
        <w:rPr>
          <w:rFonts w:ascii="Segoe UI" w:hAnsi="Segoe UI" w:cs="Segoe UI"/>
          <w:sz w:val="20"/>
          <w:lang w:val="el-GR" w:eastAsia="el-GR" w:bidi="el-GR"/>
        </w:rPr>
        <w:t xml:space="preserve">, </w:t>
      </w:r>
      <w:r w:rsidR="0053018E">
        <w:rPr>
          <w:rFonts w:ascii="Segoe UI" w:hAnsi="Segoe UI" w:cs="Segoe UI"/>
          <w:sz w:val="20"/>
          <w:lang w:val="el-GR" w:eastAsia="el-GR" w:bidi="el-GR"/>
        </w:rPr>
        <w:t>τ</w:t>
      </w:r>
      <w:r w:rsidR="0053018E" w:rsidRPr="0053018E">
        <w:rPr>
          <w:rFonts w:ascii="Segoe UI" w:hAnsi="Segoe UI" w:cs="Segoe UI"/>
          <w:sz w:val="20"/>
          <w:lang w:val="el-GR" w:eastAsia="el-GR" w:bidi="el-GR"/>
        </w:rPr>
        <w:t xml:space="preserve">α οργανικά κέρδη προ προβλέψεων </w:t>
      </w:r>
      <w:r w:rsidR="0053018E">
        <w:rPr>
          <w:rFonts w:ascii="Segoe UI" w:hAnsi="Segoe UI" w:cs="Segoe UI"/>
          <w:sz w:val="20"/>
          <w:lang w:val="el-GR" w:eastAsia="el-GR" w:bidi="el-GR"/>
        </w:rPr>
        <w:t>παρέμειναν αμετάβλητα σε τριμηνιαία βάση</w:t>
      </w:r>
      <w:r w:rsidR="008046D7" w:rsidRPr="008C5C4E">
        <w:rPr>
          <w:rFonts w:ascii="Segoe UI" w:hAnsi="Segoe UI" w:cs="Segoe UI"/>
          <w:sz w:val="20"/>
          <w:lang w:val="el-GR" w:eastAsia="el-GR" w:bidi="el-GR"/>
        </w:rPr>
        <w:t xml:space="preserve">, </w:t>
      </w:r>
      <w:r w:rsidR="008046D7">
        <w:rPr>
          <w:rFonts w:ascii="Segoe UI" w:hAnsi="Segoe UI" w:cs="Segoe UI"/>
          <w:sz w:val="20"/>
          <w:lang w:val="el-GR" w:eastAsia="el-GR" w:bidi="el-GR"/>
        </w:rPr>
        <w:t>ενώ</w:t>
      </w:r>
      <w:r w:rsidR="0053018E">
        <w:rPr>
          <w:rFonts w:ascii="Segoe UI" w:hAnsi="Segoe UI" w:cs="Segoe UI"/>
          <w:sz w:val="20"/>
          <w:lang w:val="el-GR" w:eastAsia="el-GR" w:bidi="el-GR"/>
        </w:rPr>
        <w:t xml:space="preserve"> ενισχυθήκαν κατά 6,4% σε ετήσια βάση</w:t>
      </w:r>
      <w:r w:rsidR="00E9439B">
        <w:rPr>
          <w:rFonts w:ascii="Segoe UI" w:hAnsi="Segoe UI" w:cs="Segoe UI"/>
          <w:sz w:val="20"/>
          <w:lang w:val="el-GR" w:eastAsia="el-GR" w:bidi="el-GR"/>
        </w:rPr>
        <w:t>, ανερχόμενα</w:t>
      </w:r>
      <w:r w:rsidR="0053018E">
        <w:rPr>
          <w:rFonts w:ascii="Segoe UI" w:hAnsi="Segoe UI" w:cs="Segoe UI"/>
          <w:sz w:val="20"/>
          <w:lang w:val="el-GR" w:eastAsia="el-GR" w:bidi="el-GR"/>
        </w:rPr>
        <w:t xml:space="preserve"> σε €63 εκατ. </w:t>
      </w:r>
      <w:r w:rsidR="00401009">
        <w:rPr>
          <w:rFonts w:ascii="Segoe UI" w:hAnsi="Segoe UI" w:cs="Segoe UI"/>
          <w:sz w:val="20"/>
          <w:lang w:val="el-GR" w:eastAsia="el-GR" w:bidi="el-GR"/>
        </w:rPr>
        <w:t xml:space="preserve">για το 2016. </w:t>
      </w:r>
      <w:r w:rsidR="00E537EA">
        <w:rPr>
          <w:rFonts w:ascii="Segoe UI" w:hAnsi="Segoe UI" w:cs="Segoe UI"/>
          <w:sz w:val="20"/>
          <w:lang w:val="el-GR" w:eastAsia="el-GR" w:bidi="el-GR"/>
        </w:rPr>
        <w:t>Σε επίπεδο κερδών</w:t>
      </w:r>
      <w:r w:rsidR="00E537EA" w:rsidRPr="00E537EA">
        <w:rPr>
          <w:rFonts w:ascii="Segoe UI" w:hAnsi="Segoe UI" w:cs="Segoe UI"/>
          <w:sz w:val="20"/>
          <w:lang w:val="el-GR" w:eastAsia="el-GR" w:bidi="el-GR"/>
        </w:rPr>
        <w:t xml:space="preserve"> μετά από φόρους από συνεχιζόμενες δραστηριότητες</w:t>
      </w:r>
      <w:r w:rsidR="00E537EA">
        <w:rPr>
          <w:rFonts w:ascii="Segoe UI" w:hAnsi="Segoe UI" w:cs="Segoe UI"/>
          <w:sz w:val="20"/>
          <w:lang w:val="el-GR" w:eastAsia="el-GR" w:bidi="el-GR"/>
        </w:rPr>
        <w:t xml:space="preserve">, ο Όμιλος </w:t>
      </w:r>
      <w:r w:rsidR="006A6896">
        <w:rPr>
          <w:rFonts w:ascii="Segoe UI" w:hAnsi="Segoe UI" w:cs="Segoe UI"/>
          <w:sz w:val="20"/>
          <w:lang w:val="el-GR" w:eastAsia="el-GR" w:bidi="el-GR"/>
        </w:rPr>
        <w:t xml:space="preserve">σημείωσε </w:t>
      </w:r>
      <w:r w:rsidR="006A6896">
        <w:rPr>
          <w:rFonts w:ascii="Segoe UI" w:hAnsi="Segoe UI" w:cs="Segoe UI"/>
          <w:sz w:val="20"/>
          <w:lang w:val="el-GR" w:eastAsia="el-GR" w:bidi="el-GR"/>
        </w:rPr>
        <w:lastRenderedPageBreak/>
        <w:t>κέρδη ύψους €1 εκατ. από €11 εκατ</w:t>
      </w:r>
      <w:r w:rsidR="008F6935">
        <w:rPr>
          <w:rFonts w:ascii="Segoe UI" w:hAnsi="Segoe UI" w:cs="Segoe UI"/>
          <w:sz w:val="20"/>
          <w:lang w:val="el-GR" w:eastAsia="el-GR" w:bidi="el-GR"/>
        </w:rPr>
        <w:t>.</w:t>
      </w:r>
      <w:r w:rsidR="006A6896">
        <w:rPr>
          <w:rFonts w:ascii="Segoe UI" w:hAnsi="Segoe UI" w:cs="Segoe UI"/>
          <w:sz w:val="20"/>
          <w:lang w:val="el-GR" w:eastAsia="el-GR" w:bidi="el-GR"/>
        </w:rPr>
        <w:t xml:space="preserve"> το Γ’ Τρίμηνο του 2016</w:t>
      </w:r>
      <w:r w:rsidR="00121C43">
        <w:rPr>
          <w:rFonts w:ascii="Segoe UI" w:hAnsi="Segoe UI" w:cs="Segoe UI"/>
          <w:sz w:val="20"/>
          <w:lang w:val="el-GR" w:eastAsia="el-GR" w:bidi="el-GR"/>
        </w:rPr>
        <w:t xml:space="preserve">, λόγω αυξημένων προβλέψεων για επισφαλή δάνεια (€18 εκατ. από €4 εκατ. το προηγούμενο τρίμηνο). </w:t>
      </w:r>
    </w:p>
    <w:p w:rsidR="00C6487E" w:rsidRPr="00A6792B" w:rsidRDefault="00121C43" w:rsidP="004929D8">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 xml:space="preserve">Σε ετήσια βάση, </w:t>
      </w:r>
      <w:r w:rsidR="005E2A8A">
        <w:rPr>
          <w:rFonts w:ascii="Segoe UI" w:hAnsi="Segoe UI" w:cs="Segoe UI"/>
          <w:sz w:val="20"/>
          <w:lang w:val="el-GR" w:eastAsia="el-GR" w:bidi="el-GR"/>
        </w:rPr>
        <w:t xml:space="preserve">ο Όμιλος </w:t>
      </w:r>
      <w:r w:rsidR="00EC6DA7" w:rsidRPr="00A6792B">
        <w:rPr>
          <w:rFonts w:ascii="Segoe UI" w:hAnsi="Segoe UI" w:cs="Segoe UI"/>
          <w:sz w:val="20"/>
          <w:lang w:val="el-GR" w:eastAsia="el-GR" w:bidi="el-GR"/>
        </w:rPr>
        <w:t>σημείωσε</w:t>
      </w:r>
      <w:r w:rsidR="00950AFD" w:rsidRPr="00A6792B">
        <w:rPr>
          <w:rFonts w:ascii="Segoe UI" w:hAnsi="Segoe UI" w:cs="Segoe UI"/>
          <w:sz w:val="20"/>
          <w:lang w:val="el-GR" w:eastAsia="el-GR" w:bidi="el-GR"/>
        </w:rPr>
        <w:t xml:space="preserve"> κέρδη μετά από φόρους </w:t>
      </w:r>
      <w:r w:rsidRPr="00121C43">
        <w:rPr>
          <w:rFonts w:ascii="Segoe UI" w:hAnsi="Segoe UI" w:cs="Segoe UI"/>
          <w:sz w:val="20"/>
          <w:lang w:val="el-GR" w:eastAsia="el-GR" w:bidi="el-GR"/>
        </w:rPr>
        <w:t>από συνεχιζόμενες δραστηριότητες</w:t>
      </w:r>
      <w:r>
        <w:rPr>
          <w:rFonts w:ascii="Segoe UI" w:hAnsi="Segoe UI" w:cs="Segoe UI"/>
          <w:sz w:val="20"/>
          <w:lang w:val="el-GR" w:eastAsia="el-GR" w:bidi="el-GR"/>
        </w:rPr>
        <w:t xml:space="preserve"> </w:t>
      </w:r>
      <w:r w:rsidR="00950AFD" w:rsidRPr="00A6792B">
        <w:rPr>
          <w:rFonts w:ascii="Segoe UI" w:hAnsi="Segoe UI" w:cs="Segoe UI"/>
          <w:sz w:val="20"/>
          <w:lang w:val="el-GR" w:eastAsia="el-GR" w:bidi="el-GR"/>
        </w:rPr>
        <w:t>ύψους €</w:t>
      </w:r>
      <w:r>
        <w:rPr>
          <w:rFonts w:ascii="Segoe UI" w:hAnsi="Segoe UI" w:cs="Segoe UI"/>
          <w:sz w:val="20"/>
          <w:lang w:val="el-GR" w:eastAsia="el-GR" w:bidi="el-GR"/>
        </w:rPr>
        <w:t>36</w:t>
      </w:r>
      <w:r w:rsidR="00EC6DA7" w:rsidRPr="00A6792B">
        <w:rPr>
          <w:rFonts w:ascii="Segoe UI" w:hAnsi="Segoe UI" w:cs="Segoe UI"/>
          <w:sz w:val="20"/>
          <w:lang w:val="el-GR" w:eastAsia="el-GR" w:bidi="el-GR"/>
        </w:rPr>
        <w:t xml:space="preserve"> εκατ. </w:t>
      </w:r>
      <w:r>
        <w:rPr>
          <w:rFonts w:ascii="Segoe UI" w:hAnsi="Segoe UI" w:cs="Segoe UI"/>
          <w:sz w:val="20"/>
          <w:lang w:val="el-GR" w:eastAsia="el-GR" w:bidi="el-GR"/>
        </w:rPr>
        <w:t xml:space="preserve">έναντι ζημιών ύψους €8 </w:t>
      </w:r>
      <w:r w:rsidR="00EC6DA7" w:rsidRPr="00A6792B">
        <w:rPr>
          <w:rFonts w:ascii="Segoe UI" w:hAnsi="Segoe UI" w:cs="Segoe UI"/>
          <w:sz w:val="20"/>
          <w:lang w:val="el-GR" w:eastAsia="el-GR" w:bidi="el-GR"/>
        </w:rPr>
        <w:t xml:space="preserve">εκατ. </w:t>
      </w:r>
      <w:r w:rsidR="00147209" w:rsidRPr="00A6792B">
        <w:rPr>
          <w:rFonts w:ascii="Segoe UI" w:hAnsi="Segoe UI" w:cs="Segoe UI"/>
          <w:sz w:val="20"/>
          <w:lang w:val="el-GR" w:eastAsia="el-GR" w:bidi="el-GR"/>
        </w:rPr>
        <w:t xml:space="preserve">το </w:t>
      </w:r>
      <w:r>
        <w:rPr>
          <w:rFonts w:ascii="Segoe UI" w:hAnsi="Segoe UI" w:cs="Segoe UI"/>
          <w:sz w:val="20"/>
          <w:lang w:val="el-GR" w:eastAsia="el-GR" w:bidi="el-GR"/>
        </w:rPr>
        <w:t>2015, αντανακλώντας την ανθεκτικότητα των οργανικών εσόδων, την περιστολή των προβλέψεων για επισφαλή δάνεια (€31 εκατ. από €65 εκατ. το προηγούμενο έτος)</w:t>
      </w:r>
      <w:r w:rsidR="00B60B8B">
        <w:rPr>
          <w:rFonts w:ascii="Segoe UI" w:hAnsi="Segoe UI" w:cs="Segoe UI"/>
          <w:sz w:val="20"/>
          <w:lang w:val="el-GR" w:eastAsia="el-GR" w:bidi="el-GR"/>
        </w:rPr>
        <w:t xml:space="preserve"> και </w:t>
      </w:r>
      <w:r>
        <w:rPr>
          <w:rFonts w:ascii="Segoe UI" w:hAnsi="Segoe UI" w:cs="Segoe UI"/>
          <w:sz w:val="20"/>
          <w:lang w:val="el-GR" w:eastAsia="el-GR" w:bidi="el-GR"/>
        </w:rPr>
        <w:t>τη μείωση των λειτουργικών δαπανών (-3,3% σε ετήσια βάση)</w:t>
      </w:r>
      <w:r w:rsidR="00D10A10" w:rsidRPr="00A6792B">
        <w:rPr>
          <w:rFonts w:ascii="Segoe UI" w:hAnsi="Segoe UI" w:cs="Segoe UI"/>
          <w:sz w:val="20"/>
          <w:lang w:val="el-GR" w:eastAsia="el-GR" w:bidi="el-GR"/>
        </w:rPr>
        <w:t xml:space="preserve">. </w:t>
      </w:r>
    </w:p>
    <w:p w:rsidR="00A6792B" w:rsidRPr="00134CF1" w:rsidRDefault="00A6792B" w:rsidP="004929D8">
      <w:pPr>
        <w:autoSpaceDE w:val="0"/>
        <w:autoSpaceDN w:val="0"/>
        <w:adjustRightInd w:val="0"/>
        <w:spacing w:after="160" w:line="320" w:lineRule="atLeast"/>
        <w:jc w:val="both"/>
        <w:rPr>
          <w:rFonts w:ascii="Segoe UI" w:hAnsi="Segoe UI" w:cs="Segoe UI"/>
          <w:b/>
          <w:sz w:val="30"/>
          <w:szCs w:val="30"/>
          <w:lang w:val="el-GR" w:eastAsia="el-GR" w:bidi="el-GR"/>
        </w:rPr>
      </w:pPr>
    </w:p>
    <w:p w:rsidR="00C6487E" w:rsidRPr="00A6792B" w:rsidRDefault="00622E18" w:rsidP="004929D8">
      <w:pPr>
        <w:autoSpaceDE w:val="0"/>
        <w:autoSpaceDN w:val="0"/>
        <w:adjustRightInd w:val="0"/>
        <w:spacing w:after="160" w:line="320" w:lineRule="atLeast"/>
        <w:jc w:val="both"/>
        <w:rPr>
          <w:rFonts w:ascii="Segoe UI" w:hAnsi="Segoe UI" w:cs="Segoe UI"/>
          <w:b/>
          <w:sz w:val="20"/>
          <w:lang w:val="el-GR" w:eastAsia="el-GR" w:bidi="el-GR"/>
        </w:rPr>
      </w:pPr>
      <w:r>
        <w:rPr>
          <w:rFonts w:ascii="Segoe UI" w:hAnsi="Segoe UI" w:cs="Segoe UI"/>
          <w:b/>
          <w:sz w:val="20"/>
          <w:lang w:val="el-GR" w:eastAsia="el-GR" w:bidi="el-GR"/>
        </w:rPr>
        <w:t>Τα Μη Ε</w:t>
      </w:r>
      <w:r w:rsidR="00127EB1" w:rsidRPr="00A6792B">
        <w:rPr>
          <w:rFonts w:ascii="Segoe UI" w:hAnsi="Segoe UI" w:cs="Segoe UI"/>
          <w:b/>
          <w:sz w:val="20"/>
          <w:lang w:val="el-GR" w:eastAsia="el-GR" w:bidi="el-GR"/>
        </w:rPr>
        <w:t>ξυπηρετούμεν</w:t>
      </w:r>
      <w:r>
        <w:rPr>
          <w:rFonts w:ascii="Segoe UI" w:hAnsi="Segoe UI" w:cs="Segoe UI"/>
          <w:b/>
          <w:sz w:val="20"/>
          <w:lang w:val="el-GR" w:eastAsia="el-GR" w:bidi="el-GR"/>
        </w:rPr>
        <w:t xml:space="preserve">α Ανοίγματα </w:t>
      </w:r>
      <w:r w:rsidR="00127EB1" w:rsidRPr="00A6792B">
        <w:rPr>
          <w:rFonts w:ascii="Segoe UI" w:hAnsi="Segoe UI" w:cs="Segoe UI"/>
          <w:b/>
          <w:sz w:val="20"/>
          <w:lang w:val="el-GR" w:eastAsia="el-GR" w:bidi="el-GR"/>
        </w:rPr>
        <w:t>μειών</w:t>
      </w:r>
      <w:r>
        <w:rPr>
          <w:rFonts w:ascii="Segoe UI" w:hAnsi="Segoe UI" w:cs="Segoe UI"/>
          <w:b/>
          <w:sz w:val="20"/>
          <w:lang w:val="el-GR" w:eastAsia="el-GR" w:bidi="el-GR"/>
        </w:rPr>
        <w:t xml:space="preserve">ονται </w:t>
      </w:r>
      <w:r w:rsidR="00127EB1" w:rsidRPr="00A6792B">
        <w:rPr>
          <w:rFonts w:ascii="Segoe UI" w:hAnsi="Segoe UI" w:cs="Segoe UI"/>
          <w:b/>
          <w:sz w:val="20"/>
          <w:lang w:val="el-GR" w:eastAsia="el-GR" w:bidi="el-GR"/>
        </w:rPr>
        <w:t xml:space="preserve">για </w:t>
      </w:r>
      <w:r w:rsidR="00C611AD">
        <w:rPr>
          <w:rFonts w:ascii="Segoe UI" w:hAnsi="Segoe UI" w:cs="Segoe UI"/>
          <w:b/>
          <w:sz w:val="20"/>
          <w:lang w:val="el-GR" w:eastAsia="el-GR" w:bidi="el-GR"/>
        </w:rPr>
        <w:t>τρίτο</w:t>
      </w:r>
      <w:r>
        <w:rPr>
          <w:rFonts w:ascii="Segoe UI" w:hAnsi="Segoe UI" w:cs="Segoe UI"/>
          <w:b/>
          <w:sz w:val="20"/>
          <w:lang w:val="el-GR" w:eastAsia="el-GR" w:bidi="el-GR"/>
        </w:rPr>
        <w:t xml:space="preserve"> συνεχιζόμενο τρίμηνο</w:t>
      </w:r>
    </w:p>
    <w:p w:rsidR="003B0A7B" w:rsidRDefault="003B0A7B" w:rsidP="003B0A7B">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n-US" w:eastAsia="el-GR" w:bidi="el-GR"/>
        </w:rPr>
        <w:t>T</w:t>
      </w:r>
      <w:r w:rsidRPr="00A6792B">
        <w:rPr>
          <w:rFonts w:ascii="Segoe UI" w:hAnsi="Segoe UI" w:cs="Segoe UI"/>
          <w:sz w:val="20"/>
          <w:lang w:val="el-GR" w:eastAsia="el-GR" w:bidi="el-GR"/>
        </w:rPr>
        <w:t xml:space="preserve">α </w:t>
      </w:r>
      <w:r>
        <w:rPr>
          <w:rFonts w:ascii="Segoe UI" w:hAnsi="Segoe UI" w:cs="Segoe UI"/>
          <w:sz w:val="20"/>
          <w:lang w:val="el-GR" w:eastAsia="el-GR" w:bidi="el-GR"/>
        </w:rPr>
        <w:t>Μ</w:t>
      </w:r>
      <w:r w:rsidRPr="00A6792B">
        <w:rPr>
          <w:rFonts w:ascii="Segoe UI" w:hAnsi="Segoe UI" w:cs="Segoe UI"/>
          <w:sz w:val="20"/>
          <w:lang w:val="el-GR" w:eastAsia="el-GR" w:bidi="el-GR"/>
        </w:rPr>
        <w:t xml:space="preserve">η </w:t>
      </w:r>
      <w:r>
        <w:rPr>
          <w:rFonts w:ascii="Segoe UI" w:hAnsi="Segoe UI" w:cs="Segoe UI"/>
          <w:sz w:val="20"/>
          <w:lang w:val="el-GR" w:eastAsia="el-GR" w:bidi="el-GR"/>
        </w:rPr>
        <w:t>Ε</w:t>
      </w:r>
      <w:r w:rsidRPr="00A6792B">
        <w:rPr>
          <w:rFonts w:ascii="Segoe UI" w:hAnsi="Segoe UI" w:cs="Segoe UI"/>
          <w:sz w:val="20"/>
          <w:lang w:val="el-GR" w:eastAsia="el-GR" w:bidi="el-GR"/>
        </w:rPr>
        <w:t xml:space="preserve">ξυπηρετούμενα </w:t>
      </w:r>
      <w:r>
        <w:rPr>
          <w:rFonts w:ascii="Segoe UI" w:hAnsi="Segoe UI" w:cs="Segoe UI"/>
          <w:sz w:val="20"/>
          <w:lang w:val="el-GR" w:eastAsia="el-GR" w:bidi="el-GR"/>
        </w:rPr>
        <w:t>Α</w:t>
      </w:r>
      <w:r w:rsidRPr="00A6792B">
        <w:rPr>
          <w:rFonts w:ascii="Segoe UI" w:hAnsi="Segoe UI" w:cs="Segoe UI"/>
          <w:sz w:val="20"/>
          <w:lang w:val="el-GR" w:eastAsia="el-GR" w:bidi="el-GR"/>
        </w:rPr>
        <w:t xml:space="preserve">νοίγματα </w:t>
      </w:r>
      <w:r w:rsidR="007E6856">
        <w:rPr>
          <w:rFonts w:ascii="Segoe UI" w:hAnsi="Segoe UI" w:cs="Segoe UI"/>
          <w:sz w:val="20"/>
          <w:lang w:val="el-GR" w:eastAsia="el-GR" w:bidi="el-GR"/>
        </w:rPr>
        <w:t xml:space="preserve">στην Ελλάδα </w:t>
      </w:r>
      <w:r w:rsidRPr="00A6792B">
        <w:rPr>
          <w:rFonts w:ascii="Segoe UI" w:hAnsi="Segoe UI" w:cs="Segoe UI"/>
          <w:sz w:val="20"/>
          <w:lang w:val="el-GR" w:eastAsia="el-GR" w:bidi="el-GR"/>
        </w:rPr>
        <w:t xml:space="preserve">μειώθηκαν </w:t>
      </w:r>
      <w:r>
        <w:rPr>
          <w:rFonts w:ascii="Segoe UI" w:hAnsi="Segoe UI" w:cs="Segoe UI"/>
          <w:sz w:val="20"/>
          <w:lang w:val="el-GR" w:eastAsia="el-GR" w:bidi="el-GR"/>
        </w:rPr>
        <w:t xml:space="preserve">για </w:t>
      </w:r>
      <w:r w:rsidR="00772910">
        <w:rPr>
          <w:rFonts w:ascii="Segoe UI" w:hAnsi="Segoe UI" w:cs="Segoe UI"/>
          <w:sz w:val="20"/>
          <w:lang w:val="el-GR" w:eastAsia="el-GR" w:bidi="el-GR"/>
        </w:rPr>
        <w:t>τρίτο</w:t>
      </w:r>
      <w:r>
        <w:rPr>
          <w:rFonts w:ascii="Segoe UI" w:hAnsi="Segoe UI" w:cs="Segoe UI"/>
          <w:sz w:val="20"/>
          <w:lang w:val="el-GR" w:eastAsia="el-GR" w:bidi="el-GR"/>
        </w:rPr>
        <w:t xml:space="preserve"> συνεχόμενο τρίμηνο </w:t>
      </w:r>
      <w:r w:rsidR="00A5394C">
        <w:rPr>
          <w:rFonts w:ascii="Segoe UI" w:hAnsi="Segoe UI" w:cs="Segoe UI"/>
          <w:sz w:val="20"/>
          <w:lang w:val="el-GR" w:eastAsia="el-GR" w:bidi="el-GR"/>
        </w:rPr>
        <w:t>(-</w:t>
      </w:r>
      <w:r w:rsidRPr="00A6792B">
        <w:rPr>
          <w:rFonts w:ascii="Segoe UI" w:hAnsi="Segoe UI" w:cs="Segoe UI"/>
          <w:sz w:val="20"/>
          <w:lang w:val="el-GR" w:eastAsia="el-GR" w:bidi="el-GR"/>
        </w:rPr>
        <w:t>€</w:t>
      </w:r>
      <w:r w:rsidR="00772910">
        <w:rPr>
          <w:rFonts w:ascii="Segoe UI" w:hAnsi="Segoe UI" w:cs="Segoe UI"/>
          <w:sz w:val="20"/>
          <w:lang w:val="el-GR" w:eastAsia="el-GR" w:bidi="el-GR"/>
        </w:rPr>
        <w:t>0</w:t>
      </w:r>
      <w:proofErr w:type="gramStart"/>
      <w:r w:rsidR="00772910">
        <w:rPr>
          <w:rFonts w:ascii="Segoe UI" w:hAnsi="Segoe UI" w:cs="Segoe UI"/>
          <w:sz w:val="20"/>
          <w:lang w:val="el-GR" w:eastAsia="el-GR" w:bidi="el-GR"/>
        </w:rPr>
        <w:t>,9</w:t>
      </w:r>
      <w:proofErr w:type="gramEnd"/>
      <w:r w:rsidRPr="00A6792B">
        <w:rPr>
          <w:rFonts w:ascii="Segoe UI" w:hAnsi="Segoe UI" w:cs="Segoe UI"/>
          <w:sz w:val="20"/>
          <w:lang w:val="el-GR" w:eastAsia="el-GR" w:bidi="el-GR"/>
        </w:rPr>
        <w:t xml:space="preserve"> δισ. σε τριμηνιαία βάση</w:t>
      </w:r>
      <w:r w:rsidR="00A5394C">
        <w:rPr>
          <w:rFonts w:ascii="Segoe UI" w:hAnsi="Segoe UI" w:cs="Segoe UI"/>
          <w:sz w:val="20"/>
          <w:lang w:val="el-GR" w:eastAsia="el-GR" w:bidi="el-GR"/>
        </w:rPr>
        <w:t>)</w:t>
      </w:r>
      <w:r>
        <w:rPr>
          <w:rFonts w:ascii="Segoe UI" w:hAnsi="Segoe UI" w:cs="Segoe UI"/>
          <w:sz w:val="20"/>
          <w:lang w:val="el-GR" w:eastAsia="el-GR" w:bidi="el-GR"/>
        </w:rPr>
        <w:t>.</w:t>
      </w:r>
      <w:r w:rsidRPr="00A6792B">
        <w:rPr>
          <w:rFonts w:ascii="Segoe UI" w:hAnsi="Segoe UI" w:cs="Segoe UI"/>
          <w:sz w:val="20"/>
          <w:lang w:val="el-GR" w:eastAsia="el-GR" w:bidi="el-GR"/>
        </w:rPr>
        <w:t xml:space="preserve"> </w:t>
      </w:r>
      <w:r w:rsidR="00772910">
        <w:rPr>
          <w:rFonts w:ascii="Segoe UI" w:hAnsi="Segoe UI" w:cs="Segoe UI"/>
          <w:sz w:val="20"/>
          <w:lang w:val="el-GR" w:eastAsia="el-GR" w:bidi="el-GR"/>
        </w:rPr>
        <w:t>Η</w:t>
      </w:r>
      <w:r w:rsidRPr="004D7B22">
        <w:rPr>
          <w:rFonts w:ascii="Segoe UI" w:hAnsi="Segoe UI" w:cs="Segoe UI"/>
          <w:sz w:val="20"/>
          <w:lang w:val="el-GR" w:eastAsia="el-GR" w:bidi="el-GR"/>
        </w:rPr>
        <w:t xml:space="preserve"> συνολική μείωση των Μη Εξυπηρετούμενων Ανοιγμάτων ανέρχεται σε €</w:t>
      </w:r>
      <w:r w:rsidR="00772910">
        <w:rPr>
          <w:rFonts w:ascii="Segoe UI" w:hAnsi="Segoe UI" w:cs="Segoe UI"/>
          <w:sz w:val="20"/>
          <w:lang w:val="el-GR" w:eastAsia="el-GR" w:bidi="el-GR"/>
        </w:rPr>
        <w:t>2,8</w:t>
      </w:r>
      <w:r w:rsidRPr="004D7B22">
        <w:rPr>
          <w:rFonts w:ascii="Segoe UI" w:hAnsi="Segoe UI" w:cs="Segoe UI"/>
          <w:sz w:val="20"/>
          <w:lang w:val="el-GR" w:eastAsia="el-GR" w:bidi="el-GR"/>
        </w:rPr>
        <w:t xml:space="preserve"> δισ.</w:t>
      </w:r>
      <w:r w:rsidR="00772910">
        <w:rPr>
          <w:rFonts w:ascii="Segoe UI" w:hAnsi="Segoe UI" w:cs="Segoe UI"/>
          <w:sz w:val="20"/>
          <w:lang w:val="el-GR" w:eastAsia="el-GR" w:bidi="el-GR"/>
        </w:rPr>
        <w:t xml:space="preserve"> για το 2016</w:t>
      </w:r>
      <w:r w:rsidR="00A5394C">
        <w:rPr>
          <w:rFonts w:ascii="Segoe UI" w:hAnsi="Segoe UI" w:cs="Segoe UI"/>
          <w:sz w:val="20"/>
          <w:lang w:val="el-GR" w:eastAsia="el-GR" w:bidi="el-GR"/>
        </w:rPr>
        <w:t xml:space="preserve">, ήτοι το </w:t>
      </w:r>
      <w:r w:rsidR="004F2691">
        <w:rPr>
          <w:rFonts w:ascii="Segoe UI" w:hAnsi="Segoe UI" w:cs="Segoe UI"/>
          <w:sz w:val="20"/>
          <w:lang w:val="el-GR" w:eastAsia="el-GR" w:bidi="el-GR"/>
        </w:rPr>
        <w:t>1/3</w:t>
      </w:r>
      <w:r w:rsidR="002F593D" w:rsidRPr="002F593D">
        <w:rPr>
          <w:rFonts w:ascii="Segoe UI" w:hAnsi="Segoe UI" w:cs="Segoe UI"/>
          <w:sz w:val="20"/>
          <w:vertAlign w:val="superscript"/>
          <w:lang w:val="el-GR" w:eastAsia="el-GR" w:bidi="el-GR"/>
        </w:rPr>
        <w:t>ο</w:t>
      </w:r>
      <w:r w:rsidR="002F593D">
        <w:rPr>
          <w:rFonts w:ascii="Segoe UI" w:hAnsi="Segoe UI" w:cs="Segoe UI"/>
          <w:sz w:val="20"/>
          <w:lang w:val="el-GR" w:eastAsia="el-GR" w:bidi="el-GR"/>
        </w:rPr>
        <w:t xml:space="preserve"> </w:t>
      </w:r>
      <w:r w:rsidR="004F2691">
        <w:rPr>
          <w:rFonts w:ascii="Segoe UI" w:hAnsi="Segoe UI" w:cs="Segoe UI"/>
          <w:sz w:val="20"/>
          <w:lang w:val="el-GR" w:eastAsia="el-GR" w:bidi="el-GR"/>
        </w:rPr>
        <w:t xml:space="preserve">της </w:t>
      </w:r>
      <w:proofErr w:type="spellStart"/>
      <w:r w:rsidR="004F2691">
        <w:rPr>
          <w:rFonts w:ascii="Segoe UI" w:hAnsi="Segoe UI" w:cs="Segoe UI"/>
          <w:sz w:val="20"/>
          <w:lang w:val="el-GR" w:eastAsia="el-GR" w:bidi="el-GR"/>
        </w:rPr>
        <w:t>στοχευμένης</w:t>
      </w:r>
      <w:proofErr w:type="spellEnd"/>
      <w:r w:rsidR="004F2691">
        <w:rPr>
          <w:rFonts w:ascii="Segoe UI" w:hAnsi="Segoe UI" w:cs="Segoe UI"/>
          <w:sz w:val="20"/>
          <w:lang w:val="el-GR" w:eastAsia="el-GR" w:bidi="el-GR"/>
        </w:rPr>
        <w:t xml:space="preserve"> μείωσης ύψους €8,5 δισ., όπως αυτή συμφωνήθηκε με τον </w:t>
      </w:r>
      <w:r w:rsidR="00BF7BFE">
        <w:rPr>
          <w:rFonts w:ascii="Segoe UI" w:hAnsi="Segoe UI" w:cs="Segoe UI"/>
          <w:sz w:val="20"/>
          <w:lang w:val="el-GR" w:eastAsia="el-GR" w:bidi="el-GR"/>
        </w:rPr>
        <w:t>Ενιαίο</w:t>
      </w:r>
      <w:r w:rsidR="00D43729">
        <w:rPr>
          <w:rFonts w:ascii="Segoe UI" w:hAnsi="Segoe UI" w:cs="Segoe UI"/>
          <w:sz w:val="20"/>
          <w:lang w:val="el-GR" w:eastAsia="el-GR" w:bidi="el-GR"/>
        </w:rPr>
        <w:t xml:space="preserve"> Εποπτικό Μηχανισμό (ΕΕΜ)</w:t>
      </w:r>
      <w:r w:rsidR="004F2691">
        <w:rPr>
          <w:rFonts w:ascii="Segoe UI" w:hAnsi="Segoe UI" w:cs="Segoe UI"/>
          <w:sz w:val="20"/>
          <w:lang w:val="el-GR" w:eastAsia="el-GR" w:bidi="el-GR"/>
        </w:rPr>
        <w:t xml:space="preserve">. </w:t>
      </w:r>
      <w:r w:rsidR="0033083C">
        <w:rPr>
          <w:rFonts w:ascii="Segoe UI" w:hAnsi="Segoe UI" w:cs="Segoe UI"/>
          <w:sz w:val="20"/>
          <w:lang w:val="el-GR" w:eastAsia="el-GR" w:bidi="el-GR"/>
        </w:rPr>
        <w:t xml:space="preserve">Η συνεχής μείωση των Μη Εξυπηρετούμενων Ανοιγμάτων είναι </w:t>
      </w:r>
      <w:r w:rsidR="0033083C" w:rsidRPr="00E9439B">
        <w:rPr>
          <w:rFonts w:ascii="Segoe UI" w:hAnsi="Segoe UI" w:cs="Segoe UI"/>
          <w:sz w:val="20"/>
          <w:lang w:val="el-GR" w:eastAsia="el-GR" w:bidi="el-GR"/>
        </w:rPr>
        <w:t>αποτέλεσμα</w:t>
      </w:r>
      <w:r w:rsidR="0033083C">
        <w:rPr>
          <w:rFonts w:ascii="Segoe UI" w:hAnsi="Segoe UI" w:cs="Segoe UI"/>
          <w:sz w:val="20"/>
          <w:lang w:val="el-GR" w:eastAsia="el-GR" w:bidi="el-GR"/>
        </w:rPr>
        <w:t xml:space="preserve"> των </w:t>
      </w:r>
      <w:r w:rsidRPr="007E7BA5">
        <w:rPr>
          <w:rFonts w:ascii="Segoe UI" w:hAnsi="Segoe UI" w:cs="Segoe UI"/>
          <w:sz w:val="20"/>
          <w:lang w:val="el-GR" w:eastAsia="el-GR" w:bidi="el-GR"/>
        </w:rPr>
        <w:t>επιτυχημέν</w:t>
      </w:r>
      <w:r w:rsidR="0033083C">
        <w:rPr>
          <w:rFonts w:ascii="Segoe UI" w:hAnsi="Segoe UI" w:cs="Segoe UI"/>
          <w:sz w:val="20"/>
          <w:lang w:val="el-GR" w:eastAsia="el-GR" w:bidi="el-GR"/>
        </w:rPr>
        <w:t xml:space="preserve">ων </w:t>
      </w:r>
      <w:r w:rsidRPr="007E7BA5">
        <w:rPr>
          <w:rFonts w:ascii="Segoe UI" w:hAnsi="Segoe UI" w:cs="Segoe UI"/>
          <w:sz w:val="20"/>
          <w:lang w:val="el-GR" w:eastAsia="el-GR" w:bidi="el-GR"/>
        </w:rPr>
        <w:t>αναδιαρθρώσε</w:t>
      </w:r>
      <w:r w:rsidR="0033083C">
        <w:rPr>
          <w:rFonts w:ascii="Segoe UI" w:hAnsi="Segoe UI" w:cs="Segoe UI"/>
          <w:sz w:val="20"/>
          <w:lang w:val="el-GR" w:eastAsia="el-GR" w:bidi="el-GR"/>
        </w:rPr>
        <w:t>ων</w:t>
      </w:r>
      <w:r w:rsidRPr="007E7BA5">
        <w:rPr>
          <w:rFonts w:ascii="Segoe UI" w:hAnsi="Segoe UI" w:cs="Segoe UI"/>
          <w:sz w:val="20"/>
          <w:lang w:val="el-GR" w:eastAsia="el-GR" w:bidi="el-GR"/>
        </w:rPr>
        <w:t xml:space="preserve"> και</w:t>
      </w:r>
      <w:r w:rsidR="0033083C">
        <w:rPr>
          <w:rFonts w:ascii="Segoe UI" w:hAnsi="Segoe UI" w:cs="Segoe UI"/>
          <w:sz w:val="20"/>
          <w:lang w:val="el-GR" w:eastAsia="el-GR" w:bidi="el-GR"/>
        </w:rPr>
        <w:t xml:space="preserve"> </w:t>
      </w:r>
      <w:r w:rsidRPr="007E7BA5">
        <w:rPr>
          <w:rFonts w:ascii="Segoe UI" w:hAnsi="Segoe UI" w:cs="Segoe UI"/>
          <w:sz w:val="20"/>
          <w:lang w:val="el-GR" w:eastAsia="el-GR" w:bidi="el-GR"/>
        </w:rPr>
        <w:t>διαγραφ</w:t>
      </w:r>
      <w:r w:rsidR="0033083C">
        <w:rPr>
          <w:rFonts w:ascii="Segoe UI" w:hAnsi="Segoe UI" w:cs="Segoe UI"/>
          <w:sz w:val="20"/>
          <w:lang w:val="el-GR" w:eastAsia="el-GR" w:bidi="el-GR"/>
        </w:rPr>
        <w:t xml:space="preserve">ών </w:t>
      </w:r>
      <w:r w:rsidR="00636F02">
        <w:rPr>
          <w:rFonts w:ascii="Segoe UI" w:hAnsi="Segoe UI" w:cs="Segoe UI"/>
          <w:sz w:val="20"/>
          <w:lang w:val="el-GR" w:eastAsia="el-GR" w:bidi="el-GR"/>
        </w:rPr>
        <w:t xml:space="preserve">πλήρως καλυμμένων από προβλέψεις </w:t>
      </w:r>
      <w:r w:rsidRPr="007E7BA5">
        <w:rPr>
          <w:rFonts w:ascii="Segoe UI" w:hAnsi="Segoe UI" w:cs="Segoe UI"/>
          <w:sz w:val="20"/>
          <w:lang w:val="el-GR" w:eastAsia="el-GR" w:bidi="el-GR"/>
        </w:rPr>
        <w:t>δανείων</w:t>
      </w:r>
      <w:r w:rsidR="0033083C">
        <w:rPr>
          <w:rFonts w:ascii="Segoe UI" w:hAnsi="Segoe UI" w:cs="Segoe UI"/>
          <w:sz w:val="20"/>
          <w:lang w:val="el-GR" w:eastAsia="el-GR" w:bidi="el-GR"/>
        </w:rPr>
        <w:t>, οι οποίες ανήλθαν σε €1,2 δισ. το 2016</w:t>
      </w:r>
      <w:r w:rsidRPr="00A6792B">
        <w:rPr>
          <w:rFonts w:ascii="Segoe UI" w:hAnsi="Segoe UI" w:cs="Segoe UI"/>
          <w:sz w:val="20"/>
          <w:lang w:val="el-GR" w:eastAsia="el-GR" w:bidi="el-GR"/>
        </w:rPr>
        <w:t xml:space="preserve">. Κατά συνέπεια, ο δείκτης </w:t>
      </w:r>
      <w:r>
        <w:rPr>
          <w:rFonts w:ascii="Segoe UI" w:hAnsi="Segoe UI" w:cs="Segoe UI"/>
          <w:sz w:val="20"/>
          <w:lang w:val="el-GR" w:eastAsia="el-GR" w:bidi="el-GR"/>
        </w:rPr>
        <w:t>Μ</w:t>
      </w:r>
      <w:r w:rsidRPr="00A6792B">
        <w:rPr>
          <w:rFonts w:ascii="Segoe UI" w:hAnsi="Segoe UI" w:cs="Segoe UI"/>
          <w:sz w:val="20"/>
          <w:lang w:val="el-GR" w:eastAsia="el-GR" w:bidi="el-GR"/>
        </w:rPr>
        <w:t xml:space="preserve">η </w:t>
      </w:r>
      <w:r>
        <w:rPr>
          <w:rFonts w:ascii="Segoe UI" w:hAnsi="Segoe UI" w:cs="Segoe UI"/>
          <w:sz w:val="20"/>
          <w:lang w:val="el-GR" w:eastAsia="el-GR" w:bidi="el-GR"/>
        </w:rPr>
        <w:t>Ε</w:t>
      </w:r>
      <w:r w:rsidRPr="00A6792B">
        <w:rPr>
          <w:rFonts w:ascii="Segoe UI" w:hAnsi="Segoe UI" w:cs="Segoe UI"/>
          <w:sz w:val="20"/>
          <w:lang w:val="el-GR" w:eastAsia="el-GR" w:bidi="el-GR"/>
        </w:rPr>
        <w:t xml:space="preserve">ξυπηρετούμενων </w:t>
      </w:r>
      <w:r>
        <w:rPr>
          <w:rFonts w:ascii="Segoe UI" w:hAnsi="Segoe UI" w:cs="Segoe UI"/>
          <w:sz w:val="20"/>
          <w:lang w:val="el-GR" w:eastAsia="el-GR" w:bidi="el-GR"/>
        </w:rPr>
        <w:t>Α</w:t>
      </w:r>
      <w:r w:rsidRPr="00A6792B">
        <w:rPr>
          <w:rFonts w:ascii="Segoe UI" w:hAnsi="Segoe UI" w:cs="Segoe UI"/>
          <w:sz w:val="20"/>
          <w:lang w:val="el-GR" w:eastAsia="el-GR" w:bidi="el-GR"/>
        </w:rPr>
        <w:t xml:space="preserve">νοιγμάτων μειώθηκε σε </w:t>
      </w:r>
      <w:r w:rsidR="0033083C">
        <w:rPr>
          <w:rFonts w:ascii="Segoe UI" w:hAnsi="Segoe UI" w:cs="Segoe UI"/>
          <w:sz w:val="20"/>
          <w:lang w:val="el-GR" w:eastAsia="el-GR" w:bidi="el-GR"/>
        </w:rPr>
        <w:t>45,1</w:t>
      </w:r>
      <w:r w:rsidRPr="00A6792B">
        <w:rPr>
          <w:rFonts w:ascii="Segoe UI" w:hAnsi="Segoe UI" w:cs="Segoe UI"/>
          <w:sz w:val="20"/>
          <w:lang w:val="el-GR" w:eastAsia="el-GR" w:bidi="el-GR"/>
        </w:rPr>
        <w:t xml:space="preserve">% </w:t>
      </w:r>
      <w:r>
        <w:rPr>
          <w:rFonts w:ascii="Segoe UI" w:hAnsi="Segoe UI" w:cs="Segoe UI"/>
          <w:sz w:val="20"/>
          <w:lang w:val="el-GR" w:eastAsia="el-GR" w:bidi="el-GR"/>
        </w:rPr>
        <w:t xml:space="preserve">στην Ελλάδα </w:t>
      </w:r>
      <w:r w:rsidR="0071084A">
        <w:rPr>
          <w:rFonts w:ascii="Segoe UI" w:hAnsi="Segoe UI" w:cs="Segoe UI"/>
          <w:sz w:val="20"/>
          <w:lang w:val="el-GR" w:eastAsia="el-GR" w:bidi="el-GR"/>
        </w:rPr>
        <w:t xml:space="preserve">το </w:t>
      </w:r>
      <w:r w:rsidR="0033083C">
        <w:rPr>
          <w:rFonts w:ascii="Segoe UI" w:hAnsi="Segoe UI" w:cs="Segoe UI"/>
          <w:sz w:val="20"/>
          <w:lang w:val="el-GR" w:eastAsia="el-GR" w:bidi="el-GR"/>
        </w:rPr>
        <w:t>Δ</w:t>
      </w:r>
      <w:r w:rsidR="0071084A">
        <w:rPr>
          <w:rFonts w:ascii="Segoe UI" w:hAnsi="Segoe UI" w:cs="Segoe UI"/>
          <w:sz w:val="20"/>
          <w:lang w:val="el-GR" w:eastAsia="el-GR" w:bidi="el-GR"/>
        </w:rPr>
        <w:t xml:space="preserve">’ τρίμηνο του 2016 </w:t>
      </w:r>
      <w:r w:rsidRPr="00A6792B">
        <w:rPr>
          <w:rFonts w:ascii="Segoe UI" w:hAnsi="Segoe UI" w:cs="Segoe UI"/>
          <w:sz w:val="20"/>
          <w:lang w:val="el-GR" w:eastAsia="el-GR" w:bidi="el-GR"/>
        </w:rPr>
        <w:t xml:space="preserve">από </w:t>
      </w:r>
      <w:r w:rsidR="0033083C">
        <w:rPr>
          <w:rFonts w:ascii="Segoe UI" w:hAnsi="Segoe UI" w:cs="Segoe UI"/>
          <w:sz w:val="20"/>
          <w:lang w:val="el-GR" w:eastAsia="el-GR" w:bidi="el-GR"/>
        </w:rPr>
        <w:t>49,2</w:t>
      </w:r>
      <w:r>
        <w:rPr>
          <w:rFonts w:ascii="Segoe UI" w:hAnsi="Segoe UI" w:cs="Segoe UI"/>
          <w:sz w:val="20"/>
          <w:lang w:val="el-GR" w:eastAsia="el-GR" w:bidi="el-GR"/>
        </w:rPr>
        <w:t xml:space="preserve">% </w:t>
      </w:r>
      <w:r w:rsidRPr="00A6792B">
        <w:rPr>
          <w:rFonts w:ascii="Segoe UI" w:hAnsi="Segoe UI" w:cs="Segoe UI"/>
          <w:sz w:val="20"/>
          <w:lang w:val="el-GR" w:eastAsia="el-GR" w:bidi="el-GR"/>
        </w:rPr>
        <w:t xml:space="preserve">το </w:t>
      </w:r>
      <w:r w:rsidR="00CE3847">
        <w:rPr>
          <w:rFonts w:ascii="Segoe UI" w:hAnsi="Segoe UI" w:cs="Segoe UI"/>
          <w:sz w:val="20"/>
          <w:lang w:val="el-GR" w:eastAsia="el-GR" w:bidi="el-GR"/>
        </w:rPr>
        <w:t>αντίστοιχο περυσινό διάστημα</w:t>
      </w:r>
      <w:r w:rsidR="00B420D8">
        <w:rPr>
          <w:rFonts w:ascii="Segoe UI" w:hAnsi="Segoe UI" w:cs="Segoe UI"/>
          <w:sz w:val="20"/>
          <w:lang w:val="el-GR" w:eastAsia="el-GR" w:bidi="el-GR"/>
        </w:rPr>
        <w:t xml:space="preserve">, παρά τη συνεχιζόμενη </w:t>
      </w:r>
      <w:proofErr w:type="spellStart"/>
      <w:r w:rsidR="00B420D8">
        <w:rPr>
          <w:rFonts w:ascii="Segoe UI" w:hAnsi="Segoe UI" w:cs="Segoe UI"/>
          <w:sz w:val="20"/>
          <w:lang w:val="el-GR" w:eastAsia="el-GR" w:bidi="el-GR"/>
        </w:rPr>
        <w:t>απομόχλευση</w:t>
      </w:r>
      <w:proofErr w:type="spellEnd"/>
      <w:r w:rsidR="00B420D8">
        <w:rPr>
          <w:rFonts w:ascii="Segoe UI" w:hAnsi="Segoe UI" w:cs="Segoe UI"/>
          <w:sz w:val="20"/>
          <w:lang w:val="el-GR" w:eastAsia="el-GR" w:bidi="el-GR"/>
        </w:rPr>
        <w:t xml:space="preserve"> δανείων. Τ</w:t>
      </w:r>
      <w:r>
        <w:rPr>
          <w:rFonts w:ascii="Segoe UI" w:hAnsi="Segoe UI" w:cs="Segoe UI"/>
          <w:sz w:val="20"/>
          <w:lang w:val="el-GR" w:eastAsia="el-GR" w:bidi="el-GR"/>
        </w:rPr>
        <w:t xml:space="preserve">ο ποσοστό </w:t>
      </w:r>
      <w:r w:rsidRPr="00A6792B">
        <w:rPr>
          <w:rFonts w:ascii="Segoe UI" w:hAnsi="Segoe UI" w:cs="Segoe UI"/>
          <w:sz w:val="20"/>
          <w:lang w:val="el-GR" w:eastAsia="el-GR" w:bidi="el-GR"/>
        </w:rPr>
        <w:t>κάλυψη</w:t>
      </w:r>
      <w:r>
        <w:rPr>
          <w:rFonts w:ascii="Segoe UI" w:hAnsi="Segoe UI" w:cs="Segoe UI"/>
          <w:sz w:val="20"/>
          <w:lang w:val="el-GR" w:eastAsia="el-GR" w:bidi="el-GR"/>
        </w:rPr>
        <w:t>ς</w:t>
      </w:r>
      <w:r w:rsidR="00E9439B" w:rsidRPr="00E9439B">
        <w:rPr>
          <w:rFonts w:ascii="Segoe UI" w:hAnsi="Segoe UI" w:cs="Segoe UI"/>
          <w:sz w:val="20"/>
          <w:lang w:val="el-GR" w:eastAsia="el-GR" w:bidi="el-GR"/>
        </w:rPr>
        <w:t xml:space="preserve"> των Μη Εξυπηρετούμενων Ανοιγμάτων</w:t>
      </w:r>
      <w:r w:rsidRPr="00A6792B">
        <w:rPr>
          <w:rFonts w:ascii="Segoe UI" w:hAnsi="Segoe UI" w:cs="Segoe UI"/>
          <w:sz w:val="20"/>
          <w:lang w:val="el-GR" w:eastAsia="el-GR" w:bidi="el-GR"/>
        </w:rPr>
        <w:t xml:space="preserve"> </w:t>
      </w:r>
      <w:r w:rsidRPr="00062B7A">
        <w:rPr>
          <w:rFonts w:ascii="Segoe UI" w:hAnsi="Segoe UI" w:cs="Segoe UI"/>
          <w:sz w:val="20"/>
          <w:lang w:val="el-GR" w:eastAsia="el-GR" w:bidi="el-GR"/>
        </w:rPr>
        <w:t xml:space="preserve">από </w:t>
      </w:r>
      <w:r w:rsidR="008F6935">
        <w:rPr>
          <w:rFonts w:ascii="Segoe UI" w:hAnsi="Segoe UI" w:cs="Segoe UI"/>
          <w:sz w:val="20"/>
          <w:lang w:val="el-GR" w:eastAsia="el-GR" w:bidi="el-GR"/>
        </w:rPr>
        <w:t>συσ</w:t>
      </w:r>
      <w:r w:rsidRPr="00062B7A">
        <w:rPr>
          <w:rFonts w:ascii="Segoe UI" w:hAnsi="Segoe UI" w:cs="Segoe UI"/>
          <w:sz w:val="20"/>
          <w:lang w:val="el-GR" w:eastAsia="el-GR" w:bidi="el-GR"/>
        </w:rPr>
        <w:t xml:space="preserve">σωρευμένες προβλέψεις </w:t>
      </w:r>
      <w:r w:rsidRPr="00A6792B">
        <w:rPr>
          <w:rFonts w:ascii="Segoe UI" w:hAnsi="Segoe UI" w:cs="Segoe UI"/>
          <w:sz w:val="20"/>
          <w:lang w:val="el-GR" w:eastAsia="el-GR" w:bidi="el-GR"/>
        </w:rPr>
        <w:t>διαμορφώ</w:t>
      </w:r>
      <w:r w:rsidR="00B420D8">
        <w:rPr>
          <w:rFonts w:ascii="Segoe UI" w:hAnsi="Segoe UI" w:cs="Segoe UI"/>
          <w:sz w:val="20"/>
          <w:lang w:val="el-GR" w:eastAsia="el-GR" w:bidi="el-GR"/>
        </w:rPr>
        <w:t xml:space="preserve">θηκε </w:t>
      </w:r>
      <w:r w:rsidRPr="00A6792B">
        <w:rPr>
          <w:rFonts w:ascii="Segoe UI" w:hAnsi="Segoe UI" w:cs="Segoe UI"/>
          <w:sz w:val="20"/>
          <w:lang w:val="el-GR" w:eastAsia="el-GR" w:bidi="el-GR"/>
        </w:rPr>
        <w:t xml:space="preserve">σε </w:t>
      </w:r>
      <w:r w:rsidR="00B420D8">
        <w:rPr>
          <w:rFonts w:ascii="Segoe UI" w:hAnsi="Segoe UI" w:cs="Segoe UI"/>
          <w:sz w:val="20"/>
          <w:lang w:val="el-GR" w:eastAsia="el-GR" w:bidi="el-GR"/>
        </w:rPr>
        <w:t>56,</w:t>
      </w:r>
      <w:r w:rsidR="00DE0254" w:rsidRPr="00DE0254">
        <w:rPr>
          <w:rFonts w:ascii="Segoe UI" w:hAnsi="Segoe UI" w:cs="Segoe UI"/>
          <w:sz w:val="20"/>
          <w:lang w:val="el-GR" w:eastAsia="el-GR" w:bidi="el-GR"/>
        </w:rPr>
        <w:t>5</w:t>
      </w:r>
      <w:r w:rsidR="00B420D8">
        <w:rPr>
          <w:rFonts w:ascii="Segoe UI" w:hAnsi="Segoe UI" w:cs="Segoe UI"/>
          <w:sz w:val="20"/>
          <w:lang w:val="el-GR" w:eastAsia="el-GR" w:bidi="el-GR"/>
        </w:rPr>
        <w:t xml:space="preserve">%, </w:t>
      </w:r>
      <w:r w:rsidRPr="00A6792B">
        <w:rPr>
          <w:rFonts w:ascii="Segoe UI" w:hAnsi="Segoe UI" w:cs="Segoe UI"/>
          <w:sz w:val="20"/>
          <w:lang w:val="el-GR" w:eastAsia="el-GR" w:bidi="el-GR"/>
        </w:rPr>
        <w:t>στα υψηλότερα επίπεδα του εγχώριου τραπεζικού κλάδου</w:t>
      </w:r>
      <w:r w:rsidRPr="00A6792B">
        <w:rPr>
          <w:rFonts w:ascii="Segoe UI" w:hAnsi="Segoe UI" w:cs="Segoe UI"/>
          <w:sz w:val="20"/>
          <w:vertAlign w:val="superscript"/>
          <w:lang w:val="el-GR" w:eastAsia="el-GR" w:bidi="el-GR"/>
        </w:rPr>
        <w:t>1</w:t>
      </w:r>
      <w:r w:rsidRPr="00A6792B">
        <w:rPr>
          <w:rFonts w:ascii="Segoe UI" w:hAnsi="Segoe UI" w:cs="Segoe UI"/>
          <w:sz w:val="20"/>
          <w:lang w:val="el-GR" w:eastAsia="el-GR" w:bidi="el-GR"/>
        </w:rPr>
        <w:t>.</w:t>
      </w:r>
    </w:p>
    <w:p w:rsidR="00FA7E3A" w:rsidRPr="00A6792B" w:rsidRDefault="007B098D"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Σε επίπεδο Ομίλου, ο ρυθμός δημιουργίας νέων δανείων σ</w:t>
      </w:r>
      <w:r w:rsidR="00F43A29">
        <w:rPr>
          <w:rFonts w:ascii="Segoe UI" w:hAnsi="Segoe UI" w:cs="Segoe UI"/>
          <w:sz w:val="20"/>
          <w:lang w:val="el-GR" w:eastAsia="el-GR" w:bidi="el-GR"/>
        </w:rPr>
        <w:t>ε καθυστέρηση άνω των 90 ημερών κινήθηκε σε αρνητικά επίπεδα</w:t>
      </w:r>
      <w:r w:rsidR="0009771F">
        <w:rPr>
          <w:rFonts w:ascii="Segoe UI" w:hAnsi="Segoe UI" w:cs="Segoe UI"/>
          <w:sz w:val="20"/>
          <w:lang w:val="el-GR" w:eastAsia="el-GR" w:bidi="el-GR"/>
        </w:rPr>
        <w:t xml:space="preserve"> </w:t>
      </w:r>
      <w:r w:rsidR="00F43A29">
        <w:rPr>
          <w:rFonts w:ascii="Segoe UI" w:hAnsi="Segoe UI" w:cs="Segoe UI"/>
          <w:sz w:val="20"/>
          <w:lang w:val="el-GR" w:eastAsia="el-GR" w:bidi="el-GR"/>
        </w:rPr>
        <w:t>(-€2</w:t>
      </w:r>
      <w:r w:rsidR="00184103" w:rsidRPr="00184103">
        <w:rPr>
          <w:rFonts w:ascii="Segoe UI" w:hAnsi="Segoe UI" w:cs="Segoe UI"/>
          <w:sz w:val="20"/>
          <w:lang w:val="el-GR" w:eastAsia="el-GR" w:bidi="el-GR"/>
        </w:rPr>
        <w:t>55</w:t>
      </w:r>
      <w:r w:rsidR="00F43A29">
        <w:rPr>
          <w:rFonts w:ascii="Segoe UI" w:hAnsi="Segoe UI" w:cs="Segoe UI"/>
          <w:sz w:val="20"/>
          <w:lang w:val="el-GR" w:eastAsia="el-GR" w:bidi="el-GR"/>
        </w:rPr>
        <w:t xml:space="preserve"> εκατ.), </w:t>
      </w:r>
      <w:r w:rsidR="00B446DD" w:rsidRPr="00B446DD">
        <w:rPr>
          <w:rFonts w:ascii="Segoe UI" w:hAnsi="Segoe UI" w:cs="Segoe UI"/>
          <w:sz w:val="20"/>
          <w:lang w:val="el-GR" w:eastAsia="el-GR" w:bidi="el-GR"/>
        </w:rPr>
        <w:t>αντανακλώντας την εγχώρια αγορά</w:t>
      </w:r>
      <w:r w:rsidR="00F43A29">
        <w:rPr>
          <w:rFonts w:ascii="Segoe UI" w:hAnsi="Segoe UI" w:cs="Segoe UI"/>
          <w:sz w:val="20"/>
          <w:lang w:val="el-GR" w:eastAsia="el-GR" w:bidi="el-GR"/>
        </w:rPr>
        <w:t xml:space="preserve"> (-€253 εκατ. από </w:t>
      </w:r>
      <w:r w:rsidR="00B446DD" w:rsidRPr="00B446DD">
        <w:rPr>
          <w:rFonts w:ascii="Segoe UI" w:hAnsi="Segoe UI" w:cs="Segoe UI"/>
          <w:sz w:val="20"/>
          <w:lang w:val="el-GR" w:eastAsia="el-GR" w:bidi="el-GR"/>
        </w:rPr>
        <w:t>€</w:t>
      </w:r>
      <w:r w:rsidR="00B446DD">
        <w:rPr>
          <w:rFonts w:ascii="Segoe UI" w:hAnsi="Segoe UI" w:cs="Segoe UI"/>
          <w:sz w:val="20"/>
          <w:lang w:val="el-GR" w:eastAsia="el-GR" w:bidi="el-GR"/>
        </w:rPr>
        <w:t>188</w:t>
      </w:r>
      <w:r w:rsidR="00B446DD" w:rsidRPr="00B446DD">
        <w:rPr>
          <w:rFonts w:ascii="Segoe UI" w:hAnsi="Segoe UI" w:cs="Segoe UI"/>
          <w:sz w:val="20"/>
          <w:lang w:val="el-GR" w:eastAsia="el-GR" w:bidi="el-GR"/>
        </w:rPr>
        <w:t xml:space="preserve"> </w:t>
      </w:r>
      <w:r w:rsidR="00F43A29">
        <w:rPr>
          <w:rFonts w:ascii="Segoe UI" w:hAnsi="Segoe UI" w:cs="Segoe UI"/>
          <w:sz w:val="20"/>
          <w:lang w:val="el-GR" w:eastAsia="el-GR" w:bidi="el-GR"/>
        </w:rPr>
        <w:t>το Γ’ Τρίμηνο)</w:t>
      </w:r>
      <w:r w:rsidR="00B446DD" w:rsidRPr="00B446DD">
        <w:rPr>
          <w:rFonts w:ascii="Segoe UI" w:hAnsi="Segoe UI" w:cs="Segoe UI"/>
          <w:sz w:val="20"/>
          <w:lang w:val="el-GR" w:eastAsia="el-GR" w:bidi="el-GR"/>
        </w:rPr>
        <w:t xml:space="preserve">. </w:t>
      </w:r>
      <w:r w:rsidR="00F43A29">
        <w:rPr>
          <w:rFonts w:ascii="Segoe UI" w:hAnsi="Segoe UI" w:cs="Segoe UI"/>
          <w:sz w:val="20"/>
          <w:lang w:val="el-GR" w:eastAsia="el-GR" w:bidi="el-GR"/>
        </w:rPr>
        <w:t>Σε ετήσια βάση, ο</w:t>
      </w:r>
      <w:r w:rsidR="0025167A">
        <w:rPr>
          <w:rFonts w:ascii="Segoe UI" w:hAnsi="Segoe UI" w:cs="Segoe UI"/>
          <w:sz w:val="20"/>
          <w:lang w:val="el-GR" w:eastAsia="el-GR" w:bidi="el-GR"/>
        </w:rPr>
        <w:t xml:space="preserve"> </w:t>
      </w:r>
      <w:r w:rsidR="0025167A" w:rsidRPr="00A6792B">
        <w:rPr>
          <w:rFonts w:ascii="Segoe UI" w:hAnsi="Segoe UI" w:cs="Segoe UI"/>
          <w:sz w:val="20"/>
          <w:lang w:val="el-GR" w:eastAsia="el-GR" w:bidi="el-GR"/>
        </w:rPr>
        <w:t>ρυθμ</w:t>
      </w:r>
      <w:r w:rsidR="00F43A29">
        <w:rPr>
          <w:rFonts w:ascii="Segoe UI" w:hAnsi="Segoe UI" w:cs="Segoe UI"/>
          <w:sz w:val="20"/>
          <w:lang w:val="el-GR" w:eastAsia="el-GR" w:bidi="el-GR"/>
        </w:rPr>
        <w:t>ός</w:t>
      </w:r>
      <w:r w:rsidR="0025167A">
        <w:rPr>
          <w:rFonts w:ascii="Segoe UI" w:hAnsi="Segoe UI" w:cs="Segoe UI"/>
          <w:sz w:val="20"/>
          <w:lang w:val="el-GR" w:eastAsia="el-GR" w:bidi="el-GR"/>
        </w:rPr>
        <w:t xml:space="preserve"> </w:t>
      </w:r>
      <w:r w:rsidR="0025167A" w:rsidRPr="00A6792B">
        <w:rPr>
          <w:rFonts w:ascii="Segoe UI" w:hAnsi="Segoe UI" w:cs="Segoe UI"/>
          <w:sz w:val="20"/>
          <w:lang w:val="el-GR" w:eastAsia="el-GR" w:bidi="el-GR"/>
        </w:rPr>
        <w:t xml:space="preserve">δημιουργίας νέων </w:t>
      </w:r>
      <w:r w:rsidR="00F43A29" w:rsidRPr="00F43A29">
        <w:rPr>
          <w:rFonts w:ascii="Segoe UI" w:hAnsi="Segoe UI" w:cs="Segoe UI"/>
          <w:sz w:val="20"/>
          <w:lang w:val="el-GR" w:eastAsia="el-GR" w:bidi="el-GR"/>
        </w:rPr>
        <w:t xml:space="preserve">δανείων σε καθυστέρηση άνω των 90 ημερών </w:t>
      </w:r>
      <w:r w:rsidR="00F43A29">
        <w:rPr>
          <w:rFonts w:ascii="Segoe UI" w:hAnsi="Segoe UI" w:cs="Segoe UI"/>
          <w:sz w:val="20"/>
          <w:lang w:val="el-GR" w:eastAsia="el-GR" w:bidi="el-GR"/>
        </w:rPr>
        <w:t xml:space="preserve">μειώθηκε σημαντικά </w:t>
      </w:r>
      <w:r w:rsidR="0025167A">
        <w:rPr>
          <w:rFonts w:ascii="Segoe UI" w:hAnsi="Segoe UI" w:cs="Segoe UI"/>
          <w:sz w:val="20"/>
          <w:lang w:val="el-GR" w:eastAsia="el-GR" w:bidi="el-GR"/>
        </w:rPr>
        <w:t xml:space="preserve">σε </w:t>
      </w:r>
      <w:r w:rsidR="00F43A29">
        <w:rPr>
          <w:rFonts w:ascii="Segoe UI" w:hAnsi="Segoe UI" w:cs="Segoe UI"/>
          <w:sz w:val="20"/>
          <w:lang w:val="el-GR" w:eastAsia="el-GR" w:bidi="el-GR"/>
        </w:rPr>
        <w:t>μόλις €65</w:t>
      </w:r>
      <w:r w:rsidR="0025167A" w:rsidRPr="00A6792B">
        <w:rPr>
          <w:rFonts w:ascii="Segoe UI" w:hAnsi="Segoe UI" w:cs="Segoe UI"/>
          <w:sz w:val="20"/>
          <w:lang w:val="el-GR" w:eastAsia="el-GR" w:bidi="el-GR"/>
        </w:rPr>
        <w:t xml:space="preserve"> εκατ. </w:t>
      </w:r>
      <w:r w:rsidR="00A5394C">
        <w:rPr>
          <w:rFonts w:ascii="Segoe UI" w:hAnsi="Segoe UI" w:cs="Segoe UI"/>
          <w:sz w:val="20"/>
          <w:lang w:val="el-GR" w:eastAsia="el-GR" w:bidi="el-GR"/>
        </w:rPr>
        <w:t xml:space="preserve">το 2016 </w:t>
      </w:r>
      <w:r w:rsidR="0025167A" w:rsidRPr="00A6792B">
        <w:rPr>
          <w:rFonts w:ascii="Segoe UI" w:hAnsi="Segoe UI" w:cs="Segoe UI"/>
          <w:sz w:val="20"/>
          <w:lang w:val="el-GR" w:eastAsia="el-GR" w:bidi="el-GR"/>
        </w:rPr>
        <w:t>από €</w:t>
      </w:r>
      <w:r w:rsidR="00F43A29">
        <w:rPr>
          <w:rFonts w:ascii="Segoe UI" w:hAnsi="Segoe UI" w:cs="Segoe UI"/>
          <w:sz w:val="20"/>
          <w:lang w:val="el-GR" w:eastAsia="el-GR" w:bidi="el-GR"/>
        </w:rPr>
        <w:t xml:space="preserve">869 εκατ. </w:t>
      </w:r>
      <w:r w:rsidR="0025167A" w:rsidRPr="00A6792B">
        <w:rPr>
          <w:rFonts w:ascii="Segoe UI" w:hAnsi="Segoe UI" w:cs="Segoe UI"/>
          <w:sz w:val="20"/>
          <w:lang w:val="el-GR" w:eastAsia="el-GR" w:bidi="el-GR"/>
        </w:rPr>
        <w:t>το</w:t>
      </w:r>
      <w:r w:rsidR="00F43A29">
        <w:rPr>
          <w:rFonts w:ascii="Segoe UI" w:hAnsi="Segoe UI" w:cs="Segoe UI"/>
          <w:sz w:val="20"/>
          <w:lang w:val="el-GR" w:eastAsia="el-GR" w:bidi="el-GR"/>
        </w:rPr>
        <w:t xml:space="preserve"> </w:t>
      </w:r>
      <w:r w:rsidR="0025167A" w:rsidRPr="00A6792B">
        <w:rPr>
          <w:rFonts w:ascii="Segoe UI" w:hAnsi="Segoe UI" w:cs="Segoe UI"/>
          <w:sz w:val="20"/>
          <w:lang w:val="el-GR" w:eastAsia="el-GR" w:bidi="el-GR"/>
        </w:rPr>
        <w:t>201</w:t>
      </w:r>
      <w:r w:rsidR="00F43A29">
        <w:rPr>
          <w:rFonts w:ascii="Segoe UI" w:hAnsi="Segoe UI" w:cs="Segoe UI"/>
          <w:sz w:val="20"/>
          <w:lang w:val="el-GR" w:eastAsia="el-GR" w:bidi="el-GR"/>
        </w:rPr>
        <w:t>5.</w:t>
      </w:r>
      <w:r w:rsidR="00F56B91" w:rsidRPr="00A6792B">
        <w:rPr>
          <w:rFonts w:ascii="Segoe UI" w:hAnsi="Segoe UI" w:cs="Segoe UI"/>
          <w:sz w:val="20"/>
          <w:lang w:val="el-GR" w:eastAsia="el-GR" w:bidi="el-GR"/>
        </w:rPr>
        <w:t xml:space="preserve"> </w:t>
      </w:r>
    </w:p>
    <w:p w:rsidR="007638B2" w:rsidRPr="00A6792B" w:rsidRDefault="002B2C2A" w:rsidP="004929D8">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Στην Ελλάδα, το</w:t>
      </w:r>
      <w:r w:rsidR="00890AD5" w:rsidRPr="00A6792B">
        <w:rPr>
          <w:rFonts w:ascii="Segoe UI" w:hAnsi="Segoe UI" w:cs="Segoe UI"/>
          <w:sz w:val="20"/>
          <w:lang w:val="el-GR" w:eastAsia="el-GR" w:bidi="el-GR"/>
        </w:rPr>
        <w:t xml:space="preserve"> κόστος </w:t>
      </w:r>
      <w:r w:rsidR="0071156B">
        <w:rPr>
          <w:rFonts w:ascii="Segoe UI" w:hAnsi="Segoe UI" w:cs="Segoe UI"/>
          <w:sz w:val="20"/>
          <w:lang w:val="el-GR" w:eastAsia="el-GR" w:bidi="el-GR"/>
        </w:rPr>
        <w:t xml:space="preserve">πιστωτικού </w:t>
      </w:r>
      <w:r w:rsidR="00890AD5" w:rsidRPr="00A6792B">
        <w:rPr>
          <w:rFonts w:ascii="Segoe UI" w:hAnsi="Segoe UI" w:cs="Segoe UI"/>
          <w:sz w:val="20"/>
          <w:lang w:val="el-GR" w:eastAsia="el-GR" w:bidi="el-GR"/>
        </w:rPr>
        <w:t xml:space="preserve">κινδύνου </w:t>
      </w:r>
      <w:r w:rsidR="00A5394C">
        <w:rPr>
          <w:rFonts w:ascii="Segoe UI" w:hAnsi="Segoe UI" w:cs="Segoe UI"/>
          <w:sz w:val="20"/>
          <w:lang w:val="el-GR" w:eastAsia="el-GR" w:bidi="el-GR"/>
        </w:rPr>
        <w:t>ανήλθε</w:t>
      </w:r>
      <w:r w:rsidR="00777C69" w:rsidRPr="00A6792B">
        <w:rPr>
          <w:rFonts w:ascii="Segoe UI" w:hAnsi="Segoe UI" w:cs="Segoe UI"/>
          <w:sz w:val="20"/>
          <w:lang w:val="el-GR" w:eastAsia="el-GR" w:bidi="el-GR"/>
        </w:rPr>
        <w:t xml:space="preserve"> σε </w:t>
      </w:r>
      <w:r w:rsidR="00F84041">
        <w:rPr>
          <w:rFonts w:ascii="Segoe UI" w:hAnsi="Segoe UI" w:cs="Segoe UI"/>
          <w:sz w:val="20"/>
          <w:lang w:val="el-GR" w:eastAsia="el-GR" w:bidi="el-GR"/>
        </w:rPr>
        <w:t>252</w:t>
      </w:r>
      <w:r w:rsidR="009503C1" w:rsidRPr="00A6792B">
        <w:rPr>
          <w:rFonts w:ascii="Segoe UI" w:hAnsi="Segoe UI" w:cs="Segoe UI"/>
          <w:sz w:val="20"/>
          <w:lang w:val="el-GR" w:eastAsia="el-GR" w:bidi="el-GR"/>
        </w:rPr>
        <w:t xml:space="preserve"> </w:t>
      </w:r>
      <w:proofErr w:type="spellStart"/>
      <w:r w:rsidR="00890AD5" w:rsidRPr="00A6792B">
        <w:rPr>
          <w:rFonts w:ascii="Segoe UI" w:hAnsi="Segoe UI" w:cs="Segoe UI"/>
          <w:sz w:val="20"/>
          <w:lang w:val="el-GR" w:eastAsia="el-GR" w:bidi="el-GR"/>
        </w:rPr>
        <w:t>μ.β</w:t>
      </w:r>
      <w:proofErr w:type="spellEnd"/>
      <w:r w:rsidR="00890AD5" w:rsidRPr="00A6792B">
        <w:rPr>
          <w:rFonts w:ascii="Segoe UI" w:hAnsi="Segoe UI" w:cs="Segoe UI"/>
          <w:sz w:val="20"/>
          <w:lang w:val="el-GR" w:eastAsia="el-GR" w:bidi="el-GR"/>
        </w:rPr>
        <w:t xml:space="preserve">. </w:t>
      </w:r>
      <w:r>
        <w:rPr>
          <w:rFonts w:ascii="Segoe UI" w:hAnsi="Segoe UI" w:cs="Segoe UI"/>
          <w:sz w:val="20"/>
          <w:lang w:val="el-GR" w:eastAsia="el-GR" w:bidi="el-GR"/>
        </w:rPr>
        <w:t xml:space="preserve">το </w:t>
      </w:r>
      <w:r w:rsidR="00F84041">
        <w:rPr>
          <w:rFonts w:ascii="Segoe UI" w:hAnsi="Segoe UI" w:cs="Segoe UI"/>
          <w:sz w:val="20"/>
          <w:lang w:val="el-GR" w:eastAsia="el-GR" w:bidi="el-GR"/>
        </w:rPr>
        <w:t>Δ</w:t>
      </w:r>
      <w:r>
        <w:rPr>
          <w:rFonts w:ascii="Segoe UI" w:hAnsi="Segoe UI" w:cs="Segoe UI"/>
          <w:sz w:val="20"/>
          <w:lang w:val="el-GR" w:eastAsia="el-GR" w:bidi="el-GR"/>
        </w:rPr>
        <w:t xml:space="preserve">’ τρίμηνο του 2016 </w:t>
      </w:r>
      <w:r w:rsidR="00EA6937">
        <w:rPr>
          <w:rFonts w:ascii="Segoe UI" w:hAnsi="Segoe UI" w:cs="Segoe UI"/>
          <w:sz w:val="20"/>
          <w:lang w:val="el-GR" w:eastAsia="el-GR" w:bidi="el-GR"/>
        </w:rPr>
        <w:t xml:space="preserve">από </w:t>
      </w:r>
      <w:r w:rsidR="00F84041">
        <w:rPr>
          <w:rFonts w:ascii="Segoe UI" w:hAnsi="Segoe UI" w:cs="Segoe UI"/>
          <w:sz w:val="20"/>
          <w:lang w:val="el-GR" w:eastAsia="el-GR" w:bidi="el-GR"/>
        </w:rPr>
        <w:t>201</w:t>
      </w:r>
      <w:r w:rsidR="009503C1" w:rsidRPr="00A6792B">
        <w:rPr>
          <w:rFonts w:ascii="Segoe UI" w:hAnsi="Segoe UI" w:cs="Segoe UI"/>
          <w:sz w:val="20"/>
          <w:lang w:val="el-GR" w:eastAsia="el-GR" w:bidi="el-GR"/>
        </w:rPr>
        <w:t xml:space="preserve"> </w:t>
      </w:r>
      <w:proofErr w:type="spellStart"/>
      <w:r w:rsidR="00777C69" w:rsidRPr="00A6792B">
        <w:rPr>
          <w:rFonts w:ascii="Segoe UI" w:hAnsi="Segoe UI" w:cs="Segoe UI"/>
          <w:sz w:val="20"/>
          <w:lang w:val="el-GR" w:eastAsia="el-GR" w:bidi="el-GR"/>
        </w:rPr>
        <w:t>μ.β</w:t>
      </w:r>
      <w:proofErr w:type="spellEnd"/>
      <w:r w:rsidR="00777C69" w:rsidRPr="00A6792B">
        <w:rPr>
          <w:rFonts w:ascii="Segoe UI" w:hAnsi="Segoe UI" w:cs="Segoe UI"/>
          <w:sz w:val="20"/>
          <w:lang w:val="el-GR" w:eastAsia="el-GR" w:bidi="el-GR"/>
        </w:rPr>
        <w:t>.</w:t>
      </w:r>
      <w:r w:rsidR="00E60984" w:rsidRPr="00A6792B">
        <w:rPr>
          <w:rFonts w:ascii="Segoe UI" w:hAnsi="Segoe UI" w:cs="Segoe UI"/>
          <w:sz w:val="20"/>
          <w:lang w:val="el-GR" w:eastAsia="el-GR" w:bidi="el-GR"/>
        </w:rPr>
        <w:t xml:space="preserve"> το προηγούμενο</w:t>
      </w:r>
      <w:r w:rsidR="007C5802" w:rsidRPr="00A6792B">
        <w:rPr>
          <w:rFonts w:ascii="Segoe UI" w:hAnsi="Segoe UI" w:cs="Segoe UI"/>
          <w:sz w:val="20"/>
          <w:lang w:val="el-GR" w:eastAsia="el-GR" w:bidi="el-GR"/>
        </w:rPr>
        <w:t xml:space="preserve"> τρίμηνο</w:t>
      </w:r>
      <w:r w:rsidR="008046D7" w:rsidRPr="008C5C4E">
        <w:rPr>
          <w:rFonts w:ascii="Segoe UI" w:hAnsi="Segoe UI" w:cs="Segoe UI"/>
          <w:sz w:val="20"/>
          <w:lang w:val="el-GR" w:eastAsia="el-GR" w:bidi="el-GR"/>
        </w:rPr>
        <w:t xml:space="preserve">, </w:t>
      </w:r>
      <w:r w:rsidR="008046D7">
        <w:rPr>
          <w:rFonts w:ascii="Segoe UI" w:hAnsi="Segoe UI" w:cs="Segoe UI"/>
          <w:sz w:val="20"/>
          <w:lang w:val="el-GR" w:eastAsia="el-GR" w:bidi="el-GR"/>
        </w:rPr>
        <w:t>αντανακλώντας την ετήσια αναπροσαρμογή των παραμέτρων πιστωτικού κινδύνου στο μοντέλο των προβλέψεων</w:t>
      </w:r>
      <w:r w:rsidR="00F84041">
        <w:rPr>
          <w:rFonts w:ascii="Segoe UI" w:hAnsi="Segoe UI" w:cs="Segoe UI"/>
          <w:sz w:val="20"/>
          <w:lang w:val="el-GR" w:eastAsia="el-GR" w:bidi="el-GR"/>
        </w:rPr>
        <w:t>.</w:t>
      </w:r>
      <w:r>
        <w:rPr>
          <w:rFonts w:ascii="Segoe UI" w:hAnsi="Segoe UI" w:cs="Segoe UI"/>
          <w:sz w:val="20"/>
          <w:lang w:val="el-GR" w:eastAsia="el-GR" w:bidi="el-GR"/>
        </w:rPr>
        <w:t xml:space="preserve"> </w:t>
      </w:r>
      <w:r w:rsidR="00F84041">
        <w:rPr>
          <w:rFonts w:ascii="Segoe UI" w:hAnsi="Segoe UI" w:cs="Segoe UI"/>
          <w:sz w:val="20"/>
          <w:lang w:val="el-GR" w:eastAsia="el-GR" w:bidi="el-GR"/>
        </w:rPr>
        <w:t xml:space="preserve">Σε επίπεδο έτους, </w:t>
      </w:r>
      <w:r w:rsidR="00F84041" w:rsidRPr="00F84041">
        <w:rPr>
          <w:rFonts w:ascii="Segoe UI" w:hAnsi="Segoe UI" w:cs="Segoe UI"/>
          <w:sz w:val="20"/>
          <w:lang w:val="el-GR" w:eastAsia="el-GR" w:bidi="el-GR"/>
        </w:rPr>
        <w:t xml:space="preserve">το κόστος πιστωτικού κινδύνου </w:t>
      </w:r>
      <w:r w:rsidR="00F84041">
        <w:rPr>
          <w:rFonts w:ascii="Segoe UI" w:hAnsi="Segoe UI" w:cs="Segoe UI"/>
          <w:sz w:val="20"/>
          <w:lang w:val="el-GR" w:eastAsia="el-GR" w:bidi="el-GR"/>
        </w:rPr>
        <w:t xml:space="preserve">διαμορφώθηκε </w:t>
      </w:r>
      <w:r w:rsidR="00F84041" w:rsidRPr="00F84041">
        <w:rPr>
          <w:rFonts w:ascii="Segoe UI" w:hAnsi="Segoe UI" w:cs="Segoe UI"/>
          <w:sz w:val="20"/>
          <w:lang w:val="el-GR" w:eastAsia="el-GR" w:bidi="el-GR"/>
        </w:rPr>
        <w:t>σε</w:t>
      </w:r>
      <w:r w:rsidR="00F84041">
        <w:rPr>
          <w:rFonts w:ascii="Segoe UI" w:hAnsi="Segoe UI" w:cs="Segoe UI"/>
          <w:sz w:val="20"/>
          <w:lang w:val="el-GR" w:eastAsia="el-GR" w:bidi="el-GR"/>
        </w:rPr>
        <w:t xml:space="preserve"> 212</w:t>
      </w:r>
      <w:r w:rsidRPr="00A6792B">
        <w:rPr>
          <w:rFonts w:ascii="Segoe UI" w:hAnsi="Segoe UI" w:cs="Segoe UI"/>
          <w:sz w:val="20"/>
          <w:lang w:val="el-GR" w:eastAsia="el-GR" w:bidi="el-GR"/>
        </w:rPr>
        <w:t xml:space="preserve"> </w:t>
      </w:r>
      <w:proofErr w:type="spellStart"/>
      <w:r w:rsidRPr="00A6792B">
        <w:rPr>
          <w:rFonts w:ascii="Segoe UI" w:hAnsi="Segoe UI" w:cs="Segoe UI"/>
          <w:sz w:val="20"/>
          <w:lang w:val="el-GR" w:eastAsia="el-GR" w:bidi="el-GR"/>
        </w:rPr>
        <w:t>μ.β</w:t>
      </w:r>
      <w:proofErr w:type="spellEnd"/>
      <w:r w:rsidR="00777C69" w:rsidRPr="00A6792B">
        <w:rPr>
          <w:rFonts w:ascii="Segoe UI" w:hAnsi="Segoe UI" w:cs="Segoe UI"/>
          <w:sz w:val="20"/>
          <w:lang w:val="el-GR" w:eastAsia="el-GR" w:bidi="el-GR"/>
        </w:rPr>
        <w:t>.</w:t>
      </w:r>
      <w:r>
        <w:rPr>
          <w:rFonts w:ascii="Segoe UI" w:hAnsi="Segoe UI" w:cs="Segoe UI"/>
          <w:sz w:val="20"/>
          <w:lang w:val="el-GR" w:eastAsia="el-GR" w:bidi="el-GR"/>
        </w:rPr>
        <w:t xml:space="preserve"> </w:t>
      </w:r>
      <w:r w:rsidR="00F84041">
        <w:rPr>
          <w:rFonts w:ascii="Segoe UI" w:hAnsi="Segoe UI" w:cs="Segoe UI"/>
          <w:sz w:val="20"/>
          <w:lang w:val="el-GR" w:eastAsia="el-GR" w:bidi="el-GR"/>
        </w:rPr>
        <w:t xml:space="preserve">έναντι 1,004 </w:t>
      </w:r>
      <w:proofErr w:type="spellStart"/>
      <w:r w:rsidR="00F84041">
        <w:rPr>
          <w:rFonts w:ascii="Segoe UI" w:hAnsi="Segoe UI" w:cs="Segoe UI"/>
          <w:sz w:val="20"/>
          <w:lang w:val="el-GR" w:eastAsia="el-GR" w:bidi="el-GR"/>
        </w:rPr>
        <w:t>μ.β</w:t>
      </w:r>
      <w:proofErr w:type="spellEnd"/>
      <w:r w:rsidR="00F84041">
        <w:rPr>
          <w:rFonts w:ascii="Segoe UI" w:hAnsi="Segoe UI" w:cs="Segoe UI"/>
          <w:sz w:val="20"/>
          <w:lang w:val="el-GR" w:eastAsia="el-GR" w:bidi="el-GR"/>
        </w:rPr>
        <w:t>. το 2015</w:t>
      </w:r>
      <w:r>
        <w:rPr>
          <w:rFonts w:ascii="Segoe UI" w:hAnsi="Segoe UI" w:cs="Segoe UI"/>
          <w:sz w:val="20"/>
          <w:lang w:val="el-GR" w:eastAsia="el-GR" w:bidi="el-GR"/>
        </w:rPr>
        <w:t xml:space="preserve">. </w:t>
      </w:r>
      <w:r w:rsidR="00890AD5" w:rsidRPr="00A6792B">
        <w:rPr>
          <w:rFonts w:ascii="Segoe UI" w:hAnsi="Segoe UI" w:cs="Segoe UI"/>
          <w:sz w:val="20"/>
          <w:lang w:val="el-GR" w:eastAsia="el-GR" w:bidi="el-GR"/>
        </w:rPr>
        <w:t xml:space="preserve">Ο δείκτης κάλυψης δανείων σε καθυστέρηση άνω των 90 ημερών </w:t>
      </w:r>
      <w:r w:rsidR="004A6972">
        <w:rPr>
          <w:rFonts w:ascii="Segoe UI" w:hAnsi="Segoe UI" w:cs="Segoe UI"/>
          <w:sz w:val="20"/>
          <w:lang w:val="el-GR" w:eastAsia="el-GR" w:bidi="el-GR"/>
        </w:rPr>
        <w:t xml:space="preserve">από </w:t>
      </w:r>
      <w:r w:rsidR="000067C5">
        <w:rPr>
          <w:rFonts w:ascii="Segoe UI" w:hAnsi="Segoe UI" w:cs="Segoe UI"/>
          <w:sz w:val="20"/>
          <w:lang w:val="el-GR" w:eastAsia="el-GR" w:bidi="el-GR"/>
        </w:rPr>
        <w:t xml:space="preserve">σωρευμένες </w:t>
      </w:r>
      <w:r w:rsidR="004A6972">
        <w:rPr>
          <w:rFonts w:ascii="Segoe UI" w:hAnsi="Segoe UI" w:cs="Segoe UI"/>
          <w:sz w:val="20"/>
          <w:lang w:val="el-GR" w:eastAsia="el-GR" w:bidi="el-GR"/>
        </w:rPr>
        <w:t xml:space="preserve">προβλέψεις </w:t>
      </w:r>
      <w:r w:rsidR="008B3AB5">
        <w:rPr>
          <w:rFonts w:ascii="Segoe UI" w:hAnsi="Segoe UI" w:cs="Segoe UI"/>
          <w:sz w:val="20"/>
          <w:lang w:val="el-GR" w:eastAsia="el-GR" w:bidi="el-GR"/>
        </w:rPr>
        <w:t>διαμορφώθηκε</w:t>
      </w:r>
      <w:r w:rsidR="00064C4F" w:rsidRPr="00A6792B">
        <w:rPr>
          <w:rFonts w:ascii="Segoe UI" w:hAnsi="Segoe UI" w:cs="Segoe UI"/>
          <w:sz w:val="20"/>
          <w:lang w:val="el-GR" w:eastAsia="el-GR" w:bidi="el-GR"/>
        </w:rPr>
        <w:t xml:space="preserve"> σε </w:t>
      </w:r>
      <w:r w:rsidR="007A25C4">
        <w:rPr>
          <w:rFonts w:ascii="Segoe UI" w:hAnsi="Segoe UI" w:cs="Segoe UI"/>
          <w:sz w:val="20"/>
          <w:lang w:val="el-GR" w:eastAsia="el-GR" w:bidi="el-GR"/>
        </w:rPr>
        <w:t>75</w:t>
      </w:r>
      <w:r w:rsidR="007E6856">
        <w:rPr>
          <w:rFonts w:ascii="Segoe UI" w:hAnsi="Segoe UI" w:cs="Segoe UI"/>
          <w:sz w:val="20"/>
          <w:lang w:val="el-GR" w:eastAsia="el-GR" w:bidi="el-GR"/>
        </w:rPr>
        <w:t>,</w:t>
      </w:r>
      <w:r w:rsidR="00DE0254" w:rsidRPr="00DE0254">
        <w:rPr>
          <w:rFonts w:ascii="Segoe UI" w:hAnsi="Segoe UI" w:cs="Segoe UI"/>
          <w:sz w:val="20"/>
          <w:lang w:val="el-GR" w:eastAsia="el-GR" w:bidi="el-GR"/>
        </w:rPr>
        <w:t>4</w:t>
      </w:r>
      <w:r w:rsidR="00890AD5" w:rsidRPr="00A6792B">
        <w:rPr>
          <w:rFonts w:ascii="Segoe UI" w:hAnsi="Segoe UI" w:cs="Segoe UI"/>
          <w:sz w:val="20"/>
          <w:lang w:val="el-GR" w:eastAsia="el-GR" w:bidi="el-GR"/>
        </w:rPr>
        <w:t xml:space="preserve">% στην Ελλάδα και σε </w:t>
      </w:r>
      <w:r w:rsidR="007A25C4">
        <w:rPr>
          <w:rFonts w:ascii="Segoe UI" w:hAnsi="Segoe UI" w:cs="Segoe UI"/>
          <w:sz w:val="20"/>
          <w:lang w:val="el-GR" w:eastAsia="el-GR" w:bidi="el-GR"/>
        </w:rPr>
        <w:t>74,3</w:t>
      </w:r>
      <w:r w:rsidR="00890AD5" w:rsidRPr="00A6792B">
        <w:rPr>
          <w:rFonts w:ascii="Segoe UI" w:hAnsi="Segoe UI" w:cs="Segoe UI"/>
          <w:sz w:val="20"/>
          <w:lang w:val="el-GR" w:eastAsia="el-GR" w:bidi="el-GR"/>
        </w:rPr>
        <w:t xml:space="preserve">% σε επίπεδο Ομίλου, στα υψηλότερα </w:t>
      </w:r>
      <w:r w:rsidR="00487A52" w:rsidRPr="00A6792B">
        <w:rPr>
          <w:rFonts w:ascii="Segoe UI" w:hAnsi="Segoe UI" w:cs="Segoe UI"/>
          <w:sz w:val="20"/>
          <w:lang w:val="el-GR" w:eastAsia="el-GR" w:bidi="el-GR"/>
        </w:rPr>
        <w:t xml:space="preserve">επίπεδα </w:t>
      </w:r>
      <w:r w:rsidR="00890AD5" w:rsidRPr="00A6792B">
        <w:rPr>
          <w:rFonts w:ascii="Segoe UI" w:hAnsi="Segoe UI" w:cs="Segoe UI"/>
          <w:sz w:val="20"/>
          <w:lang w:val="el-GR" w:eastAsia="el-GR" w:bidi="el-GR"/>
        </w:rPr>
        <w:t>του κλάδου</w:t>
      </w:r>
      <w:r w:rsidR="004929D8" w:rsidRPr="00A6792B">
        <w:rPr>
          <w:rStyle w:val="a9"/>
          <w:rFonts w:ascii="Segoe UI" w:hAnsi="Segoe UI" w:cs="Segoe UI"/>
          <w:sz w:val="20"/>
          <w:lang w:val="el-GR" w:eastAsia="el-GR" w:bidi="el-GR"/>
        </w:rPr>
        <w:footnoteReference w:id="2"/>
      </w:r>
      <w:r w:rsidR="00890AD5" w:rsidRPr="00A6792B">
        <w:rPr>
          <w:rFonts w:ascii="Segoe UI" w:hAnsi="Segoe UI" w:cs="Segoe UI"/>
          <w:sz w:val="20"/>
          <w:lang w:val="el-GR" w:eastAsia="el-GR" w:bidi="el-GR"/>
        </w:rPr>
        <w:t xml:space="preserve">. </w:t>
      </w:r>
    </w:p>
    <w:p w:rsidR="00FA7E3A" w:rsidRPr="00A6792B" w:rsidRDefault="002B2393"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Στη ΝΑ Ευρώπη</w:t>
      </w:r>
      <w:r w:rsidR="004929D8" w:rsidRPr="00A6792B">
        <w:rPr>
          <w:rStyle w:val="a9"/>
          <w:rFonts w:ascii="Segoe UI" w:hAnsi="Segoe UI" w:cs="Segoe UI"/>
          <w:sz w:val="20"/>
          <w:lang w:val="el-GR" w:eastAsia="el-GR" w:bidi="el-GR"/>
        </w:rPr>
        <w:footnoteReference w:id="3"/>
      </w:r>
      <w:r w:rsidRPr="00A6792B">
        <w:rPr>
          <w:rFonts w:ascii="Segoe UI" w:hAnsi="Segoe UI" w:cs="Segoe UI"/>
          <w:sz w:val="20"/>
          <w:lang w:val="el-GR" w:eastAsia="el-GR" w:bidi="el-GR"/>
        </w:rPr>
        <w:t>, ο δείκτης δανείων σε καθυστέρηση ά</w:t>
      </w:r>
      <w:r w:rsidR="00E03C60" w:rsidRPr="00A6792B">
        <w:rPr>
          <w:rFonts w:ascii="Segoe UI" w:hAnsi="Segoe UI" w:cs="Segoe UI"/>
          <w:sz w:val="20"/>
          <w:lang w:val="el-GR" w:eastAsia="el-GR" w:bidi="el-GR"/>
        </w:rPr>
        <w:t xml:space="preserve">νω των 90 ημερών </w:t>
      </w:r>
      <w:r w:rsidR="007A25C4">
        <w:rPr>
          <w:rFonts w:ascii="Segoe UI" w:hAnsi="Segoe UI" w:cs="Segoe UI"/>
          <w:sz w:val="20"/>
          <w:lang w:val="el-GR" w:eastAsia="el-GR" w:bidi="el-GR"/>
        </w:rPr>
        <w:t>αυξήθηκε κατά 1</w:t>
      </w:r>
      <w:r w:rsidR="002B2C2A">
        <w:rPr>
          <w:rFonts w:ascii="Segoe UI" w:hAnsi="Segoe UI" w:cs="Segoe UI"/>
          <w:sz w:val="20"/>
          <w:lang w:val="el-GR" w:eastAsia="el-GR" w:bidi="el-GR"/>
        </w:rPr>
        <w:t xml:space="preserve">0 </w:t>
      </w:r>
      <w:proofErr w:type="spellStart"/>
      <w:r w:rsidR="002B2C2A">
        <w:rPr>
          <w:rFonts w:ascii="Segoe UI" w:hAnsi="Segoe UI" w:cs="Segoe UI"/>
          <w:sz w:val="20"/>
          <w:lang w:val="el-GR" w:eastAsia="el-GR" w:bidi="el-GR"/>
        </w:rPr>
        <w:t>μ.β</w:t>
      </w:r>
      <w:proofErr w:type="spellEnd"/>
      <w:r w:rsidR="002B2C2A">
        <w:rPr>
          <w:rFonts w:ascii="Segoe UI" w:hAnsi="Segoe UI" w:cs="Segoe UI"/>
          <w:sz w:val="20"/>
          <w:lang w:val="el-GR" w:eastAsia="el-GR" w:bidi="el-GR"/>
        </w:rPr>
        <w:t>. σε τριμηνιαία βάση</w:t>
      </w:r>
      <w:r w:rsidR="00E03C60" w:rsidRPr="00A6792B">
        <w:rPr>
          <w:rFonts w:ascii="Segoe UI" w:hAnsi="Segoe UI" w:cs="Segoe UI"/>
          <w:sz w:val="20"/>
          <w:lang w:val="el-GR" w:eastAsia="el-GR" w:bidi="el-GR"/>
        </w:rPr>
        <w:t xml:space="preserve"> σε </w:t>
      </w:r>
      <w:r w:rsidR="007A25C4">
        <w:rPr>
          <w:rFonts w:ascii="Segoe UI" w:hAnsi="Segoe UI" w:cs="Segoe UI"/>
          <w:sz w:val="20"/>
          <w:lang w:val="el-GR" w:eastAsia="el-GR" w:bidi="el-GR"/>
        </w:rPr>
        <w:t>24,0</w:t>
      </w:r>
      <w:r w:rsidRPr="00A6792B">
        <w:rPr>
          <w:rFonts w:ascii="Segoe UI" w:hAnsi="Segoe UI" w:cs="Segoe UI"/>
          <w:sz w:val="20"/>
          <w:lang w:val="el-GR" w:eastAsia="el-GR" w:bidi="el-GR"/>
        </w:rPr>
        <w:t xml:space="preserve">% το </w:t>
      </w:r>
      <w:r w:rsidR="007A25C4">
        <w:rPr>
          <w:rFonts w:ascii="Segoe UI" w:hAnsi="Segoe UI" w:cs="Segoe UI"/>
          <w:sz w:val="20"/>
          <w:lang w:val="el-GR" w:eastAsia="el-GR" w:bidi="el-GR"/>
        </w:rPr>
        <w:t>Δ</w:t>
      </w:r>
      <w:r w:rsidR="00E03C60" w:rsidRPr="00A6792B">
        <w:rPr>
          <w:rFonts w:ascii="Segoe UI" w:hAnsi="Segoe UI" w:cs="Segoe UI"/>
          <w:sz w:val="20"/>
          <w:lang w:val="el-GR" w:eastAsia="el-GR" w:bidi="el-GR"/>
        </w:rPr>
        <w:t>' τρίμηνο του 2016</w:t>
      </w:r>
      <w:r w:rsidRPr="00A6792B">
        <w:rPr>
          <w:rFonts w:ascii="Segoe UI" w:hAnsi="Segoe UI" w:cs="Segoe UI"/>
          <w:sz w:val="20"/>
          <w:lang w:val="el-GR" w:eastAsia="el-GR" w:bidi="el-GR"/>
        </w:rPr>
        <w:t xml:space="preserve">, με το δείκτη κάλυψης δανείων σε καθυστέρηση άνω των 90 ημερών </w:t>
      </w:r>
      <w:r w:rsidR="00142C37" w:rsidRPr="00142C37">
        <w:rPr>
          <w:rFonts w:ascii="Segoe UI" w:hAnsi="Segoe UI" w:cs="Segoe UI"/>
          <w:sz w:val="20"/>
          <w:lang w:val="el-GR" w:eastAsia="el-GR" w:bidi="el-GR"/>
        </w:rPr>
        <w:t xml:space="preserve">από </w:t>
      </w:r>
      <w:r w:rsidR="008F6935">
        <w:rPr>
          <w:rFonts w:ascii="Segoe UI" w:hAnsi="Segoe UI" w:cs="Segoe UI"/>
          <w:sz w:val="20"/>
          <w:lang w:val="el-GR" w:eastAsia="el-GR" w:bidi="el-GR"/>
        </w:rPr>
        <w:t>συσ</w:t>
      </w:r>
      <w:r w:rsidR="00142C37" w:rsidRPr="00142C37">
        <w:rPr>
          <w:rFonts w:ascii="Segoe UI" w:hAnsi="Segoe UI" w:cs="Segoe UI"/>
          <w:sz w:val="20"/>
          <w:lang w:val="el-GR" w:eastAsia="el-GR" w:bidi="el-GR"/>
        </w:rPr>
        <w:t xml:space="preserve">σωρευμένες προβλέψεις </w:t>
      </w:r>
      <w:r w:rsidRPr="00A6792B">
        <w:rPr>
          <w:rFonts w:ascii="Segoe UI" w:hAnsi="Segoe UI" w:cs="Segoe UI"/>
          <w:sz w:val="20"/>
          <w:lang w:val="el-GR" w:eastAsia="el-GR" w:bidi="el-GR"/>
        </w:rPr>
        <w:t xml:space="preserve">να </w:t>
      </w:r>
      <w:r w:rsidR="002B2C2A">
        <w:rPr>
          <w:rFonts w:ascii="Segoe UI" w:hAnsi="Segoe UI" w:cs="Segoe UI"/>
          <w:sz w:val="20"/>
          <w:lang w:val="el-GR" w:eastAsia="el-GR" w:bidi="el-GR"/>
        </w:rPr>
        <w:t xml:space="preserve">ενισχύεται </w:t>
      </w:r>
      <w:r w:rsidRPr="00A6792B">
        <w:rPr>
          <w:rFonts w:ascii="Segoe UI" w:hAnsi="Segoe UI" w:cs="Segoe UI"/>
          <w:sz w:val="20"/>
          <w:lang w:val="el-GR" w:eastAsia="el-GR" w:bidi="el-GR"/>
        </w:rPr>
        <w:t xml:space="preserve">σε </w:t>
      </w:r>
      <w:r w:rsidR="007A25C4">
        <w:rPr>
          <w:rFonts w:ascii="Segoe UI" w:hAnsi="Segoe UI" w:cs="Segoe UI"/>
          <w:sz w:val="20"/>
          <w:lang w:val="el-GR" w:eastAsia="el-GR" w:bidi="el-GR"/>
        </w:rPr>
        <w:t>58,6</w:t>
      </w:r>
      <w:r w:rsidR="00E03C60" w:rsidRPr="00A6792B">
        <w:rPr>
          <w:rFonts w:ascii="Segoe UI" w:hAnsi="Segoe UI" w:cs="Segoe UI"/>
          <w:sz w:val="20"/>
          <w:lang w:val="el-GR" w:eastAsia="el-GR" w:bidi="el-GR"/>
        </w:rPr>
        <w:t xml:space="preserve">% από </w:t>
      </w:r>
      <w:r w:rsidR="007A25C4">
        <w:rPr>
          <w:rFonts w:ascii="Segoe UI" w:hAnsi="Segoe UI" w:cs="Segoe UI"/>
          <w:sz w:val="20"/>
          <w:lang w:val="el-GR" w:eastAsia="el-GR" w:bidi="el-GR"/>
        </w:rPr>
        <w:t>57,7</w:t>
      </w:r>
      <w:r w:rsidRPr="00A6792B">
        <w:rPr>
          <w:rFonts w:ascii="Segoe UI" w:hAnsi="Segoe UI" w:cs="Segoe UI"/>
          <w:sz w:val="20"/>
          <w:lang w:val="el-GR" w:eastAsia="el-GR" w:bidi="el-GR"/>
        </w:rPr>
        <w:t>% το προηγούμενο τρίμηνο.</w:t>
      </w:r>
    </w:p>
    <w:p w:rsidR="00FA7E3A" w:rsidRDefault="00FA7E3A" w:rsidP="004929D8">
      <w:pPr>
        <w:autoSpaceDE w:val="0"/>
        <w:autoSpaceDN w:val="0"/>
        <w:adjustRightInd w:val="0"/>
        <w:spacing w:after="160" w:line="320" w:lineRule="atLeast"/>
        <w:jc w:val="both"/>
        <w:rPr>
          <w:rFonts w:ascii="Segoe UI" w:hAnsi="Segoe UI" w:cs="Segoe UI"/>
          <w:sz w:val="20"/>
          <w:highlight w:val="yellow"/>
          <w:lang w:val="el-GR" w:eastAsia="el-GR" w:bidi="el-GR"/>
        </w:rPr>
      </w:pPr>
    </w:p>
    <w:p w:rsidR="00355775" w:rsidRDefault="00355775" w:rsidP="004929D8">
      <w:pPr>
        <w:autoSpaceDE w:val="0"/>
        <w:autoSpaceDN w:val="0"/>
        <w:adjustRightInd w:val="0"/>
        <w:spacing w:after="160" w:line="320" w:lineRule="atLeast"/>
        <w:jc w:val="both"/>
        <w:rPr>
          <w:rFonts w:ascii="Segoe UI" w:hAnsi="Segoe UI" w:cs="Segoe UI"/>
          <w:sz w:val="20"/>
          <w:highlight w:val="yellow"/>
          <w:lang w:val="el-GR" w:eastAsia="el-GR" w:bidi="el-GR"/>
        </w:rPr>
      </w:pPr>
    </w:p>
    <w:p w:rsidR="00F12FEC" w:rsidRPr="00A6792B" w:rsidRDefault="00F12FEC" w:rsidP="004929D8">
      <w:pPr>
        <w:autoSpaceDE w:val="0"/>
        <w:autoSpaceDN w:val="0"/>
        <w:adjustRightInd w:val="0"/>
        <w:spacing w:after="160" w:line="320" w:lineRule="atLeast"/>
        <w:jc w:val="both"/>
        <w:rPr>
          <w:rFonts w:ascii="Segoe UI" w:hAnsi="Segoe UI" w:cs="Segoe UI"/>
          <w:sz w:val="20"/>
          <w:highlight w:val="yellow"/>
          <w:lang w:val="el-GR" w:eastAsia="el-GR" w:bidi="el-GR"/>
        </w:rPr>
      </w:pPr>
    </w:p>
    <w:p w:rsidR="00216B02" w:rsidRPr="00A6792B" w:rsidRDefault="00216B02" w:rsidP="004929D8">
      <w:pPr>
        <w:autoSpaceDE w:val="0"/>
        <w:autoSpaceDN w:val="0"/>
        <w:adjustRightInd w:val="0"/>
        <w:spacing w:after="160" w:line="320" w:lineRule="atLeast"/>
        <w:jc w:val="both"/>
        <w:rPr>
          <w:rFonts w:ascii="Segoe UI" w:hAnsi="Segoe UI" w:cs="Segoe UI"/>
          <w:b/>
          <w:sz w:val="20"/>
          <w:lang w:val="el-GR" w:eastAsia="el-GR" w:bidi="el-GR"/>
        </w:rPr>
      </w:pPr>
      <w:r w:rsidRPr="00A6792B">
        <w:rPr>
          <w:rFonts w:ascii="Segoe UI" w:hAnsi="Segoe UI" w:cs="Segoe UI"/>
          <w:b/>
          <w:sz w:val="20"/>
          <w:lang w:val="el-GR" w:eastAsia="el-GR" w:bidi="el-GR"/>
        </w:rPr>
        <w:lastRenderedPageBreak/>
        <w:t>Ενισχυμένη ρευστότητα σε σχέση με τον ανταγωνισμό</w:t>
      </w:r>
      <w:r w:rsidR="00F12FEC" w:rsidRPr="00A6792B">
        <w:rPr>
          <w:rStyle w:val="a9"/>
          <w:rFonts w:ascii="Segoe UI" w:hAnsi="Segoe UI" w:cs="Segoe UI"/>
          <w:sz w:val="20"/>
          <w:lang w:val="el-GR" w:eastAsia="el-GR" w:bidi="el-GR"/>
        </w:rPr>
        <w:footnoteReference w:id="4"/>
      </w:r>
      <w:r w:rsidR="00F12FEC" w:rsidRPr="00A6792B">
        <w:rPr>
          <w:rFonts w:ascii="Segoe UI" w:hAnsi="Segoe UI" w:cs="Segoe UI"/>
          <w:sz w:val="20"/>
          <w:lang w:val="el-GR" w:eastAsia="el-GR" w:bidi="el-GR"/>
        </w:rPr>
        <w:t xml:space="preserve"> </w:t>
      </w:r>
      <w:r w:rsidR="00F12FEC" w:rsidRPr="00F12FEC">
        <w:rPr>
          <w:rFonts w:ascii="Segoe UI" w:hAnsi="Segoe UI" w:cs="Segoe UI"/>
          <w:b/>
          <w:sz w:val="20"/>
          <w:vertAlign w:val="superscript"/>
          <w:lang w:val="el-GR" w:eastAsia="el-GR" w:bidi="el-GR"/>
        </w:rPr>
        <w:t xml:space="preserve">  </w:t>
      </w:r>
    </w:p>
    <w:p w:rsidR="00216B02" w:rsidRPr="00A6792B" w:rsidRDefault="00BD4A97"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Ο</w:t>
      </w:r>
      <w:r w:rsidR="00216B02" w:rsidRPr="00A6792B">
        <w:rPr>
          <w:rFonts w:ascii="Segoe UI" w:hAnsi="Segoe UI" w:cs="Segoe UI"/>
          <w:sz w:val="20"/>
          <w:lang w:val="el-GR" w:eastAsia="el-GR" w:bidi="el-GR"/>
        </w:rPr>
        <w:t>ι καταθέσεις του Ομίλου</w:t>
      </w:r>
      <w:r w:rsidR="00C31288" w:rsidRPr="00A6792B">
        <w:rPr>
          <w:rFonts w:ascii="Segoe UI" w:hAnsi="Segoe UI" w:cs="Segoe UI"/>
          <w:sz w:val="20"/>
          <w:vertAlign w:val="superscript"/>
          <w:lang w:val="el-GR" w:eastAsia="el-GR" w:bidi="el-GR"/>
        </w:rPr>
        <w:t xml:space="preserve"> </w:t>
      </w:r>
      <w:r w:rsidR="0038121C">
        <w:rPr>
          <w:rFonts w:ascii="Segoe UI" w:hAnsi="Segoe UI" w:cs="Segoe UI"/>
          <w:sz w:val="20"/>
          <w:lang w:val="el-GR" w:eastAsia="el-GR" w:bidi="el-GR"/>
        </w:rPr>
        <w:t xml:space="preserve">αυξήθηκαν κατά </w:t>
      </w:r>
      <w:r w:rsidR="007A25C4">
        <w:rPr>
          <w:rFonts w:ascii="Segoe UI" w:hAnsi="Segoe UI" w:cs="Segoe UI"/>
          <w:sz w:val="20"/>
          <w:lang w:val="el-GR" w:eastAsia="el-GR" w:bidi="el-GR"/>
        </w:rPr>
        <w:t>2,2</w:t>
      </w:r>
      <w:r w:rsidR="0038121C">
        <w:rPr>
          <w:rFonts w:ascii="Segoe UI" w:hAnsi="Segoe UI" w:cs="Segoe UI"/>
          <w:sz w:val="20"/>
          <w:lang w:val="el-GR" w:eastAsia="el-GR" w:bidi="el-GR"/>
        </w:rPr>
        <w:t xml:space="preserve">% σε σχέση με το </w:t>
      </w:r>
      <w:r w:rsidR="0029132B">
        <w:rPr>
          <w:rFonts w:ascii="Segoe UI" w:hAnsi="Segoe UI" w:cs="Segoe UI"/>
          <w:sz w:val="20"/>
          <w:lang w:val="el-GR" w:eastAsia="el-GR" w:bidi="el-GR"/>
        </w:rPr>
        <w:t xml:space="preserve">προηγούμενο </w:t>
      </w:r>
      <w:r w:rsidR="005A6B79" w:rsidRPr="00A6792B">
        <w:rPr>
          <w:rFonts w:ascii="Segoe UI" w:hAnsi="Segoe UI" w:cs="Segoe UI"/>
          <w:sz w:val="20"/>
          <w:lang w:val="el-GR" w:eastAsia="el-GR" w:bidi="el-GR"/>
        </w:rPr>
        <w:t>τρίμηνο</w:t>
      </w:r>
      <w:r w:rsidR="008711D4">
        <w:rPr>
          <w:rFonts w:ascii="Segoe UI" w:hAnsi="Segoe UI" w:cs="Segoe UI"/>
          <w:sz w:val="20"/>
          <w:lang w:val="el-GR" w:eastAsia="el-GR" w:bidi="el-GR"/>
        </w:rPr>
        <w:t>, ανερχόμενες</w:t>
      </w:r>
      <w:r w:rsidR="005A6B79" w:rsidRPr="00A6792B">
        <w:rPr>
          <w:rFonts w:ascii="Segoe UI" w:hAnsi="Segoe UI" w:cs="Segoe UI"/>
          <w:sz w:val="20"/>
          <w:lang w:val="el-GR" w:eastAsia="el-GR" w:bidi="el-GR"/>
        </w:rPr>
        <w:t xml:space="preserve"> σε €</w:t>
      </w:r>
      <w:r w:rsidR="007A25C4">
        <w:rPr>
          <w:rFonts w:ascii="Segoe UI" w:hAnsi="Segoe UI" w:cs="Segoe UI"/>
          <w:sz w:val="20"/>
          <w:lang w:val="el-GR" w:eastAsia="el-GR" w:bidi="el-GR"/>
        </w:rPr>
        <w:t>40,5</w:t>
      </w:r>
      <w:r w:rsidR="00216B02" w:rsidRPr="00A6792B">
        <w:rPr>
          <w:rFonts w:ascii="Segoe UI" w:hAnsi="Segoe UI" w:cs="Segoe UI"/>
          <w:sz w:val="20"/>
          <w:lang w:val="el-GR" w:eastAsia="el-GR" w:bidi="el-GR"/>
        </w:rPr>
        <w:t xml:space="preserve"> δι</w:t>
      </w:r>
      <w:r w:rsidR="007C5802" w:rsidRPr="00A6792B">
        <w:rPr>
          <w:rFonts w:ascii="Segoe UI" w:hAnsi="Segoe UI" w:cs="Segoe UI"/>
          <w:sz w:val="20"/>
          <w:lang w:val="el-GR" w:eastAsia="el-GR" w:bidi="el-GR"/>
        </w:rPr>
        <w:t>σ</w:t>
      </w:r>
      <w:r w:rsidR="00C31288" w:rsidRPr="00A6792B">
        <w:rPr>
          <w:rFonts w:ascii="Segoe UI" w:hAnsi="Segoe UI" w:cs="Segoe UI"/>
          <w:sz w:val="20"/>
          <w:lang w:val="el-GR" w:eastAsia="el-GR" w:bidi="el-GR"/>
        </w:rPr>
        <w:t>.</w:t>
      </w:r>
      <w:r w:rsidR="0029132B" w:rsidRPr="0029132B">
        <w:rPr>
          <w:lang w:val="el-GR"/>
        </w:rPr>
        <w:t xml:space="preserve"> </w:t>
      </w:r>
      <w:r w:rsidR="0029132B" w:rsidRPr="0029132B">
        <w:rPr>
          <w:rFonts w:ascii="Segoe UI" w:hAnsi="Segoe UI" w:cs="Segoe UI"/>
          <w:sz w:val="20"/>
          <w:lang w:val="el-GR" w:eastAsia="el-GR" w:bidi="el-GR"/>
        </w:rPr>
        <w:t xml:space="preserve">το </w:t>
      </w:r>
      <w:r w:rsidR="007A25C4">
        <w:rPr>
          <w:rFonts w:ascii="Segoe UI" w:hAnsi="Segoe UI" w:cs="Segoe UI"/>
          <w:sz w:val="20"/>
          <w:lang w:val="el-GR" w:eastAsia="el-GR" w:bidi="el-GR"/>
        </w:rPr>
        <w:t>Δ</w:t>
      </w:r>
      <w:r w:rsidR="0029132B" w:rsidRPr="0029132B">
        <w:rPr>
          <w:rFonts w:ascii="Segoe UI" w:hAnsi="Segoe UI" w:cs="Segoe UI"/>
          <w:sz w:val="20"/>
          <w:lang w:val="el-GR" w:eastAsia="el-GR" w:bidi="el-GR"/>
        </w:rPr>
        <w:t xml:space="preserve">’ τρίμηνο </w:t>
      </w:r>
      <w:r w:rsidR="0040068E">
        <w:rPr>
          <w:rFonts w:ascii="Segoe UI" w:hAnsi="Segoe UI" w:cs="Segoe UI"/>
          <w:sz w:val="20"/>
          <w:lang w:val="el-GR" w:eastAsia="el-GR" w:bidi="el-GR"/>
        </w:rPr>
        <w:t>του 2016</w:t>
      </w:r>
      <w:r w:rsidRPr="00A6792B">
        <w:rPr>
          <w:rFonts w:ascii="Segoe UI" w:hAnsi="Segoe UI" w:cs="Segoe UI"/>
          <w:sz w:val="20"/>
          <w:lang w:val="el-GR" w:eastAsia="el-GR" w:bidi="el-GR"/>
        </w:rPr>
        <w:t xml:space="preserve">, </w:t>
      </w:r>
      <w:r w:rsidR="00254D75">
        <w:rPr>
          <w:rFonts w:ascii="Segoe UI" w:hAnsi="Segoe UI" w:cs="Segoe UI"/>
          <w:sz w:val="20"/>
          <w:lang w:val="el-GR" w:eastAsia="el-GR" w:bidi="el-GR"/>
        </w:rPr>
        <w:t>αντανακλώντας</w:t>
      </w:r>
      <w:r w:rsidRPr="00A6792B">
        <w:rPr>
          <w:rFonts w:ascii="Segoe UI" w:hAnsi="Segoe UI" w:cs="Segoe UI"/>
          <w:sz w:val="20"/>
          <w:lang w:val="el-GR" w:eastAsia="el-GR" w:bidi="el-GR"/>
        </w:rPr>
        <w:t xml:space="preserve"> </w:t>
      </w:r>
      <w:r w:rsidR="0038121C">
        <w:rPr>
          <w:rFonts w:ascii="Segoe UI" w:hAnsi="Segoe UI" w:cs="Segoe UI"/>
          <w:sz w:val="20"/>
          <w:lang w:val="el-GR" w:eastAsia="el-GR" w:bidi="el-GR"/>
        </w:rPr>
        <w:t xml:space="preserve">τις εισροές </w:t>
      </w:r>
      <w:r w:rsidR="00BA557F">
        <w:rPr>
          <w:rFonts w:ascii="Segoe UI" w:hAnsi="Segoe UI" w:cs="Segoe UI"/>
          <w:sz w:val="20"/>
          <w:lang w:val="el-GR" w:eastAsia="el-GR" w:bidi="el-GR"/>
        </w:rPr>
        <w:t xml:space="preserve">καταθέσεων </w:t>
      </w:r>
      <w:r w:rsidR="0038121C">
        <w:rPr>
          <w:rFonts w:ascii="Segoe UI" w:hAnsi="Segoe UI" w:cs="Segoe UI"/>
          <w:sz w:val="20"/>
          <w:lang w:val="el-GR" w:eastAsia="el-GR" w:bidi="el-GR"/>
        </w:rPr>
        <w:t xml:space="preserve">ύψους </w:t>
      </w:r>
      <w:r w:rsidR="0029132B">
        <w:rPr>
          <w:rFonts w:ascii="Segoe UI" w:hAnsi="Segoe UI" w:cs="Segoe UI"/>
          <w:sz w:val="20"/>
          <w:lang w:val="el-GR" w:eastAsia="el-GR" w:bidi="el-GR"/>
        </w:rPr>
        <w:t>€0,</w:t>
      </w:r>
      <w:r w:rsidR="007A25C4">
        <w:rPr>
          <w:rFonts w:ascii="Segoe UI" w:hAnsi="Segoe UI" w:cs="Segoe UI"/>
          <w:sz w:val="20"/>
          <w:lang w:val="el-GR" w:eastAsia="el-GR" w:bidi="el-GR"/>
        </w:rPr>
        <w:t>9</w:t>
      </w:r>
      <w:r w:rsidR="0029132B">
        <w:rPr>
          <w:rFonts w:ascii="Segoe UI" w:hAnsi="Segoe UI" w:cs="Segoe UI"/>
          <w:sz w:val="20"/>
          <w:lang w:val="el-GR" w:eastAsia="el-GR" w:bidi="el-GR"/>
        </w:rPr>
        <w:t xml:space="preserve"> δισ. </w:t>
      </w:r>
      <w:r w:rsidRPr="00A6792B">
        <w:rPr>
          <w:rFonts w:ascii="Segoe UI" w:hAnsi="Segoe UI" w:cs="Segoe UI"/>
          <w:sz w:val="20"/>
          <w:lang w:val="el-GR" w:eastAsia="el-GR" w:bidi="el-GR"/>
        </w:rPr>
        <w:t xml:space="preserve">στην Ελλάδα. </w:t>
      </w:r>
      <w:r w:rsidR="0029132B">
        <w:rPr>
          <w:rFonts w:ascii="Segoe UI" w:hAnsi="Segoe UI" w:cs="Segoe UI"/>
          <w:sz w:val="20"/>
          <w:lang w:val="el-GR" w:eastAsia="el-GR" w:bidi="el-GR"/>
        </w:rPr>
        <w:t xml:space="preserve">Οι </w:t>
      </w:r>
      <w:r w:rsidR="005A6B79" w:rsidRPr="00A6792B">
        <w:rPr>
          <w:rFonts w:ascii="Segoe UI" w:hAnsi="Segoe UI" w:cs="Segoe UI"/>
          <w:sz w:val="20"/>
          <w:lang w:val="el-GR" w:eastAsia="el-GR" w:bidi="el-GR"/>
        </w:rPr>
        <w:t xml:space="preserve">καταθέσεις στη </w:t>
      </w:r>
      <w:r w:rsidR="00822FE9">
        <w:rPr>
          <w:rFonts w:ascii="Segoe UI" w:hAnsi="Segoe UI" w:cs="Segoe UI"/>
          <w:sz w:val="20"/>
          <w:lang w:val="el-GR" w:eastAsia="el-GR" w:bidi="el-GR"/>
        </w:rPr>
        <w:t>Ν.Α. Ευρώπη</w:t>
      </w:r>
      <w:r w:rsidR="00F12FEC" w:rsidRPr="00A6792B">
        <w:rPr>
          <w:rStyle w:val="a9"/>
          <w:rFonts w:ascii="Segoe UI" w:hAnsi="Segoe UI" w:cs="Segoe UI"/>
          <w:sz w:val="20"/>
          <w:lang w:val="el-GR" w:eastAsia="el-GR" w:bidi="el-GR"/>
        </w:rPr>
        <w:footnoteReference w:id="5"/>
      </w:r>
      <w:r w:rsidR="00F12FEC" w:rsidRPr="00A6792B">
        <w:rPr>
          <w:rFonts w:ascii="Segoe UI" w:hAnsi="Segoe UI" w:cs="Segoe UI"/>
          <w:sz w:val="20"/>
          <w:lang w:val="el-GR" w:eastAsia="el-GR" w:bidi="el-GR"/>
        </w:rPr>
        <w:t xml:space="preserve"> </w:t>
      </w:r>
      <w:r w:rsidR="00822FE9">
        <w:rPr>
          <w:rFonts w:ascii="Segoe UI" w:hAnsi="Segoe UI" w:cs="Segoe UI"/>
          <w:sz w:val="20"/>
          <w:lang w:val="el-GR" w:eastAsia="el-GR" w:bidi="el-GR"/>
        </w:rPr>
        <w:t>μειώθηκαν</w:t>
      </w:r>
      <w:r w:rsidR="00F95E4C">
        <w:rPr>
          <w:rFonts w:ascii="Segoe UI" w:hAnsi="Segoe UI" w:cs="Segoe UI"/>
          <w:sz w:val="20"/>
          <w:lang w:val="el-GR" w:eastAsia="el-GR" w:bidi="el-GR"/>
        </w:rPr>
        <w:t xml:space="preserve"> κατά </w:t>
      </w:r>
      <w:r w:rsidR="007A25C4">
        <w:rPr>
          <w:rFonts w:ascii="Segoe UI" w:hAnsi="Segoe UI" w:cs="Segoe UI"/>
          <w:sz w:val="20"/>
          <w:lang w:val="el-GR" w:eastAsia="el-GR" w:bidi="el-GR"/>
        </w:rPr>
        <w:t>0,7</w:t>
      </w:r>
      <w:r w:rsidR="006A5490" w:rsidRPr="00A6792B">
        <w:rPr>
          <w:rFonts w:ascii="Segoe UI" w:hAnsi="Segoe UI" w:cs="Segoe UI"/>
          <w:sz w:val="20"/>
          <w:lang w:val="el-GR" w:eastAsia="el-GR" w:bidi="el-GR"/>
        </w:rPr>
        <w:t>% σε σ</w:t>
      </w:r>
      <w:r w:rsidR="008711D4">
        <w:rPr>
          <w:rFonts w:ascii="Segoe UI" w:hAnsi="Segoe UI" w:cs="Segoe UI"/>
          <w:sz w:val="20"/>
          <w:lang w:val="el-GR" w:eastAsia="el-GR" w:bidi="el-GR"/>
        </w:rPr>
        <w:t xml:space="preserve">χέση με το προηγούμενο τρίμηνο και διαμορφώθηκαν σε </w:t>
      </w:r>
      <w:r w:rsidR="005A6B79" w:rsidRPr="00A6792B">
        <w:rPr>
          <w:rFonts w:ascii="Segoe UI" w:hAnsi="Segoe UI" w:cs="Segoe UI"/>
          <w:sz w:val="20"/>
          <w:lang w:val="el-GR" w:eastAsia="el-GR" w:bidi="el-GR"/>
        </w:rPr>
        <w:t>€</w:t>
      </w:r>
      <w:r w:rsidR="007A25C4">
        <w:rPr>
          <w:rFonts w:ascii="Segoe UI" w:hAnsi="Segoe UI" w:cs="Segoe UI"/>
          <w:sz w:val="20"/>
          <w:lang w:val="el-GR" w:eastAsia="el-GR" w:bidi="el-GR"/>
        </w:rPr>
        <w:t>3</w:t>
      </w:r>
      <w:r w:rsidR="005A6B79" w:rsidRPr="00A6792B">
        <w:rPr>
          <w:rFonts w:ascii="Segoe UI" w:hAnsi="Segoe UI" w:cs="Segoe UI"/>
          <w:sz w:val="20"/>
          <w:lang w:val="el-GR" w:eastAsia="el-GR" w:bidi="el-GR"/>
        </w:rPr>
        <w:t>,</w:t>
      </w:r>
      <w:r w:rsidR="0029132B">
        <w:rPr>
          <w:rFonts w:ascii="Segoe UI" w:hAnsi="Segoe UI" w:cs="Segoe UI"/>
          <w:sz w:val="20"/>
          <w:lang w:val="el-GR" w:eastAsia="el-GR" w:bidi="el-GR"/>
        </w:rPr>
        <w:t>6 δισ</w:t>
      </w:r>
      <w:r w:rsidR="00A8549C" w:rsidRPr="00A6792B">
        <w:rPr>
          <w:rFonts w:ascii="Segoe UI" w:hAnsi="Segoe UI" w:cs="Segoe UI"/>
          <w:sz w:val="20"/>
          <w:lang w:val="el-GR" w:eastAsia="el-GR" w:bidi="el-GR"/>
        </w:rPr>
        <w:t xml:space="preserve">. </w:t>
      </w:r>
    </w:p>
    <w:p w:rsidR="000B3191" w:rsidRPr="00A6792B" w:rsidRDefault="007A25C4" w:rsidP="004929D8">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Παρά την αποπληρωμή των υπό αίρεση μετατρέψιμων ομολογιών (</w:t>
      </w:r>
      <w:proofErr w:type="spellStart"/>
      <w:r>
        <w:rPr>
          <w:rFonts w:ascii="Segoe UI" w:hAnsi="Segoe UI" w:cs="Segoe UI"/>
          <w:sz w:val="20"/>
          <w:lang w:val="en-US" w:eastAsia="el-GR" w:bidi="el-GR"/>
        </w:rPr>
        <w:t>CoCos</w:t>
      </w:r>
      <w:proofErr w:type="spellEnd"/>
      <w:r>
        <w:rPr>
          <w:rFonts w:ascii="Segoe UI" w:hAnsi="Segoe UI" w:cs="Segoe UI"/>
          <w:sz w:val="20"/>
          <w:lang w:val="el-GR" w:eastAsia="el-GR" w:bidi="el-GR"/>
        </w:rPr>
        <w:t>),</w:t>
      </w:r>
      <w:r w:rsidRPr="007A25C4">
        <w:rPr>
          <w:rFonts w:ascii="Segoe UI" w:hAnsi="Segoe UI" w:cs="Segoe UI"/>
          <w:sz w:val="20"/>
          <w:lang w:val="el-GR" w:eastAsia="el-GR" w:bidi="el-GR"/>
        </w:rPr>
        <w:t xml:space="preserve"> </w:t>
      </w:r>
      <w:r w:rsidR="000B3191" w:rsidRPr="00A6792B">
        <w:rPr>
          <w:rFonts w:ascii="Segoe UI" w:hAnsi="Segoe UI" w:cs="Segoe UI"/>
          <w:sz w:val="20"/>
          <w:lang w:val="el-GR" w:eastAsia="el-GR" w:bidi="el-GR"/>
        </w:rPr>
        <w:t xml:space="preserve">η χρηματοδότηση από το </w:t>
      </w:r>
      <w:proofErr w:type="spellStart"/>
      <w:r w:rsidR="000B3191" w:rsidRPr="00A6792B">
        <w:rPr>
          <w:rFonts w:ascii="Segoe UI" w:hAnsi="Segoe UI" w:cs="Segoe UI"/>
          <w:sz w:val="20"/>
          <w:lang w:val="el-GR" w:eastAsia="el-GR" w:bidi="el-GR"/>
        </w:rPr>
        <w:t>Ευρωσύστημα</w:t>
      </w:r>
      <w:proofErr w:type="spellEnd"/>
      <w:r w:rsidR="000B3191" w:rsidRPr="00A6792B">
        <w:rPr>
          <w:rFonts w:ascii="Segoe UI" w:hAnsi="Segoe UI" w:cs="Segoe UI"/>
          <w:sz w:val="20"/>
          <w:lang w:val="el-GR" w:eastAsia="el-GR" w:bidi="el-GR"/>
        </w:rPr>
        <w:t xml:space="preserve"> μειώθηκε σε €</w:t>
      </w:r>
      <w:r w:rsidR="00186C6D">
        <w:rPr>
          <w:rFonts w:ascii="Segoe UI" w:hAnsi="Segoe UI" w:cs="Segoe UI"/>
          <w:sz w:val="20"/>
          <w:lang w:val="el-GR" w:eastAsia="el-GR" w:bidi="el-GR"/>
        </w:rPr>
        <w:t>10,4</w:t>
      </w:r>
      <w:r w:rsidR="00D767A2">
        <w:rPr>
          <w:rFonts w:ascii="Segoe UI" w:hAnsi="Segoe UI" w:cs="Segoe UI"/>
          <w:sz w:val="20"/>
          <w:lang w:val="el-GR" w:eastAsia="el-GR" w:bidi="el-GR"/>
        </w:rPr>
        <w:t xml:space="preserve"> δισ. το </w:t>
      </w:r>
      <w:r w:rsidR="00186C6D">
        <w:rPr>
          <w:rFonts w:ascii="Segoe UI" w:hAnsi="Segoe UI" w:cs="Segoe UI"/>
          <w:sz w:val="20"/>
          <w:lang w:val="el-GR" w:eastAsia="el-GR" w:bidi="el-GR"/>
        </w:rPr>
        <w:t>Μάρτιο</w:t>
      </w:r>
      <w:r w:rsidR="008046D7">
        <w:rPr>
          <w:rFonts w:ascii="Segoe UI" w:hAnsi="Segoe UI" w:cs="Segoe UI"/>
          <w:sz w:val="20"/>
          <w:lang w:val="el-GR" w:eastAsia="el-GR" w:bidi="el-GR"/>
        </w:rPr>
        <w:t xml:space="preserve"> του 2017</w:t>
      </w:r>
      <w:r w:rsidR="004929D8" w:rsidRPr="00A6792B">
        <w:rPr>
          <w:rStyle w:val="a9"/>
          <w:rFonts w:ascii="Segoe UI" w:hAnsi="Segoe UI" w:cs="Segoe UI"/>
          <w:sz w:val="20"/>
          <w:lang w:val="el-GR" w:eastAsia="el-GR" w:bidi="el-GR"/>
        </w:rPr>
        <w:footnoteReference w:id="6"/>
      </w:r>
      <w:r w:rsidR="000B3191" w:rsidRPr="00A6792B">
        <w:rPr>
          <w:rFonts w:ascii="Segoe UI" w:hAnsi="Segoe UI" w:cs="Segoe UI"/>
          <w:sz w:val="20"/>
          <w:lang w:val="el-GR" w:eastAsia="el-GR" w:bidi="el-GR"/>
        </w:rPr>
        <w:t xml:space="preserve"> από €</w:t>
      </w:r>
      <w:r>
        <w:rPr>
          <w:rFonts w:ascii="Segoe UI" w:hAnsi="Segoe UI" w:cs="Segoe UI"/>
          <w:sz w:val="20"/>
          <w:lang w:val="el-GR" w:eastAsia="el-GR" w:bidi="el-GR"/>
        </w:rPr>
        <w:t>24,0</w:t>
      </w:r>
      <w:r w:rsidR="000B3191" w:rsidRPr="00A6792B">
        <w:rPr>
          <w:rFonts w:ascii="Segoe UI" w:hAnsi="Segoe UI" w:cs="Segoe UI"/>
          <w:sz w:val="20"/>
          <w:lang w:val="el-GR" w:eastAsia="el-GR" w:bidi="el-GR"/>
        </w:rPr>
        <w:t xml:space="preserve"> δισ. στο τέλος του </w:t>
      </w:r>
      <w:r>
        <w:rPr>
          <w:rFonts w:ascii="Segoe UI" w:hAnsi="Segoe UI" w:cs="Segoe UI"/>
          <w:sz w:val="20"/>
          <w:lang w:val="el-GR" w:eastAsia="el-GR" w:bidi="el-GR"/>
        </w:rPr>
        <w:t>Δ</w:t>
      </w:r>
      <w:r w:rsidR="000B3191" w:rsidRPr="00A6792B">
        <w:rPr>
          <w:rFonts w:ascii="Segoe UI" w:hAnsi="Segoe UI" w:cs="Segoe UI"/>
          <w:sz w:val="20"/>
          <w:lang w:val="el-GR" w:eastAsia="el-GR" w:bidi="el-GR"/>
        </w:rPr>
        <w:t>΄ τριμήνου του 201</w:t>
      </w:r>
      <w:r>
        <w:rPr>
          <w:rFonts w:ascii="Segoe UI" w:hAnsi="Segoe UI" w:cs="Segoe UI"/>
          <w:sz w:val="20"/>
          <w:lang w:val="el-GR" w:eastAsia="el-GR" w:bidi="el-GR"/>
        </w:rPr>
        <w:t>5</w:t>
      </w:r>
      <w:r w:rsidR="00D767A2">
        <w:rPr>
          <w:rFonts w:ascii="Segoe UI" w:hAnsi="Segoe UI" w:cs="Segoe UI"/>
          <w:sz w:val="20"/>
          <w:lang w:val="el-GR" w:eastAsia="el-GR" w:bidi="el-GR"/>
        </w:rPr>
        <w:t xml:space="preserve">. Σημειώνεται ότι η </w:t>
      </w:r>
      <w:r w:rsidR="000B3191" w:rsidRPr="00A6792B">
        <w:rPr>
          <w:rFonts w:ascii="Segoe UI" w:hAnsi="Segoe UI" w:cs="Segoe UI"/>
          <w:sz w:val="20"/>
          <w:lang w:val="el-GR" w:eastAsia="el-GR" w:bidi="el-GR"/>
        </w:rPr>
        <w:t xml:space="preserve">έκθεση στο </w:t>
      </w:r>
      <w:r w:rsidR="009439D9">
        <w:rPr>
          <w:rFonts w:ascii="Segoe UI" w:hAnsi="Segoe UI" w:cs="Segoe UI"/>
          <w:sz w:val="20"/>
          <w:lang w:val="el-GR" w:eastAsia="el-GR" w:bidi="el-GR"/>
        </w:rPr>
        <w:t xml:space="preserve">μηχανισμό </w:t>
      </w:r>
      <w:r w:rsidR="000B3191" w:rsidRPr="00A6792B">
        <w:rPr>
          <w:rFonts w:ascii="Segoe UI" w:hAnsi="Segoe UI" w:cs="Segoe UI"/>
          <w:sz w:val="20"/>
          <w:lang w:val="el-GR" w:eastAsia="el-GR" w:bidi="el-GR"/>
        </w:rPr>
        <w:t xml:space="preserve">ΕLA </w:t>
      </w:r>
      <w:r w:rsidR="00D767A2">
        <w:rPr>
          <w:rFonts w:ascii="Segoe UI" w:hAnsi="Segoe UI" w:cs="Segoe UI"/>
          <w:sz w:val="20"/>
          <w:lang w:val="el-GR" w:eastAsia="el-GR" w:bidi="el-GR"/>
        </w:rPr>
        <w:t xml:space="preserve">έχει μειωθεί σε μόλις </w:t>
      </w:r>
      <w:r w:rsidR="00D767A2" w:rsidRPr="00D767A2">
        <w:rPr>
          <w:rFonts w:ascii="Segoe UI" w:hAnsi="Segoe UI" w:cs="Segoe UI"/>
          <w:sz w:val="20"/>
          <w:lang w:val="el-GR" w:eastAsia="el-GR" w:bidi="el-GR"/>
        </w:rPr>
        <w:t>€</w:t>
      </w:r>
      <w:r>
        <w:rPr>
          <w:rFonts w:ascii="Segoe UI" w:hAnsi="Segoe UI" w:cs="Segoe UI"/>
          <w:sz w:val="20"/>
          <w:lang w:val="el-GR" w:eastAsia="el-GR" w:bidi="el-GR"/>
        </w:rPr>
        <w:t>5,</w:t>
      </w:r>
      <w:r w:rsidR="00186C6D">
        <w:rPr>
          <w:rFonts w:ascii="Segoe UI" w:hAnsi="Segoe UI" w:cs="Segoe UI"/>
          <w:sz w:val="20"/>
          <w:lang w:val="el-GR" w:eastAsia="el-GR" w:bidi="el-GR"/>
        </w:rPr>
        <w:t>8</w:t>
      </w:r>
      <w:r w:rsidR="00D767A2" w:rsidRPr="00D767A2">
        <w:rPr>
          <w:rFonts w:ascii="Segoe UI" w:hAnsi="Segoe UI" w:cs="Segoe UI"/>
          <w:sz w:val="20"/>
          <w:lang w:val="el-GR" w:eastAsia="el-GR" w:bidi="el-GR"/>
        </w:rPr>
        <w:t xml:space="preserve"> δι</w:t>
      </w:r>
      <w:r w:rsidR="004E1D31">
        <w:rPr>
          <w:rFonts w:ascii="Segoe UI" w:hAnsi="Segoe UI" w:cs="Segoe UI"/>
          <w:sz w:val="20"/>
          <w:lang w:val="el-GR" w:eastAsia="el-GR" w:bidi="el-GR"/>
        </w:rPr>
        <w:t>σ.</w:t>
      </w:r>
      <w:r w:rsidR="00D767A2">
        <w:rPr>
          <w:rFonts w:ascii="Segoe UI" w:hAnsi="Segoe UI" w:cs="Segoe UI"/>
          <w:sz w:val="20"/>
          <w:lang w:val="el-GR" w:eastAsia="el-GR" w:bidi="el-GR"/>
        </w:rPr>
        <w:t xml:space="preserve"> από €</w:t>
      </w:r>
      <w:r>
        <w:rPr>
          <w:rFonts w:ascii="Segoe UI" w:hAnsi="Segoe UI" w:cs="Segoe UI"/>
          <w:sz w:val="20"/>
          <w:lang w:val="el-GR" w:eastAsia="el-GR" w:bidi="el-GR"/>
        </w:rPr>
        <w:t>11,5</w:t>
      </w:r>
      <w:r w:rsidR="00D767A2">
        <w:rPr>
          <w:rFonts w:ascii="Segoe UI" w:hAnsi="Segoe UI" w:cs="Segoe UI"/>
          <w:sz w:val="20"/>
          <w:lang w:val="el-GR" w:eastAsia="el-GR" w:bidi="el-GR"/>
        </w:rPr>
        <w:t xml:space="preserve"> δισ. το τέλος του </w:t>
      </w:r>
      <w:r>
        <w:rPr>
          <w:rFonts w:ascii="Segoe UI" w:hAnsi="Segoe UI" w:cs="Segoe UI"/>
          <w:sz w:val="20"/>
          <w:lang w:val="el-GR" w:eastAsia="el-GR" w:bidi="el-GR"/>
        </w:rPr>
        <w:t>Δ</w:t>
      </w:r>
      <w:r w:rsidR="00D767A2">
        <w:rPr>
          <w:rFonts w:ascii="Segoe UI" w:hAnsi="Segoe UI" w:cs="Segoe UI"/>
          <w:sz w:val="20"/>
          <w:lang w:val="el-GR" w:eastAsia="el-GR" w:bidi="el-GR"/>
        </w:rPr>
        <w:t>’ τριμήνου</w:t>
      </w:r>
      <w:r>
        <w:rPr>
          <w:rFonts w:ascii="Segoe UI" w:hAnsi="Segoe UI" w:cs="Segoe UI"/>
          <w:sz w:val="20"/>
          <w:lang w:val="el-GR" w:eastAsia="el-GR" w:bidi="el-GR"/>
        </w:rPr>
        <w:t xml:space="preserve"> του 2015</w:t>
      </w:r>
      <w:r w:rsidR="00D767A2" w:rsidRPr="00D767A2">
        <w:rPr>
          <w:rFonts w:ascii="Segoe UI" w:hAnsi="Segoe UI" w:cs="Segoe UI"/>
          <w:sz w:val="20"/>
          <w:lang w:val="el-GR" w:eastAsia="el-GR" w:bidi="el-GR"/>
        </w:rPr>
        <w:t xml:space="preserve">. Η </w:t>
      </w:r>
      <w:r w:rsidR="0002300D">
        <w:rPr>
          <w:rFonts w:ascii="Segoe UI" w:hAnsi="Segoe UI" w:cs="Segoe UI"/>
          <w:sz w:val="20"/>
          <w:lang w:val="el-GR" w:eastAsia="el-GR" w:bidi="el-GR"/>
        </w:rPr>
        <w:t xml:space="preserve">σημαντική μείωση της χρηματοδότησης μέσω του μηχανισμού </w:t>
      </w:r>
      <w:r w:rsidR="0002300D">
        <w:rPr>
          <w:rFonts w:ascii="Segoe UI" w:hAnsi="Segoe UI" w:cs="Segoe UI"/>
          <w:sz w:val="20"/>
          <w:lang w:val="en-US" w:eastAsia="el-GR" w:bidi="el-GR"/>
        </w:rPr>
        <w:t>ELA</w:t>
      </w:r>
      <w:r w:rsidR="0002300D" w:rsidRPr="0002300D">
        <w:rPr>
          <w:rFonts w:ascii="Segoe UI" w:hAnsi="Segoe UI" w:cs="Segoe UI"/>
          <w:sz w:val="20"/>
          <w:lang w:val="el-GR" w:eastAsia="el-GR" w:bidi="el-GR"/>
        </w:rPr>
        <w:t xml:space="preserve"> </w:t>
      </w:r>
      <w:r w:rsidR="0002300D">
        <w:rPr>
          <w:rFonts w:ascii="Segoe UI" w:hAnsi="Segoe UI" w:cs="Segoe UI"/>
          <w:sz w:val="20"/>
          <w:lang w:val="el-GR" w:eastAsia="el-GR" w:bidi="el-GR"/>
        </w:rPr>
        <w:t xml:space="preserve">αντανακλά την επιτυχή εφαρμογή του σχεδίου </w:t>
      </w:r>
      <w:r w:rsidR="009745BC">
        <w:rPr>
          <w:rFonts w:ascii="Segoe UI" w:hAnsi="Segoe UI" w:cs="Segoe UI"/>
          <w:sz w:val="20"/>
          <w:lang w:val="el-GR" w:eastAsia="el-GR" w:bidi="el-GR"/>
        </w:rPr>
        <w:t>αναδιάρθρωσης</w:t>
      </w:r>
      <w:r w:rsidR="0002300D">
        <w:rPr>
          <w:rFonts w:ascii="Segoe UI" w:hAnsi="Segoe UI" w:cs="Segoe UI"/>
          <w:sz w:val="20"/>
          <w:lang w:val="el-GR" w:eastAsia="el-GR" w:bidi="el-GR"/>
        </w:rPr>
        <w:t xml:space="preserve"> της Τράπεζας, την </w:t>
      </w:r>
      <w:r w:rsidR="0002300D" w:rsidRPr="0002300D">
        <w:rPr>
          <w:rFonts w:ascii="Segoe UI" w:hAnsi="Segoe UI" w:cs="Segoe UI"/>
          <w:sz w:val="20"/>
          <w:lang w:val="el-GR" w:eastAsia="el-GR" w:bidi="el-GR"/>
        </w:rPr>
        <w:t xml:space="preserve">επαναφορά της κατ' εξαίρεση αποδοχής ελληνικών ομολόγων και Εντόκων Γραμματίων του Ελληνικού </w:t>
      </w:r>
      <w:proofErr w:type="spellStart"/>
      <w:r w:rsidR="0002300D" w:rsidRPr="0002300D">
        <w:rPr>
          <w:rFonts w:ascii="Segoe UI" w:hAnsi="Segoe UI" w:cs="Segoe UI"/>
          <w:sz w:val="20"/>
          <w:lang w:val="el-GR" w:eastAsia="el-GR" w:bidi="el-GR"/>
        </w:rPr>
        <w:t>∆ημοσίου</w:t>
      </w:r>
      <w:proofErr w:type="spellEnd"/>
      <w:r w:rsidR="0002300D" w:rsidRPr="0002300D">
        <w:rPr>
          <w:rFonts w:ascii="Segoe UI" w:hAnsi="Segoe UI" w:cs="Segoe UI"/>
          <w:sz w:val="20"/>
          <w:lang w:val="el-GR" w:eastAsia="el-GR" w:bidi="el-GR"/>
        </w:rPr>
        <w:t xml:space="preserve"> ως αποδεκτών ενεχύρων στις πράξεις κύριας αναχρηματοδότησης από την </w:t>
      </w:r>
      <w:r w:rsidR="006D786A" w:rsidRPr="0002300D">
        <w:rPr>
          <w:rFonts w:ascii="Segoe UI" w:hAnsi="Segoe UI" w:cs="Segoe UI"/>
          <w:sz w:val="20"/>
          <w:lang w:val="el-GR" w:eastAsia="el-GR" w:bidi="el-GR"/>
        </w:rPr>
        <w:t>Ευρωπαϊκή Κεντρική Τράπεζα</w:t>
      </w:r>
      <w:r w:rsidR="006D786A">
        <w:rPr>
          <w:rFonts w:ascii="Segoe UI" w:hAnsi="Segoe UI" w:cs="Segoe UI"/>
          <w:sz w:val="20"/>
          <w:lang w:val="el-GR" w:eastAsia="el-GR" w:bidi="el-GR"/>
        </w:rPr>
        <w:t xml:space="preserve"> (</w:t>
      </w:r>
      <w:r w:rsidR="0002300D" w:rsidRPr="0002300D">
        <w:rPr>
          <w:rFonts w:ascii="Segoe UI" w:hAnsi="Segoe UI" w:cs="Segoe UI"/>
          <w:sz w:val="20"/>
          <w:lang w:val="el-GR" w:eastAsia="el-GR" w:bidi="el-GR"/>
        </w:rPr>
        <w:t>ΕΚΤ</w:t>
      </w:r>
      <w:r w:rsidR="006D786A">
        <w:rPr>
          <w:rFonts w:ascii="Segoe UI" w:hAnsi="Segoe UI" w:cs="Segoe UI"/>
          <w:sz w:val="20"/>
          <w:lang w:val="el-GR" w:eastAsia="el-GR" w:bidi="el-GR"/>
        </w:rPr>
        <w:t>)</w:t>
      </w:r>
      <w:r w:rsidR="0002300D">
        <w:rPr>
          <w:rFonts w:ascii="Segoe UI" w:hAnsi="Segoe UI" w:cs="Segoe UI"/>
          <w:sz w:val="20"/>
          <w:lang w:val="el-GR" w:eastAsia="el-GR" w:bidi="el-GR"/>
        </w:rPr>
        <w:t xml:space="preserve">, τη συνεχιζόμενη </w:t>
      </w:r>
      <w:proofErr w:type="spellStart"/>
      <w:r w:rsidR="0002300D">
        <w:rPr>
          <w:rFonts w:ascii="Segoe UI" w:hAnsi="Segoe UI" w:cs="Segoe UI"/>
          <w:sz w:val="20"/>
          <w:lang w:val="el-GR" w:eastAsia="el-GR" w:bidi="el-GR"/>
        </w:rPr>
        <w:t>απομόχλευση</w:t>
      </w:r>
      <w:proofErr w:type="spellEnd"/>
      <w:r w:rsidR="0002300D">
        <w:rPr>
          <w:rFonts w:ascii="Segoe UI" w:hAnsi="Segoe UI" w:cs="Segoe UI"/>
          <w:sz w:val="20"/>
          <w:lang w:val="el-GR" w:eastAsia="el-GR" w:bidi="el-GR"/>
        </w:rPr>
        <w:t xml:space="preserve"> δανείων, καθώς και τη μικρή αύξηση των καταθέσεων. Η </w:t>
      </w:r>
      <w:r w:rsidR="00D767A2" w:rsidRPr="00D767A2">
        <w:rPr>
          <w:rFonts w:ascii="Segoe UI" w:hAnsi="Segoe UI" w:cs="Segoe UI"/>
          <w:sz w:val="20"/>
          <w:lang w:val="el-GR" w:eastAsia="el-GR" w:bidi="el-GR"/>
        </w:rPr>
        <w:t>ΕΤΕ παραμένει η τράπεζα με τη χαμηλότερη εξάρτηση από τον έκ</w:t>
      </w:r>
      <w:r w:rsidR="00D767A2">
        <w:rPr>
          <w:rFonts w:ascii="Segoe UI" w:hAnsi="Segoe UI" w:cs="Segoe UI"/>
          <w:sz w:val="20"/>
          <w:lang w:val="el-GR" w:eastAsia="el-GR" w:bidi="el-GR"/>
        </w:rPr>
        <w:t>τακτο μηχανισμό ELA στην Ελλάδα</w:t>
      </w:r>
      <w:r w:rsidR="00F12FEC" w:rsidRPr="00F12FEC">
        <w:rPr>
          <w:rFonts w:ascii="Segoe UI" w:hAnsi="Segoe UI" w:cs="Segoe UI"/>
          <w:sz w:val="20"/>
          <w:vertAlign w:val="superscript"/>
          <w:lang w:val="el-GR" w:eastAsia="el-GR" w:bidi="el-GR"/>
        </w:rPr>
        <w:t>1</w:t>
      </w:r>
      <w:r w:rsidR="0040068E">
        <w:rPr>
          <w:rFonts w:ascii="Segoe UI" w:hAnsi="Segoe UI" w:cs="Segoe UI"/>
          <w:sz w:val="20"/>
          <w:lang w:val="el-GR" w:eastAsia="el-GR" w:bidi="el-GR"/>
        </w:rPr>
        <w:t xml:space="preserve">, με τη χρηματοδότηση μέσω </w:t>
      </w:r>
      <w:r w:rsidR="000B3191" w:rsidRPr="00A6792B">
        <w:rPr>
          <w:rFonts w:ascii="Segoe UI" w:hAnsi="Segoe UI" w:cs="Segoe UI"/>
          <w:sz w:val="20"/>
          <w:lang w:val="el-GR" w:eastAsia="el-GR" w:bidi="el-GR"/>
        </w:rPr>
        <w:t xml:space="preserve">ELA προς </w:t>
      </w:r>
      <w:r w:rsidR="00B72B68">
        <w:rPr>
          <w:rFonts w:ascii="Segoe UI" w:hAnsi="Segoe UI" w:cs="Segoe UI"/>
          <w:sz w:val="20"/>
          <w:lang w:val="el-GR" w:eastAsia="el-GR" w:bidi="el-GR"/>
        </w:rPr>
        <w:t>Ε</w:t>
      </w:r>
      <w:r w:rsidR="000B3191" w:rsidRPr="00A6792B">
        <w:rPr>
          <w:rFonts w:ascii="Segoe UI" w:hAnsi="Segoe UI" w:cs="Segoe UI"/>
          <w:sz w:val="20"/>
          <w:lang w:val="el-GR" w:eastAsia="el-GR" w:bidi="el-GR"/>
        </w:rPr>
        <w:t>νεργητικό</w:t>
      </w:r>
      <w:r w:rsidR="00B72B68">
        <w:rPr>
          <w:rFonts w:ascii="Segoe UI" w:hAnsi="Segoe UI" w:cs="Segoe UI"/>
          <w:sz w:val="20"/>
          <w:lang w:val="el-GR" w:eastAsia="el-GR" w:bidi="el-GR"/>
        </w:rPr>
        <w:t>,</w:t>
      </w:r>
      <w:r w:rsidR="000B3191" w:rsidRPr="00A6792B">
        <w:rPr>
          <w:rFonts w:ascii="Segoe UI" w:hAnsi="Segoe UI" w:cs="Segoe UI"/>
          <w:sz w:val="20"/>
          <w:lang w:val="el-GR" w:eastAsia="el-GR" w:bidi="el-GR"/>
        </w:rPr>
        <w:t xml:space="preserve"> εξαιρουμένων των ομολόγων </w:t>
      </w:r>
      <w:r w:rsidR="00002113">
        <w:rPr>
          <w:rFonts w:ascii="Segoe UI" w:hAnsi="Segoe UI" w:cs="Segoe UI"/>
          <w:sz w:val="20"/>
          <w:lang w:val="el-GR" w:eastAsia="el-GR" w:bidi="el-GR"/>
        </w:rPr>
        <w:t>ΕΤΧΣ</w:t>
      </w:r>
      <w:r w:rsidR="000B3191" w:rsidRPr="00A6792B">
        <w:rPr>
          <w:rFonts w:ascii="Segoe UI" w:hAnsi="Segoe UI" w:cs="Segoe UI"/>
          <w:sz w:val="20"/>
          <w:lang w:val="el-GR" w:eastAsia="el-GR" w:bidi="el-GR"/>
        </w:rPr>
        <w:t xml:space="preserve"> &amp; </w:t>
      </w:r>
      <w:r w:rsidR="000C6463" w:rsidRPr="000C6463">
        <w:rPr>
          <w:rFonts w:ascii="Segoe UI" w:hAnsi="Segoe UI" w:cs="Segoe UI"/>
          <w:sz w:val="20"/>
          <w:lang w:val="el-GR" w:eastAsia="el-GR" w:bidi="el-GR"/>
        </w:rPr>
        <w:t>Ευρωπαϊκ</w:t>
      </w:r>
      <w:r w:rsidR="000C6463">
        <w:rPr>
          <w:rFonts w:ascii="Segoe UI" w:hAnsi="Segoe UI" w:cs="Segoe UI"/>
          <w:sz w:val="20"/>
          <w:lang w:val="el-GR" w:eastAsia="el-GR" w:bidi="el-GR"/>
        </w:rPr>
        <w:t xml:space="preserve">ού </w:t>
      </w:r>
      <w:r w:rsidR="000C6463" w:rsidRPr="000C6463">
        <w:rPr>
          <w:rFonts w:ascii="Segoe UI" w:hAnsi="Segoe UI" w:cs="Segoe UI"/>
          <w:sz w:val="20"/>
          <w:lang w:val="el-GR" w:eastAsia="el-GR" w:bidi="el-GR"/>
        </w:rPr>
        <w:t>Μηχανισμ</w:t>
      </w:r>
      <w:r w:rsidR="000C6463">
        <w:rPr>
          <w:rFonts w:ascii="Segoe UI" w:hAnsi="Segoe UI" w:cs="Segoe UI"/>
          <w:sz w:val="20"/>
          <w:lang w:val="el-GR" w:eastAsia="el-GR" w:bidi="el-GR"/>
        </w:rPr>
        <w:t>ού</w:t>
      </w:r>
      <w:r w:rsidR="000C6463" w:rsidRPr="000C6463">
        <w:rPr>
          <w:rFonts w:ascii="Segoe UI" w:hAnsi="Segoe UI" w:cs="Segoe UI"/>
          <w:sz w:val="20"/>
          <w:lang w:val="el-GR" w:eastAsia="el-GR" w:bidi="el-GR"/>
        </w:rPr>
        <w:t xml:space="preserve"> Σταθερότητας </w:t>
      </w:r>
      <w:r w:rsidR="000C6463">
        <w:rPr>
          <w:rFonts w:ascii="Segoe UI" w:hAnsi="Segoe UI" w:cs="Segoe UI"/>
          <w:sz w:val="20"/>
          <w:lang w:val="el-GR" w:eastAsia="el-GR" w:bidi="el-GR"/>
        </w:rPr>
        <w:t>(ΕΜΣ)</w:t>
      </w:r>
      <w:r w:rsidR="00B72B68">
        <w:rPr>
          <w:rFonts w:ascii="Segoe UI" w:hAnsi="Segoe UI" w:cs="Segoe UI"/>
          <w:sz w:val="20"/>
          <w:lang w:val="el-GR" w:eastAsia="el-GR" w:bidi="el-GR"/>
        </w:rPr>
        <w:t>,</w:t>
      </w:r>
      <w:r w:rsidR="000B3191" w:rsidRPr="00A6792B">
        <w:rPr>
          <w:rFonts w:ascii="Segoe UI" w:hAnsi="Segoe UI" w:cs="Segoe UI"/>
          <w:sz w:val="20"/>
          <w:lang w:val="el-GR" w:eastAsia="el-GR" w:bidi="el-GR"/>
        </w:rPr>
        <w:t xml:space="preserve"> </w:t>
      </w:r>
      <w:r w:rsidR="0040068E">
        <w:rPr>
          <w:rFonts w:ascii="Segoe UI" w:hAnsi="Segoe UI" w:cs="Segoe UI"/>
          <w:sz w:val="20"/>
          <w:lang w:val="el-GR" w:eastAsia="el-GR" w:bidi="el-GR"/>
        </w:rPr>
        <w:t xml:space="preserve">να διαμορφώνεται σε </w:t>
      </w:r>
      <w:r w:rsidR="0002300D">
        <w:rPr>
          <w:rFonts w:ascii="Segoe UI" w:hAnsi="Segoe UI" w:cs="Segoe UI"/>
          <w:sz w:val="20"/>
          <w:lang w:val="el-GR" w:eastAsia="el-GR" w:bidi="el-GR"/>
        </w:rPr>
        <w:t>8</w:t>
      </w:r>
      <w:r w:rsidR="000B3191" w:rsidRPr="00A6792B">
        <w:rPr>
          <w:rFonts w:ascii="Segoe UI" w:hAnsi="Segoe UI" w:cs="Segoe UI"/>
          <w:sz w:val="20"/>
          <w:lang w:val="el-GR" w:eastAsia="el-GR" w:bidi="el-GR"/>
        </w:rPr>
        <w:t>%.</w:t>
      </w:r>
      <w:r w:rsidR="004223DC" w:rsidRPr="00A6792B">
        <w:rPr>
          <w:rFonts w:ascii="Segoe UI" w:hAnsi="Segoe UI" w:cs="Segoe UI"/>
          <w:sz w:val="20"/>
          <w:lang w:val="el-GR" w:eastAsia="el-GR" w:bidi="el-GR"/>
        </w:rPr>
        <w:t xml:space="preserve"> </w:t>
      </w:r>
      <w:r w:rsidR="007F185E" w:rsidRPr="00A6792B">
        <w:rPr>
          <w:rFonts w:ascii="Segoe UI" w:hAnsi="Segoe UI" w:cs="Segoe UI"/>
          <w:sz w:val="20"/>
          <w:lang w:val="el-GR" w:eastAsia="el-GR" w:bidi="el-GR"/>
        </w:rPr>
        <w:t xml:space="preserve">Η </w:t>
      </w:r>
      <w:r w:rsidR="00F20C41" w:rsidRPr="00F20C41">
        <w:rPr>
          <w:rFonts w:ascii="Segoe UI" w:hAnsi="Segoe UI" w:cs="Segoe UI"/>
          <w:sz w:val="20"/>
          <w:lang w:val="el-GR" w:eastAsia="el-GR" w:bidi="el-GR"/>
        </w:rPr>
        <w:t xml:space="preserve">Τράπεζα </w:t>
      </w:r>
      <w:r w:rsidR="007F185E" w:rsidRPr="00A6792B">
        <w:rPr>
          <w:rFonts w:ascii="Segoe UI" w:hAnsi="Segoe UI" w:cs="Segoe UI"/>
          <w:sz w:val="20"/>
          <w:lang w:val="el-GR" w:eastAsia="el-GR" w:bidi="el-GR"/>
        </w:rPr>
        <w:t xml:space="preserve">έχει δυνατότητα άντλησης επιπλέον ρευστότητας </w:t>
      </w:r>
      <w:r w:rsidR="00F20C41">
        <w:rPr>
          <w:rFonts w:ascii="Segoe UI" w:hAnsi="Segoe UI" w:cs="Segoe UI"/>
          <w:sz w:val="20"/>
          <w:lang w:val="el-GR" w:eastAsia="el-GR" w:bidi="el-GR"/>
        </w:rPr>
        <w:t xml:space="preserve">από το </w:t>
      </w:r>
      <w:r w:rsidR="0002300D">
        <w:rPr>
          <w:rFonts w:ascii="Segoe UI" w:hAnsi="Segoe UI" w:cs="Segoe UI"/>
          <w:sz w:val="20"/>
          <w:lang w:val="el-GR" w:eastAsia="el-GR" w:bidi="el-GR"/>
        </w:rPr>
        <w:t xml:space="preserve">μηχανισμό </w:t>
      </w:r>
      <w:r w:rsidR="0002300D">
        <w:rPr>
          <w:rFonts w:ascii="Segoe UI" w:hAnsi="Segoe UI" w:cs="Segoe UI"/>
          <w:sz w:val="20"/>
          <w:lang w:val="en-US" w:eastAsia="el-GR" w:bidi="el-GR"/>
        </w:rPr>
        <w:t>ELA</w:t>
      </w:r>
      <w:r w:rsidR="00F20C41">
        <w:rPr>
          <w:rFonts w:ascii="Segoe UI" w:hAnsi="Segoe UI" w:cs="Segoe UI"/>
          <w:sz w:val="20"/>
          <w:lang w:val="el-GR" w:eastAsia="el-GR" w:bidi="el-GR"/>
        </w:rPr>
        <w:t xml:space="preserve"> </w:t>
      </w:r>
      <w:r w:rsidR="007F185E" w:rsidRPr="00A6792B">
        <w:rPr>
          <w:rFonts w:ascii="Segoe UI" w:hAnsi="Segoe UI" w:cs="Segoe UI"/>
          <w:sz w:val="20"/>
          <w:lang w:val="el-GR" w:eastAsia="el-GR" w:bidi="el-GR"/>
        </w:rPr>
        <w:t>έως και €</w:t>
      </w:r>
      <w:r w:rsidR="0002300D">
        <w:rPr>
          <w:rFonts w:ascii="Segoe UI" w:hAnsi="Segoe UI" w:cs="Segoe UI"/>
          <w:sz w:val="20"/>
          <w:lang w:val="el-GR" w:eastAsia="el-GR" w:bidi="el-GR"/>
        </w:rPr>
        <w:t>8,</w:t>
      </w:r>
      <w:r w:rsidR="00186C6D">
        <w:rPr>
          <w:rFonts w:ascii="Segoe UI" w:hAnsi="Segoe UI" w:cs="Segoe UI"/>
          <w:sz w:val="20"/>
          <w:lang w:val="el-GR" w:eastAsia="el-GR" w:bidi="el-GR"/>
        </w:rPr>
        <w:t>1</w:t>
      </w:r>
      <w:r w:rsidR="007F185E" w:rsidRPr="00A6792B">
        <w:rPr>
          <w:rFonts w:ascii="Segoe UI" w:hAnsi="Segoe UI" w:cs="Segoe UI"/>
          <w:sz w:val="20"/>
          <w:lang w:val="el-GR" w:eastAsia="el-GR" w:bidi="el-GR"/>
        </w:rPr>
        <w:t xml:space="preserve"> δι</w:t>
      </w:r>
      <w:r w:rsidR="00BA557F">
        <w:rPr>
          <w:rFonts w:ascii="Segoe UI" w:hAnsi="Segoe UI" w:cs="Segoe UI"/>
          <w:sz w:val="20"/>
          <w:lang w:val="el-GR" w:eastAsia="el-GR" w:bidi="el-GR"/>
        </w:rPr>
        <w:t>σ.</w:t>
      </w:r>
      <w:r w:rsidR="00F12FEC">
        <w:rPr>
          <w:rFonts w:ascii="Segoe UI" w:hAnsi="Segoe UI" w:cs="Segoe UI"/>
          <w:sz w:val="20"/>
          <w:vertAlign w:val="superscript"/>
          <w:lang w:val="el-GR" w:eastAsia="el-GR" w:bidi="el-GR"/>
        </w:rPr>
        <w:t>3</w:t>
      </w:r>
    </w:p>
    <w:p w:rsidR="000B3191" w:rsidRPr="00A6792B" w:rsidRDefault="00C85913" w:rsidP="004929D8">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 xml:space="preserve">Με την εξάρτηση </w:t>
      </w:r>
      <w:r w:rsidR="00D767A2">
        <w:rPr>
          <w:rFonts w:ascii="Segoe UI" w:hAnsi="Segoe UI" w:cs="Segoe UI"/>
          <w:sz w:val="20"/>
          <w:lang w:val="el-GR" w:eastAsia="el-GR" w:bidi="el-GR"/>
        </w:rPr>
        <w:t xml:space="preserve">από το μηχανισμό </w:t>
      </w:r>
      <w:r w:rsidR="00D767A2">
        <w:rPr>
          <w:rFonts w:ascii="Segoe UI" w:hAnsi="Segoe UI" w:cs="Segoe UI"/>
          <w:sz w:val="20"/>
          <w:lang w:val="en-US" w:eastAsia="el-GR" w:bidi="el-GR"/>
        </w:rPr>
        <w:t>ELA</w:t>
      </w:r>
      <w:r w:rsidR="00D767A2" w:rsidRPr="00D767A2">
        <w:rPr>
          <w:rFonts w:ascii="Segoe UI" w:hAnsi="Segoe UI" w:cs="Segoe UI"/>
          <w:sz w:val="20"/>
          <w:lang w:val="el-GR" w:eastAsia="el-GR" w:bidi="el-GR"/>
        </w:rPr>
        <w:t xml:space="preserve"> </w:t>
      </w:r>
      <w:r w:rsidR="0020082C">
        <w:rPr>
          <w:rFonts w:ascii="Segoe UI" w:hAnsi="Segoe UI" w:cs="Segoe UI"/>
          <w:sz w:val="20"/>
          <w:lang w:val="el-GR" w:eastAsia="el-GR" w:bidi="el-GR"/>
        </w:rPr>
        <w:t xml:space="preserve">στα </w:t>
      </w:r>
      <w:r w:rsidR="00D767A2">
        <w:rPr>
          <w:rFonts w:ascii="Segoe UI" w:hAnsi="Segoe UI" w:cs="Segoe UI"/>
          <w:sz w:val="20"/>
          <w:lang w:val="el-GR" w:eastAsia="el-GR" w:bidi="el-GR"/>
        </w:rPr>
        <w:t>€5</w:t>
      </w:r>
      <w:r w:rsidR="0020082C">
        <w:rPr>
          <w:rFonts w:ascii="Segoe UI" w:hAnsi="Segoe UI" w:cs="Segoe UI"/>
          <w:sz w:val="20"/>
          <w:lang w:val="el-GR" w:eastAsia="el-GR" w:bidi="el-GR"/>
        </w:rPr>
        <w:t>,</w:t>
      </w:r>
      <w:r w:rsidR="00AF4BC0">
        <w:rPr>
          <w:rFonts w:ascii="Segoe UI" w:hAnsi="Segoe UI" w:cs="Segoe UI"/>
          <w:sz w:val="20"/>
          <w:lang w:val="el-GR" w:eastAsia="el-GR" w:bidi="el-GR"/>
        </w:rPr>
        <w:t>8</w:t>
      </w:r>
      <w:r w:rsidR="00D767A2">
        <w:rPr>
          <w:rFonts w:ascii="Segoe UI" w:hAnsi="Segoe UI" w:cs="Segoe UI"/>
          <w:sz w:val="20"/>
          <w:lang w:val="el-GR" w:eastAsia="el-GR" w:bidi="el-GR"/>
        </w:rPr>
        <w:t xml:space="preserve"> δι</w:t>
      </w:r>
      <w:r w:rsidR="007C127C">
        <w:rPr>
          <w:rFonts w:ascii="Segoe UI" w:hAnsi="Segoe UI" w:cs="Segoe UI"/>
          <w:sz w:val="20"/>
          <w:lang w:val="el-GR" w:eastAsia="el-GR" w:bidi="el-GR"/>
        </w:rPr>
        <w:t>σ</w:t>
      </w:r>
      <w:r w:rsidR="00D767A2">
        <w:rPr>
          <w:rFonts w:ascii="Segoe UI" w:hAnsi="Segoe UI" w:cs="Segoe UI"/>
          <w:sz w:val="20"/>
          <w:lang w:val="el-GR" w:eastAsia="el-GR" w:bidi="el-GR"/>
        </w:rPr>
        <w:t>., η</w:t>
      </w:r>
      <w:r w:rsidR="00541636" w:rsidRPr="00A6792B">
        <w:rPr>
          <w:rFonts w:ascii="Segoe UI" w:hAnsi="Segoe UI" w:cs="Segoe UI"/>
          <w:sz w:val="20"/>
          <w:lang w:val="el-GR" w:eastAsia="el-GR" w:bidi="el-GR"/>
        </w:rPr>
        <w:t xml:space="preserve"> ΕΤΕ διατηρεί </w:t>
      </w:r>
      <w:r w:rsidR="00D767A2">
        <w:rPr>
          <w:rFonts w:ascii="Segoe UI" w:hAnsi="Segoe UI" w:cs="Segoe UI"/>
          <w:sz w:val="20"/>
          <w:lang w:val="el-GR" w:eastAsia="el-GR" w:bidi="el-GR"/>
        </w:rPr>
        <w:t xml:space="preserve">ένα </w:t>
      </w:r>
      <w:r w:rsidR="00541636" w:rsidRPr="00A6792B">
        <w:rPr>
          <w:rFonts w:ascii="Segoe UI" w:hAnsi="Segoe UI" w:cs="Segoe UI"/>
          <w:sz w:val="20"/>
          <w:lang w:val="el-GR" w:eastAsia="el-GR" w:bidi="el-GR"/>
        </w:rPr>
        <w:t xml:space="preserve">μοναδικό χρηματοδοτικό πλεονέκτημα ενόψει της ανάκαμψης της εγχώριας οικονομίας. Επιπλέον, </w:t>
      </w:r>
      <w:r w:rsidR="00E027DF">
        <w:rPr>
          <w:rFonts w:ascii="Segoe UI" w:hAnsi="Segoe UI" w:cs="Segoe UI"/>
          <w:sz w:val="20"/>
          <w:lang w:val="el-GR" w:eastAsia="el-GR" w:bidi="el-GR"/>
        </w:rPr>
        <w:t>ως συνέπεια</w:t>
      </w:r>
      <w:r w:rsidR="00FE2186">
        <w:rPr>
          <w:rFonts w:ascii="Segoe UI" w:hAnsi="Segoe UI" w:cs="Segoe UI"/>
          <w:sz w:val="20"/>
          <w:lang w:val="el-GR" w:eastAsia="el-GR" w:bidi="el-GR"/>
        </w:rPr>
        <w:t xml:space="preserve"> τη</w:t>
      </w:r>
      <w:r w:rsidR="00E027DF">
        <w:rPr>
          <w:rFonts w:ascii="Segoe UI" w:hAnsi="Segoe UI" w:cs="Segoe UI"/>
          <w:sz w:val="20"/>
          <w:lang w:val="el-GR" w:eastAsia="el-GR" w:bidi="el-GR"/>
        </w:rPr>
        <w:t>ς</w:t>
      </w:r>
      <w:r w:rsidR="00FE2186">
        <w:rPr>
          <w:rFonts w:ascii="Segoe UI" w:hAnsi="Segoe UI" w:cs="Segoe UI"/>
          <w:sz w:val="20"/>
          <w:lang w:val="el-GR" w:eastAsia="el-GR" w:bidi="el-GR"/>
        </w:rPr>
        <w:t xml:space="preserve"> αύξηση</w:t>
      </w:r>
      <w:r w:rsidR="00E027DF">
        <w:rPr>
          <w:rFonts w:ascii="Segoe UI" w:hAnsi="Segoe UI" w:cs="Segoe UI"/>
          <w:sz w:val="20"/>
          <w:lang w:val="el-GR" w:eastAsia="el-GR" w:bidi="el-GR"/>
        </w:rPr>
        <w:t>ς</w:t>
      </w:r>
      <w:r w:rsidR="00FE2186">
        <w:rPr>
          <w:rFonts w:ascii="Segoe UI" w:hAnsi="Segoe UI" w:cs="Segoe UI"/>
          <w:sz w:val="20"/>
          <w:lang w:val="el-GR" w:eastAsia="el-GR" w:bidi="el-GR"/>
        </w:rPr>
        <w:t xml:space="preserve"> των </w:t>
      </w:r>
      <w:r w:rsidR="00D767A2">
        <w:rPr>
          <w:rFonts w:ascii="Segoe UI" w:hAnsi="Segoe UI" w:cs="Segoe UI"/>
          <w:sz w:val="20"/>
          <w:lang w:val="el-GR" w:eastAsia="el-GR" w:bidi="el-GR"/>
        </w:rPr>
        <w:t xml:space="preserve">καταθέσεων </w:t>
      </w:r>
      <w:r w:rsidR="00D368A4">
        <w:rPr>
          <w:rFonts w:ascii="Segoe UI" w:hAnsi="Segoe UI" w:cs="Segoe UI"/>
          <w:sz w:val="20"/>
          <w:lang w:val="el-GR" w:eastAsia="el-GR" w:bidi="el-GR"/>
        </w:rPr>
        <w:t xml:space="preserve">στην Ελλάδα </w:t>
      </w:r>
      <w:r w:rsidR="00D767A2">
        <w:rPr>
          <w:rFonts w:ascii="Segoe UI" w:hAnsi="Segoe UI" w:cs="Segoe UI"/>
          <w:sz w:val="20"/>
          <w:lang w:val="el-GR" w:eastAsia="el-GR" w:bidi="el-GR"/>
        </w:rPr>
        <w:t>και τη</w:t>
      </w:r>
      <w:r w:rsidR="00E027DF">
        <w:rPr>
          <w:rFonts w:ascii="Segoe UI" w:hAnsi="Segoe UI" w:cs="Segoe UI"/>
          <w:sz w:val="20"/>
          <w:lang w:val="el-GR" w:eastAsia="el-GR" w:bidi="el-GR"/>
        </w:rPr>
        <w:t>ς</w:t>
      </w:r>
      <w:r w:rsidR="00D767A2">
        <w:rPr>
          <w:rFonts w:ascii="Segoe UI" w:hAnsi="Segoe UI" w:cs="Segoe UI"/>
          <w:sz w:val="20"/>
          <w:lang w:val="el-GR" w:eastAsia="el-GR" w:bidi="el-GR"/>
        </w:rPr>
        <w:t xml:space="preserve"> </w:t>
      </w:r>
      <w:proofErr w:type="spellStart"/>
      <w:r w:rsidR="00D767A2">
        <w:rPr>
          <w:rFonts w:ascii="Segoe UI" w:hAnsi="Segoe UI" w:cs="Segoe UI"/>
          <w:sz w:val="20"/>
          <w:lang w:val="el-GR" w:eastAsia="el-GR" w:bidi="el-GR"/>
        </w:rPr>
        <w:t>απομόχλευση</w:t>
      </w:r>
      <w:r w:rsidR="00E027DF">
        <w:rPr>
          <w:rFonts w:ascii="Segoe UI" w:hAnsi="Segoe UI" w:cs="Segoe UI"/>
          <w:sz w:val="20"/>
          <w:lang w:val="el-GR" w:eastAsia="el-GR" w:bidi="el-GR"/>
        </w:rPr>
        <w:t>ς</w:t>
      </w:r>
      <w:proofErr w:type="spellEnd"/>
      <w:r w:rsidR="00D767A2">
        <w:rPr>
          <w:rFonts w:ascii="Segoe UI" w:hAnsi="Segoe UI" w:cs="Segoe UI"/>
          <w:sz w:val="20"/>
          <w:lang w:val="el-GR" w:eastAsia="el-GR" w:bidi="el-GR"/>
        </w:rPr>
        <w:t xml:space="preserve"> </w:t>
      </w:r>
      <w:r w:rsidR="00E027DF">
        <w:rPr>
          <w:rFonts w:ascii="Segoe UI" w:hAnsi="Segoe UI" w:cs="Segoe UI"/>
          <w:sz w:val="20"/>
          <w:lang w:val="el-GR" w:eastAsia="el-GR" w:bidi="el-GR"/>
        </w:rPr>
        <w:t xml:space="preserve">των </w:t>
      </w:r>
      <w:r w:rsidR="00D767A2">
        <w:rPr>
          <w:rFonts w:ascii="Segoe UI" w:hAnsi="Segoe UI" w:cs="Segoe UI"/>
          <w:sz w:val="20"/>
          <w:lang w:val="el-GR" w:eastAsia="el-GR" w:bidi="el-GR"/>
        </w:rPr>
        <w:t xml:space="preserve">δανείων, </w:t>
      </w:r>
      <w:r w:rsidR="00541636" w:rsidRPr="00A6792B">
        <w:rPr>
          <w:rFonts w:ascii="Segoe UI" w:hAnsi="Segoe UI" w:cs="Segoe UI"/>
          <w:sz w:val="20"/>
          <w:lang w:val="el-GR" w:eastAsia="el-GR" w:bidi="el-GR"/>
        </w:rPr>
        <w:t xml:space="preserve">ο δείκτης </w:t>
      </w:r>
      <w:r w:rsidR="008106E7">
        <w:rPr>
          <w:rFonts w:ascii="Segoe UI" w:hAnsi="Segoe UI" w:cs="Segoe UI"/>
          <w:sz w:val="20"/>
          <w:lang w:val="el-GR" w:eastAsia="el-GR" w:bidi="el-GR"/>
        </w:rPr>
        <w:t>Δ</w:t>
      </w:r>
      <w:r w:rsidR="00541636" w:rsidRPr="00A6792B">
        <w:rPr>
          <w:rFonts w:ascii="Segoe UI" w:hAnsi="Segoe UI" w:cs="Segoe UI"/>
          <w:sz w:val="20"/>
          <w:lang w:val="el-GR" w:eastAsia="el-GR" w:bidi="el-GR"/>
        </w:rPr>
        <w:t xml:space="preserve">ανείων προς </w:t>
      </w:r>
      <w:r w:rsidR="008106E7">
        <w:rPr>
          <w:rFonts w:ascii="Segoe UI" w:hAnsi="Segoe UI" w:cs="Segoe UI"/>
          <w:sz w:val="20"/>
          <w:lang w:val="el-GR" w:eastAsia="el-GR" w:bidi="el-GR"/>
        </w:rPr>
        <w:t>Κ</w:t>
      </w:r>
      <w:r w:rsidR="00541636" w:rsidRPr="00A6792B">
        <w:rPr>
          <w:rFonts w:ascii="Segoe UI" w:hAnsi="Segoe UI" w:cs="Segoe UI"/>
          <w:sz w:val="20"/>
          <w:lang w:val="el-GR" w:eastAsia="el-GR" w:bidi="el-GR"/>
        </w:rPr>
        <w:t xml:space="preserve">αταθέσεις </w:t>
      </w:r>
      <w:r w:rsidR="00FE2186">
        <w:rPr>
          <w:rFonts w:ascii="Segoe UI" w:hAnsi="Segoe UI" w:cs="Segoe UI"/>
          <w:sz w:val="20"/>
          <w:lang w:val="el-GR" w:eastAsia="el-GR" w:bidi="el-GR"/>
        </w:rPr>
        <w:t xml:space="preserve">μειώθηκε </w:t>
      </w:r>
      <w:r w:rsidR="000645FB">
        <w:rPr>
          <w:rFonts w:ascii="Segoe UI" w:hAnsi="Segoe UI" w:cs="Segoe UI"/>
          <w:sz w:val="20"/>
          <w:lang w:val="el-GR" w:eastAsia="el-GR" w:bidi="el-GR"/>
        </w:rPr>
        <w:t>περαιτέρω</w:t>
      </w:r>
      <w:r w:rsidR="003D5064">
        <w:rPr>
          <w:rFonts w:ascii="Segoe UI" w:hAnsi="Segoe UI" w:cs="Segoe UI"/>
          <w:sz w:val="20"/>
          <w:lang w:val="el-GR" w:eastAsia="el-GR" w:bidi="el-GR"/>
        </w:rPr>
        <w:t xml:space="preserve"> </w:t>
      </w:r>
      <w:r w:rsidR="00D767A2">
        <w:rPr>
          <w:rFonts w:ascii="Segoe UI" w:hAnsi="Segoe UI" w:cs="Segoe UI"/>
          <w:sz w:val="20"/>
          <w:lang w:val="el-GR" w:eastAsia="el-GR" w:bidi="el-GR"/>
        </w:rPr>
        <w:t xml:space="preserve">σε </w:t>
      </w:r>
      <w:r w:rsidR="00FE2186" w:rsidRPr="00FE2186">
        <w:rPr>
          <w:rFonts w:ascii="Segoe UI" w:hAnsi="Segoe UI" w:cs="Segoe UI"/>
          <w:sz w:val="20"/>
          <w:lang w:val="el-GR" w:eastAsia="el-GR" w:bidi="el-GR"/>
        </w:rPr>
        <w:t xml:space="preserve">86% </w:t>
      </w:r>
      <w:r w:rsidR="00541636" w:rsidRPr="00A6792B">
        <w:rPr>
          <w:rFonts w:ascii="Segoe UI" w:hAnsi="Segoe UI" w:cs="Segoe UI"/>
          <w:sz w:val="20"/>
          <w:lang w:val="el-GR" w:eastAsia="el-GR" w:bidi="el-GR"/>
        </w:rPr>
        <w:t xml:space="preserve">στην Ελλάδα και </w:t>
      </w:r>
      <w:r w:rsidR="00FE2186">
        <w:rPr>
          <w:rFonts w:ascii="Segoe UI" w:hAnsi="Segoe UI" w:cs="Segoe UI"/>
          <w:sz w:val="20"/>
          <w:lang w:val="el-GR" w:eastAsia="el-GR" w:bidi="el-GR"/>
        </w:rPr>
        <w:t>σε 88</w:t>
      </w:r>
      <w:r w:rsidR="00FE2186" w:rsidRPr="00A6792B">
        <w:rPr>
          <w:rFonts w:ascii="Segoe UI" w:hAnsi="Segoe UI" w:cs="Segoe UI"/>
          <w:sz w:val="20"/>
          <w:lang w:val="el-GR" w:eastAsia="el-GR" w:bidi="el-GR"/>
        </w:rPr>
        <w:t xml:space="preserve">% </w:t>
      </w:r>
      <w:r w:rsidR="00541636" w:rsidRPr="00A6792B">
        <w:rPr>
          <w:rFonts w:ascii="Segoe UI" w:hAnsi="Segoe UI" w:cs="Segoe UI"/>
          <w:sz w:val="20"/>
          <w:lang w:val="el-GR" w:eastAsia="el-GR" w:bidi="el-GR"/>
        </w:rPr>
        <w:t>σε επίπεδο Ομίλου, στα χαμηλότερα επίπεδα του ελληνικού τραπεζικού κλάδου</w:t>
      </w:r>
      <w:r w:rsidR="00F12FEC">
        <w:rPr>
          <w:rFonts w:ascii="Segoe UI" w:hAnsi="Segoe UI" w:cs="Segoe UI"/>
          <w:sz w:val="20"/>
          <w:vertAlign w:val="superscript"/>
          <w:lang w:val="el-GR" w:eastAsia="el-GR" w:bidi="el-GR"/>
        </w:rPr>
        <w:t>1</w:t>
      </w:r>
      <w:r w:rsidR="00541636" w:rsidRPr="00A6792B">
        <w:rPr>
          <w:rFonts w:ascii="Segoe UI" w:hAnsi="Segoe UI" w:cs="Segoe UI"/>
          <w:sz w:val="20"/>
          <w:lang w:val="el-GR" w:eastAsia="el-GR" w:bidi="el-GR"/>
        </w:rPr>
        <w:t>.</w:t>
      </w:r>
      <w:r w:rsidR="00FE2186">
        <w:rPr>
          <w:rFonts w:ascii="Segoe UI" w:hAnsi="Segoe UI" w:cs="Segoe UI"/>
          <w:sz w:val="20"/>
          <w:lang w:val="el-GR" w:eastAsia="el-GR" w:bidi="el-GR"/>
        </w:rPr>
        <w:t xml:space="preserve"> </w:t>
      </w:r>
    </w:p>
    <w:p w:rsidR="00E1084B" w:rsidRPr="0063006A" w:rsidRDefault="00E1084B" w:rsidP="004929D8">
      <w:pPr>
        <w:autoSpaceDE w:val="0"/>
        <w:autoSpaceDN w:val="0"/>
        <w:adjustRightInd w:val="0"/>
        <w:spacing w:after="160" w:line="320" w:lineRule="atLeast"/>
        <w:jc w:val="both"/>
        <w:rPr>
          <w:rFonts w:ascii="Segoe UI" w:hAnsi="Segoe UI" w:cs="Segoe UI"/>
          <w:b/>
          <w:sz w:val="30"/>
          <w:szCs w:val="30"/>
          <w:lang w:val="el-GR" w:eastAsia="el-GR" w:bidi="el-GR"/>
        </w:rPr>
      </w:pPr>
    </w:p>
    <w:p w:rsidR="00E1084B" w:rsidRPr="00A6792B" w:rsidRDefault="00E1084B" w:rsidP="004929D8">
      <w:pPr>
        <w:autoSpaceDE w:val="0"/>
        <w:autoSpaceDN w:val="0"/>
        <w:adjustRightInd w:val="0"/>
        <w:spacing w:after="160" w:line="320" w:lineRule="atLeast"/>
        <w:jc w:val="both"/>
        <w:rPr>
          <w:rFonts w:ascii="Segoe UI" w:hAnsi="Segoe UI" w:cs="Segoe UI"/>
          <w:b/>
          <w:sz w:val="20"/>
          <w:lang w:val="el-GR" w:eastAsia="el-GR" w:bidi="el-GR"/>
        </w:rPr>
      </w:pPr>
      <w:r w:rsidRPr="00A6792B">
        <w:rPr>
          <w:rFonts w:ascii="Segoe UI" w:hAnsi="Segoe UI" w:cs="Segoe UI"/>
          <w:b/>
          <w:sz w:val="20"/>
          <w:lang w:val="el-GR" w:eastAsia="el-GR" w:bidi="el-GR"/>
        </w:rPr>
        <w:t xml:space="preserve">Κεφαλαιακή επάρκεια </w:t>
      </w:r>
    </w:p>
    <w:p w:rsidR="00E1084B" w:rsidRPr="00A6792B" w:rsidRDefault="00E1084B"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 xml:space="preserve">Ο δείκτης </w:t>
      </w:r>
      <w:r w:rsidR="00EA51BD" w:rsidRPr="00EA51BD">
        <w:rPr>
          <w:rFonts w:ascii="Segoe UI" w:hAnsi="Segoe UI" w:cs="Segoe UI"/>
          <w:sz w:val="20"/>
          <w:lang w:val="el-GR" w:eastAsia="el-GR" w:bidi="el-GR"/>
        </w:rPr>
        <w:t xml:space="preserve">Κύριων Βασικών Ιδίων Κεφαλαίων </w:t>
      </w:r>
      <w:r w:rsidR="00EA51BD">
        <w:rPr>
          <w:rFonts w:ascii="Segoe UI" w:hAnsi="Segoe UI" w:cs="Segoe UI"/>
          <w:sz w:val="20"/>
          <w:lang w:val="el-GR" w:eastAsia="el-GR" w:bidi="el-GR"/>
        </w:rPr>
        <w:t>(</w:t>
      </w:r>
      <w:r w:rsidRPr="00A6792B">
        <w:rPr>
          <w:rFonts w:ascii="Segoe UI" w:hAnsi="Segoe UI" w:cs="Segoe UI"/>
          <w:sz w:val="20"/>
          <w:lang w:val="el-GR" w:eastAsia="el-GR" w:bidi="el-GR"/>
        </w:rPr>
        <w:t>CET1</w:t>
      </w:r>
      <w:r w:rsidR="00EA51BD">
        <w:rPr>
          <w:rFonts w:ascii="Segoe UI" w:hAnsi="Segoe UI" w:cs="Segoe UI"/>
          <w:sz w:val="20"/>
          <w:lang w:val="el-GR" w:eastAsia="el-GR" w:bidi="el-GR"/>
        </w:rPr>
        <w:t>)</w:t>
      </w:r>
      <w:r w:rsidRPr="00A6792B">
        <w:rPr>
          <w:rFonts w:ascii="Segoe UI" w:hAnsi="Segoe UI" w:cs="Segoe UI"/>
          <w:sz w:val="20"/>
          <w:lang w:val="el-GR" w:eastAsia="el-GR" w:bidi="el-GR"/>
        </w:rPr>
        <w:t xml:space="preserve"> </w:t>
      </w:r>
      <w:r w:rsidR="007C127C">
        <w:rPr>
          <w:rFonts w:ascii="Segoe UI" w:hAnsi="Segoe UI" w:cs="Segoe UI"/>
          <w:sz w:val="20"/>
          <w:lang w:val="el-GR" w:eastAsia="el-GR" w:bidi="el-GR"/>
        </w:rPr>
        <w:t>ανήλθε</w:t>
      </w:r>
      <w:r w:rsidRPr="00A6792B">
        <w:rPr>
          <w:rFonts w:ascii="Segoe UI" w:hAnsi="Segoe UI" w:cs="Segoe UI"/>
          <w:sz w:val="20"/>
          <w:lang w:val="el-GR" w:eastAsia="el-GR" w:bidi="el-GR"/>
        </w:rPr>
        <w:t xml:space="preserve"> σε 16,</w:t>
      </w:r>
      <w:r w:rsidR="00E174B7">
        <w:rPr>
          <w:rFonts w:ascii="Segoe UI" w:hAnsi="Segoe UI" w:cs="Segoe UI"/>
          <w:sz w:val="20"/>
          <w:lang w:val="el-GR" w:eastAsia="el-GR" w:bidi="el-GR"/>
        </w:rPr>
        <w:t>3</w:t>
      </w:r>
      <w:r w:rsidRPr="00A6792B">
        <w:rPr>
          <w:rFonts w:ascii="Segoe UI" w:hAnsi="Segoe UI" w:cs="Segoe UI"/>
          <w:sz w:val="20"/>
          <w:lang w:val="el-GR" w:eastAsia="el-GR" w:bidi="el-GR"/>
        </w:rPr>
        <w:t xml:space="preserve">%, </w:t>
      </w:r>
      <w:r w:rsidR="00E027DF">
        <w:rPr>
          <w:rFonts w:ascii="Segoe UI" w:hAnsi="Segoe UI" w:cs="Segoe UI"/>
          <w:sz w:val="20"/>
          <w:lang w:val="el-GR" w:eastAsia="el-GR" w:bidi="el-GR"/>
        </w:rPr>
        <w:t>μη περιλαμβανομένου</w:t>
      </w:r>
      <w:r w:rsidRPr="00A6792B">
        <w:rPr>
          <w:rFonts w:ascii="Segoe UI" w:hAnsi="Segoe UI" w:cs="Segoe UI"/>
          <w:sz w:val="20"/>
          <w:lang w:val="el-GR" w:eastAsia="el-GR" w:bidi="el-GR"/>
        </w:rPr>
        <w:t xml:space="preserve"> </w:t>
      </w:r>
      <w:r w:rsidR="00D37388">
        <w:rPr>
          <w:rFonts w:ascii="Segoe UI" w:hAnsi="Segoe UI" w:cs="Segoe UI"/>
          <w:sz w:val="20"/>
          <w:lang w:val="el-GR" w:eastAsia="el-GR" w:bidi="el-GR"/>
        </w:rPr>
        <w:t>το</w:t>
      </w:r>
      <w:r w:rsidR="00E027DF">
        <w:rPr>
          <w:rFonts w:ascii="Segoe UI" w:hAnsi="Segoe UI" w:cs="Segoe UI"/>
          <w:sz w:val="20"/>
          <w:lang w:val="el-GR" w:eastAsia="el-GR" w:bidi="el-GR"/>
        </w:rPr>
        <w:t>υ</w:t>
      </w:r>
      <w:r w:rsidR="00D37388">
        <w:rPr>
          <w:rFonts w:ascii="Segoe UI" w:hAnsi="Segoe UI" w:cs="Segoe UI"/>
          <w:sz w:val="20"/>
          <w:lang w:val="el-GR" w:eastAsia="el-GR" w:bidi="el-GR"/>
        </w:rPr>
        <w:t xml:space="preserve"> </w:t>
      </w:r>
      <w:r w:rsidR="00E027DF">
        <w:rPr>
          <w:rFonts w:ascii="Segoe UI" w:hAnsi="Segoe UI" w:cs="Segoe UI"/>
          <w:sz w:val="20"/>
          <w:lang w:val="el-GR" w:eastAsia="el-GR" w:bidi="el-GR"/>
        </w:rPr>
        <w:t>ο</w:t>
      </w:r>
      <w:r w:rsidR="00D37388">
        <w:rPr>
          <w:rFonts w:ascii="Segoe UI" w:hAnsi="Segoe UI" w:cs="Segoe UI"/>
          <w:sz w:val="20"/>
          <w:lang w:val="el-GR" w:eastAsia="el-GR" w:bidi="el-GR"/>
        </w:rPr>
        <w:t>φ</w:t>
      </w:r>
      <w:r w:rsidR="00E027DF">
        <w:rPr>
          <w:rFonts w:ascii="Segoe UI" w:hAnsi="Segoe UI" w:cs="Segoe UI"/>
          <w:sz w:val="20"/>
          <w:lang w:val="el-GR" w:eastAsia="el-GR" w:bidi="el-GR"/>
        </w:rPr>
        <w:t>έ</w:t>
      </w:r>
      <w:r w:rsidR="00D37388">
        <w:rPr>
          <w:rFonts w:ascii="Segoe UI" w:hAnsi="Segoe UI" w:cs="Segoe UI"/>
          <w:sz w:val="20"/>
          <w:lang w:val="el-GR" w:eastAsia="el-GR" w:bidi="el-GR"/>
        </w:rPr>
        <w:t>λο</w:t>
      </w:r>
      <w:r w:rsidR="00E027DF">
        <w:rPr>
          <w:rFonts w:ascii="Segoe UI" w:hAnsi="Segoe UI" w:cs="Segoe UI"/>
          <w:sz w:val="20"/>
          <w:lang w:val="el-GR" w:eastAsia="el-GR" w:bidi="el-GR"/>
        </w:rPr>
        <w:t>υ</w:t>
      </w:r>
      <w:r w:rsidR="00D37388">
        <w:rPr>
          <w:rFonts w:ascii="Segoe UI" w:hAnsi="Segoe UI" w:cs="Segoe UI"/>
          <w:sz w:val="20"/>
          <w:lang w:val="el-GR" w:eastAsia="el-GR" w:bidi="el-GR"/>
        </w:rPr>
        <w:t>ς από τις</w:t>
      </w:r>
      <w:r w:rsidR="00FE2186">
        <w:rPr>
          <w:rFonts w:ascii="Segoe UI" w:hAnsi="Segoe UI" w:cs="Segoe UI"/>
          <w:sz w:val="20"/>
          <w:lang w:val="el-GR" w:eastAsia="el-GR" w:bidi="el-GR"/>
        </w:rPr>
        <w:t xml:space="preserve"> συμφωνηθείσες</w:t>
      </w:r>
      <w:r w:rsidR="00D37388">
        <w:rPr>
          <w:rFonts w:ascii="Segoe UI" w:hAnsi="Segoe UI" w:cs="Segoe UI"/>
          <w:sz w:val="20"/>
          <w:lang w:val="el-GR" w:eastAsia="el-GR" w:bidi="el-GR"/>
        </w:rPr>
        <w:t xml:space="preserve">, αλλά όχι ολοκληρωμένες, </w:t>
      </w:r>
      <w:proofErr w:type="spellStart"/>
      <w:r w:rsidR="003D5064" w:rsidRPr="003D5064">
        <w:rPr>
          <w:rFonts w:ascii="Segoe UI" w:hAnsi="Segoe UI" w:cs="Segoe UI"/>
          <w:sz w:val="20"/>
          <w:lang w:val="el-GR" w:eastAsia="el-GR" w:bidi="el-GR"/>
        </w:rPr>
        <w:t>αποεπ</w:t>
      </w:r>
      <w:r w:rsidR="00FE2186">
        <w:rPr>
          <w:rFonts w:ascii="Segoe UI" w:hAnsi="Segoe UI" w:cs="Segoe UI"/>
          <w:sz w:val="20"/>
          <w:lang w:val="el-GR" w:eastAsia="el-GR" w:bidi="el-GR"/>
        </w:rPr>
        <w:t>ενδύσεις</w:t>
      </w:r>
      <w:proofErr w:type="spellEnd"/>
      <w:r w:rsidR="00FE2186">
        <w:rPr>
          <w:rFonts w:ascii="Segoe UI" w:hAnsi="Segoe UI" w:cs="Segoe UI"/>
          <w:sz w:val="20"/>
          <w:lang w:val="el-GR" w:eastAsia="el-GR" w:bidi="el-GR"/>
        </w:rPr>
        <w:t xml:space="preserve"> </w:t>
      </w:r>
      <w:r w:rsidR="003D5064" w:rsidRPr="003D5064">
        <w:rPr>
          <w:rFonts w:ascii="Segoe UI" w:hAnsi="Segoe UI" w:cs="Segoe UI"/>
          <w:sz w:val="20"/>
          <w:lang w:val="el-GR" w:eastAsia="el-GR" w:bidi="el-GR"/>
        </w:rPr>
        <w:t xml:space="preserve">από </w:t>
      </w:r>
      <w:r w:rsidR="00C77B6B" w:rsidRPr="00C77B6B">
        <w:rPr>
          <w:rFonts w:ascii="Segoe UI" w:hAnsi="Segoe UI" w:cs="Segoe UI"/>
          <w:sz w:val="20"/>
          <w:lang w:val="el-GR" w:eastAsia="el-GR" w:bidi="el-GR"/>
        </w:rPr>
        <w:t xml:space="preserve">τις Βουλγαρικές θυγατρικές, UBB &amp; </w:t>
      </w:r>
      <w:proofErr w:type="spellStart"/>
      <w:r w:rsidR="00C77B6B" w:rsidRPr="00C77B6B">
        <w:rPr>
          <w:rFonts w:ascii="Segoe UI" w:hAnsi="Segoe UI" w:cs="Segoe UI"/>
          <w:sz w:val="20"/>
          <w:lang w:val="el-GR" w:eastAsia="el-GR" w:bidi="el-GR"/>
        </w:rPr>
        <w:t>Interlease</w:t>
      </w:r>
      <w:proofErr w:type="spellEnd"/>
      <w:r w:rsidR="00C77B6B" w:rsidRPr="00C77B6B">
        <w:rPr>
          <w:rFonts w:ascii="Segoe UI" w:hAnsi="Segoe UI" w:cs="Segoe UI"/>
          <w:sz w:val="20"/>
          <w:lang w:val="el-GR" w:eastAsia="el-GR" w:bidi="el-GR"/>
        </w:rPr>
        <w:t xml:space="preserve">, καθώς και από τη </w:t>
      </w:r>
      <w:r w:rsidR="00C77B6B">
        <w:rPr>
          <w:rFonts w:ascii="Segoe UI" w:hAnsi="Segoe UI" w:cs="Segoe UI"/>
          <w:sz w:val="20"/>
          <w:lang w:val="el-GR" w:eastAsia="el-GR" w:bidi="el-GR"/>
        </w:rPr>
        <w:t>S</w:t>
      </w:r>
      <w:r w:rsidR="00F12FEC">
        <w:rPr>
          <w:rFonts w:ascii="Segoe UI" w:hAnsi="Segoe UI" w:cs="Segoe UI"/>
          <w:sz w:val="20"/>
          <w:lang w:val="el-GR" w:eastAsia="el-GR" w:bidi="el-GR"/>
        </w:rPr>
        <w:t>.</w:t>
      </w:r>
      <w:r w:rsidR="00C77B6B">
        <w:rPr>
          <w:rFonts w:ascii="Segoe UI" w:hAnsi="Segoe UI" w:cs="Segoe UI"/>
          <w:sz w:val="20"/>
          <w:lang w:val="el-GR" w:eastAsia="el-GR" w:bidi="el-GR"/>
        </w:rPr>
        <w:t>A</w:t>
      </w:r>
      <w:r w:rsidR="00F12FEC">
        <w:rPr>
          <w:rFonts w:ascii="Segoe UI" w:hAnsi="Segoe UI" w:cs="Segoe UI"/>
          <w:sz w:val="20"/>
          <w:lang w:val="el-GR" w:eastAsia="el-GR" w:bidi="el-GR"/>
        </w:rPr>
        <w:t>.</w:t>
      </w:r>
      <w:r w:rsidR="00C77B6B">
        <w:rPr>
          <w:rFonts w:ascii="Segoe UI" w:hAnsi="Segoe UI" w:cs="Segoe UI"/>
          <w:sz w:val="20"/>
          <w:lang w:val="el-GR" w:eastAsia="el-GR" w:bidi="el-GR"/>
        </w:rPr>
        <w:t>B</w:t>
      </w:r>
      <w:r w:rsidR="00F12FEC">
        <w:rPr>
          <w:rFonts w:ascii="Segoe UI" w:hAnsi="Segoe UI" w:cs="Segoe UI"/>
          <w:sz w:val="20"/>
          <w:lang w:val="el-GR" w:eastAsia="el-GR" w:bidi="el-GR"/>
        </w:rPr>
        <w:t>.</w:t>
      </w:r>
      <w:r w:rsidR="00C77B6B">
        <w:rPr>
          <w:rFonts w:ascii="Segoe UI" w:hAnsi="Segoe UI" w:cs="Segoe UI"/>
          <w:sz w:val="20"/>
          <w:lang w:val="el-GR" w:eastAsia="el-GR" w:bidi="el-GR"/>
        </w:rPr>
        <w:t>A</w:t>
      </w:r>
      <w:r w:rsidR="00F12FEC">
        <w:rPr>
          <w:rFonts w:ascii="Segoe UI" w:hAnsi="Segoe UI" w:cs="Segoe UI"/>
          <w:sz w:val="20"/>
          <w:lang w:val="el-GR" w:eastAsia="el-GR" w:bidi="el-GR"/>
        </w:rPr>
        <w:t>.</w:t>
      </w:r>
      <w:r w:rsidR="00C77B6B">
        <w:rPr>
          <w:rFonts w:ascii="Segoe UI" w:hAnsi="Segoe UI" w:cs="Segoe UI"/>
          <w:sz w:val="20"/>
          <w:lang w:val="el-GR" w:eastAsia="el-GR" w:bidi="el-GR"/>
        </w:rPr>
        <w:t xml:space="preserve">, </w:t>
      </w:r>
      <w:r w:rsidR="00810058">
        <w:rPr>
          <w:rFonts w:ascii="Segoe UI" w:hAnsi="Segoe UI" w:cs="Segoe UI"/>
          <w:sz w:val="20"/>
          <w:lang w:val="el-GR" w:eastAsia="el-GR" w:bidi="el-GR"/>
        </w:rPr>
        <w:t xml:space="preserve">οι οποίες </w:t>
      </w:r>
      <w:r w:rsidR="00E027DF">
        <w:rPr>
          <w:rFonts w:ascii="Segoe UI" w:hAnsi="Segoe UI" w:cs="Segoe UI"/>
          <w:sz w:val="20"/>
          <w:lang w:val="el-GR" w:eastAsia="el-GR" w:bidi="el-GR"/>
        </w:rPr>
        <w:t xml:space="preserve">θα </w:t>
      </w:r>
      <w:r w:rsidR="00810058">
        <w:rPr>
          <w:rFonts w:ascii="Segoe UI" w:hAnsi="Segoe UI" w:cs="Segoe UI"/>
          <w:sz w:val="20"/>
          <w:lang w:val="el-GR" w:eastAsia="el-GR" w:bidi="el-GR"/>
        </w:rPr>
        <w:t>ενισχύ</w:t>
      </w:r>
      <w:r w:rsidR="00E027DF">
        <w:rPr>
          <w:rFonts w:ascii="Segoe UI" w:hAnsi="Segoe UI" w:cs="Segoe UI"/>
          <w:sz w:val="20"/>
          <w:lang w:val="el-GR" w:eastAsia="el-GR" w:bidi="el-GR"/>
        </w:rPr>
        <w:t>σ</w:t>
      </w:r>
      <w:r w:rsidR="00810058">
        <w:rPr>
          <w:rFonts w:ascii="Segoe UI" w:hAnsi="Segoe UI" w:cs="Segoe UI"/>
          <w:sz w:val="20"/>
          <w:lang w:val="el-GR" w:eastAsia="el-GR" w:bidi="el-GR"/>
        </w:rPr>
        <w:t xml:space="preserve">ουν το δείκτη </w:t>
      </w:r>
      <w:r w:rsidR="00810058">
        <w:rPr>
          <w:rFonts w:ascii="Segoe UI" w:hAnsi="Segoe UI" w:cs="Segoe UI"/>
          <w:sz w:val="20"/>
          <w:lang w:val="en-US" w:eastAsia="el-GR" w:bidi="el-GR"/>
        </w:rPr>
        <w:t>CET</w:t>
      </w:r>
      <w:r w:rsidR="00810058" w:rsidRPr="00810058">
        <w:rPr>
          <w:rFonts w:ascii="Segoe UI" w:hAnsi="Segoe UI" w:cs="Segoe UI"/>
          <w:sz w:val="20"/>
          <w:lang w:val="el-GR" w:eastAsia="el-GR" w:bidi="el-GR"/>
        </w:rPr>
        <w:t xml:space="preserve">1 </w:t>
      </w:r>
      <w:r w:rsidR="00810058">
        <w:rPr>
          <w:rFonts w:ascii="Segoe UI" w:hAnsi="Segoe UI" w:cs="Segoe UI"/>
          <w:sz w:val="20"/>
          <w:lang w:val="el-GR" w:eastAsia="el-GR" w:bidi="el-GR"/>
        </w:rPr>
        <w:t>κατά περίπου 10</w:t>
      </w:r>
      <w:r w:rsidR="00310768">
        <w:rPr>
          <w:rFonts w:ascii="Segoe UI" w:hAnsi="Segoe UI" w:cs="Segoe UI"/>
          <w:sz w:val="20"/>
          <w:lang w:val="el-GR" w:eastAsia="el-GR" w:bidi="el-GR"/>
        </w:rPr>
        <w:t>6</w:t>
      </w:r>
      <w:r w:rsidR="00810058">
        <w:rPr>
          <w:rFonts w:ascii="Segoe UI" w:hAnsi="Segoe UI" w:cs="Segoe UI"/>
          <w:sz w:val="20"/>
          <w:lang w:val="el-GR" w:eastAsia="el-GR" w:bidi="el-GR"/>
        </w:rPr>
        <w:t xml:space="preserve"> </w:t>
      </w:r>
      <w:proofErr w:type="spellStart"/>
      <w:r w:rsidR="00810058">
        <w:rPr>
          <w:rFonts w:ascii="Segoe UI" w:hAnsi="Segoe UI" w:cs="Segoe UI"/>
          <w:sz w:val="20"/>
          <w:lang w:val="el-GR" w:eastAsia="el-GR" w:bidi="el-GR"/>
        </w:rPr>
        <w:t>μ.β</w:t>
      </w:r>
      <w:proofErr w:type="spellEnd"/>
      <w:r w:rsidR="00810058">
        <w:rPr>
          <w:rFonts w:ascii="Segoe UI" w:hAnsi="Segoe UI" w:cs="Segoe UI"/>
          <w:sz w:val="20"/>
          <w:lang w:val="el-GR" w:eastAsia="el-GR" w:bidi="el-GR"/>
        </w:rPr>
        <w:t xml:space="preserve">. </w:t>
      </w:r>
      <w:r w:rsidR="00997EB7" w:rsidRPr="00997EB7">
        <w:rPr>
          <w:rFonts w:ascii="Segoe UI" w:hAnsi="Segoe UI" w:cs="Segoe UI"/>
          <w:sz w:val="20"/>
          <w:lang w:val="el-GR" w:eastAsia="el-GR" w:bidi="el-GR"/>
        </w:rPr>
        <w:t>Τα κεφάλαια της ΕΤΕ θα ενισχυθούν περαιτέρω από την</w:t>
      </w:r>
      <w:r w:rsidR="00DB2F95">
        <w:rPr>
          <w:rFonts w:ascii="Segoe UI" w:hAnsi="Segoe UI" w:cs="Segoe UI"/>
          <w:sz w:val="20"/>
          <w:lang w:val="el-GR" w:eastAsia="el-GR" w:bidi="el-GR"/>
        </w:rPr>
        <w:t xml:space="preserve"> </w:t>
      </w:r>
      <w:r w:rsidR="00997EB7" w:rsidRPr="00997EB7">
        <w:rPr>
          <w:rFonts w:ascii="Segoe UI" w:hAnsi="Segoe UI" w:cs="Segoe UI"/>
          <w:sz w:val="20"/>
          <w:lang w:val="el-GR" w:eastAsia="el-GR" w:bidi="el-GR"/>
        </w:rPr>
        <w:t xml:space="preserve">πλήρη εφαρμογή του σχεδίου </w:t>
      </w:r>
      <w:r w:rsidR="009A1368">
        <w:rPr>
          <w:rFonts w:ascii="Segoe UI" w:hAnsi="Segoe UI" w:cs="Segoe UI"/>
          <w:sz w:val="20"/>
          <w:lang w:val="el-GR" w:eastAsia="el-GR" w:bidi="el-GR"/>
        </w:rPr>
        <w:t>αναδιάρθρωσης</w:t>
      </w:r>
      <w:r w:rsidR="00997EB7" w:rsidRPr="00997EB7">
        <w:rPr>
          <w:rFonts w:ascii="Segoe UI" w:hAnsi="Segoe UI" w:cs="Segoe UI"/>
          <w:sz w:val="20"/>
          <w:lang w:val="el-GR" w:eastAsia="el-GR" w:bidi="el-GR"/>
        </w:rPr>
        <w:t xml:space="preserve"> της Τράπεζας</w:t>
      </w:r>
      <w:r w:rsidR="002B1C81">
        <w:rPr>
          <w:rFonts w:ascii="Segoe UI" w:hAnsi="Segoe UI" w:cs="Segoe UI"/>
          <w:sz w:val="20"/>
          <w:lang w:val="el-GR" w:eastAsia="el-GR" w:bidi="el-GR"/>
        </w:rPr>
        <w:t>.</w:t>
      </w:r>
    </w:p>
    <w:p w:rsidR="00E1084B" w:rsidRPr="00A6792B" w:rsidRDefault="00E1084B"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Με π</w:t>
      </w:r>
      <w:r w:rsidR="00B47215">
        <w:rPr>
          <w:rFonts w:ascii="Segoe UI" w:hAnsi="Segoe UI" w:cs="Segoe UI"/>
          <w:sz w:val="20"/>
          <w:lang w:val="el-GR" w:eastAsia="el-GR" w:bidi="el-GR"/>
        </w:rPr>
        <w:t>λήρη εφαρμογή της Βασιλείας ΙΙΙ</w:t>
      </w:r>
      <w:r w:rsidRPr="00A6792B">
        <w:rPr>
          <w:rFonts w:ascii="Segoe UI" w:hAnsi="Segoe UI" w:cs="Segoe UI"/>
          <w:sz w:val="20"/>
          <w:lang w:val="el-GR" w:eastAsia="el-GR" w:bidi="el-GR"/>
        </w:rPr>
        <w:t xml:space="preserve">, o δείκτης CET 1 ανέρχεται σε </w:t>
      </w:r>
      <w:r w:rsidR="00810058">
        <w:rPr>
          <w:rFonts w:ascii="Segoe UI" w:hAnsi="Segoe UI" w:cs="Segoe UI"/>
          <w:sz w:val="20"/>
          <w:lang w:val="el-GR" w:eastAsia="el-GR" w:bidi="el-GR"/>
        </w:rPr>
        <w:t>15,</w:t>
      </w:r>
      <w:r w:rsidR="00E174B7">
        <w:rPr>
          <w:rFonts w:ascii="Segoe UI" w:hAnsi="Segoe UI" w:cs="Segoe UI"/>
          <w:sz w:val="20"/>
          <w:lang w:val="el-GR" w:eastAsia="el-GR" w:bidi="el-GR"/>
        </w:rPr>
        <w:t>8</w:t>
      </w:r>
      <w:r w:rsidRPr="00A6792B">
        <w:rPr>
          <w:rFonts w:ascii="Segoe UI" w:hAnsi="Segoe UI" w:cs="Segoe UI"/>
          <w:sz w:val="20"/>
          <w:lang w:val="el-GR" w:eastAsia="el-GR" w:bidi="el-GR"/>
        </w:rPr>
        <w:t xml:space="preserve">%. </w:t>
      </w:r>
    </w:p>
    <w:p w:rsidR="00716E60" w:rsidRPr="00A6792B" w:rsidRDefault="00716E60" w:rsidP="004929D8">
      <w:pPr>
        <w:autoSpaceDE w:val="0"/>
        <w:autoSpaceDN w:val="0"/>
        <w:adjustRightInd w:val="0"/>
        <w:spacing w:after="160" w:line="240" w:lineRule="auto"/>
        <w:jc w:val="both"/>
        <w:rPr>
          <w:rFonts w:ascii="Segoe UI" w:hAnsi="Segoe UI" w:cs="Segoe UI"/>
          <w:b/>
          <w:sz w:val="20"/>
          <w:lang w:val="el-GR"/>
        </w:rPr>
      </w:pPr>
      <w:r w:rsidRPr="00A6792B">
        <w:rPr>
          <w:rFonts w:ascii="Segoe UI" w:hAnsi="Segoe UI" w:cs="Segoe UI"/>
          <w:b/>
          <w:sz w:val="20"/>
          <w:lang w:val="el-GR"/>
        </w:rPr>
        <w:br w:type="page"/>
      </w:r>
    </w:p>
    <w:p w:rsidR="00864E0B" w:rsidRPr="00B522A6" w:rsidRDefault="00E525FE" w:rsidP="004929D8">
      <w:pPr>
        <w:spacing w:after="160"/>
        <w:jc w:val="both"/>
        <w:rPr>
          <w:rFonts w:ascii="Segoe UI" w:hAnsi="Segoe UI" w:cs="Segoe UI"/>
          <w:b/>
          <w:sz w:val="20"/>
          <w:szCs w:val="20"/>
        </w:rPr>
      </w:pPr>
      <w:proofErr w:type="spellStart"/>
      <w:r w:rsidRPr="00B522A6">
        <w:rPr>
          <w:rFonts w:ascii="Segoe UI" w:hAnsi="Segoe UI" w:cs="Segoe UI"/>
          <w:b/>
          <w:sz w:val="20"/>
          <w:szCs w:val="20"/>
        </w:rPr>
        <w:lastRenderedPageBreak/>
        <w:t>Παράρτημα</w:t>
      </w:r>
      <w:proofErr w:type="spellEnd"/>
    </w:p>
    <w:tbl>
      <w:tblPr>
        <w:tblW w:w="9013" w:type="dxa"/>
        <w:jc w:val="right"/>
        <w:tblLayout w:type="fixed"/>
        <w:tblLook w:val="0000"/>
      </w:tblPr>
      <w:tblGrid>
        <w:gridCol w:w="3005"/>
        <w:gridCol w:w="1077"/>
        <w:gridCol w:w="1077"/>
        <w:gridCol w:w="850"/>
        <w:gridCol w:w="1077"/>
        <w:gridCol w:w="1077"/>
        <w:gridCol w:w="850"/>
      </w:tblGrid>
      <w:tr w:rsidR="00C31715" w:rsidRPr="00B522A6" w:rsidTr="00046481">
        <w:trPr>
          <w:trHeight w:hRule="exact" w:val="454"/>
          <w:jc w:val="right"/>
        </w:trPr>
        <w:tc>
          <w:tcPr>
            <w:tcW w:w="3005" w:type="dxa"/>
            <w:shd w:val="pct45" w:color="auto" w:fill="auto"/>
            <w:vAlign w:val="bottom"/>
          </w:tcPr>
          <w:p w:rsidR="005A05C6" w:rsidRPr="003C4D83" w:rsidRDefault="005A05C6" w:rsidP="004929D8">
            <w:pPr>
              <w:spacing w:after="160" w:line="240" w:lineRule="auto"/>
              <w:jc w:val="both"/>
              <w:rPr>
                <w:rFonts w:ascii="Segoe UI" w:eastAsia="Times New Roman" w:hAnsi="Segoe UI" w:cs="Segoe UI"/>
                <w:sz w:val="16"/>
                <w:szCs w:val="18"/>
                <w:lang w:val="el-GR"/>
              </w:rPr>
            </w:pPr>
          </w:p>
        </w:tc>
        <w:tc>
          <w:tcPr>
            <w:tcW w:w="1077" w:type="dxa"/>
            <w:shd w:val="pct45" w:color="auto" w:fill="auto"/>
            <w:vAlign w:val="bottom"/>
          </w:tcPr>
          <w:p w:rsidR="005A05C6" w:rsidRPr="003C4D83" w:rsidRDefault="00046481" w:rsidP="003C5467">
            <w:pPr>
              <w:spacing w:after="160" w:line="240" w:lineRule="auto"/>
              <w:jc w:val="right"/>
              <w:rPr>
                <w:rFonts w:ascii="Segoe UI" w:eastAsia="Times New Roman" w:hAnsi="Segoe UI" w:cs="Segoe UI"/>
                <w:b/>
                <w:color w:val="FFFFFF" w:themeColor="background1"/>
                <w:sz w:val="16"/>
                <w:szCs w:val="18"/>
              </w:rPr>
            </w:pPr>
            <w:r>
              <w:rPr>
                <w:rFonts w:ascii="Segoe UI" w:hAnsi="Segoe UI" w:cs="Segoe UI"/>
                <w:b/>
                <w:color w:val="FFFFFF" w:themeColor="background1"/>
                <w:sz w:val="16"/>
                <w:szCs w:val="18"/>
                <w:lang w:val="el-GR"/>
              </w:rPr>
              <w:t>Δ</w:t>
            </w:r>
            <w:r w:rsidR="005A05C6" w:rsidRPr="003C4D83">
              <w:rPr>
                <w:rFonts w:ascii="Segoe UI" w:hAnsi="Segoe UI" w:cs="Segoe UI"/>
                <w:b/>
                <w:color w:val="FFFFFF" w:themeColor="background1"/>
                <w:sz w:val="16"/>
                <w:szCs w:val="18"/>
                <w:lang w:val="el-GR"/>
              </w:rPr>
              <w:t>’ Τρίμηνο 2016</w:t>
            </w:r>
          </w:p>
        </w:tc>
        <w:tc>
          <w:tcPr>
            <w:tcW w:w="1077" w:type="dxa"/>
            <w:shd w:val="pct45" w:color="auto" w:fill="auto"/>
            <w:vAlign w:val="bottom"/>
          </w:tcPr>
          <w:p w:rsidR="005A05C6" w:rsidRPr="003C4D83" w:rsidRDefault="00046481" w:rsidP="003C5467">
            <w:pPr>
              <w:spacing w:after="160" w:line="240" w:lineRule="auto"/>
              <w:jc w:val="right"/>
              <w:rPr>
                <w:rFonts w:ascii="Segoe UI" w:eastAsia="Times New Roman" w:hAnsi="Segoe UI" w:cs="Segoe UI"/>
                <w:b/>
                <w:color w:val="FFFFFF" w:themeColor="background1"/>
                <w:sz w:val="16"/>
                <w:szCs w:val="18"/>
              </w:rPr>
            </w:pPr>
            <w:r>
              <w:rPr>
                <w:rFonts w:ascii="Segoe UI" w:hAnsi="Segoe UI" w:cs="Segoe UI"/>
                <w:b/>
                <w:color w:val="FFFFFF" w:themeColor="background1"/>
                <w:sz w:val="16"/>
                <w:szCs w:val="18"/>
                <w:lang w:val="el-GR"/>
              </w:rPr>
              <w:t>Γ</w:t>
            </w:r>
            <w:r w:rsidR="005A05C6" w:rsidRPr="003C4D83">
              <w:rPr>
                <w:rFonts w:ascii="Segoe UI" w:hAnsi="Segoe UI" w:cs="Segoe UI"/>
                <w:b/>
                <w:color w:val="FFFFFF" w:themeColor="background1"/>
                <w:sz w:val="16"/>
                <w:szCs w:val="18"/>
                <w:lang w:val="el-GR"/>
              </w:rPr>
              <w:t>’ Τρίμηνο 2016</w:t>
            </w:r>
          </w:p>
        </w:tc>
        <w:tc>
          <w:tcPr>
            <w:tcW w:w="850" w:type="dxa"/>
            <w:shd w:val="pct45" w:color="auto" w:fill="auto"/>
            <w:vAlign w:val="bottom"/>
          </w:tcPr>
          <w:p w:rsidR="005A05C6" w:rsidRPr="003C4D83" w:rsidRDefault="005A05C6" w:rsidP="003C5467">
            <w:pPr>
              <w:spacing w:after="160" w:line="240" w:lineRule="auto"/>
              <w:jc w:val="right"/>
              <w:rPr>
                <w:rFonts w:ascii="Segoe UI" w:eastAsia="Times New Roman" w:hAnsi="Segoe UI" w:cs="Segoe UI"/>
                <w:b/>
                <w:i/>
                <w:color w:val="FFFFFF" w:themeColor="background1"/>
                <w:sz w:val="16"/>
                <w:szCs w:val="18"/>
              </w:rPr>
            </w:pPr>
            <w:r w:rsidRPr="003C4D83">
              <w:rPr>
                <w:rFonts w:ascii="Segoe UI" w:hAnsi="Segoe UI" w:cs="Segoe UI"/>
                <w:b/>
                <w:i/>
                <w:color w:val="FFFFFF" w:themeColor="background1"/>
                <w:sz w:val="16"/>
                <w:szCs w:val="18"/>
                <w:lang w:val="el-GR"/>
              </w:rPr>
              <w:t xml:space="preserve">Δ </w:t>
            </w:r>
          </w:p>
        </w:tc>
        <w:tc>
          <w:tcPr>
            <w:tcW w:w="1077" w:type="dxa"/>
            <w:shd w:val="pct45" w:color="auto" w:fill="auto"/>
            <w:vAlign w:val="bottom"/>
          </w:tcPr>
          <w:p w:rsidR="005A05C6" w:rsidRPr="003C4D83" w:rsidRDefault="005A05C6" w:rsidP="003C5467">
            <w:pPr>
              <w:spacing w:after="160" w:line="240" w:lineRule="auto"/>
              <w:jc w:val="right"/>
              <w:rPr>
                <w:rFonts w:ascii="Segoe UI" w:eastAsia="Times New Roman" w:hAnsi="Segoe UI" w:cs="Segoe UI"/>
                <w:b/>
                <w:color w:val="FFFFFF" w:themeColor="background1"/>
                <w:sz w:val="16"/>
                <w:szCs w:val="18"/>
                <w:lang w:val="en-US"/>
              </w:rPr>
            </w:pPr>
            <w:r w:rsidRPr="003C4D83">
              <w:rPr>
                <w:rFonts w:ascii="Segoe UI" w:eastAsia="Times New Roman" w:hAnsi="Segoe UI" w:cs="Segoe UI"/>
                <w:b/>
                <w:color w:val="FFFFFF" w:themeColor="background1"/>
                <w:sz w:val="16"/>
                <w:szCs w:val="18"/>
                <w:lang w:val="el-GR"/>
              </w:rPr>
              <w:t>201</w:t>
            </w:r>
            <w:r w:rsidR="007C5802" w:rsidRPr="003C4D83">
              <w:rPr>
                <w:rFonts w:ascii="Segoe UI" w:eastAsia="Times New Roman" w:hAnsi="Segoe UI" w:cs="Segoe UI"/>
                <w:b/>
                <w:color w:val="FFFFFF" w:themeColor="background1"/>
                <w:sz w:val="16"/>
                <w:szCs w:val="18"/>
                <w:lang w:val="el-GR"/>
              </w:rPr>
              <w:t>6</w:t>
            </w:r>
          </w:p>
        </w:tc>
        <w:tc>
          <w:tcPr>
            <w:tcW w:w="1077" w:type="dxa"/>
            <w:shd w:val="pct45" w:color="auto" w:fill="auto"/>
            <w:vAlign w:val="bottom"/>
          </w:tcPr>
          <w:p w:rsidR="005A05C6" w:rsidRPr="003C4D83" w:rsidRDefault="005A05C6" w:rsidP="003C5467">
            <w:pPr>
              <w:spacing w:after="160" w:line="240" w:lineRule="auto"/>
              <w:jc w:val="right"/>
              <w:rPr>
                <w:rFonts w:ascii="Segoe UI" w:eastAsia="Times New Roman" w:hAnsi="Segoe UI" w:cs="Segoe UI"/>
                <w:b/>
                <w:color w:val="FFFFFF" w:themeColor="background1"/>
                <w:sz w:val="16"/>
                <w:szCs w:val="18"/>
                <w:lang w:val="el-GR"/>
              </w:rPr>
            </w:pPr>
            <w:r w:rsidRPr="003C4D83">
              <w:rPr>
                <w:rFonts w:ascii="Segoe UI" w:eastAsia="Times New Roman" w:hAnsi="Segoe UI" w:cs="Segoe UI"/>
                <w:b/>
                <w:color w:val="FFFFFF" w:themeColor="background1"/>
                <w:sz w:val="16"/>
                <w:szCs w:val="18"/>
                <w:lang w:val="el-GR"/>
              </w:rPr>
              <w:t>2015</w:t>
            </w:r>
          </w:p>
        </w:tc>
        <w:tc>
          <w:tcPr>
            <w:tcW w:w="850" w:type="dxa"/>
            <w:shd w:val="pct45" w:color="auto" w:fill="auto"/>
            <w:vAlign w:val="bottom"/>
          </w:tcPr>
          <w:p w:rsidR="005A05C6" w:rsidRPr="003C4D83" w:rsidRDefault="005A05C6" w:rsidP="003C5467">
            <w:pPr>
              <w:spacing w:after="160" w:line="240" w:lineRule="auto"/>
              <w:jc w:val="right"/>
              <w:rPr>
                <w:rFonts w:ascii="Segoe UI" w:eastAsia="Times New Roman" w:hAnsi="Segoe UI" w:cs="Segoe UI"/>
                <w:b/>
                <w:i/>
                <w:color w:val="FFFFFF" w:themeColor="background1"/>
                <w:sz w:val="16"/>
                <w:szCs w:val="18"/>
                <w:lang w:val="el-GR"/>
              </w:rPr>
            </w:pPr>
            <w:r w:rsidRPr="003C4D83">
              <w:rPr>
                <w:rFonts w:ascii="Segoe UI" w:eastAsia="Times New Roman" w:hAnsi="Segoe UI" w:cs="Segoe UI"/>
                <w:b/>
                <w:i/>
                <w:color w:val="FFFFFF" w:themeColor="background1"/>
                <w:sz w:val="16"/>
                <w:szCs w:val="18"/>
                <w:lang w:val="el-GR"/>
              </w:rPr>
              <w:t>Δ</w:t>
            </w:r>
          </w:p>
        </w:tc>
      </w:tr>
      <w:tr w:rsidR="00C31715" w:rsidRPr="00B522A6" w:rsidTr="00046481">
        <w:trPr>
          <w:trHeight w:hRule="exact" w:val="510"/>
          <w:jc w:val="right"/>
        </w:trPr>
        <w:tc>
          <w:tcPr>
            <w:tcW w:w="3005" w:type="dxa"/>
            <w:tcBorders>
              <w:bottom w:val="single" w:sz="12" w:space="0" w:color="auto"/>
            </w:tcBorders>
            <w:shd w:val="clear" w:color="auto" w:fill="auto"/>
            <w:vAlign w:val="bottom"/>
          </w:tcPr>
          <w:p w:rsidR="005A05C6" w:rsidRPr="003C4D83" w:rsidRDefault="005A05C6" w:rsidP="004929D8">
            <w:pPr>
              <w:spacing w:after="160" w:line="240" w:lineRule="auto"/>
              <w:jc w:val="both"/>
              <w:rPr>
                <w:rFonts w:ascii="Segoe UI" w:eastAsia="Times New Roman" w:hAnsi="Segoe UI" w:cs="Segoe UI"/>
                <w:b/>
                <w:bCs/>
                <w:sz w:val="16"/>
                <w:szCs w:val="18"/>
                <w:lang w:val="en-US"/>
              </w:rPr>
            </w:pPr>
            <w:r w:rsidRPr="003C4D83">
              <w:rPr>
                <w:rFonts w:ascii="Segoe UI" w:eastAsia="Times New Roman" w:hAnsi="Segoe UI" w:cs="Segoe UI"/>
                <w:b/>
                <w:bCs/>
                <w:sz w:val="16"/>
                <w:szCs w:val="18"/>
                <w:lang w:val="el-GR"/>
              </w:rPr>
              <w:t>Αποτελέσματα</w:t>
            </w:r>
            <w:r w:rsidRPr="003C4D83">
              <w:rPr>
                <w:rFonts w:ascii="Segoe UI" w:eastAsia="Times New Roman" w:hAnsi="Segoe UI" w:cs="Segoe UI"/>
                <w:b/>
                <w:bCs/>
                <w:sz w:val="16"/>
                <w:szCs w:val="18"/>
                <w:lang w:val="en-US"/>
              </w:rPr>
              <w:t xml:space="preserve"> (€</w:t>
            </w:r>
            <w:r w:rsidRPr="003C4D83">
              <w:rPr>
                <w:rFonts w:ascii="Segoe UI" w:eastAsia="Times New Roman" w:hAnsi="Segoe UI" w:cs="Segoe UI"/>
                <w:b/>
                <w:bCs/>
                <w:sz w:val="16"/>
                <w:szCs w:val="18"/>
                <w:lang w:val="el-GR"/>
              </w:rPr>
              <w:t xml:space="preserve"> εκατ.</w:t>
            </w:r>
            <w:r w:rsidRPr="003C4D83">
              <w:rPr>
                <w:rFonts w:ascii="Segoe UI" w:eastAsia="Times New Roman" w:hAnsi="Segoe UI" w:cs="Segoe UI"/>
                <w:b/>
                <w:bCs/>
                <w:sz w:val="16"/>
                <w:szCs w:val="18"/>
                <w:lang w:val="en-US"/>
              </w:rPr>
              <w:t>)</w:t>
            </w:r>
          </w:p>
        </w:tc>
        <w:tc>
          <w:tcPr>
            <w:tcW w:w="1077" w:type="dxa"/>
            <w:tcBorders>
              <w:bottom w:val="single" w:sz="12" w:space="0" w:color="auto"/>
            </w:tcBorders>
            <w:vAlign w:val="bottom"/>
          </w:tcPr>
          <w:p w:rsidR="005A05C6" w:rsidRPr="003C4D83" w:rsidRDefault="005A05C6" w:rsidP="004929D8">
            <w:pPr>
              <w:spacing w:after="160" w:line="240" w:lineRule="auto"/>
              <w:jc w:val="right"/>
              <w:rPr>
                <w:rFonts w:ascii="Segoe UI" w:eastAsia="Times New Roman" w:hAnsi="Segoe UI" w:cs="Segoe UI"/>
                <w:sz w:val="16"/>
                <w:szCs w:val="18"/>
                <w:lang w:val="en-US"/>
              </w:rPr>
            </w:pPr>
          </w:p>
        </w:tc>
        <w:tc>
          <w:tcPr>
            <w:tcW w:w="1077" w:type="dxa"/>
            <w:tcBorders>
              <w:bottom w:val="single" w:sz="12" w:space="0" w:color="auto"/>
            </w:tcBorders>
            <w:shd w:val="clear" w:color="auto" w:fill="auto"/>
            <w:vAlign w:val="bottom"/>
          </w:tcPr>
          <w:p w:rsidR="005A05C6" w:rsidRPr="003C4D83" w:rsidRDefault="005A05C6" w:rsidP="004929D8">
            <w:pPr>
              <w:spacing w:after="160" w:line="240" w:lineRule="auto"/>
              <w:jc w:val="right"/>
              <w:rPr>
                <w:rFonts w:ascii="Segoe UI" w:eastAsia="Times New Roman" w:hAnsi="Segoe UI" w:cs="Segoe UI"/>
                <w:sz w:val="16"/>
                <w:szCs w:val="18"/>
              </w:rPr>
            </w:pPr>
          </w:p>
        </w:tc>
        <w:tc>
          <w:tcPr>
            <w:tcW w:w="850" w:type="dxa"/>
            <w:tcBorders>
              <w:bottom w:val="single" w:sz="12" w:space="0" w:color="auto"/>
            </w:tcBorders>
            <w:shd w:val="clear" w:color="auto" w:fill="auto"/>
            <w:vAlign w:val="bottom"/>
          </w:tcPr>
          <w:p w:rsidR="005A05C6" w:rsidRPr="003C4D83" w:rsidRDefault="005A05C6" w:rsidP="004929D8">
            <w:pPr>
              <w:autoSpaceDE w:val="0"/>
              <w:autoSpaceDN w:val="0"/>
              <w:adjustRightInd w:val="0"/>
              <w:spacing w:after="160" w:line="240" w:lineRule="auto"/>
              <w:jc w:val="right"/>
              <w:rPr>
                <w:rFonts w:ascii="Segoe UI" w:hAnsi="Segoe UI" w:cs="Segoe UI"/>
                <w:i/>
                <w:sz w:val="16"/>
                <w:szCs w:val="18"/>
                <w:lang w:val="en-US"/>
              </w:rPr>
            </w:pPr>
          </w:p>
        </w:tc>
        <w:tc>
          <w:tcPr>
            <w:tcW w:w="1077" w:type="dxa"/>
            <w:tcBorders>
              <w:bottom w:val="single" w:sz="12" w:space="0" w:color="auto"/>
            </w:tcBorders>
            <w:vAlign w:val="bottom"/>
          </w:tcPr>
          <w:p w:rsidR="005A05C6" w:rsidRPr="003C4D83" w:rsidRDefault="005A05C6" w:rsidP="004929D8">
            <w:pPr>
              <w:autoSpaceDE w:val="0"/>
              <w:autoSpaceDN w:val="0"/>
              <w:adjustRightInd w:val="0"/>
              <w:spacing w:after="160" w:line="240" w:lineRule="auto"/>
              <w:jc w:val="right"/>
              <w:rPr>
                <w:rFonts w:ascii="Segoe UI" w:hAnsi="Segoe UI" w:cs="Segoe UI"/>
                <w:sz w:val="16"/>
                <w:szCs w:val="18"/>
                <w:lang w:val="en-US"/>
              </w:rPr>
            </w:pPr>
          </w:p>
        </w:tc>
        <w:tc>
          <w:tcPr>
            <w:tcW w:w="1077" w:type="dxa"/>
            <w:tcBorders>
              <w:bottom w:val="single" w:sz="12" w:space="0" w:color="auto"/>
            </w:tcBorders>
            <w:vAlign w:val="bottom"/>
          </w:tcPr>
          <w:p w:rsidR="005A05C6" w:rsidRPr="003C4D83" w:rsidRDefault="005A05C6" w:rsidP="004929D8">
            <w:pPr>
              <w:spacing w:after="160" w:line="240" w:lineRule="auto"/>
              <w:jc w:val="right"/>
              <w:rPr>
                <w:rFonts w:ascii="Segoe UI" w:eastAsia="Times New Roman" w:hAnsi="Segoe UI" w:cs="Segoe UI"/>
                <w:b/>
                <w:color w:val="FFFFFF" w:themeColor="background1"/>
                <w:sz w:val="16"/>
                <w:szCs w:val="18"/>
                <w:lang w:val="el-GR"/>
              </w:rPr>
            </w:pPr>
          </w:p>
        </w:tc>
        <w:tc>
          <w:tcPr>
            <w:tcW w:w="850" w:type="dxa"/>
            <w:tcBorders>
              <w:bottom w:val="single" w:sz="12" w:space="0" w:color="auto"/>
            </w:tcBorders>
            <w:vAlign w:val="bottom"/>
          </w:tcPr>
          <w:p w:rsidR="005A05C6" w:rsidRPr="003C4D83" w:rsidRDefault="005A05C6" w:rsidP="004929D8">
            <w:pPr>
              <w:autoSpaceDE w:val="0"/>
              <w:autoSpaceDN w:val="0"/>
              <w:adjustRightInd w:val="0"/>
              <w:spacing w:after="160" w:line="240" w:lineRule="auto"/>
              <w:jc w:val="right"/>
              <w:rPr>
                <w:rFonts w:ascii="Segoe UI" w:hAnsi="Segoe UI" w:cs="Segoe UI"/>
                <w:i/>
                <w:sz w:val="16"/>
                <w:szCs w:val="18"/>
                <w:lang w:val="en-US"/>
              </w:rPr>
            </w:pPr>
          </w:p>
        </w:tc>
      </w:tr>
      <w:tr w:rsidR="00F178C8" w:rsidRPr="00B522A6" w:rsidTr="00542A85">
        <w:trPr>
          <w:trHeight w:hRule="exact" w:val="482"/>
          <w:jc w:val="right"/>
        </w:trPr>
        <w:tc>
          <w:tcPr>
            <w:tcW w:w="3005" w:type="dxa"/>
            <w:tcBorders>
              <w:top w:val="single" w:sz="12" w:space="0" w:color="auto"/>
              <w:bottom w:val="single" w:sz="4" w:space="0" w:color="auto"/>
            </w:tcBorders>
            <w:shd w:val="clear" w:color="auto" w:fill="auto"/>
            <w:vAlign w:val="bottom"/>
          </w:tcPr>
          <w:p w:rsidR="00F178C8" w:rsidRPr="003C4D83" w:rsidRDefault="00F178C8" w:rsidP="00F178C8">
            <w:pPr>
              <w:spacing w:after="160"/>
              <w:rPr>
                <w:rFonts w:ascii="Segoe UI" w:eastAsia="Times New Roman" w:hAnsi="Segoe UI" w:cs="Segoe UI"/>
                <w:bCs/>
                <w:sz w:val="16"/>
                <w:szCs w:val="18"/>
                <w:lang w:val="el-GR"/>
              </w:rPr>
            </w:pPr>
            <w:r w:rsidRPr="003C4D83">
              <w:rPr>
                <w:rFonts w:ascii="Segoe UI" w:hAnsi="Segoe UI" w:cs="Segoe UI"/>
                <w:sz w:val="16"/>
                <w:szCs w:val="18"/>
                <w:lang w:val="el-GR"/>
              </w:rPr>
              <w:t>Κέρδη μετά φόρων Ομίλου</w:t>
            </w:r>
            <w:r w:rsidRPr="00046481">
              <w:rPr>
                <w:rFonts w:ascii="Segoe UI" w:hAnsi="Segoe UI" w:cs="Segoe UI"/>
                <w:sz w:val="16"/>
                <w:szCs w:val="18"/>
                <w:lang w:val="el-GR"/>
              </w:rPr>
              <w:t xml:space="preserve"> </w:t>
            </w:r>
            <w:r w:rsidRPr="003C4D83">
              <w:rPr>
                <w:rFonts w:ascii="Segoe UI" w:hAnsi="Segoe UI" w:cs="Segoe UI"/>
                <w:sz w:val="16"/>
                <w:szCs w:val="18"/>
                <w:lang w:val="el-GR"/>
              </w:rPr>
              <w:t>(συνεχιζόμενες δραστηριότητες)</w:t>
            </w:r>
            <w:r w:rsidRPr="003C4D83">
              <w:rPr>
                <w:rStyle w:val="a9"/>
                <w:rFonts w:ascii="Segoe UI" w:hAnsi="Segoe UI" w:cs="Segoe UI"/>
                <w:sz w:val="16"/>
                <w:szCs w:val="18"/>
                <w:lang w:val="el-GR"/>
              </w:rPr>
              <w:footnoteReference w:id="7"/>
            </w:r>
          </w:p>
        </w:tc>
        <w:tc>
          <w:tcPr>
            <w:tcW w:w="1077" w:type="dxa"/>
            <w:tcBorders>
              <w:top w:val="single" w:sz="12" w:space="0" w:color="auto"/>
              <w:bottom w:val="single" w:sz="4" w:space="0" w:color="auto"/>
            </w:tcBorders>
          </w:tcPr>
          <w:p w:rsidR="00F178C8" w:rsidRPr="00F178C8" w:rsidRDefault="00F178C8" w:rsidP="00F178C8">
            <w:pPr>
              <w:jc w:val="right"/>
              <w:rPr>
                <w:rFonts w:ascii="Segoe UI" w:hAnsi="Segoe UI" w:cs="Segoe UI"/>
                <w:sz w:val="16"/>
                <w:szCs w:val="16"/>
              </w:rPr>
            </w:pPr>
            <w:r w:rsidRPr="00F178C8">
              <w:rPr>
                <w:rFonts w:ascii="Segoe UI" w:hAnsi="Segoe UI" w:cs="Segoe UI"/>
                <w:sz w:val="16"/>
                <w:szCs w:val="16"/>
              </w:rPr>
              <w:t>73</w:t>
            </w:r>
          </w:p>
        </w:tc>
        <w:tc>
          <w:tcPr>
            <w:tcW w:w="1077" w:type="dxa"/>
            <w:tcBorders>
              <w:top w:val="single" w:sz="12" w:space="0" w:color="auto"/>
              <w:bottom w:val="single" w:sz="4" w:space="0" w:color="auto"/>
            </w:tcBorders>
          </w:tcPr>
          <w:p w:rsidR="00F178C8" w:rsidRPr="00F178C8" w:rsidRDefault="00F178C8" w:rsidP="00F178C8">
            <w:pPr>
              <w:jc w:val="right"/>
              <w:rPr>
                <w:rFonts w:ascii="Segoe UI" w:hAnsi="Segoe UI" w:cs="Segoe UI"/>
                <w:sz w:val="16"/>
                <w:szCs w:val="16"/>
              </w:rPr>
            </w:pPr>
            <w:r w:rsidRPr="00F178C8">
              <w:rPr>
                <w:rFonts w:ascii="Segoe UI" w:hAnsi="Segoe UI" w:cs="Segoe UI"/>
                <w:sz w:val="16"/>
                <w:szCs w:val="16"/>
              </w:rPr>
              <w:t>6</w:t>
            </w:r>
          </w:p>
        </w:tc>
        <w:tc>
          <w:tcPr>
            <w:tcW w:w="850" w:type="dxa"/>
            <w:tcBorders>
              <w:top w:val="single" w:sz="12" w:space="0" w:color="auto"/>
              <w:bottom w:val="single" w:sz="4" w:space="0" w:color="auto"/>
            </w:tcBorders>
            <w:shd w:val="clear" w:color="auto" w:fill="auto"/>
          </w:tcPr>
          <w:p w:rsidR="00F178C8" w:rsidRPr="00F178C8" w:rsidRDefault="00F178C8" w:rsidP="00F178C8">
            <w:pPr>
              <w:jc w:val="right"/>
              <w:rPr>
                <w:rFonts w:ascii="Segoe UI" w:hAnsi="Segoe UI" w:cs="Segoe UI"/>
                <w:i/>
                <w:sz w:val="16"/>
                <w:szCs w:val="16"/>
              </w:rPr>
            </w:pPr>
            <w:r w:rsidRPr="00F178C8">
              <w:rPr>
                <w:rFonts w:ascii="Segoe UI" w:hAnsi="Segoe UI" w:cs="Segoe UI"/>
                <w:i/>
                <w:sz w:val="16"/>
                <w:szCs w:val="16"/>
              </w:rPr>
              <w:t>&gt;100%</w:t>
            </w:r>
          </w:p>
        </w:tc>
        <w:tc>
          <w:tcPr>
            <w:tcW w:w="1077" w:type="dxa"/>
            <w:tcBorders>
              <w:top w:val="single" w:sz="12" w:space="0" w:color="auto"/>
              <w:left w:val="nil"/>
              <w:bottom w:val="single" w:sz="4" w:space="0" w:color="auto"/>
              <w:right w:val="nil"/>
            </w:tcBorders>
            <w:shd w:val="clear" w:color="auto" w:fill="auto"/>
          </w:tcPr>
          <w:p w:rsidR="00F178C8" w:rsidRPr="00F178C8" w:rsidRDefault="00F178C8" w:rsidP="00F178C8">
            <w:pPr>
              <w:jc w:val="right"/>
              <w:rPr>
                <w:rFonts w:ascii="Segoe UI" w:hAnsi="Segoe UI" w:cs="Segoe UI"/>
                <w:sz w:val="16"/>
                <w:szCs w:val="16"/>
              </w:rPr>
            </w:pPr>
            <w:r w:rsidRPr="00F178C8">
              <w:rPr>
                <w:rFonts w:ascii="Segoe UI" w:hAnsi="Segoe UI" w:cs="Segoe UI"/>
                <w:sz w:val="16"/>
                <w:szCs w:val="16"/>
              </w:rPr>
              <w:t>53</w:t>
            </w:r>
          </w:p>
        </w:tc>
        <w:tc>
          <w:tcPr>
            <w:tcW w:w="1077" w:type="dxa"/>
            <w:tcBorders>
              <w:top w:val="single" w:sz="12" w:space="0" w:color="auto"/>
              <w:left w:val="nil"/>
              <w:bottom w:val="single" w:sz="4" w:space="0" w:color="auto"/>
              <w:right w:val="nil"/>
            </w:tcBorders>
            <w:shd w:val="clear" w:color="auto" w:fill="auto"/>
          </w:tcPr>
          <w:p w:rsidR="00F178C8" w:rsidRPr="00F178C8" w:rsidRDefault="00F178C8" w:rsidP="00F178C8">
            <w:pPr>
              <w:jc w:val="right"/>
              <w:rPr>
                <w:rFonts w:ascii="Segoe UI" w:hAnsi="Segoe UI" w:cs="Segoe UI"/>
                <w:sz w:val="16"/>
                <w:szCs w:val="16"/>
              </w:rPr>
            </w:pPr>
            <w:r w:rsidRPr="00F178C8">
              <w:rPr>
                <w:rFonts w:ascii="Segoe UI" w:hAnsi="Segoe UI" w:cs="Segoe UI"/>
                <w:sz w:val="16"/>
                <w:szCs w:val="16"/>
              </w:rPr>
              <w:t>-2,490</w:t>
            </w:r>
          </w:p>
        </w:tc>
        <w:tc>
          <w:tcPr>
            <w:tcW w:w="850" w:type="dxa"/>
            <w:tcBorders>
              <w:top w:val="single" w:sz="12" w:space="0" w:color="auto"/>
              <w:bottom w:val="single" w:sz="4" w:space="0" w:color="auto"/>
            </w:tcBorders>
          </w:tcPr>
          <w:p w:rsidR="00F178C8" w:rsidRPr="00F178C8" w:rsidRDefault="00F178C8" w:rsidP="00F178C8">
            <w:pPr>
              <w:jc w:val="right"/>
              <w:rPr>
                <w:rFonts w:ascii="Segoe UI" w:hAnsi="Segoe UI" w:cs="Segoe UI"/>
                <w:i/>
                <w:sz w:val="16"/>
                <w:szCs w:val="16"/>
              </w:rPr>
            </w:pPr>
            <w:r>
              <w:rPr>
                <w:rFonts w:ascii="Segoe UI" w:hAnsi="Segoe UI" w:cs="Segoe UI"/>
                <w:i/>
                <w:sz w:val="16"/>
                <w:szCs w:val="16"/>
              </w:rPr>
              <w:t>--</w:t>
            </w:r>
          </w:p>
        </w:tc>
      </w:tr>
      <w:tr w:rsidR="00F178C8" w:rsidRPr="00B522A6" w:rsidTr="00542A85">
        <w:trPr>
          <w:trHeight w:hRule="exact" w:val="255"/>
          <w:jc w:val="right"/>
        </w:trPr>
        <w:tc>
          <w:tcPr>
            <w:tcW w:w="3005" w:type="dxa"/>
            <w:tcBorders>
              <w:top w:val="single" w:sz="4" w:space="0" w:color="auto"/>
              <w:bottom w:val="single" w:sz="4" w:space="0" w:color="auto"/>
            </w:tcBorders>
            <w:shd w:val="clear" w:color="auto" w:fill="auto"/>
            <w:vAlign w:val="bottom"/>
          </w:tcPr>
          <w:p w:rsidR="00F178C8" w:rsidRPr="003C4D83" w:rsidRDefault="00F178C8" w:rsidP="00F178C8">
            <w:pPr>
              <w:spacing w:after="160"/>
              <w:rPr>
                <w:rFonts w:ascii="Segoe UI" w:eastAsia="Times New Roman" w:hAnsi="Segoe UI" w:cs="Segoe UI"/>
                <w:bCs/>
                <w:sz w:val="16"/>
                <w:szCs w:val="18"/>
                <w:lang w:val="el-GR"/>
              </w:rPr>
            </w:pPr>
            <w:r w:rsidRPr="003C4D83">
              <w:rPr>
                <w:rFonts w:ascii="Segoe UI" w:hAnsi="Segoe UI" w:cs="Segoe UI"/>
                <w:sz w:val="16"/>
                <w:szCs w:val="18"/>
              </w:rPr>
              <w:t xml:space="preserve">          </w:t>
            </w:r>
            <w:r w:rsidRPr="003C4D83">
              <w:rPr>
                <w:rFonts w:ascii="Segoe UI" w:hAnsi="Segoe UI" w:cs="Segoe UI"/>
                <w:sz w:val="16"/>
                <w:szCs w:val="18"/>
                <w:lang w:val="el-GR"/>
              </w:rPr>
              <w:t>Ελλάδα</w:t>
            </w:r>
          </w:p>
        </w:tc>
        <w:tc>
          <w:tcPr>
            <w:tcW w:w="1077" w:type="dxa"/>
            <w:tcBorders>
              <w:top w:val="single" w:sz="4" w:space="0" w:color="auto"/>
              <w:bottom w:val="single" w:sz="4" w:space="0" w:color="auto"/>
            </w:tcBorders>
          </w:tcPr>
          <w:p w:rsidR="00F178C8" w:rsidRPr="00F178C8" w:rsidRDefault="00F178C8" w:rsidP="00F178C8">
            <w:pPr>
              <w:jc w:val="right"/>
              <w:rPr>
                <w:rFonts w:ascii="Segoe UI" w:hAnsi="Segoe UI" w:cs="Segoe UI"/>
                <w:sz w:val="16"/>
                <w:szCs w:val="16"/>
              </w:rPr>
            </w:pPr>
            <w:r w:rsidRPr="00F178C8">
              <w:rPr>
                <w:rFonts w:ascii="Segoe UI" w:hAnsi="Segoe UI" w:cs="Segoe UI"/>
                <w:sz w:val="16"/>
                <w:szCs w:val="16"/>
              </w:rPr>
              <w:t>72</w:t>
            </w:r>
          </w:p>
        </w:tc>
        <w:tc>
          <w:tcPr>
            <w:tcW w:w="1077" w:type="dxa"/>
            <w:tcBorders>
              <w:top w:val="single" w:sz="4" w:space="0" w:color="auto"/>
              <w:bottom w:val="single" w:sz="4" w:space="0" w:color="auto"/>
            </w:tcBorders>
          </w:tcPr>
          <w:p w:rsidR="00F178C8" w:rsidRPr="00F178C8" w:rsidRDefault="00F178C8" w:rsidP="00F178C8">
            <w:pPr>
              <w:jc w:val="right"/>
              <w:rPr>
                <w:rFonts w:ascii="Segoe UI" w:hAnsi="Segoe UI" w:cs="Segoe UI"/>
                <w:sz w:val="16"/>
                <w:szCs w:val="16"/>
              </w:rPr>
            </w:pPr>
            <w:r w:rsidRPr="00F178C8">
              <w:rPr>
                <w:rFonts w:ascii="Segoe UI" w:hAnsi="Segoe UI" w:cs="Segoe UI"/>
                <w:sz w:val="16"/>
                <w:szCs w:val="16"/>
              </w:rPr>
              <w:t>-5</w:t>
            </w:r>
          </w:p>
        </w:tc>
        <w:tc>
          <w:tcPr>
            <w:tcW w:w="850" w:type="dxa"/>
            <w:tcBorders>
              <w:top w:val="single" w:sz="4" w:space="0" w:color="auto"/>
              <w:bottom w:val="single" w:sz="4" w:space="0" w:color="auto"/>
            </w:tcBorders>
            <w:shd w:val="clear" w:color="auto" w:fill="auto"/>
          </w:tcPr>
          <w:p w:rsidR="00F178C8" w:rsidRPr="00F178C8" w:rsidRDefault="00F178C8" w:rsidP="00F178C8">
            <w:pPr>
              <w:jc w:val="right"/>
              <w:rPr>
                <w:rFonts w:ascii="Segoe UI" w:hAnsi="Segoe UI" w:cs="Segoe UI"/>
                <w:i/>
                <w:sz w:val="16"/>
                <w:szCs w:val="16"/>
              </w:rPr>
            </w:pPr>
            <w:r>
              <w:rPr>
                <w:rFonts w:ascii="Segoe UI" w:hAnsi="Segoe UI" w:cs="Segoe UI"/>
                <w:i/>
                <w:sz w:val="16"/>
                <w:szCs w:val="16"/>
              </w:rPr>
              <w:t>--</w:t>
            </w:r>
          </w:p>
        </w:tc>
        <w:tc>
          <w:tcPr>
            <w:tcW w:w="1077" w:type="dxa"/>
            <w:tcBorders>
              <w:top w:val="single" w:sz="4" w:space="0" w:color="auto"/>
              <w:left w:val="nil"/>
              <w:bottom w:val="single" w:sz="4" w:space="0" w:color="auto"/>
              <w:right w:val="nil"/>
            </w:tcBorders>
            <w:shd w:val="clear" w:color="auto" w:fill="auto"/>
          </w:tcPr>
          <w:p w:rsidR="00F178C8" w:rsidRPr="00F178C8" w:rsidRDefault="00F178C8" w:rsidP="00F178C8">
            <w:pPr>
              <w:jc w:val="right"/>
              <w:rPr>
                <w:rFonts w:ascii="Segoe UI" w:hAnsi="Segoe UI" w:cs="Segoe UI"/>
                <w:sz w:val="16"/>
                <w:szCs w:val="16"/>
              </w:rPr>
            </w:pPr>
            <w:r w:rsidRPr="00F178C8">
              <w:rPr>
                <w:rFonts w:ascii="Segoe UI" w:hAnsi="Segoe UI" w:cs="Segoe UI"/>
                <w:sz w:val="16"/>
                <w:szCs w:val="16"/>
              </w:rPr>
              <w:t>17</w:t>
            </w:r>
          </w:p>
        </w:tc>
        <w:tc>
          <w:tcPr>
            <w:tcW w:w="1077" w:type="dxa"/>
            <w:tcBorders>
              <w:top w:val="single" w:sz="4" w:space="0" w:color="auto"/>
              <w:left w:val="nil"/>
              <w:bottom w:val="single" w:sz="4" w:space="0" w:color="auto"/>
              <w:right w:val="nil"/>
            </w:tcBorders>
            <w:shd w:val="clear" w:color="auto" w:fill="auto"/>
          </w:tcPr>
          <w:p w:rsidR="00F178C8" w:rsidRPr="00F178C8" w:rsidRDefault="00F178C8" w:rsidP="00F178C8">
            <w:pPr>
              <w:jc w:val="right"/>
              <w:rPr>
                <w:rFonts w:ascii="Segoe UI" w:hAnsi="Segoe UI" w:cs="Segoe UI"/>
                <w:sz w:val="16"/>
                <w:szCs w:val="16"/>
              </w:rPr>
            </w:pPr>
            <w:r w:rsidRPr="00F178C8">
              <w:rPr>
                <w:rFonts w:ascii="Segoe UI" w:hAnsi="Segoe UI" w:cs="Segoe UI"/>
                <w:sz w:val="16"/>
                <w:szCs w:val="16"/>
              </w:rPr>
              <w:t>-2,482</w:t>
            </w:r>
          </w:p>
        </w:tc>
        <w:tc>
          <w:tcPr>
            <w:tcW w:w="850" w:type="dxa"/>
            <w:tcBorders>
              <w:top w:val="single" w:sz="4" w:space="0" w:color="auto"/>
              <w:left w:val="nil"/>
              <w:bottom w:val="single" w:sz="4" w:space="0" w:color="auto"/>
              <w:right w:val="nil"/>
            </w:tcBorders>
            <w:shd w:val="clear" w:color="auto" w:fill="auto"/>
          </w:tcPr>
          <w:p w:rsidR="00F178C8" w:rsidRPr="00F178C8" w:rsidRDefault="00F178C8" w:rsidP="00F178C8">
            <w:pPr>
              <w:jc w:val="right"/>
              <w:rPr>
                <w:rFonts w:ascii="Segoe UI" w:hAnsi="Segoe UI" w:cs="Segoe UI"/>
                <w:i/>
                <w:sz w:val="16"/>
                <w:szCs w:val="16"/>
              </w:rPr>
            </w:pPr>
            <w:r>
              <w:rPr>
                <w:rFonts w:ascii="Segoe UI" w:hAnsi="Segoe UI" w:cs="Segoe UI"/>
                <w:i/>
                <w:sz w:val="16"/>
                <w:szCs w:val="16"/>
              </w:rPr>
              <w:t>--</w:t>
            </w:r>
          </w:p>
        </w:tc>
      </w:tr>
      <w:tr w:rsidR="00F178C8" w:rsidRPr="00DA751A" w:rsidTr="00542A85">
        <w:trPr>
          <w:trHeight w:hRule="exact" w:val="255"/>
          <w:jc w:val="right"/>
        </w:trPr>
        <w:tc>
          <w:tcPr>
            <w:tcW w:w="3005" w:type="dxa"/>
            <w:tcBorders>
              <w:top w:val="single" w:sz="4" w:space="0" w:color="auto"/>
              <w:bottom w:val="single" w:sz="4" w:space="0" w:color="auto"/>
            </w:tcBorders>
            <w:shd w:val="clear" w:color="auto" w:fill="auto"/>
            <w:vAlign w:val="bottom"/>
          </w:tcPr>
          <w:p w:rsidR="00F178C8" w:rsidRPr="003C4D83" w:rsidRDefault="00F178C8" w:rsidP="00F178C8">
            <w:pPr>
              <w:spacing w:after="160"/>
              <w:rPr>
                <w:rFonts w:ascii="Segoe UI" w:hAnsi="Segoe UI" w:cs="Segoe UI"/>
                <w:sz w:val="16"/>
                <w:szCs w:val="18"/>
                <w:lang w:val="en-US"/>
              </w:rPr>
            </w:pPr>
            <w:r w:rsidRPr="003C4D83">
              <w:rPr>
                <w:rFonts w:ascii="Segoe UI" w:hAnsi="Segoe UI" w:cs="Segoe UI"/>
                <w:sz w:val="16"/>
                <w:szCs w:val="18"/>
              </w:rPr>
              <w:t xml:space="preserve">          </w:t>
            </w:r>
            <w:r w:rsidRPr="003C4D83">
              <w:rPr>
                <w:rFonts w:ascii="Segoe UI" w:hAnsi="Segoe UI" w:cs="Segoe UI"/>
                <w:sz w:val="16"/>
                <w:szCs w:val="18"/>
                <w:lang w:val="el-GR"/>
              </w:rPr>
              <w:t>ΝΑ Ευρώπη</w:t>
            </w:r>
            <w:r w:rsidRPr="003C4D83">
              <w:rPr>
                <w:rStyle w:val="a9"/>
                <w:rFonts w:ascii="Segoe UI" w:hAnsi="Segoe UI" w:cs="Segoe UI"/>
                <w:sz w:val="16"/>
                <w:szCs w:val="18"/>
                <w:lang w:val="el-GR"/>
              </w:rPr>
              <w:footnoteReference w:id="8"/>
            </w:r>
          </w:p>
        </w:tc>
        <w:tc>
          <w:tcPr>
            <w:tcW w:w="1077" w:type="dxa"/>
            <w:tcBorders>
              <w:top w:val="single" w:sz="4" w:space="0" w:color="auto"/>
              <w:bottom w:val="single" w:sz="4" w:space="0" w:color="auto"/>
            </w:tcBorders>
          </w:tcPr>
          <w:p w:rsidR="00F178C8" w:rsidRPr="00F178C8" w:rsidRDefault="00F178C8" w:rsidP="00F178C8">
            <w:pPr>
              <w:jc w:val="right"/>
              <w:rPr>
                <w:rFonts w:ascii="Segoe UI" w:hAnsi="Segoe UI" w:cs="Segoe UI"/>
                <w:sz w:val="16"/>
                <w:szCs w:val="16"/>
              </w:rPr>
            </w:pPr>
            <w:r w:rsidRPr="00F178C8">
              <w:rPr>
                <w:rFonts w:ascii="Segoe UI" w:hAnsi="Segoe UI" w:cs="Segoe UI"/>
                <w:sz w:val="16"/>
                <w:szCs w:val="16"/>
              </w:rPr>
              <w:t>1</w:t>
            </w:r>
          </w:p>
        </w:tc>
        <w:tc>
          <w:tcPr>
            <w:tcW w:w="1077" w:type="dxa"/>
            <w:tcBorders>
              <w:top w:val="single" w:sz="4" w:space="0" w:color="auto"/>
              <w:bottom w:val="single" w:sz="4" w:space="0" w:color="auto"/>
            </w:tcBorders>
          </w:tcPr>
          <w:p w:rsidR="00F178C8" w:rsidRPr="00F178C8" w:rsidRDefault="00F178C8" w:rsidP="00F178C8">
            <w:pPr>
              <w:jc w:val="right"/>
              <w:rPr>
                <w:rFonts w:ascii="Segoe UI" w:hAnsi="Segoe UI" w:cs="Segoe UI"/>
                <w:sz w:val="16"/>
                <w:szCs w:val="16"/>
              </w:rPr>
            </w:pPr>
            <w:r w:rsidRPr="00F178C8">
              <w:rPr>
                <w:rFonts w:ascii="Segoe UI" w:hAnsi="Segoe UI" w:cs="Segoe UI"/>
                <w:sz w:val="16"/>
                <w:szCs w:val="16"/>
              </w:rPr>
              <w:t>11</w:t>
            </w:r>
          </w:p>
        </w:tc>
        <w:tc>
          <w:tcPr>
            <w:tcW w:w="850" w:type="dxa"/>
            <w:tcBorders>
              <w:top w:val="single" w:sz="4" w:space="0" w:color="auto"/>
              <w:bottom w:val="single" w:sz="4" w:space="0" w:color="auto"/>
            </w:tcBorders>
          </w:tcPr>
          <w:p w:rsidR="00F178C8" w:rsidRPr="00F178C8" w:rsidRDefault="00F178C8" w:rsidP="00F178C8">
            <w:pPr>
              <w:jc w:val="right"/>
              <w:rPr>
                <w:rFonts w:ascii="Segoe UI" w:hAnsi="Segoe UI" w:cs="Segoe UI"/>
                <w:i/>
                <w:sz w:val="16"/>
                <w:szCs w:val="16"/>
              </w:rPr>
            </w:pPr>
            <w:r w:rsidRPr="00F178C8">
              <w:rPr>
                <w:rFonts w:ascii="Segoe UI" w:hAnsi="Segoe UI" w:cs="Segoe UI"/>
                <w:i/>
                <w:sz w:val="16"/>
                <w:szCs w:val="16"/>
              </w:rPr>
              <w:t>-91.8%</w:t>
            </w:r>
          </w:p>
        </w:tc>
        <w:tc>
          <w:tcPr>
            <w:tcW w:w="1077" w:type="dxa"/>
            <w:tcBorders>
              <w:top w:val="single" w:sz="4" w:space="0" w:color="auto"/>
              <w:left w:val="nil"/>
              <w:bottom w:val="single" w:sz="4" w:space="0" w:color="auto"/>
              <w:right w:val="nil"/>
            </w:tcBorders>
            <w:shd w:val="clear" w:color="auto" w:fill="auto"/>
          </w:tcPr>
          <w:p w:rsidR="00F178C8" w:rsidRPr="00F178C8" w:rsidRDefault="00F178C8" w:rsidP="00F178C8">
            <w:pPr>
              <w:jc w:val="right"/>
              <w:rPr>
                <w:rFonts w:ascii="Segoe UI" w:hAnsi="Segoe UI" w:cs="Segoe UI"/>
                <w:sz w:val="16"/>
                <w:szCs w:val="16"/>
              </w:rPr>
            </w:pPr>
            <w:r w:rsidRPr="00F178C8">
              <w:rPr>
                <w:rFonts w:ascii="Segoe UI" w:hAnsi="Segoe UI" w:cs="Segoe UI"/>
                <w:sz w:val="16"/>
                <w:szCs w:val="16"/>
              </w:rPr>
              <w:t>36</w:t>
            </w:r>
          </w:p>
        </w:tc>
        <w:tc>
          <w:tcPr>
            <w:tcW w:w="1077" w:type="dxa"/>
            <w:tcBorders>
              <w:top w:val="single" w:sz="4" w:space="0" w:color="auto"/>
              <w:left w:val="nil"/>
              <w:bottom w:val="single" w:sz="4" w:space="0" w:color="auto"/>
              <w:right w:val="nil"/>
            </w:tcBorders>
            <w:shd w:val="clear" w:color="auto" w:fill="auto"/>
          </w:tcPr>
          <w:p w:rsidR="00F178C8" w:rsidRPr="00F178C8" w:rsidRDefault="00F178C8" w:rsidP="00F178C8">
            <w:pPr>
              <w:jc w:val="right"/>
              <w:rPr>
                <w:rFonts w:ascii="Segoe UI" w:hAnsi="Segoe UI" w:cs="Segoe UI"/>
                <w:sz w:val="16"/>
                <w:szCs w:val="16"/>
              </w:rPr>
            </w:pPr>
            <w:r w:rsidRPr="00F178C8">
              <w:rPr>
                <w:rFonts w:ascii="Segoe UI" w:hAnsi="Segoe UI" w:cs="Segoe UI"/>
                <w:sz w:val="16"/>
                <w:szCs w:val="16"/>
              </w:rPr>
              <w:t>-8</w:t>
            </w:r>
          </w:p>
        </w:tc>
        <w:tc>
          <w:tcPr>
            <w:tcW w:w="850" w:type="dxa"/>
            <w:tcBorders>
              <w:top w:val="single" w:sz="4" w:space="0" w:color="auto"/>
              <w:left w:val="nil"/>
              <w:bottom w:val="single" w:sz="4" w:space="0" w:color="auto"/>
              <w:right w:val="nil"/>
            </w:tcBorders>
            <w:shd w:val="clear" w:color="auto" w:fill="auto"/>
          </w:tcPr>
          <w:p w:rsidR="00F178C8" w:rsidRPr="00F178C8" w:rsidRDefault="00F178C8" w:rsidP="00F178C8">
            <w:pPr>
              <w:jc w:val="right"/>
              <w:rPr>
                <w:rFonts w:ascii="Segoe UI" w:hAnsi="Segoe UI" w:cs="Segoe UI"/>
                <w:i/>
                <w:sz w:val="16"/>
                <w:szCs w:val="16"/>
              </w:rPr>
            </w:pPr>
            <w:r>
              <w:rPr>
                <w:rFonts w:ascii="Segoe UI" w:hAnsi="Segoe UI" w:cs="Segoe UI"/>
                <w:i/>
                <w:sz w:val="16"/>
                <w:szCs w:val="16"/>
              </w:rPr>
              <w:t>--</w:t>
            </w:r>
          </w:p>
        </w:tc>
      </w:tr>
      <w:tr w:rsidR="00230F6E" w:rsidRPr="00DA751A" w:rsidTr="000F02F9">
        <w:trPr>
          <w:trHeight w:hRule="exact" w:val="510"/>
          <w:jc w:val="right"/>
        </w:trPr>
        <w:tc>
          <w:tcPr>
            <w:tcW w:w="3005" w:type="dxa"/>
            <w:tcBorders>
              <w:bottom w:val="single" w:sz="12" w:space="0" w:color="auto"/>
            </w:tcBorders>
            <w:shd w:val="clear" w:color="auto" w:fill="auto"/>
            <w:vAlign w:val="bottom"/>
          </w:tcPr>
          <w:p w:rsidR="00230F6E" w:rsidRPr="00DA751A" w:rsidRDefault="00230F6E" w:rsidP="00230F6E">
            <w:pPr>
              <w:spacing w:after="160" w:line="240" w:lineRule="auto"/>
              <w:rPr>
                <w:rFonts w:ascii="Segoe UI" w:hAnsi="Segoe UI" w:cs="Segoe UI"/>
                <w:b/>
                <w:sz w:val="16"/>
                <w:szCs w:val="18"/>
                <w:lang w:val="el-GR"/>
              </w:rPr>
            </w:pPr>
            <w:r w:rsidRPr="003C4D83">
              <w:rPr>
                <w:rFonts w:ascii="Segoe UI" w:eastAsia="Times New Roman" w:hAnsi="Segoe UI" w:cs="Segoe UI"/>
                <w:b/>
                <w:bCs/>
                <w:sz w:val="16"/>
                <w:szCs w:val="18"/>
                <w:lang w:val="el-GR"/>
              </w:rPr>
              <w:t>Οργανικά Έσοδα</w:t>
            </w:r>
            <w:r w:rsidRPr="00DA751A">
              <w:rPr>
                <w:rFonts w:ascii="Segoe UI" w:eastAsia="Times New Roman" w:hAnsi="Segoe UI" w:cs="Segoe UI"/>
                <w:b/>
                <w:bCs/>
                <w:sz w:val="16"/>
                <w:szCs w:val="18"/>
                <w:lang w:val="el-GR"/>
              </w:rPr>
              <w:t xml:space="preserve"> (€</w:t>
            </w:r>
            <w:r w:rsidRPr="003C4D83">
              <w:rPr>
                <w:rFonts w:ascii="Segoe UI" w:eastAsia="Times New Roman" w:hAnsi="Segoe UI" w:cs="Segoe UI"/>
                <w:b/>
                <w:bCs/>
                <w:sz w:val="16"/>
                <w:szCs w:val="18"/>
                <w:lang w:val="el-GR"/>
              </w:rPr>
              <w:t xml:space="preserve"> εκατ.</w:t>
            </w:r>
            <w:r w:rsidRPr="00DA751A">
              <w:rPr>
                <w:rFonts w:ascii="Segoe UI" w:eastAsia="Times New Roman" w:hAnsi="Segoe UI" w:cs="Segoe UI"/>
                <w:b/>
                <w:bCs/>
                <w:sz w:val="16"/>
                <w:szCs w:val="18"/>
                <w:lang w:val="el-GR"/>
              </w:rPr>
              <w:t>)</w:t>
            </w:r>
          </w:p>
        </w:tc>
        <w:tc>
          <w:tcPr>
            <w:tcW w:w="1077" w:type="dxa"/>
            <w:tcBorders>
              <w:bottom w:val="single" w:sz="12" w:space="0" w:color="auto"/>
            </w:tcBorders>
            <w:vAlign w:val="bottom"/>
          </w:tcPr>
          <w:p w:rsidR="00230F6E" w:rsidRPr="00230F6E" w:rsidRDefault="00230F6E" w:rsidP="000F02F9">
            <w:pPr>
              <w:jc w:val="right"/>
              <w:rPr>
                <w:rFonts w:ascii="Segoe UI" w:hAnsi="Segoe UI" w:cs="Segoe UI"/>
                <w:sz w:val="16"/>
                <w:szCs w:val="16"/>
              </w:rPr>
            </w:pPr>
          </w:p>
        </w:tc>
        <w:tc>
          <w:tcPr>
            <w:tcW w:w="1077" w:type="dxa"/>
            <w:tcBorders>
              <w:bottom w:val="single" w:sz="12" w:space="0" w:color="auto"/>
            </w:tcBorders>
            <w:vAlign w:val="bottom"/>
          </w:tcPr>
          <w:p w:rsidR="00230F6E" w:rsidRPr="00230F6E" w:rsidRDefault="00230F6E" w:rsidP="000F02F9">
            <w:pPr>
              <w:jc w:val="right"/>
              <w:rPr>
                <w:rFonts w:ascii="Segoe UI" w:hAnsi="Segoe UI" w:cs="Segoe UI"/>
                <w:sz w:val="16"/>
                <w:szCs w:val="16"/>
              </w:rPr>
            </w:pPr>
          </w:p>
        </w:tc>
        <w:tc>
          <w:tcPr>
            <w:tcW w:w="850" w:type="dxa"/>
            <w:tcBorders>
              <w:bottom w:val="single" w:sz="12" w:space="0" w:color="auto"/>
            </w:tcBorders>
            <w:vAlign w:val="bottom"/>
          </w:tcPr>
          <w:p w:rsidR="00230F6E" w:rsidRPr="00230F6E" w:rsidRDefault="00230F6E" w:rsidP="000F02F9">
            <w:pPr>
              <w:spacing w:after="160" w:line="240" w:lineRule="auto"/>
              <w:jc w:val="right"/>
              <w:rPr>
                <w:rFonts w:ascii="Segoe UI" w:hAnsi="Segoe UI" w:cs="Segoe UI"/>
                <w:i/>
                <w:sz w:val="16"/>
                <w:szCs w:val="16"/>
                <w:highlight w:val="yellow"/>
                <w:lang w:val="el-GR"/>
              </w:rPr>
            </w:pPr>
          </w:p>
        </w:tc>
        <w:tc>
          <w:tcPr>
            <w:tcW w:w="1077" w:type="dxa"/>
            <w:tcBorders>
              <w:top w:val="single" w:sz="4" w:space="0" w:color="auto"/>
              <w:bottom w:val="single" w:sz="12" w:space="0" w:color="auto"/>
            </w:tcBorders>
            <w:vAlign w:val="bottom"/>
          </w:tcPr>
          <w:p w:rsidR="00230F6E" w:rsidRPr="00230F6E" w:rsidRDefault="00230F6E" w:rsidP="000F02F9">
            <w:pPr>
              <w:jc w:val="right"/>
              <w:rPr>
                <w:rFonts w:ascii="Segoe UI" w:hAnsi="Segoe UI" w:cs="Segoe UI"/>
                <w:sz w:val="16"/>
                <w:szCs w:val="16"/>
              </w:rPr>
            </w:pPr>
          </w:p>
        </w:tc>
        <w:tc>
          <w:tcPr>
            <w:tcW w:w="1077" w:type="dxa"/>
            <w:tcBorders>
              <w:top w:val="single" w:sz="4" w:space="0" w:color="auto"/>
              <w:bottom w:val="single" w:sz="12" w:space="0" w:color="auto"/>
            </w:tcBorders>
            <w:vAlign w:val="bottom"/>
          </w:tcPr>
          <w:p w:rsidR="00230F6E" w:rsidRPr="00230F6E" w:rsidRDefault="00230F6E" w:rsidP="000F02F9">
            <w:pPr>
              <w:jc w:val="right"/>
              <w:rPr>
                <w:rFonts w:ascii="Segoe UI" w:hAnsi="Segoe UI" w:cs="Segoe UI"/>
                <w:sz w:val="16"/>
                <w:szCs w:val="16"/>
              </w:rPr>
            </w:pPr>
          </w:p>
        </w:tc>
        <w:tc>
          <w:tcPr>
            <w:tcW w:w="850" w:type="dxa"/>
            <w:tcBorders>
              <w:top w:val="single" w:sz="4" w:space="0" w:color="auto"/>
              <w:bottom w:val="single" w:sz="12" w:space="0" w:color="auto"/>
            </w:tcBorders>
            <w:shd w:val="clear" w:color="auto" w:fill="auto"/>
            <w:vAlign w:val="bottom"/>
          </w:tcPr>
          <w:p w:rsidR="00230F6E" w:rsidRPr="00230F6E" w:rsidRDefault="00230F6E" w:rsidP="00230F6E">
            <w:pPr>
              <w:spacing w:after="160" w:line="240" w:lineRule="auto"/>
              <w:jc w:val="right"/>
              <w:rPr>
                <w:rFonts w:ascii="Segoe UI" w:hAnsi="Segoe UI" w:cs="Segoe UI"/>
                <w:i/>
                <w:sz w:val="16"/>
                <w:szCs w:val="16"/>
                <w:highlight w:val="yellow"/>
                <w:lang w:val="el-GR"/>
              </w:rPr>
            </w:pPr>
          </w:p>
        </w:tc>
      </w:tr>
      <w:tr w:rsidR="00F178C8" w:rsidRPr="00DA751A" w:rsidTr="00542A85">
        <w:trPr>
          <w:trHeight w:hRule="exact" w:val="255"/>
          <w:jc w:val="right"/>
        </w:trPr>
        <w:tc>
          <w:tcPr>
            <w:tcW w:w="3005" w:type="dxa"/>
            <w:tcBorders>
              <w:top w:val="single" w:sz="12" w:space="0" w:color="auto"/>
            </w:tcBorders>
            <w:shd w:val="clear" w:color="auto" w:fill="auto"/>
            <w:vAlign w:val="bottom"/>
          </w:tcPr>
          <w:p w:rsidR="00F178C8" w:rsidRPr="003C4D83" w:rsidRDefault="00F178C8" w:rsidP="00F178C8">
            <w:pPr>
              <w:spacing w:after="160"/>
              <w:rPr>
                <w:rFonts w:ascii="Segoe UI" w:hAnsi="Segoe UI" w:cs="Segoe UI"/>
                <w:sz w:val="16"/>
                <w:szCs w:val="18"/>
                <w:lang w:val="el-GR"/>
              </w:rPr>
            </w:pPr>
            <w:r w:rsidRPr="003C4D83">
              <w:rPr>
                <w:rFonts w:ascii="Segoe UI" w:hAnsi="Segoe UI" w:cs="Segoe UI"/>
                <w:sz w:val="16"/>
                <w:szCs w:val="18"/>
                <w:lang w:val="el-GR"/>
              </w:rPr>
              <w:t>Ομίλου</w:t>
            </w:r>
          </w:p>
        </w:tc>
        <w:tc>
          <w:tcPr>
            <w:tcW w:w="1077" w:type="dxa"/>
            <w:tcBorders>
              <w:top w:val="single" w:sz="12" w:space="0" w:color="auto"/>
            </w:tcBorders>
            <w:vAlign w:val="bottom"/>
          </w:tcPr>
          <w:p w:rsidR="00F178C8" w:rsidRPr="00230F6E" w:rsidRDefault="00F178C8" w:rsidP="00F178C8">
            <w:pPr>
              <w:jc w:val="right"/>
              <w:rPr>
                <w:rFonts w:ascii="Segoe UI" w:hAnsi="Segoe UI" w:cs="Segoe UI"/>
                <w:sz w:val="16"/>
                <w:szCs w:val="16"/>
              </w:rPr>
            </w:pPr>
            <w:r w:rsidRPr="00230F6E">
              <w:rPr>
                <w:rFonts w:ascii="Segoe UI" w:hAnsi="Segoe UI" w:cs="Segoe UI"/>
                <w:sz w:val="16"/>
                <w:szCs w:val="16"/>
              </w:rPr>
              <w:t>522</w:t>
            </w:r>
          </w:p>
        </w:tc>
        <w:tc>
          <w:tcPr>
            <w:tcW w:w="1077" w:type="dxa"/>
            <w:tcBorders>
              <w:top w:val="single" w:sz="12" w:space="0" w:color="auto"/>
            </w:tcBorders>
            <w:vAlign w:val="bottom"/>
          </w:tcPr>
          <w:p w:rsidR="00F178C8" w:rsidRPr="00230F6E" w:rsidRDefault="00F178C8" w:rsidP="00F178C8">
            <w:pPr>
              <w:jc w:val="right"/>
              <w:rPr>
                <w:rFonts w:ascii="Segoe UI" w:hAnsi="Segoe UI" w:cs="Segoe UI"/>
                <w:sz w:val="16"/>
                <w:szCs w:val="16"/>
              </w:rPr>
            </w:pPr>
            <w:r w:rsidRPr="00230F6E">
              <w:rPr>
                <w:rFonts w:ascii="Segoe UI" w:hAnsi="Segoe UI" w:cs="Segoe UI"/>
                <w:sz w:val="16"/>
                <w:szCs w:val="16"/>
              </w:rPr>
              <w:t>516</w:t>
            </w:r>
          </w:p>
        </w:tc>
        <w:tc>
          <w:tcPr>
            <w:tcW w:w="850" w:type="dxa"/>
            <w:tcBorders>
              <w:top w:val="single" w:sz="12" w:space="0" w:color="auto"/>
              <w:bottom w:val="single" w:sz="4" w:space="0" w:color="auto"/>
            </w:tcBorders>
            <w:shd w:val="clear" w:color="auto" w:fill="auto"/>
            <w:vAlign w:val="bottom"/>
          </w:tcPr>
          <w:p w:rsidR="00F178C8" w:rsidRPr="00230F6E" w:rsidRDefault="00F178C8" w:rsidP="00F178C8">
            <w:pPr>
              <w:spacing w:after="160" w:line="240" w:lineRule="auto"/>
              <w:jc w:val="right"/>
              <w:rPr>
                <w:rFonts w:ascii="Segoe UI" w:hAnsi="Segoe UI" w:cs="Segoe UI"/>
                <w:i/>
                <w:sz w:val="16"/>
                <w:szCs w:val="16"/>
                <w:lang w:val="el-GR"/>
              </w:rPr>
            </w:pPr>
            <w:r>
              <w:rPr>
                <w:rFonts w:ascii="Segoe UI" w:hAnsi="Segoe UI" w:cs="Segoe UI"/>
                <w:i/>
                <w:sz w:val="16"/>
                <w:szCs w:val="16"/>
                <w:lang w:val="el-GR"/>
              </w:rPr>
              <w:t>1,1</w:t>
            </w:r>
            <w:r w:rsidRPr="00230F6E">
              <w:rPr>
                <w:rFonts w:ascii="Segoe UI" w:hAnsi="Segoe UI" w:cs="Segoe UI"/>
                <w:i/>
                <w:sz w:val="16"/>
                <w:szCs w:val="16"/>
                <w:lang w:val="el-GR"/>
              </w:rPr>
              <w:t>%</w:t>
            </w:r>
          </w:p>
        </w:tc>
        <w:tc>
          <w:tcPr>
            <w:tcW w:w="1077" w:type="dxa"/>
            <w:tcBorders>
              <w:top w:val="nil"/>
              <w:left w:val="nil"/>
              <w:bottom w:val="single" w:sz="4" w:space="0" w:color="auto"/>
              <w:right w:val="nil"/>
            </w:tcBorders>
            <w:shd w:val="clear" w:color="auto" w:fill="auto"/>
            <w:vAlign w:val="bottom"/>
          </w:tcPr>
          <w:p w:rsidR="00F178C8" w:rsidRPr="00F178C8" w:rsidRDefault="00F178C8" w:rsidP="00F178C8">
            <w:pPr>
              <w:jc w:val="right"/>
              <w:rPr>
                <w:rFonts w:ascii="Segoe UI" w:hAnsi="Segoe UI" w:cs="Segoe UI"/>
                <w:sz w:val="16"/>
                <w:szCs w:val="18"/>
              </w:rPr>
            </w:pPr>
            <w:r>
              <w:rPr>
                <w:rFonts w:ascii="Segoe UI" w:hAnsi="Segoe UI" w:cs="Segoe UI"/>
                <w:sz w:val="16"/>
                <w:szCs w:val="18"/>
              </w:rPr>
              <w:t>2.</w:t>
            </w:r>
            <w:r w:rsidRPr="00F178C8">
              <w:rPr>
                <w:rFonts w:ascii="Segoe UI" w:hAnsi="Segoe UI" w:cs="Segoe UI"/>
                <w:sz w:val="16"/>
                <w:szCs w:val="18"/>
              </w:rPr>
              <w:t>050</w:t>
            </w:r>
          </w:p>
        </w:tc>
        <w:tc>
          <w:tcPr>
            <w:tcW w:w="1077" w:type="dxa"/>
            <w:tcBorders>
              <w:top w:val="nil"/>
              <w:left w:val="nil"/>
              <w:bottom w:val="single" w:sz="4" w:space="0" w:color="auto"/>
              <w:right w:val="nil"/>
            </w:tcBorders>
            <w:shd w:val="clear" w:color="auto" w:fill="auto"/>
            <w:vAlign w:val="bottom"/>
          </w:tcPr>
          <w:p w:rsidR="00F178C8" w:rsidRPr="00F178C8" w:rsidRDefault="00F178C8" w:rsidP="00F178C8">
            <w:pPr>
              <w:jc w:val="right"/>
              <w:rPr>
                <w:rFonts w:ascii="Segoe UI" w:hAnsi="Segoe UI" w:cs="Segoe UI"/>
                <w:sz w:val="16"/>
                <w:szCs w:val="18"/>
              </w:rPr>
            </w:pPr>
            <w:r w:rsidRPr="00F178C8">
              <w:rPr>
                <w:rFonts w:ascii="Segoe UI" w:hAnsi="Segoe UI" w:cs="Segoe UI"/>
                <w:sz w:val="16"/>
                <w:szCs w:val="18"/>
              </w:rPr>
              <w:t>1</w:t>
            </w:r>
            <w:r>
              <w:rPr>
                <w:rFonts w:ascii="Segoe UI" w:hAnsi="Segoe UI" w:cs="Segoe UI"/>
                <w:sz w:val="16"/>
                <w:szCs w:val="18"/>
              </w:rPr>
              <w:t>.</w:t>
            </w:r>
            <w:r w:rsidRPr="00F178C8">
              <w:rPr>
                <w:rFonts w:ascii="Segoe UI" w:hAnsi="Segoe UI" w:cs="Segoe UI"/>
                <w:sz w:val="16"/>
                <w:szCs w:val="18"/>
              </w:rPr>
              <w:t>896</w:t>
            </w:r>
          </w:p>
        </w:tc>
        <w:tc>
          <w:tcPr>
            <w:tcW w:w="850" w:type="dxa"/>
            <w:tcBorders>
              <w:top w:val="nil"/>
              <w:left w:val="nil"/>
              <w:bottom w:val="single" w:sz="4" w:space="0" w:color="auto"/>
              <w:right w:val="nil"/>
            </w:tcBorders>
            <w:shd w:val="clear" w:color="auto" w:fill="auto"/>
            <w:vAlign w:val="bottom"/>
          </w:tcPr>
          <w:p w:rsidR="00F178C8" w:rsidRPr="00F178C8" w:rsidRDefault="00F178C8" w:rsidP="00F178C8">
            <w:pPr>
              <w:jc w:val="right"/>
              <w:rPr>
                <w:rFonts w:ascii="Segoe UI" w:hAnsi="Segoe UI" w:cs="Segoe UI"/>
                <w:i/>
                <w:sz w:val="16"/>
                <w:szCs w:val="18"/>
              </w:rPr>
            </w:pPr>
            <w:r w:rsidRPr="00F178C8">
              <w:rPr>
                <w:rFonts w:ascii="Segoe UI" w:hAnsi="Segoe UI" w:cs="Segoe UI"/>
                <w:i/>
                <w:sz w:val="16"/>
                <w:szCs w:val="18"/>
              </w:rPr>
              <w:t>8</w:t>
            </w:r>
            <w:r>
              <w:rPr>
                <w:rFonts w:ascii="Segoe UI" w:hAnsi="Segoe UI" w:cs="Segoe UI"/>
                <w:i/>
                <w:sz w:val="16"/>
                <w:szCs w:val="18"/>
              </w:rPr>
              <w:t>,</w:t>
            </w:r>
            <w:r w:rsidRPr="00F178C8">
              <w:rPr>
                <w:rFonts w:ascii="Segoe UI" w:hAnsi="Segoe UI" w:cs="Segoe UI"/>
                <w:i/>
                <w:sz w:val="16"/>
                <w:szCs w:val="18"/>
              </w:rPr>
              <w:t>1%</w:t>
            </w:r>
          </w:p>
        </w:tc>
      </w:tr>
      <w:tr w:rsidR="00F178C8" w:rsidRPr="00DA751A" w:rsidTr="000F02F9">
        <w:trPr>
          <w:trHeight w:hRule="exact" w:val="255"/>
          <w:jc w:val="right"/>
        </w:trPr>
        <w:tc>
          <w:tcPr>
            <w:tcW w:w="3005" w:type="dxa"/>
            <w:tcBorders>
              <w:top w:val="single" w:sz="4" w:space="0" w:color="auto"/>
              <w:bottom w:val="single" w:sz="4" w:space="0" w:color="auto"/>
            </w:tcBorders>
            <w:shd w:val="clear" w:color="auto" w:fill="auto"/>
            <w:vAlign w:val="bottom"/>
          </w:tcPr>
          <w:p w:rsidR="00F178C8" w:rsidRPr="003C4D83" w:rsidRDefault="00F178C8" w:rsidP="00F178C8">
            <w:pPr>
              <w:spacing w:after="160"/>
              <w:rPr>
                <w:rFonts w:ascii="Segoe UI" w:hAnsi="Segoe UI" w:cs="Segoe UI"/>
                <w:sz w:val="16"/>
                <w:szCs w:val="18"/>
                <w:lang w:val="el-GR"/>
              </w:rPr>
            </w:pPr>
            <w:r w:rsidRPr="003C4D83">
              <w:rPr>
                <w:rFonts w:ascii="Segoe UI" w:hAnsi="Segoe UI" w:cs="Segoe UI"/>
                <w:sz w:val="16"/>
                <w:szCs w:val="18"/>
                <w:lang w:val="el-GR"/>
              </w:rPr>
              <w:t xml:space="preserve">          Ελλάδα</w:t>
            </w:r>
          </w:p>
        </w:tc>
        <w:tc>
          <w:tcPr>
            <w:tcW w:w="1077" w:type="dxa"/>
            <w:tcBorders>
              <w:top w:val="single" w:sz="4" w:space="0" w:color="auto"/>
              <w:bottom w:val="single" w:sz="4" w:space="0" w:color="auto"/>
            </w:tcBorders>
            <w:vAlign w:val="bottom"/>
          </w:tcPr>
          <w:p w:rsidR="00F178C8" w:rsidRPr="00230F6E" w:rsidRDefault="00F178C8" w:rsidP="00F178C8">
            <w:pPr>
              <w:jc w:val="right"/>
              <w:rPr>
                <w:rFonts w:ascii="Segoe UI" w:hAnsi="Segoe UI" w:cs="Segoe UI"/>
                <w:sz w:val="16"/>
                <w:szCs w:val="16"/>
              </w:rPr>
            </w:pPr>
            <w:r w:rsidRPr="00230F6E">
              <w:rPr>
                <w:rFonts w:ascii="Segoe UI" w:hAnsi="Segoe UI" w:cs="Segoe UI"/>
                <w:sz w:val="16"/>
                <w:szCs w:val="16"/>
              </w:rPr>
              <w:t>461</w:t>
            </w:r>
          </w:p>
        </w:tc>
        <w:tc>
          <w:tcPr>
            <w:tcW w:w="1077" w:type="dxa"/>
            <w:tcBorders>
              <w:top w:val="single" w:sz="4" w:space="0" w:color="auto"/>
              <w:bottom w:val="single" w:sz="4" w:space="0" w:color="auto"/>
            </w:tcBorders>
            <w:vAlign w:val="bottom"/>
          </w:tcPr>
          <w:p w:rsidR="00F178C8" w:rsidRPr="00230F6E" w:rsidRDefault="00F178C8" w:rsidP="00F178C8">
            <w:pPr>
              <w:jc w:val="right"/>
              <w:rPr>
                <w:rFonts w:ascii="Segoe UI" w:hAnsi="Segoe UI" w:cs="Segoe UI"/>
                <w:sz w:val="16"/>
                <w:szCs w:val="16"/>
              </w:rPr>
            </w:pPr>
            <w:r w:rsidRPr="00230F6E">
              <w:rPr>
                <w:rFonts w:ascii="Segoe UI" w:hAnsi="Segoe UI" w:cs="Segoe UI"/>
                <w:sz w:val="16"/>
                <w:szCs w:val="16"/>
              </w:rPr>
              <w:t>457</w:t>
            </w:r>
          </w:p>
        </w:tc>
        <w:tc>
          <w:tcPr>
            <w:tcW w:w="850" w:type="dxa"/>
            <w:tcBorders>
              <w:top w:val="single" w:sz="4" w:space="0" w:color="auto"/>
              <w:bottom w:val="single" w:sz="4" w:space="0" w:color="auto"/>
            </w:tcBorders>
            <w:vAlign w:val="bottom"/>
          </w:tcPr>
          <w:p w:rsidR="00F178C8" w:rsidRPr="00230F6E" w:rsidRDefault="00F178C8" w:rsidP="00F178C8">
            <w:pPr>
              <w:spacing w:after="160" w:line="240" w:lineRule="auto"/>
              <w:jc w:val="right"/>
              <w:rPr>
                <w:rFonts w:ascii="Segoe UI" w:hAnsi="Segoe UI" w:cs="Segoe UI"/>
                <w:i/>
                <w:sz w:val="16"/>
                <w:szCs w:val="16"/>
                <w:lang w:val="el-GR"/>
              </w:rPr>
            </w:pPr>
            <w:r>
              <w:rPr>
                <w:rFonts w:ascii="Segoe UI" w:hAnsi="Segoe UI" w:cs="Segoe UI"/>
                <w:i/>
                <w:sz w:val="16"/>
                <w:szCs w:val="16"/>
                <w:lang w:val="el-GR"/>
              </w:rPr>
              <w:t>0,9</w:t>
            </w:r>
            <w:r w:rsidRPr="00230F6E">
              <w:rPr>
                <w:rFonts w:ascii="Segoe UI" w:hAnsi="Segoe UI" w:cs="Segoe UI"/>
                <w:i/>
                <w:sz w:val="16"/>
                <w:szCs w:val="16"/>
                <w:lang w:val="el-GR"/>
              </w:rPr>
              <w:t>%</w:t>
            </w:r>
          </w:p>
        </w:tc>
        <w:tc>
          <w:tcPr>
            <w:tcW w:w="1077" w:type="dxa"/>
            <w:tcBorders>
              <w:top w:val="single" w:sz="4" w:space="0" w:color="auto"/>
              <w:left w:val="nil"/>
              <w:bottom w:val="single" w:sz="4" w:space="0" w:color="auto"/>
              <w:right w:val="nil"/>
            </w:tcBorders>
            <w:shd w:val="clear" w:color="auto" w:fill="auto"/>
            <w:vAlign w:val="bottom"/>
          </w:tcPr>
          <w:p w:rsidR="00F178C8" w:rsidRPr="00F178C8" w:rsidRDefault="00F178C8" w:rsidP="00F178C8">
            <w:pPr>
              <w:jc w:val="right"/>
              <w:rPr>
                <w:rFonts w:ascii="Segoe UI" w:hAnsi="Segoe UI" w:cs="Segoe UI"/>
                <w:sz w:val="16"/>
                <w:szCs w:val="18"/>
              </w:rPr>
            </w:pPr>
            <w:r w:rsidRPr="00F178C8">
              <w:rPr>
                <w:rFonts w:ascii="Segoe UI" w:hAnsi="Segoe UI" w:cs="Segoe UI"/>
                <w:sz w:val="16"/>
                <w:szCs w:val="18"/>
              </w:rPr>
              <w:t>1</w:t>
            </w:r>
            <w:r>
              <w:rPr>
                <w:rFonts w:ascii="Segoe UI" w:hAnsi="Segoe UI" w:cs="Segoe UI"/>
                <w:sz w:val="16"/>
                <w:szCs w:val="18"/>
              </w:rPr>
              <w:t>.</w:t>
            </w:r>
            <w:r w:rsidRPr="00F178C8">
              <w:rPr>
                <w:rFonts w:ascii="Segoe UI" w:hAnsi="Segoe UI" w:cs="Segoe UI"/>
                <w:sz w:val="16"/>
                <w:szCs w:val="18"/>
              </w:rPr>
              <w:t>809</w:t>
            </w:r>
          </w:p>
        </w:tc>
        <w:tc>
          <w:tcPr>
            <w:tcW w:w="1077" w:type="dxa"/>
            <w:tcBorders>
              <w:top w:val="single" w:sz="4" w:space="0" w:color="auto"/>
              <w:left w:val="nil"/>
              <w:bottom w:val="single" w:sz="4" w:space="0" w:color="auto"/>
              <w:right w:val="nil"/>
            </w:tcBorders>
            <w:shd w:val="clear" w:color="auto" w:fill="auto"/>
            <w:vAlign w:val="bottom"/>
          </w:tcPr>
          <w:p w:rsidR="00F178C8" w:rsidRPr="00F178C8" w:rsidRDefault="00F178C8" w:rsidP="00F178C8">
            <w:pPr>
              <w:jc w:val="right"/>
              <w:rPr>
                <w:rFonts w:ascii="Segoe UI" w:hAnsi="Segoe UI" w:cs="Segoe UI"/>
                <w:sz w:val="16"/>
                <w:szCs w:val="18"/>
              </w:rPr>
            </w:pPr>
            <w:r>
              <w:rPr>
                <w:rFonts w:ascii="Segoe UI" w:hAnsi="Segoe UI" w:cs="Segoe UI"/>
                <w:sz w:val="16"/>
                <w:szCs w:val="18"/>
              </w:rPr>
              <w:t>1.</w:t>
            </w:r>
            <w:r w:rsidRPr="00F178C8">
              <w:rPr>
                <w:rFonts w:ascii="Segoe UI" w:hAnsi="Segoe UI" w:cs="Segoe UI"/>
                <w:sz w:val="16"/>
                <w:szCs w:val="18"/>
              </w:rPr>
              <w:t>653</w:t>
            </w:r>
          </w:p>
        </w:tc>
        <w:tc>
          <w:tcPr>
            <w:tcW w:w="850" w:type="dxa"/>
            <w:tcBorders>
              <w:top w:val="single" w:sz="4" w:space="0" w:color="auto"/>
              <w:left w:val="nil"/>
              <w:bottom w:val="single" w:sz="4" w:space="0" w:color="auto"/>
              <w:right w:val="nil"/>
            </w:tcBorders>
            <w:shd w:val="clear" w:color="auto" w:fill="auto"/>
            <w:vAlign w:val="bottom"/>
          </w:tcPr>
          <w:p w:rsidR="00F178C8" w:rsidRPr="00F178C8" w:rsidRDefault="00F178C8" w:rsidP="00F178C8">
            <w:pPr>
              <w:jc w:val="right"/>
              <w:rPr>
                <w:rFonts w:ascii="Segoe UI" w:hAnsi="Segoe UI" w:cs="Segoe UI"/>
                <w:i/>
                <w:sz w:val="16"/>
                <w:szCs w:val="18"/>
              </w:rPr>
            </w:pPr>
            <w:r w:rsidRPr="00F178C8">
              <w:rPr>
                <w:rFonts w:ascii="Segoe UI" w:hAnsi="Segoe UI" w:cs="Segoe UI"/>
                <w:i/>
                <w:sz w:val="16"/>
                <w:szCs w:val="18"/>
              </w:rPr>
              <w:t>9</w:t>
            </w:r>
            <w:r>
              <w:rPr>
                <w:rFonts w:ascii="Segoe UI" w:hAnsi="Segoe UI" w:cs="Segoe UI"/>
                <w:i/>
                <w:sz w:val="16"/>
                <w:szCs w:val="18"/>
              </w:rPr>
              <w:t>,</w:t>
            </w:r>
            <w:r w:rsidRPr="00F178C8">
              <w:rPr>
                <w:rFonts w:ascii="Segoe UI" w:hAnsi="Segoe UI" w:cs="Segoe UI"/>
                <w:i/>
                <w:sz w:val="16"/>
                <w:szCs w:val="18"/>
              </w:rPr>
              <w:t>4%</w:t>
            </w:r>
          </w:p>
        </w:tc>
      </w:tr>
      <w:tr w:rsidR="00230F6E" w:rsidRPr="00B522A6" w:rsidTr="000F02F9">
        <w:trPr>
          <w:trHeight w:hRule="exact" w:val="255"/>
          <w:jc w:val="right"/>
        </w:trPr>
        <w:tc>
          <w:tcPr>
            <w:tcW w:w="3005" w:type="dxa"/>
            <w:tcBorders>
              <w:top w:val="single" w:sz="4" w:space="0" w:color="auto"/>
              <w:bottom w:val="single" w:sz="4" w:space="0" w:color="auto"/>
            </w:tcBorders>
            <w:shd w:val="clear" w:color="auto" w:fill="auto"/>
            <w:vAlign w:val="bottom"/>
          </w:tcPr>
          <w:p w:rsidR="00230F6E" w:rsidRPr="003C4D83" w:rsidRDefault="00230F6E" w:rsidP="00230F6E">
            <w:pPr>
              <w:spacing w:after="160"/>
              <w:rPr>
                <w:rFonts w:ascii="Segoe UI" w:hAnsi="Segoe UI" w:cs="Segoe UI"/>
                <w:sz w:val="16"/>
                <w:szCs w:val="18"/>
                <w:lang w:val="el-GR"/>
              </w:rPr>
            </w:pPr>
            <w:r w:rsidRPr="003C4D83">
              <w:rPr>
                <w:rFonts w:ascii="Segoe UI" w:hAnsi="Segoe UI" w:cs="Segoe UI"/>
                <w:sz w:val="16"/>
                <w:szCs w:val="18"/>
                <w:lang w:val="el-GR"/>
              </w:rPr>
              <w:t xml:space="preserve">          ΝΑ Ευρώπη</w:t>
            </w:r>
            <w:r w:rsidRPr="003C4D83">
              <w:rPr>
                <w:rFonts w:ascii="Segoe UI" w:hAnsi="Segoe UI" w:cs="Segoe UI"/>
                <w:sz w:val="16"/>
                <w:szCs w:val="18"/>
                <w:vertAlign w:val="superscript"/>
                <w:lang w:val="el-GR"/>
              </w:rPr>
              <w:t>2</w:t>
            </w:r>
          </w:p>
        </w:tc>
        <w:tc>
          <w:tcPr>
            <w:tcW w:w="1077" w:type="dxa"/>
            <w:tcBorders>
              <w:top w:val="single" w:sz="4" w:space="0" w:color="auto"/>
              <w:bottom w:val="single" w:sz="4" w:space="0" w:color="auto"/>
            </w:tcBorders>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61</w:t>
            </w:r>
          </w:p>
        </w:tc>
        <w:tc>
          <w:tcPr>
            <w:tcW w:w="1077" w:type="dxa"/>
            <w:tcBorders>
              <w:top w:val="single" w:sz="4" w:space="0" w:color="auto"/>
              <w:bottom w:val="single" w:sz="4" w:space="0" w:color="auto"/>
            </w:tcBorders>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59</w:t>
            </w:r>
          </w:p>
        </w:tc>
        <w:tc>
          <w:tcPr>
            <w:tcW w:w="850" w:type="dxa"/>
            <w:tcBorders>
              <w:top w:val="single" w:sz="4" w:space="0" w:color="auto"/>
              <w:bottom w:val="single" w:sz="4" w:space="0" w:color="auto"/>
            </w:tcBorders>
            <w:vAlign w:val="bottom"/>
          </w:tcPr>
          <w:p w:rsidR="00230F6E" w:rsidRPr="00230F6E" w:rsidRDefault="00230F6E" w:rsidP="000F02F9">
            <w:pPr>
              <w:spacing w:after="160" w:line="240" w:lineRule="auto"/>
              <w:jc w:val="right"/>
              <w:rPr>
                <w:rFonts w:ascii="Segoe UI" w:hAnsi="Segoe UI" w:cs="Segoe UI"/>
                <w:i/>
                <w:sz w:val="16"/>
                <w:szCs w:val="16"/>
              </w:rPr>
            </w:pPr>
            <w:r>
              <w:rPr>
                <w:rFonts w:ascii="Segoe UI" w:hAnsi="Segoe UI" w:cs="Segoe UI"/>
                <w:i/>
                <w:sz w:val="16"/>
                <w:szCs w:val="16"/>
                <w:lang w:val="el-GR"/>
              </w:rPr>
              <w:t>2,7</w:t>
            </w:r>
            <w:r w:rsidRPr="00230F6E">
              <w:rPr>
                <w:rFonts w:ascii="Segoe UI" w:hAnsi="Segoe UI" w:cs="Segoe UI"/>
                <w:i/>
                <w:sz w:val="16"/>
                <w:szCs w:val="16"/>
              </w:rPr>
              <w:t>%</w:t>
            </w:r>
          </w:p>
        </w:tc>
        <w:tc>
          <w:tcPr>
            <w:tcW w:w="1077" w:type="dxa"/>
            <w:tcBorders>
              <w:top w:val="single" w:sz="4" w:space="0" w:color="auto"/>
              <w:left w:val="nil"/>
              <w:bottom w:val="single" w:sz="4" w:space="0" w:color="auto"/>
              <w:right w:val="nil"/>
            </w:tcBorders>
            <w:shd w:val="clear" w:color="auto" w:fill="auto"/>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241</w:t>
            </w:r>
          </w:p>
        </w:tc>
        <w:tc>
          <w:tcPr>
            <w:tcW w:w="1077" w:type="dxa"/>
            <w:tcBorders>
              <w:top w:val="single" w:sz="4" w:space="0" w:color="auto"/>
              <w:left w:val="nil"/>
              <w:bottom w:val="single" w:sz="4" w:space="0" w:color="auto"/>
              <w:right w:val="nil"/>
            </w:tcBorders>
            <w:shd w:val="clear" w:color="auto" w:fill="auto"/>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243</w:t>
            </w:r>
          </w:p>
        </w:tc>
        <w:tc>
          <w:tcPr>
            <w:tcW w:w="850" w:type="dxa"/>
            <w:tcBorders>
              <w:top w:val="single" w:sz="4" w:space="0" w:color="auto"/>
              <w:left w:val="nil"/>
              <w:bottom w:val="single" w:sz="4" w:space="0" w:color="auto"/>
              <w:right w:val="nil"/>
            </w:tcBorders>
            <w:shd w:val="clear" w:color="auto" w:fill="auto"/>
            <w:vAlign w:val="bottom"/>
          </w:tcPr>
          <w:p w:rsidR="00230F6E" w:rsidRPr="00230F6E" w:rsidRDefault="00230F6E" w:rsidP="00230F6E">
            <w:pPr>
              <w:spacing w:after="160" w:line="240" w:lineRule="auto"/>
              <w:jc w:val="right"/>
              <w:rPr>
                <w:rFonts w:ascii="Segoe UI" w:hAnsi="Segoe UI" w:cs="Segoe UI"/>
                <w:i/>
                <w:sz w:val="16"/>
                <w:szCs w:val="16"/>
              </w:rPr>
            </w:pPr>
            <w:r w:rsidRPr="00230F6E">
              <w:rPr>
                <w:rFonts w:ascii="Segoe UI" w:hAnsi="Segoe UI" w:cs="Segoe UI"/>
                <w:i/>
                <w:sz w:val="16"/>
                <w:szCs w:val="16"/>
              </w:rPr>
              <w:t>-0</w:t>
            </w:r>
            <w:r w:rsidRPr="00230F6E">
              <w:rPr>
                <w:rFonts w:ascii="Segoe UI" w:hAnsi="Segoe UI" w:cs="Segoe UI"/>
                <w:i/>
                <w:sz w:val="16"/>
                <w:szCs w:val="16"/>
                <w:lang w:val="el-GR"/>
              </w:rPr>
              <w:t>,</w:t>
            </w:r>
            <w:r>
              <w:rPr>
                <w:rFonts w:ascii="Segoe UI" w:hAnsi="Segoe UI" w:cs="Segoe UI"/>
                <w:i/>
                <w:sz w:val="16"/>
                <w:szCs w:val="16"/>
              </w:rPr>
              <w:t>9</w:t>
            </w:r>
            <w:r w:rsidRPr="00230F6E">
              <w:rPr>
                <w:rFonts w:ascii="Segoe UI" w:hAnsi="Segoe UI" w:cs="Segoe UI"/>
                <w:i/>
                <w:sz w:val="16"/>
                <w:szCs w:val="16"/>
              </w:rPr>
              <w:t>%</w:t>
            </w:r>
          </w:p>
        </w:tc>
      </w:tr>
      <w:tr w:rsidR="00230F6E" w:rsidRPr="00B522A6" w:rsidTr="000F02F9">
        <w:trPr>
          <w:trHeight w:hRule="exact" w:val="510"/>
          <w:jc w:val="right"/>
        </w:trPr>
        <w:tc>
          <w:tcPr>
            <w:tcW w:w="3005" w:type="dxa"/>
            <w:tcBorders>
              <w:bottom w:val="single" w:sz="12" w:space="0" w:color="auto"/>
            </w:tcBorders>
            <w:shd w:val="clear" w:color="auto" w:fill="auto"/>
            <w:vAlign w:val="bottom"/>
          </w:tcPr>
          <w:p w:rsidR="00230F6E" w:rsidRPr="003C4D83" w:rsidRDefault="00230F6E" w:rsidP="00230F6E">
            <w:pPr>
              <w:spacing w:after="160" w:line="240" w:lineRule="auto"/>
              <w:rPr>
                <w:rFonts w:ascii="Segoe UI" w:hAnsi="Segoe UI" w:cs="Segoe UI"/>
                <w:b/>
                <w:sz w:val="16"/>
                <w:szCs w:val="18"/>
                <w:lang w:val="el-GR"/>
              </w:rPr>
            </w:pPr>
            <w:r w:rsidRPr="003C4D83">
              <w:rPr>
                <w:rFonts w:ascii="Segoe UI" w:eastAsia="Times New Roman" w:hAnsi="Segoe UI" w:cs="Segoe UI"/>
                <w:b/>
                <w:bCs/>
                <w:sz w:val="16"/>
                <w:szCs w:val="18"/>
                <w:lang w:val="el-GR"/>
              </w:rPr>
              <w:t xml:space="preserve">Λειτουργικά Έξοδα (€ εκατ.) </w:t>
            </w:r>
          </w:p>
        </w:tc>
        <w:tc>
          <w:tcPr>
            <w:tcW w:w="1077" w:type="dxa"/>
            <w:tcBorders>
              <w:bottom w:val="single" w:sz="12" w:space="0" w:color="auto"/>
            </w:tcBorders>
            <w:vAlign w:val="bottom"/>
          </w:tcPr>
          <w:p w:rsidR="00230F6E" w:rsidRPr="00230F6E" w:rsidRDefault="00230F6E" w:rsidP="000F02F9">
            <w:pPr>
              <w:jc w:val="right"/>
              <w:rPr>
                <w:rFonts w:ascii="Segoe UI" w:hAnsi="Segoe UI" w:cs="Segoe UI"/>
                <w:sz w:val="16"/>
                <w:szCs w:val="16"/>
              </w:rPr>
            </w:pPr>
          </w:p>
        </w:tc>
        <w:tc>
          <w:tcPr>
            <w:tcW w:w="1077" w:type="dxa"/>
            <w:tcBorders>
              <w:bottom w:val="single" w:sz="12" w:space="0" w:color="auto"/>
            </w:tcBorders>
            <w:vAlign w:val="bottom"/>
          </w:tcPr>
          <w:p w:rsidR="00230F6E" w:rsidRPr="00230F6E" w:rsidRDefault="00230F6E" w:rsidP="000F02F9">
            <w:pPr>
              <w:jc w:val="right"/>
              <w:rPr>
                <w:rFonts w:ascii="Segoe UI" w:hAnsi="Segoe UI" w:cs="Segoe UI"/>
                <w:sz w:val="16"/>
                <w:szCs w:val="16"/>
              </w:rPr>
            </w:pPr>
          </w:p>
        </w:tc>
        <w:tc>
          <w:tcPr>
            <w:tcW w:w="850" w:type="dxa"/>
            <w:tcBorders>
              <w:bottom w:val="single" w:sz="12" w:space="0" w:color="auto"/>
            </w:tcBorders>
            <w:vAlign w:val="bottom"/>
          </w:tcPr>
          <w:p w:rsidR="00230F6E" w:rsidRPr="00230F6E" w:rsidRDefault="00230F6E" w:rsidP="000F02F9">
            <w:pPr>
              <w:spacing w:after="160" w:line="240" w:lineRule="auto"/>
              <w:jc w:val="right"/>
              <w:rPr>
                <w:rFonts w:ascii="Segoe UI" w:hAnsi="Segoe UI" w:cs="Segoe UI"/>
                <w:i/>
                <w:sz w:val="16"/>
                <w:szCs w:val="16"/>
                <w:highlight w:val="yellow"/>
              </w:rPr>
            </w:pPr>
          </w:p>
        </w:tc>
        <w:tc>
          <w:tcPr>
            <w:tcW w:w="1077" w:type="dxa"/>
            <w:tcBorders>
              <w:top w:val="single" w:sz="4" w:space="0" w:color="auto"/>
              <w:bottom w:val="single" w:sz="12" w:space="0" w:color="auto"/>
            </w:tcBorders>
            <w:vAlign w:val="bottom"/>
          </w:tcPr>
          <w:p w:rsidR="00230F6E" w:rsidRPr="00230F6E" w:rsidRDefault="00230F6E" w:rsidP="000F02F9">
            <w:pPr>
              <w:jc w:val="right"/>
              <w:rPr>
                <w:rFonts w:ascii="Segoe UI" w:hAnsi="Segoe UI" w:cs="Segoe UI"/>
                <w:sz w:val="16"/>
                <w:szCs w:val="16"/>
              </w:rPr>
            </w:pPr>
          </w:p>
        </w:tc>
        <w:tc>
          <w:tcPr>
            <w:tcW w:w="1077" w:type="dxa"/>
            <w:tcBorders>
              <w:top w:val="single" w:sz="4" w:space="0" w:color="auto"/>
              <w:bottom w:val="single" w:sz="12" w:space="0" w:color="auto"/>
            </w:tcBorders>
            <w:vAlign w:val="bottom"/>
          </w:tcPr>
          <w:p w:rsidR="00230F6E" w:rsidRPr="00230F6E" w:rsidRDefault="00230F6E" w:rsidP="000F02F9">
            <w:pPr>
              <w:jc w:val="right"/>
              <w:rPr>
                <w:rFonts w:ascii="Segoe UI" w:hAnsi="Segoe UI" w:cs="Segoe UI"/>
                <w:sz w:val="16"/>
                <w:szCs w:val="16"/>
              </w:rPr>
            </w:pPr>
          </w:p>
        </w:tc>
        <w:tc>
          <w:tcPr>
            <w:tcW w:w="850" w:type="dxa"/>
            <w:tcBorders>
              <w:top w:val="single" w:sz="4" w:space="0" w:color="auto"/>
              <w:bottom w:val="single" w:sz="12" w:space="0" w:color="auto"/>
            </w:tcBorders>
            <w:shd w:val="clear" w:color="auto" w:fill="auto"/>
            <w:vAlign w:val="bottom"/>
          </w:tcPr>
          <w:p w:rsidR="00230F6E" w:rsidRPr="00230F6E" w:rsidRDefault="00230F6E" w:rsidP="00230F6E">
            <w:pPr>
              <w:spacing w:after="160" w:line="240" w:lineRule="auto"/>
              <w:jc w:val="right"/>
              <w:rPr>
                <w:rFonts w:ascii="Segoe UI" w:hAnsi="Segoe UI" w:cs="Segoe UI"/>
                <w:i/>
                <w:sz w:val="16"/>
                <w:szCs w:val="16"/>
                <w:highlight w:val="yellow"/>
              </w:rPr>
            </w:pPr>
          </w:p>
        </w:tc>
      </w:tr>
      <w:tr w:rsidR="00230F6E" w:rsidRPr="00B522A6" w:rsidTr="000F02F9">
        <w:trPr>
          <w:trHeight w:hRule="exact" w:val="255"/>
          <w:jc w:val="right"/>
        </w:trPr>
        <w:tc>
          <w:tcPr>
            <w:tcW w:w="3005" w:type="dxa"/>
            <w:tcBorders>
              <w:top w:val="single" w:sz="12" w:space="0" w:color="auto"/>
              <w:bottom w:val="single" w:sz="4" w:space="0" w:color="auto"/>
            </w:tcBorders>
            <w:shd w:val="clear" w:color="auto" w:fill="auto"/>
            <w:vAlign w:val="bottom"/>
          </w:tcPr>
          <w:p w:rsidR="00230F6E" w:rsidRPr="003C4D83" w:rsidRDefault="00230F6E" w:rsidP="00230F6E">
            <w:pPr>
              <w:spacing w:after="160"/>
              <w:rPr>
                <w:rFonts w:ascii="Segoe UI" w:eastAsia="Times New Roman" w:hAnsi="Segoe UI" w:cs="Segoe UI"/>
                <w:sz w:val="16"/>
                <w:szCs w:val="18"/>
                <w:lang w:val="el-GR"/>
              </w:rPr>
            </w:pPr>
            <w:r w:rsidRPr="003C4D83">
              <w:rPr>
                <w:rFonts w:ascii="Segoe UI" w:hAnsi="Segoe UI" w:cs="Segoe UI"/>
                <w:sz w:val="16"/>
                <w:szCs w:val="18"/>
                <w:lang w:val="el-GR"/>
              </w:rPr>
              <w:t>Ομίλου</w:t>
            </w:r>
          </w:p>
        </w:tc>
        <w:tc>
          <w:tcPr>
            <w:tcW w:w="1077" w:type="dxa"/>
            <w:tcBorders>
              <w:top w:val="single" w:sz="12" w:space="0" w:color="auto"/>
              <w:bottom w:val="single" w:sz="4" w:space="0" w:color="auto"/>
            </w:tcBorders>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291</w:t>
            </w:r>
          </w:p>
        </w:tc>
        <w:tc>
          <w:tcPr>
            <w:tcW w:w="1077" w:type="dxa"/>
            <w:tcBorders>
              <w:top w:val="single" w:sz="12" w:space="0" w:color="auto"/>
              <w:bottom w:val="single" w:sz="4" w:space="0" w:color="auto"/>
            </w:tcBorders>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296</w:t>
            </w:r>
          </w:p>
        </w:tc>
        <w:tc>
          <w:tcPr>
            <w:tcW w:w="850" w:type="dxa"/>
            <w:tcBorders>
              <w:top w:val="single" w:sz="12" w:space="0" w:color="auto"/>
              <w:bottom w:val="single" w:sz="4" w:space="0" w:color="auto"/>
            </w:tcBorders>
            <w:vAlign w:val="bottom"/>
          </w:tcPr>
          <w:p w:rsidR="00230F6E" w:rsidRPr="00230F6E" w:rsidRDefault="00230F6E" w:rsidP="00AD0E03">
            <w:pPr>
              <w:spacing w:after="160" w:line="240" w:lineRule="auto"/>
              <w:jc w:val="right"/>
              <w:rPr>
                <w:rFonts w:ascii="Segoe UI" w:eastAsia="Times New Roman" w:hAnsi="Segoe UI" w:cs="Segoe UI"/>
                <w:i/>
                <w:sz w:val="16"/>
                <w:szCs w:val="16"/>
              </w:rPr>
            </w:pPr>
            <w:r w:rsidRPr="00230F6E">
              <w:rPr>
                <w:rFonts w:ascii="Segoe UI" w:eastAsia="Times New Roman" w:hAnsi="Segoe UI" w:cs="Segoe UI"/>
                <w:i/>
                <w:sz w:val="16"/>
                <w:szCs w:val="16"/>
              </w:rPr>
              <w:t>-</w:t>
            </w:r>
            <w:r>
              <w:rPr>
                <w:rFonts w:ascii="Segoe UI" w:eastAsia="Times New Roman" w:hAnsi="Segoe UI" w:cs="Segoe UI"/>
                <w:i/>
                <w:sz w:val="16"/>
                <w:szCs w:val="16"/>
                <w:lang w:val="el-GR"/>
              </w:rPr>
              <w:t>1,</w:t>
            </w:r>
            <w:r w:rsidR="00AD0E03">
              <w:rPr>
                <w:rFonts w:ascii="Segoe UI" w:eastAsia="Times New Roman" w:hAnsi="Segoe UI" w:cs="Segoe UI"/>
                <w:i/>
                <w:sz w:val="16"/>
                <w:szCs w:val="16"/>
                <w:lang w:val="el-GR"/>
              </w:rPr>
              <w:t>9</w:t>
            </w:r>
            <w:r w:rsidRPr="00230F6E">
              <w:rPr>
                <w:rFonts w:ascii="Segoe UI" w:eastAsia="Times New Roman" w:hAnsi="Segoe UI" w:cs="Segoe UI"/>
                <w:i/>
                <w:sz w:val="16"/>
                <w:szCs w:val="16"/>
              </w:rPr>
              <w:t>%</w:t>
            </w:r>
          </w:p>
        </w:tc>
        <w:tc>
          <w:tcPr>
            <w:tcW w:w="1077" w:type="dxa"/>
            <w:tcBorders>
              <w:top w:val="single" w:sz="12" w:space="0" w:color="auto"/>
              <w:bottom w:val="single" w:sz="4" w:space="0" w:color="auto"/>
            </w:tcBorders>
            <w:vAlign w:val="bottom"/>
          </w:tcPr>
          <w:p w:rsidR="00230F6E" w:rsidRPr="00230F6E" w:rsidRDefault="00230F6E" w:rsidP="009B0B19">
            <w:pPr>
              <w:jc w:val="right"/>
              <w:rPr>
                <w:rFonts w:ascii="Segoe UI" w:hAnsi="Segoe UI" w:cs="Segoe UI"/>
                <w:sz w:val="16"/>
                <w:szCs w:val="16"/>
              </w:rPr>
            </w:pPr>
            <w:r w:rsidRPr="00230F6E">
              <w:rPr>
                <w:rFonts w:ascii="Segoe UI" w:hAnsi="Segoe UI" w:cs="Segoe UI"/>
                <w:sz w:val="16"/>
                <w:szCs w:val="16"/>
              </w:rPr>
              <w:t>1,1</w:t>
            </w:r>
            <w:r w:rsidR="009B0B19">
              <w:rPr>
                <w:rFonts w:ascii="Segoe UI" w:hAnsi="Segoe UI" w:cs="Segoe UI"/>
                <w:sz w:val="16"/>
                <w:szCs w:val="16"/>
              </w:rPr>
              <w:t>69</w:t>
            </w:r>
          </w:p>
        </w:tc>
        <w:tc>
          <w:tcPr>
            <w:tcW w:w="1077" w:type="dxa"/>
            <w:tcBorders>
              <w:top w:val="single" w:sz="12" w:space="0" w:color="auto"/>
              <w:bottom w:val="single" w:sz="4" w:space="0" w:color="auto"/>
            </w:tcBorders>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1,214</w:t>
            </w:r>
          </w:p>
        </w:tc>
        <w:tc>
          <w:tcPr>
            <w:tcW w:w="850" w:type="dxa"/>
            <w:tcBorders>
              <w:top w:val="single" w:sz="12" w:space="0" w:color="auto"/>
              <w:bottom w:val="single" w:sz="4" w:space="0" w:color="auto"/>
            </w:tcBorders>
            <w:shd w:val="clear" w:color="auto" w:fill="auto"/>
            <w:vAlign w:val="bottom"/>
          </w:tcPr>
          <w:p w:rsidR="00230F6E" w:rsidRPr="00230F6E" w:rsidRDefault="00230F6E" w:rsidP="00230F6E">
            <w:pPr>
              <w:spacing w:after="160" w:line="240" w:lineRule="auto"/>
              <w:jc w:val="right"/>
              <w:rPr>
                <w:rFonts w:ascii="Segoe UI" w:eastAsia="Times New Roman" w:hAnsi="Segoe UI" w:cs="Segoe UI"/>
                <w:i/>
                <w:sz w:val="16"/>
                <w:szCs w:val="16"/>
              </w:rPr>
            </w:pPr>
            <w:r w:rsidRPr="00230F6E">
              <w:rPr>
                <w:rFonts w:ascii="Segoe UI" w:eastAsia="Times New Roman" w:hAnsi="Segoe UI" w:cs="Segoe UI"/>
                <w:i/>
                <w:sz w:val="16"/>
                <w:szCs w:val="16"/>
              </w:rPr>
              <w:t>-</w:t>
            </w:r>
            <w:r w:rsidR="009B0B19">
              <w:rPr>
                <w:rFonts w:ascii="Segoe UI" w:eastAsia="Times New Roman" w:hAnsi="Segoe UI" w:cs="Segoe UI"/>
                <w:i/>
                <w:sz w:val="16"/>
                <w:szCs w:val="16"/>
                <w:lang w:val="el-GR"/>
              </w:rPr>
              <w:t>3,7</w:t>
            </w:r>
            <w:r w:rsidRPr="00230F6E">
              <w:rPr>
                <w:rFonts w:ascii="Segoe UI" w:eastAsia="Times New Roman" w:hAnsi="Segoe UI" w:cs="Segoe UI"/>
                <w:i/>
                <w:sz w:val="16"/>
                <w:szCs w:val="16"/>
              </w:rPr>
              <w:t>%</w:t>
            </w:r>
          </w:p>
        </w:tc>
      </w:tr>
      <w:tr w:rsidR="00230F6E" w:rsidRPr="00B522A6" w:rsidTr="000F02F9">
        <w:trPr>
          <w:trHeight w:hRule="exact" w:val="255"/>
          <w:jc w:val="right"/>
        </w:trPr>
        <w:tc>
          <w:tcPr>
            <w:tcW w:w="3005" w:type="dxa"/>
            <w:tcBorders>
              <w:top w:val="single" w:sz="4" w:space="0" w:color="auto"/>
              <w:bottom w:val="single" w:sz="4" w:space="0" w:color="auto"/>
            </w:tcBorders>
            <w:shd w:val="clear" w:color="auto" w:fill="auto"/>
            <w:vAlign w:val="bottom"/>
          </w:tcPr>
          <w:p w:rsidR="00230F6E" w:rsidRPr="003C4D83" w:rsidRDefault="00230F6E" w:rsidP="00230F6E">
            <w:pPr>
              <w:spacing w:after="160"/>
              <w:rPr>
                <w:rFonts w:ascii="Segoe UI" w:hAnsi="Segoe UI" w:cs="Segoe UI"/>
                <w:sz w:val="16"/>
                <w:szCs w:val="18"/>
                <w:lang w:val="el-GR"/>
              </w:rPr>
            </w:pPr>
            <w:r w:rsidRPr="003C4D83">
              <w:rPr>
                <w:rFonts w:ascii="Segoe UI" w:hAnsi="Segoe UI" w:cs="Segoe UI"/>
                <w:sz w:val="16"/>
                <w:szCs w:val="18"/>
                <w:lang w:val="el-GR"/>
              </w:rPr>
              <w:t xml:space="preserve">          Ελλάδα</w:t>
            </w:r>
          </w:p>
        </w:tc>
        <w:tc>
          <w:tcPr>
            <w:tcW w:w="1077" w:type="dxa"/>
            <w:tcBorders>
              <w:top w:val="single" w:sz="4" w:space="0" w:color="auto"/>
              <w:bottom w:val="single" w:sz="4" w:space="0" w:color="auto"/>
            </w:tcBorders>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245</w:t>
            </w:r>
          </w:p>
        </w:tc>
        <w:tc>
          <w:tcPr>
            <w:tcW w:w="1077" w:type="dxa"/>
            <w:tcBorders>
              <w:top w:val="single" w:sz="4" w:space="0" w:color="auto"/>
              <w:bottom w:val="single" w:sz="4" w:space="0" w:color="auto"/>
            </w:tcBorders>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252</w:t>
            </w:r>
          </w:p>
        </w:tc>
        <w:tc>
          <w:tcPr>
            <w:tcW w:w="850" w:type="dxa"/>
            <w:tcBorders>
              <w:top w:val="single" w:sz="4" w:space="0" w:color="auto"/>
              <w:bottom w:val="single" w:sz="4" w:space="0" w:color="auto"/>
            </w:tcBorders>
            <w:vAlign w:val="bottom"/>
          </w:tcPr>
          <w:p w:rsidR="00230F6E" w:rsidRPr="00230F6E" w:rsidRDefault="00230F6E" w:rsidP="00AD0E03">
            <w:pPr>
              <w:spacing w:after="160" w:line="240" w:lineRule="auto"/>
              <w:jc w:val="right"/>
              <w:rPr>
                <w:rFonts w:ascii="Segoe UI" w:hAnsi="Segoe UI" w:cs="Segoe UI"/>
                <w:i/>
                <w:sz w:val="16"/>
                <w:szCs w:val="16"/>
              </w:rPr>
            </w:pPr>
            <w:r w:rsidRPr="00230F6E">
              <w:rPr>
                <w:rFonts w:ascii="Segoe UI" w:hAnsi="Segoe UI" w:cs="Segoe UI"/>
                <w:i/>
                <w:sz w:val="16"/>
                <w:szCs w:val="16"/>
              </w:rPr>
              <w:t>-</w:t>
            </w:r>
            <w:r>
              <w:rPr>
                <w:rFonts w:ascii="Segoe UI" w:hAnsi="Segoe UI" w:cs="Segoe UI"/>
                <w:i/>
                <w:sz w:val="16"/>
                <w:szCs w:val="16"/>
                <w:lang w:val="el-GR"/>
              </w:rPr>
              <w:t>2,</w:t>
            </w:r>
            <w:r w:rsidR="00AD0E03">
              <w:rPr>
                <w:rFonts w:ascii="Segoe UI" w:hAnsi="Segoe UI" w:cs="Segoe UI"/>
                <w:i/>
                <w:sz w:val="16"/>
                <w:szCs w:val="16"/>
                <w:lang w:val="el-GR"/>
              </w:rPr>
              <w:t>7</w:t>
            </w:r>
            <w:r>
              <w:rPr>
                <w:rFonts w:ascii="Segoe UI" w:hAnsi="Segoe UI" w:cs="Segoe UI"/>
                <w:i/>
                <w:sz w:val="16"/>
                <w:szCs w:val="16"/>
                <w:lang w:val="el-GR"/>
              </w:rPr>
              <w:t>%</w:t>
            </w:r>
          </w:p>
        </w:tc>
        <w:tc>
          <w:tcPr>
            <w:tcW w:w="1077" w:type="dxa"/>
            <w:tcBorders>
              <w:top w:val="single" w:sz="4" w:space="0" w:color="auto"/>
              <w:bottom w:val="single" w:sz="4" w:space="0" w:color="auto"/>
            </w:tcBorders>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991</w:t>
            </w:r>
          </w:p>
        </w:tc>
        <w:tc>
          <w:tcPr>
            <w:tcW w:w="1077" w:type="dxa"/>
            <w:tcBorders>
              <w:top w:val="single" w:sz="4" w:space="0" w:color="auto"/>
            </w:tcBorders>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1,030</w:t>
            </w:r>
          </w:p>
        </w:tc>
        <w:tc>
          <w:tcPr>
            <w:tcW w:w="850" w:type="dxa"/>
            <w:tcBorders>
              <w:top w:val="single" w:sz="4" w:space="0" w:color="auto"/>
            </w:tcBorders>
            <w:shd w:val="clear" w:color="auto" w:fill="auto"/>
            <w:vAlign w:val="bottom"/>
          </w:tcPr>
          <w:p w:rsidR="00230F6E" w:rsidRPr="00230F6E" w:rsidRDefault="00230F6E" w:rsidP="00230F6E">
            <w:pPr>
              <w:spacing w:after="160" w:line="240" w:lineRule="auto"/>
              <w:jc w:val="right"/>
              <w:rPr>
                <w:rFonts w:ascii="Segoe UI" w:eastAsia="Times New Roman" w:hAnsi="Segoe UI" w:cs="Segoe UI"/>
                <w:i/>
                <w:sz w:val="16"/>
                <w:szCs w:val="16"/>
              </w:rPr>
            </w:pPr>
            <w:r w:rsidRPr="00230F6E">
              <w:rPr>
                <w:rFonts w:ascii="Segoe UI" w:eastAsia="Times New Roman" w:hAnsi="Segoe UI" w:cs="Segoe UI"/>
                <w:i/>
                <w:sz w:val="16"/>
                <w:szCs w:val="16"/>
              </w:rPr>
              <w:t>-</w:t>
            </w:r>
            <w:r>
              <w:rPr>
                <w:rFonts w:ascii="Segoe UI" w:eastAsia="Times New Roman" w:hAnsi="Segoe UI" w:cs="Segoe UI"/>
                <w:i/>
                <w:sz w:val="16"/>
                <w:szCs w:val="16"/>
                <w:lang w:val="el-GR"/>
              </w:rPr>
              <w:t>3</w:t>
            </w:r>
            <w:r w:rsidRPr="00230F6E">
              <w:rPr>
                <w:rFonts w:ascii="Segoe UI" w:eastAsia="Times New Roman" w:hAnsi="Segoe UI" w:cs="Segoe UI"/>
                <w:i/>
                <w:sz w:val="16"/>
                <w:szCs w:val="16"/>
                <w:lang w:val="el-GR"/>
              </w:rPr>
              <w:t>,</w:t>
            </w:r>
            <w:r w:rsidRPr="00230F6E">
              <w:rPr>
                <w:rFonts w:ascii="Segoe UI" w:eastAsia="Times New Roman" w:hAnsi="Segoe UI" w:cs="Segoe UI"/>
                <w:i/>
                <w:sz w:val="16"/>
                <w:szCs w:val="16"/>
              </w:rPr>
              <w:t>7%</w:t>
            </w:r>
          </w:p>
        </w:tc>
      </w:tr>
      <w:tr w:rsidR="00230F6E" w:rsidRPr="00B522A6" w:rsidTr="000F02F9">
        <w:trPr>
          <w:trHeight w:hRule="exact" w:val="255"/>
          <w:jc w:val="right"/>
        </w:trPr>
        <w:tc>
          <w:tcPr>
            <w:tcW w:w="3005" w:type="dxa"/>
            <w:tcBorders>
              <w:top w:val="single" w:sz="4" w:space="0" w:color="auto"/>
              <w:bottom w:val="single" w:sz="4" w:space="0" w:color="auto"/>
            </w:tcBorders>
            <w:shd w:val="clear" w:color="auto" w:fill="auto"/>
            <w:vAlign w:val="bottom"/>
          </w:tcPr>
          <w:p w:rsidR="00230F6E" w:rsidRPr="003C4D83" w:rsidRDefault="00230F6E" w:rsidP="00230F6E">
            <w:pPr>
              <w:spacing w:after="160"/>
              <w:rPr>
                <w:rFonts w:ascii="Segoe UI" w:hAnsi="Segoe UI" w:cs="Segoe UI"/>
                <w:sz w:val="16"/>
                <w:szCs w:val="18"/>
              </w:rPr>
            </w:pPr>
            <w:r w:rsidRPr="003C4D83">
              <w:rPr>
                <w:rFonts w:ascii="Segoe UI" w:hAnsi="Segoe UI" w:cs="Segoe UI"/>
                <w:sz w:val="16"/>
                <w:szCs w:val="18"/>
              </w:rPr>
              <w:t xml:space="preserve">          </w:t>
            </w:r>
            <w:r w:rsidRPr="003C4D83">
              <w:rPr>
                <w:rFonts w:ascii="Segoe UI" w:hAnsi="Segoe UI" w:cs="Segoe UI"/>
                <w:sz w:val="16"/>
                <w:szCs w:val="18"/>
                <w:lang w:val="el-GR"/>
              </w:rPr>
              <w:t>ΝΑ Ευρώπη</w:t>
            </w:r>
            <w:r w:rsidRPr="003C4D83">
              <w:rPr>
                <w:rFonts w:ascii="Segoe UI" w:hAnsi="Segoe UI" w:cs="Segoe UI"/>
                <w:sz w:val="16"/>
                <w:szCs w:val="18"/>
                <w:vertAlign w:val="superscript"/>
                <w:lang w:val="el-GR"/>
              </w:rPr>
              <w:t>2</w:t>
            </w:r>
          </w:p>
        </w:tc>
        <w:tc>
          <w:tcPr>
            <w:tcW w:w="1077" w:type="dxa"/>
            <w:tcBorders>
              <w:top w:val="single" w:sz="4" w:space="0" w:color="auto"/>
              <w:bottom w:val="single" w:sz="4" w:space="0" w:color="auto"/>
            </w:tcBorders>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46</w:t>
            </w:r>
          </w:p>
        </w:tc>
        <w:tc>
          <w:tcPr>
            <w:tcW w:w="1077" w:type="dxa"/>
            <w:tcBorders>
              <w:top w:val="single" w:sz="4" w:space="0" w:color="auto"/>
              <w:bottom w:val="single" w:sz="4" w:space="0" w:color="auto"/>
            </w:tcBorders>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44</w:t>
            </w:r>
          </w:p>
        </w:tc>
        <w:tc>
          <w:tcPr>
            <w:tcW w:w="850" w:type="dxa"/>
            <w:tcBorders>
              <w:top w:val="single" w:sz="4" w:space="0" w:color="auto"/>
              <w:bottom w:val="single" w:sz="4" w:space="0" w:color="auto"/>
            </w:tcBorders>
            <w:vAlign w:val="bottom"/>
          </w:tcPr>
          <w:p w:rsidR="00230F6E" w:rsidRPr="00230F6E" w:rsidRDefault="00230F6E" w:rsidP="000F02F9">
            <w:pPr>
              <w:spacing w:after="160" w:line="240" w:lineRule="auto"/>
              <w:jc w:val="right"/>
              <w:rPr>
                <w:rFonts w:ascii="Segoe UI" w:hAnsi="Segoe UI" w:cs="Segoe UI"/>
                <w:i/>
                <w:sz w:val="16"/>
                <w:szCs w:val="16"/>
              </w:rPr>
            </w:pPr>
            <w:r>
              <w:rPr>
                <w:rFonts w:ascii="Segoe UI" w:hAnsi="Segoe UI" w:cs="Segoe UI"/>
                <w:i/>
                <w:sz w:val="16"/>
                <w:szCs w:val="16"/>
                <w:lang w:val="el-GR"/>
              </w:rPr>
              <w:t>2,7</w:t>
            </w:r>
            <w:r w:rsidRPr="00230F6E">
              <w:rPr>
                <w:rFonts w:ascii="Segoe UI" w:hAnsi="Segoe UI" w:cs="Segoe UI"/>
                <w:i/>
                <w:sz w:val="16"/>
                <w:szCs w:val="16"/>
              </w:rPr>
              <w:t>%</w:t>
            </w:r>
          </w:p>
        </w:tc>
        <w:tc>
          <w:tcPr>
            <w:tcW w:w="1077" w:type="dxa"/>
            <w:tcBorders>
              <w:top w:val="single" w:sz="4" w:space="0" w:color="auto"/>
              <w:bottom w:val="single" w:sz="4" w:space="0" w:color="auto"/>
            </w:tcBorders>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178</w:t>
            </w:r>
          </w:p>
        </w:tc>
        <w:tc>
          <w:tcPr>
            <w:tcW w:w="1077" w:type="dxa"/>
            <w:tcBorders>
              <w:top w:val="single" w:sz="4" w:space="0" w:color="auto"/>
              <w:bottom w:val="single" w:sz="4" w:space="0" w:color="auto"/>
            </w:tcBorders>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184</w:t>
            </w:r>
          </w:p>
        </w:tc>
        <w:tc>
          <w:tcPr>
            <w:tcW w:w="850" w:type="dxa"/>
            <w:tcBorders>
              <w:top w:val="single" w:sz="4" w:space="0" w:color="auto"/>
              <w:bottom w:val="single" w:sz="4" w:space="0" w:color="auto"/>
            </w:tcBorders>
            <w:shd w:val="clear" w:color="auto" w:fill="auto"/>
            <w:vAlign w:val="bottom"/>
          </w:tcPr>
          <w:p w:rsidR="00230F6E" w:rsidRPr="00230F6E" w:rsidRDefault="00230F6E" w:rsidP="00230F6E">
            <w:pPr>
              <w:spacing w:after="160" w:line="240" w:lineRule="auto"/>
              <w:jc w:val="right"/>
              <w:rPr>
                <w:rFonts w:ascii="Segoe UI" w:eastAsia="Times New Roman" w:hAnsi="Segoe UI" w:cs="Segoe UI"/>
                <w:i/>
                <w:sz w:val="16"/>
                <w:szCs w:val="16"/>
              </w:rPr>
            </w:pPr>
            <w:r>
              <w:rPr>
                <w:rFonts w:ascii="Segoe UI" w:eastAsia="Times New Roman" w:hAnsi="Segoe UI" w:cs="Segoe UI"/>
                <w:i/>
                <w:sz w:val="16"/>
                <w:szCs w:val="16"/>
                <w:lang w:val="el-GR"/>
              </w:rPr>
              <w:t>-3,3</w:t>
            </w:r>
            <w:r w:rsidRPr="00230F6E">
              <w:rPr>
                <w:rFonts w:ascii="Segoe UI" w:eastAsia="Times New Roman" w:hAnsi="Segoe UI" w:cs="Segoe UI"/>
                <w:i/>
                <w:sz w:val="16"/>
                <w:szCs w:val="16"/>
              </w:rPr>
              <w:t>%</w:t>
            </w:r>
          </w:p>
        </w:tc>
      </w:tr>
      <w:tr w:rsidR="00230F6E" w:rsidRPr="00B522A6" w:rsidTr="000F02F9">
        <w:trPr>
          <w:trHeight w:hRule="exact" w:val="510"/>
          <w:jc w:val="right"/>
        </w:trPr>
        <w:tc>
          <w:tcPr>
            <w:tcW w:w="3005" w:type="dxa"/>
            <w:tcBorders>
              <w:bottom w:val="single" w:sz="12" w:space="0" w:color="auto"/>
            </w:tcBorders>
            <w:shd w:val="clear" w:color="auto" w:fill="auto"/>
            <w:vAlign w:val="bottom"/>
          </w:tcPr>
          <w:p w:rsidR="00230F6E" w:rsidRPr="003C4D83" w:rsidRDefault="00230F6E" w:rsidP="00230F6E">
            <w:pPr>
              <w:spacing w:after="160" w:line="240" w:lineRule="auto"/>
              <w:rPr>
                <w:rFonts w:ascii="Segoe UI" w:hAnsi="Segoe UI" w:cs="Segoe UI"/>
                <w:b/>
                <w:sz w:val="16"/>
                <w:szCs w:val="18"/>
              </w:rPr>
            </w:pPr>
            <w:r w:rsidRPr="003C4D83">
              <w:rPr>
                <w:rFonts w:ascii="Segoe UI" w:eastAsia="Times New Roman" w:hAnsi="Segoe UI" w:cs="Segoe UI"/>
                <w:b/>
                <w:bCs/>
                <w:sz w:val="16"/>
                <w:szCs w:val="18"/>
                <w:lang w:val="el-GR"/>
              </w:rPr>
              <w:t>Ισολογισμός-Ομίλου</w:t>
            </w:r>
            <w:r w:rsidRPr="003C4D83">
              <w:rPr>
                <w:rFonts w:ascii="Segoe UI" w:eastAsia="Times New Roman" w:hAnsi="Segoe UI" w:cs="Segoe UI"/>
                <w:b/>
                <w:bCs/>
                <w:sz w:val="16"/>
                <w:szCs w:val="18"/>
                <w:lang w:val="en-US"/>
              </w:rPr>
              <w:t xml:space="preserve"> (€</w:t>
            </w:r>
            <w:r w:rsidRPr="003C4D83">
              <w:rPr>
                <w:rFonts w:ascii="Segoe UI" w:eastAsia="Times New Roman" w:hAnsi="Segoe UI" w:cs="Segoe UI"/>
                <w:b/>
                <w:bCs/>
                <w:sz w:val="16"/>
                <w:szCs w:val="18"/>
                <w:lang w:val="el-GR"/>
              </w:rPr>
              <w:t xml:space="preserve"> εκατ.</w:t>
            </w:r>
            <w:r w:rsidRPr="003C4D83">
              <w:rPr>
                <w:rFonts w:ascii="Segoe UI" w:eastAsia="Times New Roman" w:hAnsi="Segoe UI" w:cs="Segoe UI"/>
                <w:b/>
                <w:bCs/>
                <w:sz w:val="16"/>
                <w:szCs w:val="18"/>
                <w:lang w:val="en-US"/>
              </w:rPr>
              <w:t>)</w:t>
            </w:r>
            <w:r w:rsidRPr="003C4D83">
              <w:rPr>
                <w:rFonts w:ascii="Segoe UI" w:eastAsia="Times New Roman" w:hAnsi="Segoe UI" w:cs="Segoe UI"/>
                <w:b/>
                <w:bCs/>
                <w:sz w:val="16"/>
                <w:szCs w:val="18"/>
                <w:lang w:val="el-GR"/>
              </w:rPr>
              <w:t xml:space="preserve"> </w:t>
            </w:r>
          </w:p>
        </w:tc>
        <w:tc>
          <w:tcPr>
            <w:tcW w:w="1077" w:type="dxa"/>
            <w:tcBorders>
              <w:bottom w:val="single" w:sz="12" w:space="0" w:color="auto"/>
            </w:tcBorders>
            <w:vAlign w:val="bottom"/>
          </w:tcPr>
          <w:p w:rsidR="00230F6E" w:rsidRPr="00230F6E" w:rsidRDefault="00230F6E" w:rsidP="000F02F9">
            <w:pPr>
              <w:jc w:val="right"/>
              <w:rPr>
                <w:rFonts w:ascii="Segoe UI" w:hAnsi="Segoe UI" w:cs="Segoe UI"/>
                <w:sz w:val="16"/>
                <w:szCs w:val="16"/>
              </w:rPr>
            </w:pPr>
          </w:p>
        </w:tc>
        <w:tc>
          <w:tcPr>
            <w:tcW w:w="1077" w:type="dxa"/>
            <w:tcBorders>
              <w:bottom w:val="single" w:sz="12" w:space="0" w:color="auto"/>
            </w:tcBorders>
            <w:vAlign w:val="bottom"/>
          </w:tcPr>
          <w:p w:rsidR="00230F6E" w:rsidRPr="00230F6E" w:rsidRDefault="00230F6E" w:rsidP="000F02F9">
            <w:pPr>
              <w:jc w:val="right"/>
              <w:rPr>
                <w:rFonts w:ascii="Segoe UI" w:hAnsi="Segoe UI" w:cs="Segoe UI"/>
                <w:sz w:val="16"/>
                <w:szCs w:val="16"/>
              </w:rPr>
            </w:pPr>
          </w:p>
        </w:tc>
        <w:tc>
          <w:tcPr>
            <w:tcW w:w="850" w:type="dxa"/>
            <w:tcBorders>
              <w:bottom w:val="single" w:sz="12" w:space="0" w:color="auto"/>
            </w:tcBorders>
            <w:vAlign w:val="bottom"/>
          </w:tcPr>
          <w:p w:rsidR="00230F6E" w:rsidRPr="00230F6E" w:rsidRDefault="00230F6E" w:rsidP="000F02F9">
            <w:pPr>
              <w:spacing w:after="160" w:line="240" w:lineRule="auto"/>
              <w:jc w:val="right"/>
              <w:rPr>
                <w:rFonts w:ascii="Segoe UI" w:hAnsi="Segoe UI" w:cs="Segoe UI"/>
                <w:i/>
                <w:sz w:val="16"/>
                <w:szCs w:val="16"/>
                <w:highlight w:val="yellow"/>
              </w:rPr>
            </w:pPr>
          </w:p>
        </w:tc>
        <w:tc>
          <w:tcPr>
            <w:tcW w:w="1077" w:type="dxa"/>
            <w:tcBorders>
              <w:bottom w:val="single" w:sz="12" w:space="0" w:color="auto"/>
            </w:tcBorders>
            <w:vAlign w:val="bottom"/>
          </w:tcPr>
          <w:p w:rsidR="00230F6E" w:rsidRPr="00230F6E" w:rsidRDefault="00230F6E" w:rsidP="000F02F9">
            <w:pPr>
              <w:jc w:val="right"/>
              <w:rPr>
                <w:rFonts w:ascii="Segoe UI" w:hAnsi="Segoe UI" w:cs="Segoe UI"/>
                <w:sz w:val="16"/>
                <w:szCs w:val="16"/>
              </w:rPr>
            </w:pPr>
          </w:p>
        </w:tc>
        <w:tc>
          <w:tcPr>
            <w:tcW w:w="1077" w:type="dxa"/>
            <w:tcBorders>
              <w:bottom w:val="single" w:sz="12" w:space="0" w:color="auto"/>
            </w:tcBorders>
            <w:vAlign w:val="bottom"/>
          </w:tcPr>
          <w:p w:rsidR="00230F6E" w:rsidRPr="00230F6E" w:rsidRDefault="00230F6E" w:rsidP="000F02F9">
            <w:pPr>
              <w:jc w:val="right"/>
              <w:rPr>
                <w:rFonts w:ascii="Segoe UI" w:hAnsi="Segoe UI" w:cs="Segoe UI"/>
                <w:sz w:val="16"/>
                <w:szCs w:val="16"/>
              </w:rPr>
            </w:pPr>
          </w:p>
        </w:tc>
        <w:tc>
          <w:tcPr>
            <w:tcW w:w="850" w:type="dxa"/>
            <w:tcBorders>
              <w:bottom w:val="single" w:sz="12" w:space="0" w:color="auto"/>
            </w:tcBorders>
            <w:shd w:val="clear" w:color="auto" w:fill="auto"/>
            <w:vAlign w:val="bottom"/>
          </w:tcPr>
          <w:p w:rsidR="00230F6E" w:rsidRPr="00230F6E" w:rsidRDefault="00230F6E" w:rsidP="00230F6E">
            <w:pPr>
              <w:spacing w:after="160" w:line="240" w:lineRule="auto"/>
              <w:jc w:val="right"/>
              <w:rPr>
                <w:rFonts w:ascii="Segoe UI" w:hAnsi="Segoe UI" w:cs="Segoe UI"/>
                <w:i/>
                <w:sz w:val="16"/>
                <w:szCs w:val="16"/>
                <w:highlight w:val="yellow"/>
              </w:rPr>
            </w:pPr>
          </w:p>
        </w:tc>
      </w:tr>
      <w:tr w:rsidR="000F02F9" w:rsidRPr="00B522A6" w:rsidTr="000F02F9">
        <w:trPr>
          <w:trHeight w:hRule="exact" w:val="255"/>
          <w:jc w:val="right"/>
        </w:trPr>
        <w:tc>
          <w:tcPr>
            <w:tcW w:w="3005" w:type="dxa"/>
            <w:tcBorders>
              <w:top w:val="single" w:sz="4" w:space="0" w:color="auto"/>
              <w:bottom w:val="single" w:sz="4" w:space="0" w:color="auto"/>
            </w:tcBorders>
            <w:shd w:val="clear" w:color="auto" w:fill="auto"/>
            <w:vAlign w:val="bottom"/>
          </w:tcPr>
          <w:p w:rsidR="000F02F9" w:rsidRPr="003C4D83" w:rsidRDefault="000F02F9" w:rsidP="000F02F9">
            <w:pPr>
              <w:spacing w:after="160"/>
              <w:rPr>
                <w:rFonts w:ascii="Segoe UI" w:hAnsi="Segoe UI" w:cs="Segoe UI"/>
                <w:sz w:val="16"/>
                <w:szCs w:val="18"/>
              </w:rPr>
            </w:pPr>
            <w:r w:rsidRPr="003C4D83">
              <w:rPr>
                <w:rFonts w:ascii="Segoe UI" w:hAnsi="Segoe UI" w:cs="Segoe UI"/>
                <w:sz w:val="16"/>
                <w:szCs w:val="18"/>
              </w:rPr>
              <w:t xml:space="preserve">          </w:t>
            </w:r>
            <w:r w:rsidRPr="003C4D83">
              <w:rPr>
                <w:rFonts w:ascii="Segoe UI" w:hAnsi="Segoe UI" w:cs="Segoe UI"/>
                <w:sz w:val="16"/>
                <w:szCs w:val="18"/>
                <w:lang w:val="el-GR"/>
              </w:rPr>
              <w:t>Συνολικό Ενεργητικό</w:t>
            </w:r>
            <w:r w:rsidRPr="003C4D83">
              <w:rPr>
                <w:rFonts w:ascii="Segoe UI" w:hAnsi="Segoe UI" w:cs="Segoe UI"/>
                <w:sz w:val="16"/>
                <w:szCs w:val="18"/>
                <w:vertAlign w:val="superscript"/>
                <w:lang w:val="el-GR"/>
              </w:rPr>
              <w:t>1</w:t>
            </w:r>
          </w:p>
        </w:tc>
        <w:tc>
          <w:tcPr>
            <w:tcW w:w="1077" w:type="dxa"/>
            <w:tcBorders>
              <w:top w:val="nil"/>
              <w:left w:val="nil"/>
              <w:bottom w:val="nil"/>
              <w:right w:val="nil"/>
            </w:tcBorders>
            <w:shd w:val="clear" w:color="auto" w:fill="auto"/>
            <w:vAlign w:val="bottom"/>
          </w:tcPr>
          <w:p w:rsidR="000F02F9" w:rsidRPr="002937C5" w:rsidRDefault="000F02F9" w:rsidP="000F02F9">
            <w:pPr>
              <w:jc w:val="right"/>
              <w:rPr>
                <w:rFonts w:ascii="Segoe UI" w:hAnsi="Segoe UI" w:cs="Segoe UI"/>
                <w:sz w:val="16"/>
                <w:szCs w:val="18"/>
              </w:rPr>
            </w:pPr>
            <w:r w:rsidRPr="002937C5">
              <w:rPr>
                <w:rFonts w:ascii="Segoe UI" w:hAnsi="Segoe UI" w:cs="Segoe UI"/>
                <w:sz w:val="16"/>
                <w:szCs w:val="18"/>
              </w:rPr>
              <w:t>74</w:t>
            </w:r>
            <w:r>
              <w:rPr>
                <w:rFonts w:ascii="Segoe UI" w:hAnsi="Segoe UI" w:cs="Segoe UI"/>
                <w:sz w:val="16"/>
                <w:szCs w:val="18"/>
              </w:rPr>
              <w:t>.</w:t>
            </w:r>
            <w:r w:rsidRPr="002937C5">
              <w:rPr>
                <w:rFonts w:ascii="Segoe UI" w:hAnsi="Segoe UI" w:cs="Segoe UI"/>
                <w:sz w:val="16"/>
                <w:szCs w:val="18"/>
              </w:rPr>
              <w:t>8</w:t>
            </w:r>
            <w:r>
              <w:rPr>
                <w:rFonts w:ascii="Segoe UI" w:hAnsi="Segoe UI" w:cs="Segoe UI"/>
                <w:sz w:val="16"/>
                <w:szCs w:val="18"/>
              </w:rPr>
              <w:t>06</w:t>
            </w:r>
          </w:p>
        </w:tc>
        <w:tc>
          <w:tcPr>
            <w:tcW w:w="1077" w:type="dxa"/>
            <w:tcBorders>
              <w:top w:val="nil"/>
              <w:left w:val="nil"/>
              <w:bottom w:val="nil"/>
              <w:right w:val="nil"/>
            </w:tcBorders>
            <w:shd w:val="clear" w:color="auto" w:fill="auto"/>
            <w:vAlign w:val="bottom"/>
          </w:tcPr>
          <w:p w:rsidR="000F02F9" w:rsidRPr="002937C5" w:rsidRDefault="000F02F9" w:rsidP="000F02F9">
            <w:pPr>
              <w:jc w:val="right"/>
              <w:rPr>
                <w:rFonts w:ascii="Segoe UI" w:hAnsi="Segoe UI" w:cs="Segoe UI"/>
                <w:sz w:val="16"/>
                <w:szCs w:val="18"/>
              </w:rPr>
            </w:pPr>
            <w:r w:rsidRPr="002937C5">
              <w:rPr>
                <w:rFonts w:ascii="Segoe UI" w:hAnsi="Segoe UI" w:cs="Segoe UI"/>
                <w:sz w:val="16"/>
                <w:szCs w:val="18"/>
              </w:rPr>
              <w:t>77</w:t>
            </w:r>
            <w:r>
              <w:rPr>
                <w:rFonts w:ascii="Segoe UI" w:hAnsi="Segoe UI" w:cs="Segoe UI"/>
                <w:sz w:val="16"/>
                <w:szCs w:val="18"/>
              </w:rPr>
              <w:t>.</w:t>
            </w:r>
            <w:r w:rsidRPr="002937C5">
              <w:rPr>
                <w:rFonts w:ascii="Segoe UI" w:hAnsi="Segoe UI" w:cs="Segoe UI"/>
                <w:sz w:val="16"/>
                <w:szCs w:val="18"/>
              </w:rPr>
              <w:t>708</w:t>
            </w:r>
          </w:p>
        </w:tc>
        <w:tc>
          <w:tcPr>
            <w:tcW w:w="850" w:type="dxa"/>
            <w:tcBorders>
              <w:top w:val="nil"/>
              <w:left w:val="nil"/>
              <w:bottom w:val="nil"/>
              <w:right w:val="nil"/>
            </w:tcBorders>
            <w:shd w:val="clear" w:color="auto" w:fill="auto"/>
            <w:vAlign w:val="bottom"/>
          </w:tcPr>
          <w:p w:rsidR="000F02F9" w:rsidRPr="002937C5" w:rsidRDefault="000F02F9" w:rsidP="000F02F9">
            <w:pPr>
              <w:jc w:val="right"/>
              <w:rPr>
                <w:rFonts w:ascii="Segoe UI" w:hAnsi="Segoe UI" w:cs="Segoe UI"/>
                <w:i/>
                <w:sz w:val="16"/>
                <w:szCs w:val="18"/>
              </w:rPr>
            </w:pPr>
            <w:r w:rsidRPr="002937C5">
              <w:rPr>
                <w:rFonts w:ascii="Segoe UI" w:hAnsi="Segoe UI" w:cs="Segoe UI"/>
                <w:i/>
                <w:sz w:val="16"/>
                <w:szCs w:val="18"/>
              </w:rPr>
              <w:t>-3</w:t>
            </w:r>
            <w:r>
              <w:rPr>
                <w:rFonts w:ascii="Segoe UI" w:hAnsi="Segoe UI" w:cs="Segoe UI"/>
                <w:i/>
                <w:sz w:val="16"/>
                <w:szCs w:val="18"/>
              </w:rPr>
              <w:t>,</w:t>
            </w:r>
            <w:r w:rsidRPr="002937C5">
              <w:rPr>
                <w:rFonts w:ascii="Segoe UI" w:hAnsi="Segoe UI" w:cs="Segoe UI"/>
                <w:i/>
                <w:sz w:val="16"/>
                <w:szCs w:val="18"/>
              </w:rPr>
              <w:t>7%</w:t>
            </w:r>
          </w:p>
        </w:tc>
        <w:tc>
          <w:tcPr>
            <w:tcW w:w="1077" w:type="dxa"/>
            <w:tcBorders>
              <w:top w:val="nil"/>
              <w:left w:val="nil"/>
              <w:bottom w:val="nil"/>
              <w:right w:val="nil"/>
            </w:tcBorders>
            <w:shd w:val="clear" w:color="auto" w:fill="auto"/>
            <w:vAlign w:val="bottom"/>
          </w:tcPr>
          <w:p w:rsidR="000F02F9" w:rsidRPr="002937C5" w:rsidRDefault="000F02F9" w:rsidP="000F02F9">
            <w:pPr>
              <w:jc w:val="right"/>
              <w:rPr>
                <w:rFonts w:ascii="Segoe UI" w:hAnsi="Segoe UI" w:cs="Segoe UI"/>
                <w:sz w:val="16"/>
                <w:szCs w:val="18"/>
              </w:rPr>
            </w:pPr>
            <w:r>
              <w:rPr>
                <w:rFonts w:ascii="Segoe UI" w:hAnsi="Segoe UI" w:cs="Segoe UI"/>
                <w:sz w:val="16"/>
                <w:szCs w:val="18"/>
              </w:rPr>
              <w:t>74.</w:t>
            </w:r>
            <w:r w:rsidRPr="002937C5">
              <w:rPr>
                <w:rFonts w:ascii="Segoe UI" w:hAnsi="Segoe UI" w:cs="Segoe UI"/>
                <w:sz w:val="16"/>
                <w:szCs w:val="18"/>
              </w:rPr>
              <w:t>8</w:t>
            </w:r>
            <w:r>
              <w:rPr>
                <w:rFonts w:ascii="Segoe UI" w:hAnsi="Segoe UI" w:cs="Segoe UI"/>
                <w:sz w:val="16"/>
                <w:szCs w:val="18"/>
              </w:rPr>
              <w:t>06</w:t>
            </w:r>
          </w:p>
        </w:tc>
        <w:tc>
          <w:tcPr>
            <w:tcW w:w="1077" w:type="dxa"/>
            <w:tcBorders>
              <w:top w:val="nil"/>
              <w:left w:val="nil"/>
              <w:bottom w:val="nil"/>
              <w:right w:val="nil"/>
            </w:tcBorders>
            <w:shd w:val="clear" w:color="auto" w:fill="auto"/>
            <w:vAlign w:val="bottom"/>
          </w:tcPr>
          <w:p w:rsidR="000F02F9" w:rsidRPr="000F02F9" w:rsidRDefault="000F02F9" w:rsidP="000F02F9">
            <w:pPr>
              <w:jc w:val="right"/>
              <w:rPr>
                <w:rFonts w:ascii="Segoe UI" w:hAnsi="Segoe UI" w:cs="Segoe UI"/>
                <w:sz w:val="16"/>
                <w:szCs w:val="18"/>
              </w:rPr>
            </w:pPr>
            <w:r w:rsidRPr="000F02F9">
              <w:rPr>
                <w:rFonts w:ascii="Segoe UI" w:hAnsi="Segoe UI" w:cs="Segoe UI"/>
                <w:sz w:val="16"/>
                <w:szCs w:val="18"/>
              </w:rPr>
              <w:t>79</w:t>
            </w:r>
            <w:r>
              <w:rPr>
                <w:rFonts w:ascii="Segoe UI" w:hAnsi="Segoe UI" w:cs="Segoe UI"/>
                <w:sz w:val="16"/>
                <w:szCs w:val="18"/>
              </w:rPr>
              <w:t>.</w:t>
            </w:r>
            <w:r w:rsidRPr="000F02F9">
              <w:rPr>
                <w:rFonts w:ascii="Segoe UI" w:hAnsi="Segoe UI" w:cs="Segoe UI"/>
                <w:sz w:val="16"/>
                <w:szCs w:val="18"/>
              </w:rPr>
              <w:t>813</w:t>
            </w:r>
          </w:p>
        </w:tc>
        <w:tc>
          <w:tcPr>
            <w:tcW w:w="850" w:type="dxa"/>
            <w:tcBorders>
              <w:top w:val="nil"/>
              <w:left w:val="nil"/>
              <w:bottom w:val="nil"/>
              <w:right w:val="nil"/>
            </w:tcBorders>
            <w:shd w:val="clear" w:color="auto" w:fill="auto"/>
          </w:tcPr>
          <w:p w:rsidR="000F02F9" w:rsidRPr="002937C5" w:rsidRDefault="000F02F9" w:rsidP="000F02F9">
            <w:pPr>
              <w:jc w:val="right"/>
              <w:rPr>
                <w:rFonts w:ascii="Segoe UI" w:hAnsi="Segoe UI" w:cs="Segoe UI"/>
                <w:i/>
                <w:sz w:val="16"/>
                <w:szCs w:val="18"/>
              </w:rPr>
            </w:pPr>
            <w:r>
              <w:rPr>
                <w:rFonts w:ascii="Segoe UI" w:hAnsi="Segoe UI" w:cs="Segoe UI"/>
                <w:i/>
                <w:sz w:val="16"/>
                <w:szCs w:val="18"/>
              </w:rPr>
              <w:t>-6,</w:t>
            </w:r>
            <w:r w:rsidRPr="002937C5">
              <w:rPr>
                <w:rFonts w:ascii="Segoe UI" w:hAnsi="Segoe UI" w:cs="Segoe UI"/>
                <w:i/>
                <w:sz w:val="16"/>
                <w:szCs w:val="18"/>
              </w:rPr>
              <w:t>3%</w:t>
            </w:r>
          </w:p>
        </w:tc>
      </w:tr>
      <w:tr w:rsidR="000F02F9" w:rsidRPr="00B522A6" w:rsidTr="000F02F9">
        <w:trPr>
          <w:trHeight w:hRule="exact" w:val="255"/>
          <w:jc w:val="right"/>
        </w:trPr>
        <w:tc>
          <w:tcPr>
            <w:tcW w:w="3005" w:type="dxa"/>
            <w:tcBorders>
              <w:bottom w:val="single" w:sz="4" w:space="0" w:color="auto"/>
            </w:tcBorders>
            <w:shd w:val="clear" w:color="auto" w:fill="auto"/>
            <w:vAlign w:val="bottom"/>
          </w:tcPr>
          <w:p w:rsidR="000F02F9" w:rsidRPr="003C4D83" w:rsidRDefault="000F02F9" w:rsidP="004E5C7D">
            <w:pPr>
              <w:spacing w:after="160"/>
              <w:rPr>
                <w:rFonts w:ascii="Segoe UI" w:hAnsi="Segoe UI" w:cs="Segoe UI"/>
                <w:sz w:val="16"/>
                <w:szCs w:val="18"/>
                <w:lang w:val="el-GR"/>
              </w:rPr>
            </w:pPr>
            <w:r w:rsidRPr="003C4D83">
              <w:rPr>
                <w:rFonts w:ascii="Segoe UI" w:hAnsi="Segoe UI" w:cs="Segoe UI"/>
                <w:sz w:val="16"/>
                <w:szCs w:val="18"/>
                <w:lang w:val="en-US"/>
              </w:rPr>
              <w:t xml:space="preserve">          </w:t>
            </w:r>
            <w:r w:rsidR="004E5C7D">
              <w:rPr>
                <w:rFonts w:ascii="Segoe UI" w:hAnsi="Segoe UI" w:cs="Segoe UI"/>
                <w:sz w:val="16"/>
                <w:szCs w:val="18"/>
                <w:lang w:val="el-GR"/>
              </w:rPr>
              <w:t>Δάνεια προ Προβλέψεων</w:t>
            </w:r>
            <w:r w:rsidR="004E5C7D" w:rsidRPr="003C4D83">
              <w:rPr>
                <w:rStyle w:val="a9"/>
                <w:rFonts w:ascii="Segoe UI" w:hAnsi="Segoe UI" w:cs="Segoe UI"/>
                <w:sz w:val="16"/>
                <w:szCs w:val="18"/>
                <w:lang w:val="el-GR"/>
              </w:rPr>
              <w:footnoteReference w:id="9"/>
            </w:r>
            <w:r w:rsidR="004E5C7D" w:rsidRPr="004E5C7D">
              <w:rPr>
                <w:rFonts w:ascii="Segoe UI" w:hAnsi="Segoe UI" w:cs="Segoe UI"/>
                <w:sz w:val="16"/>
                <w:szCs w:val="18"/>
                <w:lang w:val="el-GR"/>
              </w:rPr>
              <w:t xml:space="preserve"> </w:t>
            </w:r>
            <w:r w:rsidRPr="003C4D83">
              <w:rPr>
                <w:rFonts w:ascii="Segoe UI" w:hAnsi="Segoe UI" w:cs="Segoe UI"/>
                <w:sz w:val="16"/>
                <w:szCs w:val="18"/>
                <w:lang w:val="el-GR"/>
              </w:rPr>
              <w:t>Χορηγήσεις</w:t>
            </w:r>
            <w:r w:rsidR="004E5C7D" w:rsidRPr="004E5C7D">
              <w:rPr>
                <w:rFonts w:ascii="Segoe UI" w:hAnsi="Segoe UI" w:cs="Segoe UI"/>
                <w:sz w:val="16"/>
                <w:szCs w:val="18"/>
                <w:vertAlign w:val="superscript"/>
                <w:lang w:val="el-GR"/>
              </w:rPr>
              <w:t>1</w:t>
            </w:r>
          </w:p>
        </w:tc>
        <w:tc>
          <w:tcPr>
            <w:tcW w:w="1077" w:type="dxa"/>
            <w:tcBorders>
              <w:top w:val="single" w:sz="2" w:space="0" w:color="auto"/>
              <w:left w:val="nil"/>
              <w:bottom w:val="single" w:sz="2" w:space="0" w:color="auto"/>
              <w:right w:val="nil"/>
            </w:tcBorders>
            <w:shd w:val="clear" w:color="auto" w:fill="auto"/>
            <w:vAlign w:val="bottom"/>
          </w:tcPr>
          <w:p w:rsidR="000F02F9" w:rsidRPr="002937C5" w:rsidRDefault="000F02F9" w:rsidP="000F02F9">
            <w:pPr>
              <w:jc w:val="right"/>
              <w:rPr>
                <w:rFonts w:ascii="Segoe UI" w:hAnsi="Segoe UI" w:cs="Segoe UI"/>
                <w:sz w:val="16"/>
                <w:szCs w:val="18"/>
              </w:rPr>
            </w:pPr>
            <w:r w:rsidRPr="002937C5">
              <w:rPr>
                <w:rFonts w:ascii="Segoe UI" w:hAnsi="Segoe UI" w:cs="Segoe UI"/>
                <w:sz w:val="16"/>
                <w:szCs w:val="18"/>
              </w:rPr>
              <w:t>35</w:t>
            </w:r>
            <w:r>
              <w:rPr>
                <w:rFonts w:ascii="Segoe UI" w:hAnsi="Segoe UI" w:cs="Segoe UI"/>
                <w:sz w:val="16"/>
                <w:szCs w:val="18"/>
              </w:rPr>
              <w:t>.</w:t>
            </w:r>
            <w:r w:rsidRPr="002937C5">
              <w:rPr>
                <w:rFonts w:ascii="Segoe UI" w:hAnsi="Segoe UI" w:cs="Segoe UI"/>
                <w:sz w:val="16"/>
                <w:szCs w:val="18"/>
              </w:rPr>
              <w:t>470</w:t>
            </w:r>
          </w:p>
        </w:tc>
        <w:tc>
          <w:tcPr>
            <w:tcW w:w="1077" w:type="dxa"/>
            <w:tcBorders>
              <w:top w:val="single" w:sz="2" w:space="0" w:color="auto"/>
              <w:left w:val="nil"/>
              <w:bottom w:val="single" w:sz="2" w:space="0" w:color="auto"/>
              <w:right w:val="nil"/>
            </w:tcBorders>
            <w:shd w:val="clear" w:color="auto" w:fill="auto"/>
            <w:vAlign w:val="bottom"/>
          </w:tcPr>
          <w:p w:rsidR="000F02F9" w:rsidRPr="002937C5" w:rsidRDefault="000F02F9" w:rsidP="000F02F9">
            <w:pPr>
              <w:jc w:val="right"/>
              <w:rPr>
                <w:rFonts w:ascii="Segoe UI" w:hAnsi="Segoe UI" w:cs="Segoe UI"/>
                <w:sz w:val="16"/>
                <w:szCs w:val="18"/>
              </w:rPr>
            </w:pPr>
            <w:r w:rsidRPr="002937C5">
              <w:rPr>
                <w:rFonts w:ascii="Segoe UI" w:hAnsi="Segoe UI" w:cs="Segoe UI"/>
                <w:sz w:val="16"/>
                <w:szCs w:val="18"/>
              </w:rPr>
              <w:t>35</w:t>
            </w:r>
            <w:r>
              <w:rPr>
                <w:rFonts w:ascii="Segoe UI" w:hAnsi="Segoe UI" w:cs="Segoe UI"/>
                <w:sz w:val="16"/>
                <w:szCs w:val="18"/>
              </w:rPr>
              <w:t>.</w:t>
            </w:r>
            <w:r w:rsidRPr="002937C5">
              <w:rPr>
                <w:rFonts w:ascii="Segoe UI" w:hAnsi="Segoe UI" w:cs="Segoe UI"/>
                <w:sz w:val="16"/>
                <w:szCs w:val="18"/>
              </w:rPr>
              <w:t>681</w:t>
            </w:r>
          </w:p>
        </w:tc>
        <w:tc>
          <w:tcPr>
            <w:tcW w:w="850" w:type="dxa"/>
            <w:tcBorders>
              <w:top w:val="single" w:sz="2" w:space="0" w:color="auto"/>
              <w:left w:val="nil"/>
              <w:bottom w:val="single" w:sz="2" w:space="0" w:color="auto"/>
              <w:right w:val="nil"/>
            </w:tcBorders>
            <w:shd w:val="clear" w:color="auto" w:fill="auto"/>
            <w:vAlign w:val="bottom"/>
          </w:tcPr>
          <w:p w:rsidR="000F02F9" w:rsidRPr="002937C5" w:rsidRDefault="000F02F9" w:rsidP="000F02F9">
            <w:pPr>
              <w:jc w:val="right"/>
              <w:rPr>
                <w:rFonts w:ascii="Segoe UI" w:hAnsi="Segoe UI" w:cs="Segoe UI"/>
                <w:i/>
                <w:sz w:val="16"/>
                <w:szCs w:val="18"/>
              </w:rPr>
            </w:pPr>
            <w:r w:rsidRPr="002937C5">
              <w:rPr>
                <w:rFonts w:ascii="Segoe UI" w:hAnsi="Segoe UI" w:cs="Segoe UI"/>
                <w:i/>
                <w:sz w:val="16"/>
                <w:szCs w:val="18"/>
              </w:rPr>
              <w:t>-0</w:t>
            </w:r>
            <w:r>
              <w:rPr>
                <w:rFonts w:ascii="Segoe UI" w:hAnsi="Segoe UI" w:cs="Segoe UI"/>
                <w:i/>
                <w:sz w:val="16"/>
                <w:szCs w:val="18"/>
              </w:rPr>
              <w:t>,</w:t>
            </w:r>
            <w:r w:rsidRPr="002937C5">
              <w:rPr>
                <w:rFonts w:ascii="Segoe UI" w:hAnsi="Segoe UI" w:cs="Segoe UI"/>
                <w:i/>
                <w:sz w:val="16"/>
                <w:szCs w:val="18"/>
              </w:rPr>
              <w:t>6%</w:t>
            </w:r>
          </w:p>
        </w:tc>
        <w:tc>
          <w:tcPr>
            <w:tcW w:w="1077" w:type="dxa"/>
            <w:tcBorders>
              <w:top w:val="single" w:sz="2" w:space="0" w:color="auto"/>
              <w:left w:val="nil"/>
              <w:bottom w:val="single" w:sz="2" w:space="0" w:color="auto"/>
              <w:right w:val="nil"/>
            </w:tcBorders>
            <w:shd w:val="clear" w:color="auto" w:fill="auto"/>
            <w:vAlign w:val="bottom"/>
          </w:tcPr>
          <w:p w:rsidR="000F02F9" w:rsidRPr="002937C5" w:rsidRDefault="000F02F9" w:rsidP="000F02F9">
            <w:pPr>
              <w:jc w:val="right"/>
              <w:rPr>
                <w:rFonts w:ascii="Segoe UI" w:hAnsi="Segoe UI" w:cs="Segoe UI"/>
                <w:sz w:val="16"/>
                <w:szCs w:val="18"/>
              </w:rPr>
            </w:pPr>
            <w:r>
              <w:rPr>
                <w:rFonts w:ascii="Segoe UI" w:hAnsi="Segoe UI" w:cs="Segoe UI"/>
                <w:sz w:val="16"/>
                <w:szCs w:val="18"/>
              </w:rPr>
              <w:t>35.</w:t>
            </w:r>
            <w:r w:rsidRPr="002937C5">
              <w:rPr>
                <w:rFonts w:ascii="Segoe UI" w:hAnsi="Segoe UI" w:cs="Segoe UI"/>
                <w:sz w:val="16"/>
                <w:szCs w:val="18"/>
              </w:rPr>
              <w:t>470</w:t>
            </w:r>
          </w:p>
        </w:tc>
        <w:tc>
          <w:tcPr>
            <w:tcW w:w="1077" w:type="dxa"/>
            <w:tcBorders>
              <w:top w:val="single" w:sz="2" w:space="0" w:color="auto"/>
              <w:left w:val="nil"/>
              <w:bottom w:val="single" w:sz="2" w:space="0" w:color="auto"/>
              <w:right w:val="nil"/>
            </w:tcBorders>
            <w:shd w:val="clear" w:color="auto" w:fill="auto"/>
            <w:vAlign w:val="bottom"/>
          </w:tcPr>
          <w:p w:rsidR="000F02F9" w:rsidRPr="000F02F9" w:rsidRDefault="000F02F9" w:rsidP="000F02F9">
            <w:pPr>
              <w:jc w:val="right"/>
              <w:rPr>
                <w:rFonts w:ascii="Segoe UI" w:hAnsi="Segoe UI" w:cs="Segoe UI"/>
                <w:sz w:val="16"/>
                <w:szCs w:val="18"/>
              </w:rPr>
            </w:pPr>
            <w:r>
              <w:rPr>
                <w:rFonts w:ascii="Segoe UI" w:hAnsi="Segoe UI" w:cs="Segoe UI"/>
                <w:sz w:val="16"/>
                <w:szCs w:val="18"/>
              </w:rPr>
              <w:t>36.</w:t>
            </w:r>
            <w:r w:rsidRPr="000F02F9">
              <w:rPr>
                <w:rFonts w:ascii="Segoe UI" w:hAnsi="Segoe UI" w:cs="Segoe UI"/>
                <w:sz w:val="16"/>
                <w:szCs w:val="18"/>
              </w:rPr>
              <w:t>812</w:t>
            </w:r>
          </w:p>
        </w:tc>
        <w:tc>
          <w:tcPr>
            <w:tcW w:w="850" w:type="dxa"/>
            <w:tcBorders>
              <w:top w:val="single" w:sz="2" w:space="0" w:color="auto"/>
              <w:left w:val="nil"/>
              <w:bottom w:val="single" w:sz="2" w:space="0" w:color="auto"/>
              <w:right w:val="nil"/>
            </w:tcBorders>
            <w:shd w:val="clear" w:color="auto" w:fill="auto"/>
          </w:tcPr>
          <w:p w:rsidR="000F02F9" w:rsidRPr="002937C5" w:rsidRDefault="000F02F9" w:rsidP="000F02F9">
            <w:pPr>
              <w:jc w:val="right"/>
              <w:rPr>
                <w:rFonts w:ascii="Segoe UI" w:hAnsi="Segoe UI" w:cs="Segoe UI"/>
                <w:i/>
                <w:sz w:val="16"/>
                <w:szCs w:val="18"/>
              </w:rPr>
            </w:pPr>
            <w:r>
              <w:rPr>
                <w:rFonts w:ascii="Segoe UI" w:hAnsi="Segoe UI" w:cs="Segoe UI"/>
                <w:i/>
                <w:sz w:val="16"/>
                <w:szCs w:val="18"/>
              </w:rPr>
              <w:t>-3,</w:t>
            </w:r>
            <w:r w:rsidRPr="002937C5">
              <w:rPr>
                <w:rFonts w:ascii="Segoe UI" w:hAnsi="Segoe UI" w:cs="Segoe UI"/>
                <w:i/>
                <w:sz w:val="16"/>
                <w:szCs w:val="18"/>
              </w:rPr>
              <w:t>6%</w:t>
            </w:r>
          </w:p>
        </w:tc>
      </w:tr>
      <w:tr w:rsidR="000F02F9" w:rsidRPr="00B522A6" w:rsidTr="000F02F9">
        <w:trPr>
          <w:trHeight w:hRule="exact" w:val="255"/>
          <w:jc w:val="right"/>
        </w:trPr>
        <w:tc>
          <w:tcPr>
            <w:tcW w:w="3005" w:type="dxa"/>
            <w:tcBorders>
              <w:top w:val="single" w:sz="4" w:space="0" w:color="auto"/>
              <w:bottom w:val="single" w:sz="4" w:space="0" w:color="auto"/>
            </w:tcBorders>
            <w:shd w:val="clear" w:color="auto" w:fill="auto"/>
            <w:vAlign w:val="bottom"/>
          </w:tcPr>
          <w:p w:rsidR="000F02F9" w:rsidRPr="003C4D83" w:rsidRDefault="000F02F9" w:rsidP="004E5C7D">
            <w:pPr>
              <w:spacing w:after="160"/>
              <w:rPr>
                <w:rFonts w:ascii="Segoe UI" w:hAnsi="Segoe UI" w:cs="Segoe UI"/>
                <w:sz w:val="16"/>
                <w:szCs w:val="18"/>
                <w:lang w:val="el-GR"/>
              </w:rPr>
            </w:pPr>
            <w:r w:rsidRPr="003C4D83">
              <w:rPr>
                <w:rFonts w:ascii="Segoe UI" w:hAnsi="Segoe UI" w:cs="Segoe UI"/>
                <w:sz w:val="16"/>
                <w:szCs w:val="18"/>
              </w:rPr>
              <w:t xml:space="preserve">          </w:t>
            </w:r>
            <w:r w:rsidRPr="003C4D83">
              <w:rPr>
                <w:rFonts w:ascii="Segoe UI" w:hAnsi="Segoe UI" w:cs="Segoe UI"/>
                <w:sz w:val="16"/>
                <w:szCs w:val="18"/>
                <w:lang w:val="el-GR"/>
              </w:rPr>
              <w:t>Καταθέσεις</w:t>
            </w:r>
            <w:r w:rsidR="004E5C7D">
              <w:rPr>
                <w:rFonts w:ascii="Segoe UI" w:hAnsi="Segoe UI" w:cs="Segoe UI"/>
                <w:sz w:val="16"/>
                <w:szCs w:val="18"/>
                <w:vertAlign w:val="superscript"/>
                <w:lang w:val="el-GR"/>
              </w:rPr>
              <w:t>3</w:t>
            </w:r>
          </w:p>
        </w:tc>
        <w:tc>
          <w:tcPr>
            <w:tcW w:w="1077" w:type="dxa"/>
            <w:tcBorders>
              <w:top w:val="single" w:sz="2" w:space="0" w:color="auto"/>
              <w:left w:val="nil"/>
              <w:bottom w:val="single" w:sz="4" w:space="0" w:color="auto"/>
              <w:right w:val="nil"/>
            </w:tcBorders>
            <w:shd w:val="clear" w:color="auto" w:fill="auto"/>
            <w:vAlign w:val="bottom"/>
          </w:tcPr>
          <w:p w:rsidR="000F02F9" w:rsidRPr="002937C5" w:rsidRDefault="000F02F9" w:rsidP="000F02F9">
            <w:pPr>
              <w:jc w:val="right"/>
              <w:rPr>
                <w:rFonts w:ascii="Segoe UI" w:hAnsi="Segoe UI" w:cs="Segoe UI"/>
                <w:sz w:val="16"/>
                <w:szCs w:val="18"/>
              </w:rPr>
            </w:pPr>
            <w:r w:rsidRPr="002937C5">
              <w:rPr>
                <w:rFonts w:ascii="Segoe UI" w:hAnsi="Segoe UI" w:cs="Segoe UI"/>
                <w:sz w:val="16"/>
                <w:szCs w:val="18"/>
              </w:rPr>
              <w:t>40</w:t>
            </w:r>
            <w:r>
              <w:rPr>
                <w:rFonts w:ascii="Segoe UI" w:hAnsi="Segoe UI" w:cs="Segoe UI"/>
                <w:sz w:val="16"/>
                <w:szCs w:val="18"/>
              </w:rPr>
              <w:t>.</w:t>
            </w:r>
            <w:r w:rsidRPr="002937C5">
              <w:rPr>
                <w:rFonts w:ascii="Segoe UI" w:hAnsi="Segoe UI" w:cs="Segoe UI"/>
                <w:sz w:val="16"/>
                <w:szCs w:val="18"/>
              </w:rPr>
              <w:t>459</w:t>
            </w:r>
          </w:p>
        </w:tc>
        <w:tc>
          <w:tcPr>
            <w:tcW w:w="1077" w:type="dxa"/>
            <w:tcBorders>
              <w:top w:val="single" w:sz="2" w:space="0" w:color="auto"/>
              <w:left w:val="nil"/>
              <w:bottom w:val="single" w:sz="4" w:space="0" w:color="auto"/>
              <w:right w:val="nil"/>
            </w:tcBorders>
            <w:shd w:val="clear" w:color="auto" w:fill="auto"/>
            <w:vAlign w:val="bottom"/>
          </w:tcPr>
          <w:p w:rsidR="000F02F9" w:rsidRPr="002937C5" w:rsidRDefault="000F02F9" w:rsidP="000F02F9">
            <w:pPr>
              <w:jc w:val="right"/>
              <w:rPr>
                <w:rFonts w:ascii="Segoe UI" w:hAnsi="Segoe UI" w:cs="Segoe UI"/>
                <w:sz w:val="16"/>
                <w:szCs w:val="18"/>
              </w:rPr>
            </w:pPr>
            <w:r>
              <w:rPr>
                <w:rFonts w:ascii="Segoe UI" w:hAnsi="Segoe UI" w:cs="Segoe UI"/>
                <w:sz w:val="16"/>
                <w:szCs w:val="18"/>
              </w:rPr>
              <w:t>39.</w:t>
            </w:r>
            <w:r w:rsidRPr="002937C5">
              <w:rPr>
                <w:rFonts w:ascii="Segoe UI" w:hAnsi="Segoe UI" w:cs="Segoe UI"/>
                <w:sz w:val="16"/>
                <w:szCs w:val="18"/>
              </w:rPr>
              <w:t>607</w:t>
            </w:r>
          </w:p>
        </w:tc>
        <w:tc>
          <w:tcPr>
            <w:tcW w:w="850" w:type="dxa"/>
            <w:tcBorders>
              <w:top w:val="single" w:sz="2" w:space="0" w:color="auto"/>
              <w:left w:val="nil"/>
              <w:bottom w:val="single" w:sz="4" w:space="0" w:color="auto"/>
              <w:right w:val="nil"/>
            </w:tcBorders>
            <w:shd w:val="clear" w:color="auto" w:fill="auto"/>
            <w:vAlign w:val="bottom"/>
          </w:tcPr>
          <w:p w:rsidR="000F02F9" w:rsidRPr="002937C5" w:rsidRDefault="000F02F9" w:rsidP="000F02F9">
            <w:pPr>
              <w:jc w:val="right"/>
              <w:rPr>
                <w:rFonts w:ascii="Segoe UI" w:hAnsi="Segoe UI" w:cs="Segoe UI"/>
                <w:i/>
                <w:sz w:val="16"/>
                <w:szCs w:val="18"/>
              </w:rPr>
            </w:pPr>
            <w:r w:rsidRPr="002937C5">
              <w:rPr>
                <w:rFonts w:ascii="Segoe UI" w:hAnsi="Segoe UI" w:cs="Segoe UI"/>
                <w:i/>
                <w:sz w:val="16"/>
                <w:szCs w:val="18"/>
              </w:rPr>
              <w:t>2</w:t>
            </w:r>
            <w:r>
              <w:rPr>
                <w:rFonts w:ascii="Segoe UI" w:hAnsi="Segoe UI" w:cs="Segoe UI"/>
                <w:i/>
                <w:sz w:val="16"/>
                <w:szCs w:val="18"/>
              </w:rPr>
              <w:t>,</w:t>
            </w:r>
            <w:r w:rsidRPr="002937C5">
              <w:rPr>
                <w:rFonts w:ascii="Segoe UI" w:hAnsi="Segoe UI" w:cs="Segoe UI"/>
                <w:i/>
                <w:sz w:val="16"/>
                <w:szCs w:val="18"/>
              </w:rPr>
              <w:t>2%</w:t>
            </w:r>
          </w:p>
        </w:tc>
        <w:tc>
          <w:tcPr>
            <w:tcW w:w="1077" w:type="dxa"/>
            <w:tcBorders>
              <w:top w:val="single" w:sz="2" w:space="0" w:color="auto"/>
              <w:left w:val="nil"/>
              <w:bottom w:val="single" w:sz="4" w:space="0" w:color="auto"/>
              <w:right w:val="nil"/>
            </w:tcBorders>
            <w:shd w:val="clear" w:color="auto" w:fill="auto"/>
            <w:vAlign w:val="bottom"/>
          </w:tcPr>
          <w:p w:rsidR="000F02F9" w:rsidRPr="002937C5" w:rsidRDefault="000F02F9" w:rsidP="000F02F9">
            <w:pPr>
              <w:jc w:val="right"/>
              <w:rPr>
                <w:rFonts w:ascii="Segoe UI" w:hAnsi="Segoe UI" w:cs="Segoe UI"/>
                <w:sz w:val="16"/>
                <w:szCs w:val="18"/>
              </w:rPr>
            </w:pPr>
            <w:r>
              <w:rPr>
                <w:rFonts w:ascii="Segoe UI" w:hAnsi="Segoe UI" w:cs="Segoe UI"/>
                <w:sz w:val="16"/>
                <w:szCs w:val="18"/>
              </w:rPr>
              <w:t>40.</w:t>
            </w:r>
            <w:r w:rsidRPr="002937C5">
              <w:rPr>
                <w:rFonts w:ascii="Segoe UI" w:hAnsi="Segoe UI" w:cs="Segoe UI"/>
                <w:sz w:val="16"/>
                <w:szCs w:val="18"/>
              </w:rPr>
              <w:t>459</w:t>
            </w:r>
          </w:p>
        </w:tc>
        <w:tc>
          <w:tcPr>
            <w:tcW w:w="1077" w:type="dxa"/>
            <w:tcBorders>
              <w:top w:val="single" w:sz="2" w:space="0" w:color="auto"/>
              <w:left w:val="nil"/>
              <w:bottom w:val="single" w:sz="4" w:space="0" w:color="auto"/>
              <w:right w:val="nil"/>
            </w:tcBorders>
            <w:shd w:val="clear" w:color="auto" w:fill="auto"/>
            <w:vAlign w:val="bottom"/>
          </w:tcPr>
          <w:p w:rsidR="000F02F9" w:rsidRPr="000F02F9" w:rsidRDefault="000F02F9" w:rsidP="000F02F9">
            <w:pPr>
              <w:jc w:val="right"/>
              <w:rPr>
                <w:rFonts w:ascii="Segoe UI" w:hAnsi="Segoe UI" w:cs="Segoe UI"/>
                <w:sz w:val="16"/>
                <w:szCs w:val="18"/>
              </w:rPr>
            </w:pPr>
            <w:r>
              <w:rPr>
                <w:rFonts w:ascii="Segoe UI" w:hAnsi="Segoe UI" w:cs="Segoe UI"/>
                <w:sz w:val="16"/>
                <w:szCs w:val="18"/>
              </w:rPr>
              <w:t>40.</w:t>
            </w:r>
            <w:r w:rsidRPr="000F02F9">
              <w:rPr>
                <w:rFonts w:ascii="Segoe UI" w:hAnsi="Segoe UI" w:cs="Segoe UI"/>
                <w:sz w:val="16"/>
                <w:szCs w:val="18"/>
              </w:rPr>
              <w:t>289</w:t>
            </w:r>
          </w:p>
        </w:tc>
        <w:tc>
          <w:tcPr>
            <w:tcW w:w="850" w:type="dxa"/>
            <w:tcBorders>
              <w:top w:val="single" w:sz="2" w:space="0" w:color="auto"/>
              <w:left w:val="nil"/>
              <w:bottom w:val="single" w:sz="4" w:space="0" w:color="auto"/>
              <w:right w:val="nil"/>
            </w:tcBorders>
            <w:shd w:val="clear" w:color="auto" w:fill="auto"/>
          </w:tcPr>
          <w:p w:rsidR="000F02F9" w:rsidRPr="002937C5" w:rsidRDefault="000F02F9" w:rsidP="000F02F9">
            <w:pPr>
              <w:jc w:val="right"/>
              <w:rPr>
                <w:rFonts w:ascii="Segoe UI" w:hAnsi="Segoe UI" w:cs="Segoe UI"/>
                <w:i/>
                <w:sz w:val="16"/>
                <w:szCs w:val="18"/>
              </w:rPr>
            </w:pPr>
            <w:r w:rsidRPr="002937C5">
              <w:rPr>
                <w:rFonts w:ascii="Segoe UI" w:hAnsi="Segoe UI" w:cs="Segoe UI"/>
                <w:i/>
                <w:sz w:val="16"/>
                <w:szCs w:val="18"/>
              </w:rPr>
              <w:t>0</w:t>
            </w:r>
            <w:r>
              <w:rPr>
                <w:rFonts w:ascii="Segoe UI" w:hAnsi="Segoe UI" w:cs="Segoe UI"/>
                <w:i/>
                <w:sz w:val="16"/>
                <w:szCs w:val="18"/>
              </w:rPr>
              <w:t>,</w:t>
            </w:r>
            <w:r w:rsidRPr="002937C5">
              <w:rPr>
                <w:rFonts w:ascii="Segoe UI" w:hAnsi="Segoe UI" w:cs="Segoe UI"/>
                <w:i/>
                <w:sz w:val="16"/>
                <w:szCs w:val="18"/>
              </w:rPr>
              <w:t>4%</w:t>
            </w:r>
          </w:p>
        </w:tc>
      </w:tr>
      <w:tr w:rsidR="000F02F9" w:rsidRPr="00B522A6" w:rsidTr="000F02F9">
        <w:trPr>
          <w:trHeight w:hRule="exact" w:val="255"/>
          <w:jc w:val="right"/>
        </w:trPr>
        <w:tc>
          <w:tcPr>
            <w:tcW w:w="3005" w:type="dxa"/>
            <w:tcBorders>
              <w:top w:val="single" w:sz="4" w:space="0" w:color="auto"/>
              <w:bottom w:val="single" w:sz="4" w:space="0" w:color="auto"/>
            </w:tcBorders>
            <w:shd w:val="clear" w:color="auto" w:fill="auto"/>
            <w:vAlign w:val="bottom"/>
          </w:tcPr>
          <w:p w:rsidR="000F02F9" w:rsidRPr="003C4D83" w:rsidRDefault="000F02F9" w:rsidP="00E027DF">
            <w:pPr>
              <w:spacing w:after="160"/>
              <w:rPr>
                <w:rFonts w:ascii="Segoe UI" w:hAnsi="Segoe UI" w:cs="Segoe UI"/>
                <w:sz w:val="16"/>
                <w:szCs w:val="18"/>
                <w:lang w:val="el-GR"/>
              </w:rPr>
            </w:pPr>
            <w:r w:rsidRPr="003C4D83">
              <w:rPr>
                <w:rFonts w:ascii="Segoe UI" w:hAnsi="Segoe UI" w:cs="Segoe UI"/>
                <w:sz w:val="16"/>
                <w:szCs w:val="18"/>
              </w:rPr>
              <w:t xml:space="preserve">          </w:t>
            </w:r>
            <w:r w:rsidRPr="003C4D83">
              <w:rPr>
                <w:rFonts w:ascii="Segoe UI" w:hAnsi="Segoe UI" w:cs="Segoe UI"/>
                <w:sz w:val="16"/>
                <w:szCs w:val="18"/>
                <w:lang w:val="el-GR"/>
              </w:rPr>
              <w:t>Ίδια Κεφάλαια</w:t>
            </w:r>
            <w:r w:rsidR="00E027DF">
              <w:rPr>
                <w:rFonts w:ascii="Segoe UI" w:hAnsi="Segoe UI" w:cs="Segoe UI"/>
                <w:sz w:val="16"/>
                <w:szCs w:val="18"/>
                <w:lang w:val="el-GR"/>
              </w:rPr>
              <w:t xml:space="preserve"> Μετόχων</w:t>
            </w:r>
            <w:r w:rsidRPr="003C4D83">
              <w:rPr>
                <w:rStyle w:val="a9"/>
                <w:rFonts w:ascii="Segoe UI" w:hAnsi="Segoe UI" w:cs="Segoe UI"/>
                <w:sz w:val="16"/>
                <w:szCs w:val="18"/>
                <w:lang w:val="el-GR"/>
              </w:rPr>
              <w:footnoteReference w:id="10"/>
            </w:r>
          </w:p>
        </w:tc>
        <w:tc>
          <w:tcPr>
            <w:tcW w:w="1077" w:type="dxa"/>
            <w:tcBorders>
              <w:top w:val="single" w:sz="4" w:space="0" w:color="auto"/>
              <w:left w:val="nil"/>
              <w:bottom w:val="single" w:sz="4" w:space="0" w:color="auto"/>
              <w:right w:val="nil"/>
            </w:tcBorders>
            <w:shd w:val="clear" w:color="auto" w:fill="auto"/>
            <w:vAlign w:val="bottom"/>
          </w:tcPr>
          <w:p w:rsidR="000F02F9" w:rsidRPr="002937C5" w:rsidRDefault="000F02F9" w:rsidP="000F02F9">
            <w:pPr>
              <w:jc w:val="right"/>
              <w:rPr>
                <w:rFonts w:ascii="Segoe UI" w:hAnsi="Segoe UI" w:cs="Segoe UI"/>
                <w:sz w:val="16"/>
                <w:szCs w:val="18"/>
              </w:rPr>
            </w:pPr>
            <w:r w:rsidRPr="002937C5">
              <w:rPr>
                <w:rFonts w:ascii="Segoe UI" w:hAnsi="Segoe UI" w:cs="Segoe UI"/>
                <w:sz w:val="16"/>
                <w:szCs w:val="18"/>
              </w:rPr>
              <w:t>6</w:t>
            </w:r>
            <w:r>
              <w:rPr>
                <w:rFonts w:ascii="Segoe UI" w:hAnsi="Segoe UI" w:cs="Segoe UI"/>
                <w:sz w:val="16"/>
                <w:szCs w:val="18"/>
              </w:rPr>
              <w:t>.</w:t>
            </w:r>
            <w:r w:rsidRPr="002937C5">
              <w:rPr>
                <w:rFonts w:ascii="Segoe UI" w:hAnsi="Segoe UI" w:cs="Segoe UI"/>
                <w:sz w:val="16"/>
                <w:szCs w:val="18"/>
              </w:rPr>
              <w:t>9</w:t>
            </w:r>
            <w:r>
              <w:rPr>
                <w:rFonts w:ascii="Segoe UI" w:hAnsi="Segoe UI" w:cs="Segoe UI"/>
                <w:sz w:val="16"/>
                <w:szCs w:val="18"/>
              </w:rPr>
              <w:t>06</w:t>
            </w:r>
          </w:p>
        </w:tc>
        <w:tc>
          <w:tcPr>
            <w:tcW w:w="1077" w:type="dxa"/>
            <w:tcBorders>
              <w:top w:val="single" w:sz="4" w:space="0" w:color="auto"/>
              <w:left w:val="nil"/>
              <w:bottom w:val="single" w:sz="4" w:space="0" w:color="auto"/>
              <w:right w:val="nil"/>
            </w:tcBorders>
            <w:shd w:val="clear" w:color="auto" w:fill="auto"/>
            <w:vAlign w:val="bottom"/>
          </w:tcPr>
          <w:p w:rsidR="000F02F9" w:rsidRPr="002937C5" w:rsidRDefault="000F02F9" w:rsidP="000F02F9">
            <w:pPr>
              <w:jc w:val="right"/>
              <w:rPr>
                <w:rFonts w:ascii="Segoe UI" w:hAnsi="Segoe UI" w:cs="Segoe UI"/>
                <w:sz w:val="16"/>
                <w:szCs w:val="18"/>
              </w:rPr>
            </w:pPr>
            <w:r>
              <w:rPr>
                <w:rFonts w:ascii="Segoe UI" w:hAnsi="Segoe UI" w:cs="Segoe UI"/>
                <w:sz w:val="16"/>
                <w:szCs w:val="18"/>
              </w:rPr>
              <w:t>7.</w:t>
            </w:r>
            <w:r w:rsidRPr="002937C5">
              <w:rPr>
                <w:rFonts w:ascii="Segoe UI" w:hAnsi="Segoe UI" w:cs="Segoe UI"/>
                <w:sz w:val="16"/>
                <w:szCs w:val="18"/>
              </w:rPr>
              <w:t>070</w:t>
            </w:r>
          </w:p>
        </w:tc>
        <w:tc>
          <w:tcPr>
            <w:tcW w:w="850" w:type="dxa"/>
            <w:tcBorders>
              <w:top w:val="single" w:sz="4" w:space="0" w:color="auto"/>
              <w:left w:val="nil"/>
              <w:bottom w:val="single" w:sz="4" w:space="0" w:color="auto"/>
              <w:right w:val="nil"/>
            </w:tcBorders>
            <w:shd w:val="clear" w:color="auto" w:fill="auto"/>
            <w:vAlign w:val="bottom"/>
          </w:tcPr>
          <w:p w:rsidR="000F02F9" w:rsidRPr="002937C5" w:rsidRDefault="000F02F9" w:rsidP="000F02F9">
            <w:pPr>
              <w:jc w:val="right"/>
              <w:rPr>
                <w:rFonts w:ascii="Segoe UI" w:hAnsi="Segoe UI" w:cs="Segoe UI"/>
                <w:i/>
                <w:sz w:val="16"/>
                <w:szCs w:val="18"/>
              </w:rPr>
            </w:pPr>
            <w:r w:rsidRPr="002937C5">
              <w:rPr>
                <w:rFonts w:ascii="Segoe UI" w:hAnsi="Segoe UI" w:cs="Segoe UI"/>
                <w:i/>
                <w:sz w:val="16"/>
                <w:szCs w:val="18"/>
              </w:rPr>
              <w:t>-2</w:t>
            </w:r>
            <w:r>
              <w:rPr>
                <w:rFonts w:ascii="Segoe UI" w:hAnsi="Segoe UI" w:cs="Segoe UI"/>
                <w:i/>
                <w:sz w:val="16"/>
                <w:szCs w:val="18"/>
              </w:rPr>
              <w:t>,3</w:t>
            </w:r>
            <w:r w:rsidRPr="002937C5">
              <w:rPr>
                <w:rFonts w:ascii="Segoe UI" w:hAnsi="Segoe UI" w:cs="Segoe UI"/>
                <w:i/>
                <w:sz w:val="16"/>
                <w:szCs w:val="18"/>
              </w:rPr>
              <w:t>%</w:t>
            </w:r>
          </w:p>
        </w:tc>
        <w:tc>
          <w:tcPr>
            <w:tcW w:w="1077" w:type="dxa"/>
            <w:tcBorders>
              <w:top w:val="single" w:sz="4" w:space="0" w:color="auto"/>
              <w:left w:val="nil"/>
              <w:bottom w:val="single" w:sz="4" w:space="0" w:color="auto"/>
              <w:right w:val="nil"/>
            </w:tcBorders>
            <w:shd w:val="clear" w:color="auto" w:fill="auto"/>
            <w:vAlign w:val="bottom"/>
          </w:tcPr>
          <w:p w:rsidR="000F02F9" w:rsidRPr="002937C5" w:rsidRDefault="000F02F9" w:rsidP="000F02F9">
            <w:pPr>
              <w:jc w:val="right"/>
              <w:rPr>
                <w:rFonts w:ascii="Segoe UI" w:hAnsi="Segoe UI" w:cs="Segoe UI"/>
                <w:sz w:val="16"/>
                <w:szCs w:val="18"/>
              </w:rPr>
            </w:pPr>
            <w:r>
              <w:rPr>
                <w:rFonts w:ascii="Segoe UI" w:hAnsi="Segoe UI" w:cs="Segoe UI"/>
                <w:sz w:val="16"/>
                <w:szCs w:val="18"/>
              </w:rPr>
              <w:t>6.</w:t>
            </w:r>
            <w:r w:rsidRPr="002937C5">
              <w:rPr>
                <w:rFonts w:ascii="Segoe UI" w:hAnsi="Segoe UI" w:cs="Segoe UI"/>
                <w:sz w:val="16"/>
                <w:szCs w:val="18"/>
              </w:rPr>
              <w:t>9</w:t>
            </w:r>
            <w:r>
              <w:rPr>
                <w:rFonts w:ascii="Segoe UI" w:hAnsi="Segoe UI" w:cs="Segoe UI"/>
                <w:sz w:val="16"/>
                <w:szCs w:val="18"/>
              </w:rPr>
              <w:t>06</w:t>
            </w:r>
          </w:p>
        </w:tc>
        <w:tc>
          <w:tcPr>
            <w:tcW w:w="1077" w:type="dxa"/>
            <w:tcBorders>
              <w:top w:val="single" w:sz="4" w:space="0" w:color="auto"/>
              <w:left w:val="nil"/>
              <w:bottom w:val="single" w:sz="4" w:space="0" w:color="auto"/>
              <w:right w:val="nil"/>
            </w:tcBorders>
            <w:shd w:val="clear" w:color="auto" w:fill="auto"/>
            <w:vAlign w:val="bottom"/>
          </w:tcPr>
          <w:p w:rsidR="000F02F9" w:rsidRPr="000F02F9" w:rsidRDefault="000F02F9" w:rsidP="000F02F9">
            <w:pPr>
              <w:jc w:val="right"/>
              <w:rPr>
                <w:rFonts w:ascii="Segoe UI" w:hAnsi="Segoe UI" w:cs="Segoe UI"/>
                <w:sz w:val="16"/>
                <w:szCs w:val="18"/>
              </w:rPr>
            </w:pPr>
            <w:r>
              <w:rPr>
                <w:rFonts w:ascii="Segoe UI" w:hAnsi="Segoe UI" w:cs="Segoe UI"/>
                <w:sz w:val="16"/>
                <w:szCs w:val="18"/>
              </w:rPr>
              <w:t>7.</w:t>
            </w:r>
            <w:r w:rsidRPr="000F02F9">
              <w:rPr>
                <w:rFonts w:ascii="Segoe UI" w:hAnsi="Segoe UI" w:cs="Segoe UI"/>
                <w:sz w:val="16"/>
                <w:szCs w:val="18"/>
              </w:rPr>
              <w:t>071</w:t>
            </w:r>
          </w:p>
        </w:tc>
        <w:tc>
          <w:tcPr>
            <w:tcW w:w="850" w:type="dxa"/>
            <w:tcBorders>
              <w:top w:val="single" w:sz="4" w:space="0" w:color="auto"/>
              <w:left w:val="nil"/>
              <w:bottom w:val="single" w:sz="4" w:space="0" w:color="auto"/>
              <w:right w:val="nil"/>
            </w:tcBorders>
            <w:shd w:val="clear" w:color="auto" w:fill="auto"/>
          </w:tcPr>
          <w:p w:rsidR="000F02F9" w:rsidRPr="002937C5" w:rsidRDefault="000F02F9" w:rsidP="000F02F9">
            <w:pPr>
              <w:jc w:val="right"/>
              <w:rPr>
                <w:rFonts w:ascii="Segoe UI" w:hAnsi="Segoe UI" w:cs="Segoe UI"/>
                <w:i/>
                <w:sz w:val="16"/>
                <w:szCs w:val="18"/>
              </w:rPr>
            </w:pPr>
            <w:r w:rsidRPr="002937C5">
              <w:rPr>
                <w:rFonts w:ascii="Segoe UI" w:hAnsi="Segoe UI" w:cs="Segoe UI"/>
                <w:i/>
                <w:sz w:val="16"/>
                <w:szCs w:val="18"/>
              </w:rPr>
              <w:t>-2</w:t>
            </w:r>
            <w:r>
              <w:rPr>
                <w:rFonts w:ascii="Segoe UI" w:hAnsi="Segoe UI" w:cs="Segoe UI"/>
                <w:i/>
                <w:sz w:val="16"/>
                <w:szCs w:val="18"/>
              </w:rPr>
              <w:t>,3</w:t>
            </w:r>
            <w:r w:rsidRPr="002937C5">
              <w:rPr>
                <w:rFonts w:ascii="Segoe UI" w:hAnsi="Segoe UI" w:cs="Segoe UI"/>
                <w:i/>
                <w:sz w:val="16"/>
                <w:szCs w:val="18"/>
              </w:rPr>
              <w:t>%</w:t>
            </w:r>
          </w:p>
        </w:tc>
      </w:tr>
      <w:tr w:rsidR="000F02F9" w:rsidRPr="00B522A6" w:rsidTr="000F02F9">
        <w:trPr>
          <w:trHeight w:hRule="exact" w:val="255"/>
          <w:jc w:val="right"/>
        </w:trPr>
        <w:tc>
          <w:tcPr>
            <w:tcW w:w="3005" w:type="dxa"/>
            <w:tcBorders>
              <w:top w:val="single" w:sz="4" w:space="0" w:color="auto"/>
              <w:bottom w:val="single" w:sz="4" w:space="0" w:color="auto"/>
            </w:tcBorders>
            <w:shd w:val="clear" w:color="auto" w:fill="auto"/>
            <w:vAlign w:val="bottom"/>
          </w:tcPr>
          <w:p w:rsidR="000F02F9" w:rsidRPr="003C4D83" w:rsidRDefault="000F02F9" w:rsidP="00E027DF">
            <w:pPr>
              <w:spacing w:after="160"/>
              <w:rPr>
                <w:rFonts w:ascii="Segoe UI" w:hAnsi="Segoe UI" w:cs="Segoe UI"/>
                <w:sz w:val="16"/>
                <w:szCs w:val="18"/>
              </w:rPr>
            </w:pPr>
            <w:r w:rsidRPr="003C4D83">
              <w:rPr>
                <w:rFonts w:ascii="Segoe UI" w:hAnsi="Segoe UI" w:cs="Segoe UI"/>
                <w:sz w:val="16"/>
                <w:szCs w:val="18"/>
              </w:rPr>
              <w:t xml:space="preserve">          </w:t>
            </w:r>
            <w:r w:rsidR="00E027DF">
              <w:rPr>
                <w:rFonts w:ascii="Segoe UI" w:hAnsi="Segoe UI" w:cs="Segoe UI"/>
                <w:sz w:val="16"/>
                <w:szCs w:val="18"/>
                <w:lang w:val="el-GR"/>
              </w:rPr>
              <w:t>Συνολικά</w:t>
            </w:r>
            <w:r w:rsidRPr="003C4D83">
              <w:rPr>
                <w:rFonts w:ascii="Segoe UI" w:hAnsi="Segoe UI" w:cs="Segoe UI"/>
                <w:sz w:val="16"/>
                <w:szCs w:val="18"/>
                <w:lang w:val="el-GR"/>
              </w:rPr>
              <w:t xml:space="preserve"> Ίδια Κεφάλαια</w:t>
            </w:r>
          </w:p>
        </w:tc>
        <w:tc>
          <w:tcPr>
            <w:tcW w:w="1077" w:type="dxa"/>
            <w:tcBorders>
              <w:top w:val="single" w:sz="4" w:space="0" w:color="auto"/>
              <w:left w:val="nil"/>
              <w:bottom w:val="single" w:sz="4" w:space="0" w:color="auto"/>
              <w:right w:val="nil"/>
            </w:tcBorders>
            <w:shd w:val="clear" w:color="auto" w:fill="auto"/>
            <w:vAlign w:val="bottom"/>
          </w:tcPr>
          <w:p w:rsidR="000F02F9" w:rsidRPr="002937C5" w:rsidRDefault="000F02F9" w:rsidP="000F02F9">
            <w:pPr>
              <w:jc w:val="right"/>
              <w:rPr>
                <w:rFonts w:ascii="Segoe UI" w:hAnsi="Segoe UI" w:cs="Segoe UI"/>
                <w:sz w:val="16"/>
                <w:szCs w:val="18"/>
              </w:rPr>
            </w:pPr>
            <w:r w:rsidRPr="002937C5">
              <w:rPr>
                <w:rFonts w:ascii="Segoe UI" w:hAnsi="Segoe UI" w:cs="Segoe UI"/>
                <w:sz w:val="16"/>
                <w:szCs w:val="18"/>
              </w:rPr>
              <w:t>6</w:t>
            </w:r>
            <w:r>
              <w:rPr>
                <w:rFonts w:ascii="Segoe UI" w:hAnsi="Segoe UI" w:cs="Segoe UI"/>
                <w:sz w:val="16"/>
                <w:szCs w:val="18"/>
              </w:rPr>
              <w:t>.</w:t>
            </w:r>
            <w:r w:rsidRPr="002937C5">
              <w:rPr>
                <w:rFonts w:ascii="Segoe UI" w:hAnsi="Segoe UI" w:cs="Segoe UI"/>
                <w:sz w:val="16"/>
                <w:szCs w:val="18"/>
              </w:rPr>
              <w:t>7</w:t>
            </w:r>
            <w:r>
              <w:rPr>
                <w:rFonts w:ascii="Segoe UI" w:hAnsi="Segoe UI" w:cs="Segoe UI"/>
                <w:sz w:val="16"/>
                <w:szCs w:val="18"/>
              </w:rPr>
              <w:t>69</w:t>
            </w:r>
          </w:p>
        </w:tc>
        <w:tc>
          <w:tcPr>
            <w:tcW w:w="1077" w:type="dxa"/>
            <w:tcBorders>
              <w:top w:val="single" w:sz="4" w:space="0" w:color="auto"/>
              <w:left w:val="nil"/>
              <w:bottom w:val="single" w:sz="4" w:space="0" w:color="auto"/>
              <w:right w:val="nil"/>
            </w:tcBorders>
            <w:shd w:val="clear" w:color="auto" w:fill="auto"/>
            <w:vAlign w:val="bottom"/>
          </w:tcPr>
          <w:p w:rsidR="000F02F9" w:rsidRPr="002937C5" w:rsidRDefault="000F02F9" w:rsidP="000F02F9">
            <w:pPr>
              <w:jc w:val="right"/>
              <w:rPr>
                <w:rFonts w:ascii="Segoe UI" w:hAnsi="Segoe UI" w:cs="Segoe UI"/>
                <w:sz w:val="16"/>
                <w:szCs w:val="18"/>
              </w:rPr>
            </w:pPr>
            <w:r>
              <w:rPr>
                <w:rFonts w:ascii="Segoe UI" w:hAnsi="Segoe UI" w:cs="Segoe UI"/>
                <w:sz w:val="16"/>
                <w:szCs w:val="18"/>
              </w:rPr>
              <w:t>6.</w:t>
            </w:r>
            <w:r w:rsidRPr="002937C5">
              <w:rPr>
                <w:rFonts w:ascii="Segoe UI" w:hAnsi="Segoe UI" w:cs="Segoe UI"/>
                <w:sz w:val="16"/>
                <w:szCs w:val="18"/>
              </w:rPr>
              <w:t>937</w:t>
            </w:r>
          </w:p>
        </w:tc>
        <w:tc>
          <w:tcPr>
            <w:tcW w:w="850" w:type="dxa"/>
            <w:tcBorders>
              <w:top w:val="single" w:sz="4" w:space="0" w:color="auto"/>
              <w:left w:val="nil"/>
              <w:bottom w:val="single" w:sz="4" w:space="0" w:color="auto"/>
              <w:right w:val="nil"/>
            </w:tcBorders>
            <w:shd w:val="clear" w:color="auto" w:fill="auto"/>
            <w:vAlign w:val="bottom"/>
          </w:tcPr>
          <w:p w:rsidR="000F02F9" w:rsidRPr="002937C5" w:rsidRDefault="000F02F9" w:rsidP="000F02F9">
            <w:pPr>
              <w:jc w:val="right"/>
              <w:rPr>
                <w:rFonts w:ascii="Segoe UI" w:hAnsi="Segoe UI" w:cs="Segoe UI"/>
                <w:i/>
                <w:sz w:val="16"/>
                <w:szCs w:val="18"/>
              </w:rPr>
            </w:pPr>
            <w:r w:rsidRPr="002937C5">
              <w:rPr>
                <w:rFonts w:ascii="Segoe UI" w:hAnsi="Segoe UI" w:cs="Segoe UI"/>
                <w:i/>
                <w:sz w:val="16"/>
                <w:szCs w:val="18"/>
              </w:rPr>
              <w:t>-2</w:t>
            </w:r>
            <w:r>
              <w:rPr>
                <w:rFonts w:ascii="Segoe UI" w:hAnsi="Segoe UI" w:cs="Segoe UI"/>
                <w:i/>
                <w:sz w:val="16"/>
                <w:szCs w:val="18"/>
              </w:rPr>
              <w:t>,4</w:t>
            </w:r>
            <w:r w:rsidRPr="002937C5">
              <w:rPr>
                <w:rFonts w:ascii="Segoe UI" w:hAnsi="Segoe UI" w:cs="Segoe UI"/>
                <w:i/>
                <w:sz w:val="16"/>
                <w:szCs w:val="18"/>
              </w:rPr>
              <w:t>%</w:t>
            </w:r>
          </w:p>
        </w:tc>
        <w:tc>
          <w:tcPr>
            <w:tcW w:w="1077" w:type="dxa"/>
            <w:tcBorders>
              <w:top w:val="single" w:sz="4" w:space="0" w:color="auto"/>
              <w:left w:val="nil"/>
              <w:bottom w:val="single" w:sz="4" w:space="0" w:color="auto"/>
              <w:right w:val="nil"/>
            </w:tcBorders>
            <w:shd w:val="clear" w:color="auto" w:fill="auto"/>
            <w:vAlign w:val="bottom"/>
          </w:tcPr>
          <w:p w:rsidR="000F02F9" w:rsidRPr="002937C5" w:rsidRDefault="000F02F9" w:rsidP="000F02F9">
            <w:pPr>
              <w:jc w:val="right"/>
              <w:rPr>
                <w:rFonts w:ascii="Segoe UI" w:hAnsi="Segoe UI" w:cs="Segoe UI"/>
                <w:sz w:val="16"/>
                <w:szCs w:val="18"/>
              </w:rPr>
            </w:pPr>
            <w:r>
              <w:rPr>
                <w:rFonts w:ascii="Segoe UI" w:hAnsi="Segoe UI" w:cs="Segoe UI"/>
                <w:sz w:val="16"/>
                <w:szCs w:val="18"/>
              </w:rPr>
              <w:t>6.</w:t>
            </w:r>
            <w:r w:rsidRPr="002937C5">
              <w:rPr>
                <w:rFonts w:ascii="Segoe UI" w:hAnsi="Segoe UI" w:cs="Segoe UI"/>
                <w:sz w:val="16"/>
                <w:szCs w:val="18"/>
              </w:rPr>
              <w:t>7</w:t>
            </w:r>
            <w:r>
              <w:rPr>
                <w:rFonts w:ascii="Segoe UI" w:hAnsi="Segoe UI" w:cs="Segoe UI"/>
                <w:sz w:val="16"/>
                <w:szCs w:val="18"/>
              </w:rPr>
              <w:t>69</w:t>
            </w:r>
          </w:p>
        </w:tc>
        <w:tc>
          <w:tcPr>
            <w:tcW w:w="1077" w:type="dxa"/>
            <w:tcBorders>
              <w:top w:val="single" w:sz="4" w:space="0" w:color="auto"/>
              <w:left w:val="nil"/>
              <w:bottom w:val="single" w:sz="4" w:space="0" w:color="auto"/>
              <w:right w:val="nil"/>
            </w:tcBorders>
            <w:shd w:val="clear" w:color="auto" w:fill="auto"/>
            <w:vAlign w:val="bottom"/>
          </w:tcPr>
          <w:p w:rsidR="000F02F9" w:rsidRPr="000F02F9" w:rsidRDefault="000F02F9" w:rsidP="000F02F9">
            <w:pPr>
              <w:jc w:val="right"/>
              <w:rPr>
                <w:rFonts w:ascii="Segoe UI" w:hAnsi="Segoe UI" w:cs="Segoe UI"/>
                <w:sz w:val="16"/>
                <w:szCs w:val="18"/>
              </w:rPr>
            </w:pPr>
            <w:r>
              <w:rPr>
                <w:rFonts w:ascii="Segoe UI" w:hAnsi="Segoe UI" w:cs="Segoe UI"/>
                <w:sz w:val="16"/>
                <w:szCs w:val="18"/>
              </w:rPr>
              <w:t>6.</w:t>
            </w:r>
            <w:r w:rsidRPr="000F02F9">
              <w:rPr>
                <w:rFonts w:ascii="Segoe UI" w:hAnsi="Segoe UI" w:cs="Segoe UI"/>
                <w:sz w:val="16"/>
                <w:szCs w:val="18"/>
              </w:rPr>
              <w:t>930</w:t>
            </w:r>
          </w:p>
        </w:tc>
        <w:tc>
          <w:tcPr>
            <w:tcW w:w="850" w:type="dxa"/>
            <w:tcBorders>
              <w:top w:val="single" w:sz="4" w:space="0" w:color="auto"/>
              <w:left w:val="nil"/>
              <w:bottom w:val="single" w:sz="4" w:space="0" w:color="auto"/>
              <w:right w:val="nil"/>
            </w:tcBorders>
            <w:shd w:val="clear" w:color="auto" w:fill="auto"/>
          </w:tcPr>
          <w:p w:rsidR="000F02F9" w:rsidRPr="002937C5" w:rsidRDefault="000F02F9" w:rsidP="000F02F9">
            <w:pPr>
              <w:jc w:val="right"/>
              <w:rPr>
                <w:rFonts w:ascii="Segoe UI" w:hAnsi="Segoe UI" w:cs="Segoe UI"/>
                <w:i/>
                <w:sz w:val="16"/>
                <w:szCs w:val="18"/>
              </w:rPr>
            </w:pPr>
            <w:r w:rsidRPr="002937C5">
              <w:rPr>
                <w:rFonts w:ascii="Segoe UI" w:hAnsi="Segoe UI" w:cs="Segoe UI"/>
                <w:i/>
                <w:sz w:val="16"/>
                <w:szCs w:val="18"/>
              </w:rPr>
              <w:t>-2</w:t>
            </w:r>
            <w:r>
              <w:rPr>
                <w:rFonts w:ascii="Segoe UI" w:hAnsi="Segoe UI" w:cs="Segoe UI"/>
                <w:i/>
                <w:sz w:val="16"/>
                <w:szCs w:val="18"/>
              </w:rPr>
              <w:t>,3</w:t>
            </w:r>
            <w:r w:rsidRPr="002937C5">
              <w:rPr>
                <w:rFonts w:ascii="Segoe UI" w:hAnsi="Segoe UI" w:cs="Segoe UI"/>
                <w:i/>
                <w:sz w:val="16"/>
                <w:szCs w:val="18"/>
              </w:rPr>
              <w:t>%</w:t>
            </w:r>
          </w:p>
        </w:tc>
      </w:tr>
      <w:tr w:rsidR="00230F6E" w:rsidRPr="00B522A6" w:rsidTr="000F02F9">
        <w:trPr>
          <w:trHeight w:hRule="exact" w:val="510"/>
          <w:jc w:val="right"/>
        </w:trPr>
        <w:tc>
          <w:tcPr>
            <w:tcW w:w="3005" w:type="dxa"/>
            <w:tcBorders>
              <w:bottom w:val="single" w:sz="12" w:space="0" w:color="auto"/>
            </w:tcBorders>
            <w:shd w:val="clear" w:color="auto" w:fill="auto"/>
            <w:vAlign w:val="bottom"/>
          </w:tcPr>
          <w:p w:rsidR="00230F6E" w:rsidRPr="003C4D83" w:rsidRDefault="00230F6E" w:rsidP="00230F6E">
            <w:pPr>
              <w:spacing w:after="160" w:line="240" w:lineRule="auto"/>
              <w:rPr>
                <w:rFonts w:ascii="Segoe UI" w:hAnsi="Segoe UI" w:cs="Segoe UI"/>
                <w:b/>
                <w:sz w:val="16"/>
                <w:szCs w:val="18"/>
                <w:lang w:val="en-US"/>
              </w:rPr>
            </w:pPr>
            <w:r w:rsidRPr="003C4D83">
              <w:rPr>
                <w:rFonts w:ascii="Segoe UI" w:eastAsia="Times New Roman" w:hAnsi="Segoe UI" w:cs="Segoe UI"/>
                <w:b/>
                <w:bCs/>
                <w:sz w:val="16"/>
                <w:szCs w:val="18"/>
                <w:lang w:val="el-GR"/>
              </w:rPr>
              <w:t>Δείκτες</w:t>
            </w:r>
            <w:r w:rsidRPr="003C4D83">
              <w:rPr>
                <w:rFonts w:ascii="Segoe UI" w:eastAsia="Times New Roman" w:hAnsi="Segoe UI" w:cs="Segoe UI"/>
                <w:b/>
                <w:bCs/>
                <w:sz w:val="16"/>
                <w:szCs w:val="18"/>
                <w:lang w:val="en-US"/>
              </w:rPr>
              <w:t xml:space="preserve"> </w:t>
            </w:r>
            <w:r w:rsidRPr="003C4D83">
              <w:rPr>
                <w:rFonts w:ascii="Segoe UI" w:eastAsia="Times New Roman" w:hAnsi="Segoe UI" w:cs="Segoe UI"/>
                <w:b/>
                <w:bCs/>
                <w:sz w:val="16"/>
                <w:szCs w:val="18"/>
                <w:lang w:val="el-GR"/>
              </w:rPr>
              <w:t>Ομίλου</w:t>
            </w:r>
          </w:p>
        </w:tc>
        <w:tc>
          <w:tcPr>
            <w:tcW w:w="1077" w:type="dxa"/>
            <w:tcBorders>
              <w:bottom w:val="single" w:sz="12" w:space="0" w:color="auto"/>
            </w:tcBorders>
            <w:vAlign w:val="bottom"/>
          </w:tcPr>
          <w:p w:rsidR="00230F6E" w:rsidRPr="00230F6E" w:rsidRDefault="00230F6E" w:rsidP="000F02F9">
            <w:pPr>
              <w:jc w:val="right"/>
              <w:rPr>
                <w:rFonts w:ascii="Segoe UI" w:hAnsi="Segoe UI" w:cs="Segoe UI"/>
                <w:sz w:val="16"/>
                <w:szCs w:val="16"/>
              </w:rPr>
            </w:pPr>
          </w:p>
        </w:tc>
        <w:tc>
          <w:tcPr>
            <w:tcW w:w="1077" w:type="dxa"/>
            <w:tcBorders>
              <w:bottom w:val="single" w:sz="12" w:space="0" w:color="auto"/>
            </w:tcBorders>
            <w:vAlign w:val="bottom"/>
          </w:tcPr>
          <w:p w:rsidR="00230F6E" w:rsidRPr="00230F6E" w:rsidRDefault="00230F6E" w:rsidP="000F02F9">
            <w:pPr>
              <w:jc w:val="right"/>
              <w:rPr>
                <w:rFonts w:ascii="Segoe UI" w:hAnsi="Segoe UI" w:cs="Segoe UI"/>
                <w:sz w:val="16"/>
                <w:szCs w:val="16"/>
              </w:rPr>
            </w:pPr>
          </w:p>
        </w:tc>
        <w:tc>
          <w:tcPr>
            <w:tcW w:w="850" w:type="dxa"/>
            <w:tcBorders>
              <w:bottom w:val="single" w:sz="12" w:space="0" w:color="auto"/>
            </w:tcBorders>
            <w:vAlign w:val="bottom"/>
          </w:tcPr>
          <w:p w:rsidR="00230F6E" w:rsidRPr="00230F6E" w:rsidRDefault="00230F6E" w:rsidP="000F02F9">
            <w:pPr>
              <w:spacing w:after="160"/>
              <w:jc w:val="right"/>
              <w:rPr>
                <w:rFonts w:ascii="Segoe UI" w:hAnsi="Segoe UI" w:cs="Segoe UI"/>
                <w:i/>
                <w:sz w:val="16"/>
                <w:szCs w:val="16"/>
              </w:rPr>
            </w:pPr>
          </w:p>
        </w:tc>
        <w:tc>
          <w:tcPr>
            <w:tcW w:w="1077" w:type="dxa"/>
            <w:tcBorders>
              <w:bottom w:val="single" w:sz="12" w:space="0" w:color="auto"/>
            </w:tcBorders>
            <w:vAlign w:val="bottom"/>
          </w:tcPr>
          <w:p w:rsidR="00230F6E" w:rsidRPr="00230F6E" w:rsidRDefault="00230F6E" w:rsidP="000F02F9">
            <w:pPr>
              <w:jc w:val="right"/>
              <w:rPr>
                <w:rFonts w:ascii="Segoe UI" w:hAnsi="Segoe UI" w:cs="Segoe UI"/>
                <w:sz w:val="16"/>
                <w:szCs w:val="16"/>
              </w:rPr>
            </w:pPr>
          </w:p>
        </w:tc>
        <w:tc>
          <w:tcPr>
            <w:tcW w:w="1077" w:type="dxa"/>
            <w:tcBorders>
              <w:top w:val="single" w:sz="4" w:space="0" w:color="auto"/>
              <w:bottom w:val="single" w:sz="12" w:space="0" w:color="auto"/>
            </w:tcBorders>
            <w:vAlign w:val="bottom"/>
          </w:tcPr>
          <w:p w:rsidR="00230F6E" w:rsidRPr="00230F6E" w:rsidRDefault="00230F6E" w:rsidP="000F02F9">
            <w:pPr>
              <w:jc w:val="right"/>
              <w:rPr>
                <w:rFonts w:ascii="Segoe UI" w:hAnsi="Segoe UI" w:cs="Segoe UI"/>
                <w:sz w:val="16"/>
                <w:szCs w:val="16"/>
              </w:rPr>
            </w:pPr>
          </w:p>
        </w:tc>
        <w:tc>
          <w:tcPr>
            <w:tcW w:w="850" w:type="dxa"/>
            <w:tcBorders>
              <w:bottom w:val="single" w:sz="12" w:space="0" w:color="auto"/>
            </w:tcBorders>
            <w:vAlign w:val="bottom"/>
          </w:tcPr>
          <w:p w:rsidR="00230F6E" w:rsidRPr="00230F6E" w:rsidRDefault="00230F6E" w:rsidP="00230F6E">
            <w:pPr>
              <w:spacing w:after="160"/>
              <w:jc w:val="right"/>
              <w:rPr>
                <w:rFonts w:ascii="Segoe UI" w:hAnsi="Segoe UI" w:cs="Segoe UI"/>
                <w:i/>
                <w:sz w:val="16"/>
                <w:szCs w:val="16"/>
              </w:rPr>
            </w:pPr>
          </w:p>
        </w:tc>
      </w:tr>
      <w:tr w:rsidR="00230F6E" w:rsidRPr="00B522A6" w:rsidTr="000F02F9">
        <w:trPr>
          <w:trHeight w:hRule="exact" w:val="482"/>
          <w:jc w:val="right"/>
        </w:trPr>
        <w:tc>
          <w:tcPr>
            <w:tcW w:w="3005" w:type="dxa"/>
            <w:tcBorders>
              <w:top w:val="single" w:sz="12" w:space="0" w:color="auto"/>
              <w:bottom w:val="single" w:sz="4" w:space="0" w:color="auto"/>
            </w:tcBorders>
            <w:shd w:val="clear" w:color="auto" w:fill="auto"/>
            <w:vAlign w:val="bottom"/>
          </w:tcPr>
          <w:p w:rsidR="00230F6E" w:rsidRPr="003C4D83" w:rsidRDefault="00230F6E" w:rsidP="00230F6E">
            <w:pPr>
              <w:spacing w:after="160"/>
              <w:rPr>
                <w:rFonts w:ascii="Segoe UI" w:hAnsi="Segoe UI" w:cs="Segoe UI"/>
                <w:sz w:val="16"/>
                <w:szCs w:val="18"/>
                <w:lang w:val="el-GR"/>
              </w:rPr>
            </w:pPr>
            <w:r w:rsidRPr="003C4D83">
              <w:rPr>
                <w:rFonts w:ascii="Segoe UI" w:hAnsi="Segoe UI" w:cs="Segoe UI"/>
                <w:sz w:val="16"/>
                <w:szCs w:val="18"/>
                <w:lang w:val="el-GR"/>
              </w:rPr>
              <w:t>Δάνεια (</w:t>
            </w:r>
            <w:r>
              <w:rPr>
                <w:rFonts w:ascii="Segoe UI" w:hAnsi="Segoe UI" w:cs="Segoe UI"/>
                <w:sz w:val="16"/>
                <w:szCs w:val="18"/>
                <w:lang w:val="el-GR"/>
              </w:rPr>
              <w:t>μετά</w:t>
            </w:r>
            <w:r w:rsidRPr="003C4D83">
              <w:rPr>
                <w:rFonts w:ascii="Segoe UI" w:hAnsi="Segoe UI" w:cs="Segoe UI"/>
                <w:sz w:val="16"/>
                <w:szCs w:val="18"/>
                <w:lang w:val="el-GR"/>
              </w:rPr>
              <w:t xml:space="preserve"> προβλέψεων): Καταθέσεις </w:t>
            </w:r>
            <w:r>
              <w:rPr>
                <w:rFonts w:ascii="Segoe UI" w:hAnsi="Segoe UI" w:cs="Segoe UI"/>
                <w:sz w:val="16"/>
                <w:szCs w:val="18"/>
                <w:lang w:val="el-GR"/>
              </w:rPr>
              <w:t>(%)</w:t>
            </w:r>
          </w:p>
        </w:tc>
        <w:tc>
          <w:tcPr>
            <w:tcW w:w="1077" w:type="dxa"/>
            <w:tcBorders>
              <w:top w:val="single" w:sz="12" w:space="0" w:color="auto"/>
              <w:bottom w:val="single" w:sz="4" w:space="0" w:color="auto"/>
            </w:tcBorders>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88%</w:t>
            </w:r>
          </w:p>
        </w:tc>
        <w:tc>
          <w:tcPr>
            <w:tcW w:w="1077" w:type="dxa"/>
            <w:tcBorders>
              <w:top w:val="single" w:sz="12" w:space="0" w:color="auto"/>
              <w:bottom w:val="single" w:sz="4" w:space="0" w:color="auto"/>
            </w:tcBorders>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90%</w:t>
            </w:r>
          </w:p>
        </w:tc>
        <w:tc>
          <w:tcPr>
            <w:tcW w:w="850" w:type="dxa"/>
            <w:tcBorders>
              <w:top w:val="single" w:sz="12" w:space="0" w:color="auto"/>
              <w:bottom w:val="single" w:sz="4" w:space="0" w:color="auto"/>
            </w:tcBorders>
            <w:vAlign w:val="bottom"/>
          </w:tcPr>
          <w:p w:rsidR="00230F6E" w:rsidRPr="00230F6E" w:rsidRDefault="00230F6E" w:rsidP="000F02F9">
            <w:pPr>
              <w:spacing w:after="160"/>
              <w:jc w:val="right"/>
              <w:rPr>
                <w:rFonts w:ascii="Segoe UI" w:hAnsi="Segoe UI" w:cs="Segoe UI"/>
                <w:i/>
                <w:sz w:val="16"/>
                <w:szCs w:val="16"/>
              </w:rPr>
            </w:pPr>
            <w:r w:rsidRPr="00230F6E">
              <w:rPr>
                <w:rFonts w:ascii="Segoe UI" w:hAnsi="Segoe UI" w:cs="Segoe UI"/>
                <w:i/>
                <w:sz w:val="16"/>
                <w:szCs w:val="16"/>
              </w:rPr>
              <w:t xml:space="preserve">-2 </w:t>
            </w:r>
            <w:proofErr w:type="spellStart"/>
            <w:r w:rsidRPr="00230F6E">
              <w:rPr>
                <w:rFonts w:ascii="Segoe UI" w:hAnsi="Segoe UI" w:cs="Segoe UI"/>
                <w:i/>
                <w:sz w:val="16"/>
                <w:szCs w:val="16"/>
                <w:lang w:val="el-GR"/>
              </w:rPr>
              <w:t>μ.β</w:t>
            </w:r>
            <w:proofErr w:type="spellEnd"/>
            <w:r w:rsidRPr="00230F6E">
              <w:rPr>
                <w:rFonts w:ascii="Segoe UI" w:hAnsi="Segoe UI" w:cs="Segoe UI"/>
                <w:i/>
                <w:sz w:val="16"/>
                <w:szCs w:val="16"/>
                <w:lang w:val="el-GR"/>
              </w:rPr>
              <w:t>.</w:t>
            </w:r>
          </w:p>
        </w:tc>
        <w:tc>
          <w:tcPr>
            <w:tcW w:w="1077" w:type="dxa"/>
            <w:tcBorders>
              <w:top w:val="single" w:sz="12" w:space="0" w:color="auto"/>
              <w:bottom w:val="single" w:sz="4" w:space="0" w:color="auto"/>
            </w:tcBorders>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88%</w:t>
            </w:r>
          </w:p>
        </w:tc>
        <w:tc>
          <w:tcPr>
            <w:tcW w:w="1077" w:type="dxa"/>
            <w:tcBorders>
              <w:top w:val="single" w:sz="12" w:space="0" w:color="auto"/>
              <w:bottom w:val="single" w:sz="4" w:space="0" w:color="auto"/>
            </w:tcBorders>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91%</w:t>
            </w:r>
          </w:p>
        </w:tc>
        <w:tc>
          <w:tcPr>
            <w:tcW w:w="850" w:type="dxa"/>
            <w:tcBorders>
              <w:top w:val="single" w:sz="12" w:space="0" w:color="auto"/>
              <w:bottom w:val="single" w:sz="4" w:space="0" w:color="auto"/>
            </w:tcBorders>
            <w:vAlign w:val="bottom"/>
          </w:tcPr>
          <w:p w:rsidR="00230F6E" w:rsidRPr="00230F6E" w:rsidRDefault="00230F6E" w:rsidP="00230F6E">
            <w:pPr>
              <w:spacing w:after="160"/>
              <w:jc w:val="right"/>
              <w:rPr>
                <w:rFonts w:ascii="Segoe UI" w:hAnsi="Segoe UI" w:cs="Segoe UI"/>
                <w:i/>
                <w:sz w:val="16"/>
                <w:szCs w:val="16"/>
              </w:rPr>
            </w:pPr>
            <w:r w:rsidRPr="00230F6E">
              <w:rPr>
                <w:rFonts w:ascii="Segoe UI" w:hAnsi="Segoe UI" w:cs="Segoe UI"/>
                <w:i/>
                <w:sz w:val="16"/>
                <w:szCs w:val="16"/>
              </w:rPr>
              <w:t>-</w:t>
            </w:r>
            <w:r w:rsidR="00BC1009">
              <w:rPr>
                <w:rFonts w:ascii="Segoe UI" w:hAnsi="Segoe UI" w:cs="Segoe UI"/>
                <w:i/>
                <w:sz w:val="16"/>
                <w:szCs w:val="16"/>
                <w:lang w:val="el-GR"/>
              </w:rPr>
              <w:t>4</w:t>
            </w:r>
            <w:r w:rsidRPr="00230F6E">
              <w:rPr>
                <w:rFonts w:ascii="Segoe UI" w:hAnsi="Segoe UI" w:cs="Segoe UI"/>
                <w:i/>
                <w:sz w:val="16"/>
                <w:szCs w:val="16"/>
              </w:rPr>
              <w:t xml:space="preserve"> </w:t>
            </w:r>
            <w:proofErr w:type="spellStart"/>
            <w:r w:rsidRPr="00230F6E">
              <w:rPr>
                <w:rFonts w:ascii="Segoe UI" w:hAnsi="Segoe UI" w:cs="Segoe UI"/>
                <w:i/>
                <w:sz w:val="16"/>
                <w:szCs w:val="16"/>
                <w:lang w:val="el-GR"/>
              </w:rPr>
              <w:t>μ.β</w:t>
            </w:r>
            <w:proofErr w:type="spellEnd"/>
            <w:r w:rsidRPr="00230F6E">
              <w:rPr>
                <w:rFonts w:ascii="Segoe UI" w:hAnsi="Segoe UI" w:cs="Segoe UI"/>
                <w:i/>
                <w:sz w:val="16"/>
                <w:szCs w:val="16"/>
                <w:lang w:val="el-GR"/>
              </w:rPr>
              <w:t>.</w:t>
            </w:r>
          </w:p>
        </w:tc>
      </w:tr>
      <w:tr w:rsidR="00230F6E" w:rsidRPr="00B522A6" w:rsidTr="000F02F9">
        <w:trPr>
          <w:trHeight w:hRule="exact" w:val="255"/>
          <w:jc w:val="right"/>
        </w:trPr>
        <w:tc>
          <w:tcPr>
            <w:tcW w:w="3005" w:type="dxa"/>
            <w:tcBorders>
              <w:top w:val="single" w:sz="4" w:space="0" w:color="auto"/>
              <w:bottom w:val="single" w:sz="4" w:space="0" w:color="auto"/>
            </w:tcBorders>
            <w:shd w:val="clear" w:color="auto" w:fill="auto"/>
            <w:vAlign w:val="bottom"/>
          </w:tcPr>
          <w:p w:rsidR="00230F6E" w:rsidRPr="003C4D83" w:rsidRDefault="00230F6E" w:rsidP="00230F6E">
            <w:pPr>
              <w:spacing w:after="160"/>
              <w:rPr>
                <w:rFonts w:ascii="Segoe UI" w:hAnsi="Segoe UI" w:cs="Segoe UI"/>
                <w:sz w:val="16"/>
                <w:szCs w:val="18"/>
                <w:lang w:val="el-GR"/>
              </w:rPr>
            </w:pPr>
            <w:proofErr w:type="spellStart"/>
            <w:r w:rsidRPr="003C4D83">
              <w:rPr>
                <w:rFonts w:ascii="Segoe UI" w:hAnsi="Segoe UI" w:cs="Segoe UI"/>
                <w:sz w:val="16"/>
                <w:szCs w:val="18"/>
                <w:lang w:val="el-GR"/>
              </w:rPr>
              <w:t>Επιτοκιακό</w:t>
            </w:r>
            <w:proofErr w:type="spellEnd"/>
            <w:r w:rsidRPr="003C4D83">
              <w:rPr>
                <w:rFonts w:ascii="Segoe UI" w:hAnsi="Segoe UI" w:cs="Segoe UI"/>
                <w:sz w:val="16"/>
                <w:szCs w:val="18"/>
                <w:lang w:val="el-GR"/>
              </w:rPr>
              <w:t xml:space="preserve"> Περιθώριο (</w:t>
            </w:r>
            <w:proofErr w:type="spellStart"/>
            <w:r w:rsidRPr="003C4D83">
              <w:rPr>
                <w:rFonts w:ascii="Segoe UI" w:hAnsi="Segoe UI" w:cs="Segoe UI"/>
                <w:sz w:val="16"/>
                <w:szCs w:val="18"/>
                <w:lang w:val="el-GR"/>
              </w:rPr>
              <w:t>μ.β</w:t>
            </w:r>
            <w:proofErr w:type="spellEnd"/>
            <w:r w:rsidRPr="003C4D83">
              <w:rPr>
                <w:rFonts w:ascii="Segoe UI" w:hAnsi="Segoe UI" w:cs="Segoe UI"/>
                <w:sz w:val="16"/>
                <w:szCs w:val="18"/>
                <w:lang w:val="el-GR"/>
              </w:rPr>
              <w:t>.)</w:t>
            </w:r>
          </w:p>
        </w:tc>
        <w:tc>
          <w:tcPr>
            <w:tcW w:w="1077" w:type="dxa"/>
            <w:tcBorders>
              <w:top w:val="single" w:sz="4" w:space="0" w:color="auto"/>
              <w:bottom w:val="single" w:sz="4" w:space="0" w:color="auto"/>
            </w:tcBorders>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29</w:t>
            </w:r>
            <w:r w:rsidR="000F02F9">
              <w:rPr>
                <w:rFonts w:ascii="Segoe UI" w:hAnsi="Segoe UI" w:cs="Segoe UI"/>
                <w:sz w:val="16"/>
                <w:szCs w:val="16"/>
              </w:rPr>
              <w:t>0</w:t>
            </w:r>
          </w:p>
        </w:tc>
        <w:tc>
          <w:tcPr>
            <w:tcW w:w="1077" w:type="dxa"/>
            <w:tcBorders>
              <w:top w:val="single" w:sz="4" w:space="0" w:color="auto"/>
              <w:bottom w:val="single" w:sz="4" w:space="0" w:color="auto"/>
            </w:tcBorders>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288</w:t>
            </w:r>
          </w:p>
        </w:tc>
        <w:tc>
          <w:tcPr>
            <w:tcW w:w="850" w:type="dxa"/>
            <w:tcBorders>
              <w:top w:val="single" w:sz="4" w:space="0" w:color="auto"/>
              <w:bottom w:val="single" w:sz="4" w:space="0" w:color="auto"/>
            </w:tcBorders>
            <w:vAlign w:val="bottom"/>
          </w:tcPr>
          <w:p w:rsidR="00230F6E" w:rsidRPr="00230F6E" w:rsidRDefault="001A6CB7" w:rsidP="000F02F9">
            <w:pPr>
              <w:spacing w:after="160"/>
              <w:jc w:val="right"/>
              <w:rPr>
                <w:rFonts w:ascii="Segoe UI" w:hAnsi="Segoe UI" w:cs="Segoe UI"/>
                <w:i/>
                <w:sz w:val="16"/>
                <w:szCs w:val="16"/>
              </w:rPr>
            </w:pPr>
            <w:r>
              <w:rPr>
                <w:rFonts w:ascii="Segoe UI" w:hAnsi="Segoe UI" w:cs="Segoe UI"/>
                <w:i/>
                <w:sz w:val="16"/>
                <w:szCs w:val="16"/>
                <w:lang w:val="en-US"/>
              </w:rPr>
              <w:t>2</w:t>
            </w:r>
            <w:r w:rsidR="00230F6E" w:rsidRPr="00230F6E">
              <w:rPr>
                <w:rFonts w:ascii="Segoe UI" w:hAnsi="Segoe UI" w:cs="Segoe UI"/>
                <w:i/>
                <w:sz w:val="16"/>
                <w:szCs w:val="16"/>
              </w:rPr>
              <w:t xml:space="preserve"> </w:t>
            </w:r>
            <w:proofErr w:type="spellStart"/>
            <w:r w:rsidR="00230F6E" w:rsidRPr="00230F6E">
              <w:rPr>
                <w:rFonts w:ascii="Segoe UI" w:hAnsi="Segoe UI" w:cs="Segoe UI"/>
                <w:i/>
                <w:sz w:val="16"/>
                <w:szCs w:val="16"/>
                <w:lang w:val="el-GR"/>
              </w:rPr>
              <w:t>μ.β</w:t>
            </w:r>
            <w:proofErr w:type="spellEnd"/>
            <w:r w:rsidR="00230F6E" w:rsidRPr="00230F6E">
              <w:rPr>
                <w:rFonts w:ascii="Segoe UI" w:hAnsi="Segoe UI" w:cs="Segoe UI"/>
                <w:i/>
                <w:sz w:val="16"/>
                <w:szCs w:val="16"/>
                <w:lang w:val="el-GR"/>
              </w:rPr>
              <w:t>.</w:t>
            </w:r>
          </w:p>
        </w:tc>
        <w:tc>
          <w:tcPr>
            <w:tcW w:w="1077" w:type="dxa"/>
            <w:tcBorders>
              <w:top w:val="single" w:sz="4" w:space="0" w:color="auto"/>
              <w:bottom w:val="single" w:sz="4" w:space="0" w:color="auto"/>
            </w:tcBorders>
            <w:vAlign w:val="bottom"/>
          </w:tcPr>
          <w:p w:rsidR="00230F6E" w:rsidRPr="00230F6E" w:rsidRDefault="00230F6E" w:rsidP="000F02F9">
            <w:pPr>
              <w:jc w:val="right"/>
              <w:rPr>
                <w:rFonts w:ascii="Segoe UI" w:hAnsi="Segoe UI" w:cs="Segoe UI"/>
                <w:sz w:val="16"/>
                <w:szCs w:val="16"/>
              </w:rPr>
            </w:pPr>
            <w:r w:rsidRPr="00230F6E">
              <w:rPr>
                <w:rFonts w:ascii="Segoe UI" w:hAnsi="Segoe UI" w:cs="Segoe UI"/>
                <w:sz w:val="16"/>
                <w:szCs w:val="16"/>
              </w:rPr>
              <w:t>283</w:t>
            </w:r>
          </w:p>
        </w:tc>
        <w:tc>
          <w:tcPr>
            <w:tcW w:w="1077" w:type="dxa"/>
            <w:tcBorders>
              <w:top w:val="single" w:sz="4" w:space="0" w:color="auto"/>
              <w:bottom w:val="single" w:sz="4" w:space="0" w:color="auto"/>
            </w:tcBorders>
            <w:vAlign w:val="bottom"/>
          </w:tcPr>
          <w:p w:rsidR="00230F6E" w:rsidRPr="00230F6E" w:rsidRDefault="001A6CB7" w:rsidP="000F02F9">
            <w:pPr>
              <w:jc w:val="right"/>
              <w:rPr>
                <w:rFonts w:ascii="Segoe UI" w:hAnsi="Segoe UI" w:cs="Segoe UI"/>
                <w:sz w:val="16"/>
                <w:szCs w:val="16"/>
              </w:rPr>
            </w:pPr>
            <w:r>
              <w:rPr>
                <w:rFonts w:ascii="Segoe UI" w:hAnsi="Segoe UI" w:cs="Segoe UI"/>
                <w:sz w:val="16"/>
                <w:szCs w:val="16"/>
              </w:rPr>
              <w:t>265</w:t>
            </w:r>
          </w:p>
        </w:tc>
        <w:tc>
          <w:tcPr>
            <w:tcW w:w="850" w:type="dxa"/>
            <w:tcBorders>
              <w:top w:val="single" w:sz="4" w:space="0" w:color="auto"/>
              <w:bottom w:val="single" w:sz="4" w:space="0" w:color="auto"/>
            </w:tcBorders>
            <w:vAlign w:val="bottom"/>
          </w:tcPr>
          <w:p w:rsidR="00230F6E" w:rsidRPr="00230F6E" w:rsidRDefault="001A6CB7" w:rsidP="00230F6E">
            <w:pPr>
              <w:spacing w:after="160"/>
              <w:jc w:val="right"/>
              <w:rPr>
                <w:rFonts w:ascii="Segoe UI" w:hAnsi="Segoe UI" w:cs="Segoe UI"/>
                <w:i/>
                <w:sz w:val="16"/>
                <w:szCs w:val="16"/>
              </w:rPr>
            </w:pPr>
            <w:r>
              <w:rPr>
                <w:rFonts w:ascii="Segoe UI" w:hAnsi="Segoe UI" w:cs="Segoe UI"/>
                <w:i/>
                <w:sz w:val="16"/>
                <w:szCs w:val="16"/>
                <w:lang w:val="en-US"/>
              </w:rPr>
              <w:t>18</w:t>
            </w:r>
            <w:r w:rsidR="00230F6E" w:rsidRPr="00230F6E">
              <w:rPr>
                <w:rFonts w:ascii="Segoe UI" w:hAnsi="Segoe UI" w:cs="Segoe UI"/>
                <w:i/>
                <w:sz w:val="16"/>
                <w:szCs w:val="16"/>
              </w:rPr>
              <w:t xml:space="preserve"> </w:t>
            </w:r>
            <w:proofErr w:type="spellStart"/>
            <w:r w:rsidR="00230F6E" w:rsidRPr="00230F6E">
              <w:rPr>
                <w:rFonts w:ascii="Segoe UI" w:hAnsi="Segoe UI" w:cs="Segoe UI"/>
                <w:i/>
                <w:sz w:val="16"/>
                <w:szCs w:val="16"/>
                <w:lang w:val="el-GR"/>
              </w:rPr>
              <w:t>μ.β</w:t>
            </w:r>
            <w:proofErr w:type="spellEnd"/>
            <w:r w:rsidR="00230F6E" w:rsidRPr="00230F6E">
              <w:rPr>
                <w:rFonts w:ascii="Segoe UI" w:hAnsi="Segoe UI" w:cs="Segoe UI"/>
                <w:i/>
                <w:sz w:val="16"/>
                <w:szCs w:val="16"/>
                <w:lang w:val="el-GR"/>
              </w:rPr>
              <w:t>.</w:t>
            </w:r>
          </w:p>
        </w:tc>
      </w:tr>
      <w:tr w:rsidR="00230F6E" w:rsidRPr="00B522A6" w:rsidTr="000F02F9">
        <w:trPr>
          <w:trHeight w:hRule="exact" w:val="510"/>
          <w:jc w:val="right"/>
        </w:trPr>
        <w:tc>
          <w:tcPr>
            <w:tcW w:w="3005" w:type="dxa"/>
            <w:tcBorders>
              <w:bottom w:val="single" w:sz="12" w:space="0" w:color="auto"/>
            </w:tcBorders>
            <w:shd w:val="clear" w:color="auto" w:fill="auto"/>
            <w:vAlign w:val="bottom"/>
          </w:tcPr>
          <w:p w:rsidR="00230F6E" w:rsidRPr="003C4D83" w:rsidRDefault="00230F6E" w:rsidP="00230F6E">
            <w:pPr>
              <w:spacing w:after="160" w:line="240" w:lineRule="auto"/>
              <w:rPr>
                <w:rFonts w:ascii="Segoe UI" w:hAnsi="Segoe UI" w:cs="Segoe UI"/>
                <w:b/>
                <w:sz w:val="16"/>
                <w:szCs w:val="18"/>
              </w:rPr>
            </w:pPr>
            <w:r w:rsidRPr="003C4D83">
              <w:rPr>
                <w:rFonts w:ascii="Segoe UI" w:eastAsia="Times New Roman" w:hAnsi="Segoe UI" w:cs="Segoe UI"/>
                <w:b/>
                <w:bCs/>
                <w:sz w:val="16"/>
                <w:szCs w:val="18"/>
                <w:lang w:val="el-GR"/>
              </w:rPr>
              <w:t xml:space="preserve">Ποιότητα Δανειακού Χαρτοφυλακίου </w:t>
            </w:r>
            <w:r>
              <w:rPr>
                <w:rFonts w:ascii="Segoe UI" w:eastAsia="Times New Roman" w:hAnsi="Segoe UI" w:cs="Segoe UI"/>
                <w:b/>
                <w:bCs/>
                <w:sz w:val="16"/>
                <w:szCs w:val="18"/>
                <w:lang w:val="el-GR"/>
              </w:rPr>
              <w:t>(%)</w:t>
            </w:r>
          </w:p>
        </w:tc>
        <w:tc>
          <w:tcPr>
            <w:tcW w:w="1077" w:type="dxa"/>
            <w:tcBorders>
              <w:bottom w:val="single" w:sz="12" w:space="0" w:color="auto"/>
            </w:tcBorders>
            <w:vAlign w:val="bottom"/>
          </w:tcPr>
          <w:p w:rsidR="00230F6E" w:rsidRPr="00230F6E" w:rsidRDefault="00230F6E" w:rsidP="000F02F9">
            <w:pPr>
              <w:jc w:val="right"/>
              <w:rPr>
                <w:rFonts w:ascii="Segoe UI" w:hAnsi="Segoe UI" w:cs="Segoe UI"/>
                <w:sz w:val="16"/>
                <w:szCs w:val="16"/>
              </w:rPr>
            </w:pPr>
          </w:p>
        </w:tc>
        <w:tc>
          <w:tcPr>
            <w:tcW w:w="1077" w:type="dxa"/>
            <w:tcBorders>
              <w:bottom w:val="single" w:sz="12" w:space="0" w:color="auto"/>
            </w:tcBorders>
            <w:vAlign w:val="bottom"/>
          </w:tcPr>
          <w:p w:rsidR="00230F6E" w:rsidRPr="00230F6E" w:rsidRDefault="00230F6E" w:rsidP="000F02F9">
            <w:pPr>
              <w:jc w:val="right"/>
              <w:rPr>
                <w:rFonts w:ascii="Segoe UI" w:hAnsi="Segoe UI" w:cs="Segoe UI"/>
                <w:sz w:val="16"/>
                <w:szCs w:val="16"/>
              </w:rPr>
            </w:pPr>
          </w:p>
        </w:tc>
        <w:tc>
          <w:tcPr>
            <w:tcW w:w="850" w:type="dxa"/>
            <w:tcBorders>
              <w:bottom w:val="single" w:sz="12" w:space="0" w:color="auto"/>
            </w:tcBorders>
            <w:vAlign w:val="bottom"/>
          </w:tcPr>
          <w:p w:rsidR="00230F6E" w:rsidRPr="00230F6E" w:rsidRDefault="00230F6E" w:rsidP="000F02F9">
            <w:pPr>
              <w:spacing w:after="160"/>
              <w:jc w:val="right"/>
              <w:rPr>
                <w:rFonts w:ascii="Segoe UI" w:hAnsi="Segoe UI" w:cs="Segoe UI"/>
                <w:i/>
                <w:sz w:val="16"/>
                <w:szCs w:val="16"/>
              </w:rPr>
            </w:pPr>
          </w:p>
        </w:tc>
        <w:tc>
          <w:tcPr>
            <w:tcW w:w="1077" w:type="dxa"/>
            <w:tcBorders>
              <w:bottom w:val="single" w:sz="12" w:space="0" w:color="auto"/>
            </w:tcBorders>
            <w:vAlign w:val="bottom"/>
          </w:tcPr>
          <w:p w:rsidR="00230F6E" w:rsidRPr="00230F6E" w:rsidRDefault="00230F6E" w:rsidP="000F02F9">
            <w:pPr>
              <w:jc w:val="right"/>
              <w:rPr>
                <w:rFonts w:ascii="Segoe UI" w:hAnsi="Segoe UI" w:cs="Segoe UI"/>
                <w:sz w:val="16"/>
                <w:szCs w:val="16"/>
              </w:rPr>
            </w:pPr>
          </w:p>
        </w:tc>
        <w:tc>
          <w:tcPr>
            <w:tcW w:w="1077" w:type="dxa"/>
            <w:tcBorders>
              <w:bottom w:val="single" w:sz="12" w:space="0" w:color="auto"/>
            </w:tcBorders>
            <w:vAlign w:val="bottom"/>
          </w:tcPr>
          <w:p w:rsidR="00230F6E" w:rsidRPr="00230F6E" w:rsidRDefault="00230F6E" w:rsidP="000F02F9">
            <w:pPr>
              <w:jc w:val="right"/>
              <w:rPr>
                <w:rFonts w:ascii="Segoe UI" w:hAnsi="Segoe UI" w:cs="Segoe UI"/>
                <w:sz w:val="16"/>
                <w:szCs w:val="16"/>
              </w:rPr>
            </w:pPr>
          </w:p>
        </w:tc>
        <w:tc>
          <w:tcPr>
            <w:tcW w:w="850" w:type="dxa"/>
            <w:tcBorders>
              <w:bottom w:val="single" w:sz="12" w:space="0" w:color="auto"/>
            </w:tcBorders>
            <w:vAlign w:val="bottom"/>
          </w:tcPr>
          <w:p w:rsidR="00230F6E" w:rsidRPr="00230F6E" w:rsidRDefault="00230F6E" w:rsidP="00230F6E">
            <w:pPr>
              <w:spacing w:after="160"/>
              <w:jc w:val="right"/>
              <w:rPr>
                <w:rFonts w:ascii="Segoe UI" w:hAnsi="Segoe UI" w:cs="Segoe UI"/>
                <w:i/>
                <w:sz w:val="16"/>
                <w:szCs w:val="16"/>
              </w:rPr>
            </w:pPr>
          </w:p>
        </w:tc>
      </w:tr>
      <w:tr w:rsidR="00B47FF2" w:rsidRPr="00B522A6" w:rsidTr="000F02F9">
        <w:trPr>
          <w:trHeight w:hRule="exact" w:val="510"/>
          <w:jc w:val="right"/>
        </w:trPr>
        <w:tc>
          <w:tcPr>
            <w:tcW w:w="3005" w:type="dxa"/>
            <w:tcBorders>
              <w:top w:val="single" w:sz="12" w:space="0" w:color="auto"/>
              <w:bottom w:val="single" w:sz="4" w:space="0" w:color="auto"/>
            </w:tcBorders>
            <w:shd w:val="clear" w:color="auto" w:fill="auto"/>
            <w:vAlign w:val="bottom"/>
          </w:tcPr>
          <w:p w:rsidR="00B47FF2" w:rsidRPr="003C4D83" w:rsidRDefault="00B47FF2" w:rsidP="00B47FF2">
            <w:pPr>
              <w:spacing w:after="160"/>
              <w:rPr>
                <w:rFonts w:ascii="Segoe UI" w:hAnsi="Segoe UI" w:cs="Segoe UI"/>
                <w:sz w:val="16"/>
                <w:szCs w:val="18"/>
                <w:lang w:val="el-GR"/>
              </w:rPr>
            </w:pPr>
            <w:r w:rsidRPr="003C4D83">
              <w:rPr>
                <w:rFonts w:ascii="Segoe UI" w:hAnsi="Segoe UI" w:cs="Segoe UI"/>
                <w:sz w:val="16"/>
                <w:szCs w:val="18"/>
                <w:lang w:val="el-GR"/>
              </w:rPr>
              <w:t>Δείκτης δανείων σε καθυστέρηση +90</w:t>
            </w:r>
            <w:r>
              <w:rPr>
                <w:rFonts w:ascii="Segoe UI" w:hAnsi="Segoe UI" w:cs="Segoe UI"/>
                <w:sz w:val="16"/>
                <w:szCs w:val="18"/>
                <w:lang w:val="el-GR"/>
              </w:rPr>
              <w:t xml:space="preserve"> ημερών Ομίλου </w:t>
            </w:r>
          </w:p>
        </w:tc>
        <w:tc>
          <w:tcPr>
            <w:tcW w:w="1077" w:type="dxa"/>
            <w:tcBorders>
              <w:top w:val="single" w:sz="12"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sidRPr="00230F6E">
              <w:rPr>
                <w:rFonts w:ascii="Segoe UI" w:hAnsi="Segoe UI" w:cs="Segoe UI"/>
                <w:sz w:val="16"/>
                <w:szCs w:val="16"/>
                <w:lang w:val="el-GR"/>
              </w:rPr>
              <w:t>32</w:t>
            </w:r>
            <w:r>
              <w:rPr>
                <w:rFonts w:ascii="Segoe UI" w:hAnsi="Segoe UI" w:cs="Segoe UI"/>
                <w:sz w:val="16"/>
                <w:szCs w:val="16"/>
                <w:lang w:val="en-US"/>
              </w:rPr>
              <w:t>,</w:t>
            </w:r>
            <w:r w:rsidRPr="00230F6E">
              <w:rPr>
                <w:rFonts w:ascii="Segoe UI" w:hAnsi="Segoe UI" w:cs="Segoe UI"/>
                <w:sz w:val="16"/>
                <w:szCs w:val="16"/>
                <w:lang w:val="el-GR"/>
              </w:rPr>
              <w:t>9%</w:t>
            </w:r>
          </w:p>
        </w:tc>
        <w:tc>
          <w:tcPr>
            <w:tcW w:w="1077" w:type="dxa"/>
            <w:tcBorders>
              <w:top w:val="single" w:sz="12"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sidRPr="00230F6E">
              <w:rPr>
                <w:rFonts w:ascii="Segoe UI" w:hAnsi="Segoe UI" w:cs="Segoe UI"/>
                <w:sz w:val="16"/>
                <w:szCs w:val="16"/>
                <w:lang w:val="el-GR"/>
              </w:rPr>
              <w:t>3</w:t>
            </w:r>
            <w:r>
              <w:rPr>
                <w:rFonts w:ascii="Segoe UI" w:hAnsi="Segoe UI" w:cs="Segoe UI"/>
                <w:sz w:val="16"/>
                <w:szCs w:val="16"/>
                <w:lang w:val="el-GR"/>
              </w:rPr>
              <w:t>4,</w:t>
            </w:r>
            <w:r w:rsidRPr="00230F6E">
              <w:rPr>
                <w:rFonts w:ascii="Segoe UI" w:hAnsi="Segoe UI" w:cs="Segoe UI"/>
                <w:sz w:val="16"/>
                <w:szCs w:val="16"/>
                <w:lang w:val="el-GR"/>
              </w:rPr>
              <w:t>3%</w:t>
            </w:r>
          </w:p>
        </w:tc>
        <w:tc>
          <w:tcPr>
            <w:tcW w:w="850" w:type="dxa"/>
            <w:tcBorders>
              <w:top w:val="single" w:sz="12" w:space="0" w:color="auto"/>
              <w:bottom w:val="single" w:sz="4" w:space="0" w:color="auto"/>
            </w:tcBorders>
            <w:shd w:val="clear" w:color="auto" w:fill="auto"/>
            <w:vAlign w:val="bottom"/>
          </w:tcPr>
          <w:p w:rsidR="00B47FF2" w:rsidRPr="00230F6E" w:rsidRDefault="00B47FF2" w:rsidP="000F02F9">
            <w:pPr>
              <w:spacing w:after="160"/>
              <w:jc w:val="right"/>
              <w:rPr>
                <w:rFonts w:ascii="Segoe UI" w:hAnsi="Segoe UI" w:cs="Segoe UI"/>
                <w:i/>
                <w:sz w:val="16"/>
                <w:szCs w:val="16"/>
                <w:lang w:val="el-GR"/>
              </w:rPr>
            </w:pPr>
            <w:r>
              <w:rPr>
                <w:rFonts w:ascii="Segoe UI" w:hAnsi="Segoe UI" w:cs="Segoe UI"/>
                <w:i/>
                <w:sz w:val="16"/>
                <w:szCs w:val="16"/>
                <w:lang w:val="el-GR"/>
              </w:rPr>
              <w:t>-1,4</w:t>
            </w:r>
            <w:r w:rsidRPr="00230F6E">
              <w:rPr>
                <w:rFonts w:ascii="Segoe UI" w:hAnsi="Segoe UI" w:cs="Segoe UI"/>
                <w:i/>
                <w:sz w:val="16"/>
                <w:szCs w:val="16"/>
                <w:lang w:val="el-GR"/>
              </w:rPr>
              <w:t xml:space="preserve"> </w:t>
            </w:r>
            <w:proofErr w:type="spellStart"/>
            <w:r w:rsidRPr="00230F6E">
              <w:rPr>
                <w:rFonts w:ascii="Segoe UI" w:hAnsi="Segoe UI" w:cs="Segoe UI"/>
                <w:i/>
                <w:sz w:val="16"/>
                <w:szCs w:val="16"/>
                <w:lang w:val="el-GR"/>
              </w:rPr>
              <w:t>μ.β</w:t>
            </w:r>
            <w:proofErr w:type="spellEnd"/>
            <w:r w:rsidRPr="00230F6E">
              <w:rPr>
                <w:rFonts w:ascii="Segoe UI" w:hAnsi="Segoe UI" w:cs="Segoe UI"/>
                <w:i/>
                <w:sz w:val="16"/>
                <w:szCs w:val="16"/>
                <w:lang w:val="el-GR"/>
              </w:rPr>
              <w:t>.</w:t>
            </w:r>
          </w:p>
        </w:tc>
        <w:tc>
          <w:tcPr>
            <w:tcW w:w="1077" w:type="dxa"/>
            <w:tcBorders>
              <w:top w:val="single" w:sz="12"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sidRPr="00230F6E">
              <w:rPr>
                <w:rFonts w:ascii="Segoe UI" w:hAnsi="Segoe UI" w:cs="Segoe UI"/>
                <w:sz w:val="16"/>
                <w:szCs w:val="16"/>
                <w:lang w:val="el-GR"/>
              </w:rPr>
              <w:t>32</w:t>
            </w:r>
            <w:r>
              <w:rPr>
                <w:rFonts w:ascii="Segoe UI" w:hAnsi="Segoe UI" w:cs="Segoe UI"/>
                <w:sz w:val="16"/>
                <w:szCs w:val="16"/>
                <w:lang w:val="en-US"/>
              </w:rPr>
              <w:t>,</w:t>
            </w:r>
            <w:r w:rsidRPr="00230F6E">
              <w:rPr>
                <w:rFonts w:ascii="Segoe UI" w:hAnsi="Segoe UI" w:cs="Segoe UI"/>
                <w:sz w:val="16"/>
                <w:szCs w:val="16"/>
                <w:lang w:val="el-GR"/>
              </w:rPr>
              <w:t>9%</w:t>
            </w:r>
          </w:p>
        </w:tc>
        <w:tc>
          <w:tcPr>
            <w:tcW w:w="1077" w:type="dxa"/>
            <w:tcBorders>
              <w:top w:val="single" w:sz="12" w:space="0" w:color="auto"/>
              <w:bottom w:val="single" w:sz="4" w:space="0" w:color="auto"/>
            </w:tcBorders>
            <w:vAlign w:val="bottom"/>
          </w:tcPr>
          <w:p w:rsidR="00B47FF2" w:rsidRPr="000F02F9" w:rsidRDefault="00B47FF2" w:rsidP="000F02F9">
            <w:pPr>
              <w:spacing w:after="160"/>
              <w:jc w:val="right"/>
              <w:rPr>
                <w:rFonts w:ascii="Segoe UI" w:hAnsi="Segoe UI" w:cs="Segoe UI"/>
                <w:sz w:val="16"/>
                <w:szCs w:val="16"/>
                <w:lang w:val="el-GR"/>
              </w:rPr>
            </w:pPr>
            <w:r w:rsidRPr="000F02F9">
              <w:rPr>
                <w:rFonts w:ascii="Segoe UI" w:hAnsi="Segoe UI" w:cs="Segoe UI"/>
                <w:sz w:val="16"/>
                <w:szCs w:val="16"/>
                <w:lang w:val="el-GR"/>
              </w:rPr>
              <w:t>33,1%</w:t>
            </w:r>
          </w:p>
        </w:tc>
        <w:tc>
          <w:tcPr>
            <w:tcW w:w="850" w:type="dxa"/>
            <w:tcBorders>
              <w:top w:val="single" w:sz="12" w:space="0" w:color="auto"/>
              <w:bottom w:val="single" w:sz="4" w:space="0" w:color="auto"/>
            </w:tcBorders>
          </w:tcPr>
          <w:p w:rsidR="00B47FF2" w:rsidRPr="00B1612B" w:rsidRDefault="00B47FF2" w:rsidP="00B47FF2">
            <w:pPr>
              <w:spacing w:after="160"/>
              <w:jc w:val="right"/>
              <w:rPr>
                <w:rFonts w:ascii="Segoe UI" w:hAnsi="Segoe UI" w:cs="Segoe UI"/>
                <w:i/>
                <w:sz w:val="16"/>
                <w:szCs w:val="16"/>
                <w:lang w:val="el-GR"/>
              </w:rPr>
            </w:pPr>
            <w:r w:rsidRPr="00B1612B">
              <w:rPr>
                <w:rFonts w:ascii="Segoe UI" w:hAnsi="Segoe UI" w:cs="Segoe UI"/>
                <w:i/>
                <w:sz w:val="16"/>
                <w:szCs w:val="16"/>
                <w:lang w:val="el-GR"/>
              </w:rPr>
              <w:t>-0</w:t>
            </w:r>
            <w:r>
              <w:rPr>
                <w:rFonts w:ascii="Segoe UI" w:hAnsi="Segoe UI" w:cs="Segoe UI"/>
                <w:i/>
                <w:sz w:val="16"/>
                <w:szCs w:val="16"/>
                <w:lang w:val="el-GR"/>
              </w:rPr>
              <w:t>,</w:t>
            </w:r>
            <w:r w:rsidRPr="00B1612B">
              <w:rPr>
                <w:rFonts w:ascii="Segoe UI" w:hAnsi="Segoe UI" w:cs="Segoe UI"/>
                <w:i/>
                <w:sz w:val="16"/>
                <w:szCs w:val="16"/>
                <w:lang w:val="el-GR"/>
              </w:rPr>
              <w:t xml:space="preserve">2 </w:t>
            </w:r>
            <w:proofErr w:type="spellStart"/>
            <w:r>
              <w:rPr>
                <w:rFonts w:ascii="Segoe UI" w:hAnsi="Segoe UI" w:cs="Segoe UI"/>
                <w:i/>
                <w:sz w:val="16"/>
                <w:szCs w:val="16"/>
                <w:lang w:val="el-GR"/>
              </w:rPr>
              <w:t>μ.β</w:t>
            </w:r>
            <w:proofErr w:type="spellEnd"/>
            <w:r>
              <w:rPr>
                <w:rFonts w:ascii="Segoe UI" w:hAnsi="Segoe UI" w:cs="Segoe UI"/>
                <w:i/>
                <w:sz w:val="16"/>
                <w:szCs w:val="16"/>
                <w:lang w:val="el-GR"/>
              </w:rPr>
              <w:t>.</w:t>
            </w:r>
          </w:p>
        </w:tc>
      </w:tr>
      <w:tr w:rsidR="00B47FF2" w:rsidRPr="00B522A6" w:rsidTr="000F02F9">
        <w:trPr>
          <w:trHeight w:hRule="exact" w:val="255"/>
          <w:jc w:val="right"/>
        </w:trPr>
        <w:tc>
          <w:tcPr>
            <w:tcW w:w="3005" w:type="dxa"/>
            <w:tcBorders>
              <w:top w:val="single" w:sz="4" w:space="0" w:color="auto"/>
              <w:bottom w:val="single" w:sz="4" w:space="0" w:color="auto"/>
            </w:tcBorders>
            <w:shd w:val="clear" w:color="auto" w:fill="auto"/>
            <w:vAlign w:val="bottom"/>
          </w:tcPr>
          <w:p w:rsidR="00B47FF2" w:rsidRPr="003C4D83" w:rsidRDefault="00B47FF2" w:rsidP="00B47FF2">
            <w:pPr>
              <w:spacing w:after="160"/>
              <w:rPr>
                <w:rFonts w:ascii="Segoe UI" w:hAnsi="Segoe UI" w:cs="Segoe UI"/>
                <w:sz w:val="16"/>
                <w:szCs w:val="18"/>
                <w:lang w:val="el-GR"/>
              </w:rPr>
            </w:pPr>
            <w:r w:rsidRPr="003C4D83">
              <w:rPr>
                <w:rFonts w:ascii="Segoe UI" w:hAnsi="Segoe UI" w:cs="Segoe UI"/>
                <w:sz w:val="16"/>
                <w:szCs w:val="18"/>
              </w:rPr>
              <w:t xml:space="preserve">          </w:t>
            </w:r>
            <w:r w:rsidRPr="003C4D83">
              <w:rPr>
                <w:rFonts w:ascii="Segoe UI" w:hAnsi="Segoe UI" w:cs="Segoe UI"/>
                <w:sz w:val="16"/>
                <w:szCs w:val="18"/>
                <w:lang w:val="el-GR"/>
              </w:rPr>
              <w:t>Ελλάδα</w:t>
            </w:r>
            <w:r>
              <w:rPr>
                <w:rFonts w:ascii="Segoe UI" w:hAnsi="Segoe UI" w:cs="Segoe UI"/>
                <w:sz w:val="16"/>
                <w:szCs w:val="18"/>
                <w:lang w:val="el-GR"/>
              </w:rPr>
              <w:t xml:space="preserve"> </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33,</w:t>
            </w:r>
            <w:r w:rsidRPr="00230F6E">
              <w:rPr>
                <w:rFonts w:ascii="Segoe UI" w:hAnsi="Segoe UI" w:cs="Segoe UI"/>
                <w:sz w:val="16"/>
                <w:szCs w:val="16"/>
                <w:lang w:val="el-GR"/>
              </w:rPr>
              <w:t>8%</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35,</w:t>
            </w:r>
            <w:r w:rsidRPr="00230F6E">
              <w:rPr>
                <w:rFonts w:ascii="Segoe UI" w:hAnsi="Segoe UI" w:cs="Segoe UI"/>
                <w:sz w:val="16"/>
                <w:szCs w:val="16"/>
                <w:lang w:val="el-GR"/>
              </w:rPr>
              <w:t>4%</w:t>
            </w:r>
          </w:p>
        </w:tc>
        <w:tc>
          <w:tcPr>
            <w:tcW w:w="850"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i/>
                <w:sz w:val="16"/>
                <w:szCs w:val="16"/>
              </w:rPr>
            </w:pPr>
            <w:r>
              <w:rPr>
                <w:rFonts w:ascii="Segoe UI" w:hAnsi="Segoe UI" w:cs="Segoe UI"/>
                <w:i/>
                <w:sz w:val="16"/>
                <w:szCs w:val="16"/>
                <w:lang w:val="el-GR"/>
              </w:rPr>
              <w:t>-</w:t>
            </w:r>
            <w:r w:rsidRPr="00230F6E">
              <w:rPr>
                <w:rFonts w:ascii="Segoe UI" w:hAnsi="Segoe UI" w:cs="Segoe UI"/>
                <w:i/>
                <w:sz w:val="16"/>
                <w:szCs w:val="16"/>
                <w:lang w:val="el-GR"/>
              </w:rPr>
              <w:t>1,</w:t>
            </w:r>
            <w:r>
              <w:rPr>
                <w:rFonts w:ascii="Segoe UI" w:hAnsi="Segoe UI" w:cs="Segoe UI"/>
                <w:i/>
                <w:sz w:val="16"/>
                <w:szCs w:val="16"/>
                <w:lang w:val="el-GR"/>
              </w:rPr>
              <w:t>6</w:t>
            </w:r>
            <w:r w:rsidRPr="00230F6E">
              <w:rPr>
                <w:rFonts w:ascii="Segoe UI" w:hAnsi="Segoe UI" w:cs="Segoe UI"/>
                <w:i/>
                <w:sz w:val="16"/>
                <w:szCs w:val="16"/>
              </w:rPr>
              <w:t xml:space="preserve"> </w:t>
            </w:r>
            <w:proofErr w:type="spellStart"/>
            <w:r w:rsidRPr="00230F6E">
              <w:rPr>
                <w:rFonts w:ascii="Segoe UI" w:hAnsi="Segoe UI" w:cs="Segoe UI"/>
                <w:i/>
                <w:sz w:val="16"/>
                <w:szCs w:val="16"/>
                <w:lang w:val="el-GR"/>
              </w:rPr>
              <w:t>μ.β</w:t>
            </w:r>
            <w:proofErr w:type="spellEnd"/>
            <w:r w:rsidRPr="00230F6E">
              <w:rPr>
                <w:rFonts w:ascii="Segoe UI" w:hAnsi="Segoe UI" w:cs="Segoe UI"/>
                <w:i/>
                <w:sz w:val="16"/>
                <w:szCs w:val="16"/>
                <w:lang w:val="el-GR"/>
              </w:rPr>
              <w:t>.</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33,</w:t>
            </w:r>
            <w:r w:rsidRPr="00230F6E">
              <w:rPr>
                <w:rFonts w:ascii="Segoe UI" w:hAnsi="Segoe UI" w:cs="Segoe UI"/>
                <w:sz w:val="16"/>
                <w:szCs w:val="16"/>
                <w:lang w:val="el-GR"/>
              </w:rPr>
              <w:t>8%</w:t>
            </w:r>
          </w:p>
        </w:tc>
        <w:tc>
          <w:tcPr>
            <w:tcW w:w="1077" w:type="dxa"/>
            <w:tcBorders>
              <w:top w:val="single" w:sz="4" w:space="0" w:color="auto"/>
              <w:bottom w:val="single" w:sz="4" w:space="0" w:color="auto"/>
            </w:tcBorders>
            <w:vAlign w:val="bottom"/>
          </w:tcPr>
          <w:p w:rsidR="00B47FF2" w:rsidRPr="000F02F9" w:rsidRDefault="00B47FF2" w:rsidP="000F02F9">
            <w:pPr>
              <w:spacing w:after="160"/>
              <w:jc w:val="right"/>
              <w:rPr>
                <w:rFonts w:ascii="Segoe UI" w:hAnsi="Segoe UI" w:cs="Segoe UI"/>
                <w:sz w:val="16"/>
                <w:szCs w:val="16"/>
                <w:lang w:val="el-GR"/>
              </w:rPr>
            </w:pPr>
            <w:r w:rsidRPr="000F02F9">
              <w:rPr>
                <w:rFonts w:ascii="Segoe UI" w:hAnsi="Segoe UI" w:cs="Segoe UI"/>
                <w:sz w:val="16"/>
                <w:szCs w:val="16"/>
                <w:lang w:val="el-GR"/>
              </w:rPr>
              <w:t>34,1%</w:t>
            </w:r>
          </w:p>
        </w:tc>
        <w:tc>
          <w:tcPr>
            <w:tcW w:w="850" w:type="dxa"/>
            <w:tcBorders>
              <w:top w:val="single" w:sz="4" w:space="0" w:color="auto"/>
              <w:bottom w:val="single" w:sz="4" w:space="0" w:color="auto"/>
            </w:tcBorders>
          </w:tcPr>
          <w:p w:rsidR="00B47FF2" w:rsidRPr="00B1612B" w:rsidRDefault="00B47FF2" w:rsidP="00B47FF2">
            <w:pPr>
              <w:spacing w:after="160"/>
              <w:jc w:val="right"/>
              <w:rPr>
                <w:rFonts w:ascii="Segoe UI" w:hAnsi="Segoe UI" w:cs="Segoe UI"/>
                <w:i/>
                <w:sz w:val="16"/>
                <w:szCs w:val="16"/>
                <w:lang w:val="el-GR"/>
              </w:rPr>
            </w:pPr>
            <w:r w:rsidRPr="00B1612B">
              <w:rPr>
                <w:rFonts w:ascii="Segoe UI" w:hAnsi="Segoe UI" w:cs="Segoe UI"/>
                <w:i/>
                <w:sz w:val="16"/>
                <w:szCs w:val="16"/>
                <w:lang w:val="el-GR"/>
              </w:rPr>
              <w:t>-0</w:t>
            </w:r>
            <w:r>
              <w:rPr>
                <w:rFonts w:ascii="Segoe UI" w:hAnsi="Segoe UI" w:cs="Segoe UI"/>
                <w:i/>
                <w:sz w:val="16"/>
                <w:szCs w:val="16"/>
                <w:lang w:val="el-GR"/>
              </w:rPr>
              <w:t xml:space="preserve">,3 </w:t>
            </w:r>
            <w:proofErr w:type="spellStart"/>
            <w:r>
              <w:rPr>
                <w:rFonts w:ascii="Segoe UI" w:hAnsi="Segoe UI" w:cs="Segoe UI"/>
                <w:i/>
                <w:sz w:val="16"/>
                <w:szCs w:val="16"/>
                <w:lang w:val="el-GR"/>
              </w:rPr>
              <w:t>μ.β</w:t>
            </w:r>
            <w:proofErr w:type="spellEnd"/>
            <w:r>
              <w:rPr>
                <w:rFonts w:ascii="Segoe UI" w:hAnsi="Segoe UI" w:cs="Segoe UI"/>
                <w:i/>
                <w:sz w:val="16"/>
                <w:szCs w:val="16"/>
                <w:lang w:val="el-GR"/>
              </w:rPr>
              <w:t>.</w:t>
            </w:r>
          </w:p>
        </w:tc>
      </w:tr>
      <w:tr w:rsidR="00B47FF2" w:rsidRPr="00B522A6" w:rsidTr="000F02F9">
        <w:trPr>
          <w:trHeight w:hRule="exact" w:val="255"/>
          <w:jc w:val="right"/>
        </w:trPr>
        <w:tc>
          <w:tcPr>
            <w:tcW w:w="3005" w:type="dxa"/>
            <w:tcBorders>
              <w:top w:val="single" w:sz="4" w:space="0" w:color="auto"/>
              <w:bottom w:val="single" w:sz="4" w:space="0" w:color="auto"/>
            </w:tcBorders>
            <w:shd w:val="clear" w:color="auto" w:fill="auto"/>
            <w:vAlign w:val="bottom"/>
          </w:tcPr>
          <w:p w:rsidR="00B47FF2" w:rsidRPr="00C35BEC" w:rsidRDefault="00B47FF2" w:rsidP="00B47FF2">
            <w:pPr>
              <w:spacing w:after="160"/>
              <w:rPr>
                <w:rFonts w:ascii="Segoe UI" w:hAnsi="Segoe UI" w:cs="Segoe UI"/>
                <w:sz w:val="16"/>
                <w:szCs w:val="18"/>
                <w:lang w:val="el-GR"/>
              </w:rPr>
            </w:pPr>
            <w:r w:rsidRPr="003C4D83">
              <w:rPr>
                <w:rFonts w:ascii="Segoe UI" w:hAnsi="Segoe UI" w:cs="Segoe UI"/>
                <w:sz w:val="16"/>
                <w:szCs w:val="18"/>
                <w:lang w:val="el-GR"/>
              </w:rPr>
              <w:t xml:space="preserve">          ΝΑ Ευρώπη</w:t>
            </w:r>
            <w:r w:rsidRPr="003C4D83">
              <w:rPr>
                <w:rFonts w:ascii="Segoe UI" w:hAnsi="Segoe UI" w:cs="Segoe UI"/>
                <w:sz w:val="16"/>
                <w:szCs w:val="18"/>
                <w:vertAlign w:val="superscript"/>
                <w:lang w:val="el-GR"/>
              </w:rPr>
              <w:t>2</w:t>
            </w:r>
            <w:r>
              <w:rPr>
                <w:rFonts w:ascii="Segoe UI" w:hAnsi="Segoe UI" w:cs="Segoe UI"/>
                <w:sz w:val="16"/>
                <w:szCs w:val="18"/>
                <w:lang w:val="el-GR"/>
              </w:rPr>
              <w:t xml:space="preserve"> </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24,</w:t>
            </w:r>
            <w:r w:rsidRPr="00230F6E">
              <w:rPr>
                <w:rFonts w:ascii="Segoe UI" w:hAnsi="Segoe UI" w:cs="Segoe UI"/>
                <w:sz w:val="16"/>
                <w:szCs w:val="16"/>
                <w:lang w:val="el-GR"/>
              </w:rPr>
              <w:t>0%</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23,</w:t>
            </w:r>
            <w:r w:rsidRPr="00230F6E">
              <w:rPr>
                <w:rFonts w:ascii="Segoe UI" w:hAnsi="Segoe UI" w:cs="Segoe UI"/>
                <w:sz w:val="16"/>
                <w:szCs w:val="16"/>
                <w:lang w:val="el-GR"/>
              </w:rPr>
              <w:t>9%</w:t>
            </w:r>
          </w:p>
        </w:tc>
        <w:tc>
          <w:tcPr>
            <w:tcW w:w="850"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i/>
                <w:sz w:val="16"/>
                <w:szCs w:val="16"/>
                <w:lang w:val="el-GR"/>
              </w:rPr>
            </w:pPr>
            <w:r>
              <w:rPr>
                <w:rFonts w:ascii="Segoe UI" w:hAnsi="Segoe UI" w:cs="Segoe UI"/>
                <w:i/>
                <w:sz w:val="16"/>
                <w:szCs w:val="16"/>
                <w:lang w:val="el-GR"/>
              </w:rPr>
              <w:t>0,1</w:t>
            </w:r>
            <w:r w:rsidRPr="00230F6E">
              <w:rPr>
                <w:rFonts w:ascii="Segoe UI" w:hAnsi="Segoe UI" w:cs="Segoe UI"/>
                <w:i/>
                <w:sz w:val="16"/>
                <w:szCs w:val="16"/>
                <w:lang w:val="el-GR"/>
              </w:rPr>
              <w:t xml:space="preserve"> </w:t>
            </w:r>
            <w:proofErr w:type="spellStart"/>
            <w:r w:rsidRPr="00230F6E">
              <w:rPr>
                <w:rFonts w:ascii="Segoe UI" w:hAnsi="Segoe UI" w:cs="Segoe UI"/>
                <w:i/>
                <w:sz w:val="16"/>
                <w:szCs w:val="16"/>
                <w:lang w:val="el-GR"/>
              </w:rPr>
              <w:t>μ.β</w:t>
            </w:r>
            <w:proofErr w:type="spellEnd"/>
            <w:r w:rsidRPr="00230F6E">
              <w:rPr>
                <w:rFonts w:ascii="Segoe UI" w:hAnsi="Segoe UI" w:cs="Segoe UI"/>
                <w:i/>
                <w:sz w:val="16"/>
                <w:szCs w:val="16"/>
                <w:lang w:val="el-GR"/>
              </w:rPr>
              <w:t>.</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24,</w:t>
            </w:r>
            <w:r w:rsidRPr="00230F6E">
              <w:rPr>
                <w:rFonts w:ascii="Segoe UI" w:hAnsi="Segoe UI" w:cs="Segoe UI"/>
                <w:sz w:val="16"/>
                <w:szCs w:val="16"/>
                <w:lang w:val="el-GR"/>
              </w:rPr>
              <w:t>0%</w:t>
            </w:r>
          </w:p>
        </w:tc>
        <w:tc>
          <w:tcPr>
            <w:tcW w:w="1077" w:type="dxa"/>
            <w:tcBorders>
              <w:top w:val="single" w:sz="4" w:space="0" w:color="auto"/>
              <w:bottom w:val="single" w:sz="4" w:space="0" w:color="auto"/>
            </w:tcBorders>
            <w:vAlign w:val="bottom"/>
          </w:tcPr>
          <w:p w:rsidR="00B47FF2" w:rsidRPr="000F02F9" w:rsidRDefault="00B47FF2" w:rsidP="000F02F9">
            <w:pPr>
              <w:spacing w:after="160"/>
              <w:jc w:val="right"/>
              <w:rPr>
                <w:rFonts w:ascii="Segoe UI" w:hAnsi="Segoe UI" w:cs="Segoe UI"/>
                <w:sz w:val="16"/>
                <w:szCs w:val="16"/>
                <w:lang w:val="el-GR"/>
              </w:rPr>
            </w:pPr>
            <w:r w:rsidRPr="000F02F9">
              <w:rPr>
                <w:rFonts w:ascii="Segoe UI" w:hAnsi="Segoe UI" w:cs="Segoe UI"/>
                <w:sz w:val="16"/>
                <w:szCs w:val="16"/>
                <w:lang w:val="el-GR"/>
              </w:rPr>
              <w:t>24,5%</w:t>
            </w:r>
          </w:p>
        </w:tc>
        <w:tc>
          <w:tcPr>
            <w:tcW w:w="850" w:type="dxa"/>
            <w:tcBorders>
              <w:top w:val="single" w:sz="4" w:space="0" w:color="auto"/>
              <w:bottom w:val="single" w:sz="4" w:space="0" w:color="auto"/>
            </w:tcBorders>
          </w:tcPr>
          <w:p w:rsidR="00B47FF2" w:rsidRPr="00B1612B" w:rsidRDefault="00B47FF2" w:rsidP="00B47FF2">
            <w:pPr>
              <w:spacing w:after="160"/>
              <w:jc w:val="right"/>
              <w:rPr>
                <w:rFonts w:ascii="Segoe UI" w:hAnsi="Segoe UI" w:cs="Segoe UI"/>
                <w:i/>
                <w:sz w:val="16"/>
                <w:szCs w:val="16"/>
                <w:lang w:val="el-GR"/>
              </w:rPr>
            </w:pPr>
            <w:r w:rsidRPr="00B1612B">
              <w:rPr>
                <w:rFonts w:ascii="Segoe UI" w:hAnsi="Segoe UI" w:cs="Segoe UI"/>
                <w:i/>
                <w:sz w:val="16"/>
                <w:szCs w:val="16"/>
                <w:lang w:val="el-GR"/>
              </w:rPr>
              <w:t>-0</w:t>
            </w:r>
            <w:r>
              <w:rPr>
                <w:rFonts w:ascii="Segoe UI" w:hAnsi="Segoe UI" w:cs="Segoe UI"/>
                <w:i/>
                <w:sz w:val="16"/>
                <w:szCs w:val="16"/>
                <w:lang w:val="el-GR"/>
              </w:rPr>
              <w:t>,</w:t>
            </w:r>
            <w:r w:rsidRPr="00B1612B">
              <w:rPr>
                <w:rFonts w:ascii="Segoe UI" w:hAnsi="Segoe UI" w:cs="Segoe UI"/>
                <w:i/>
                <w:sz w:val="16"/>
                <w:szCs w:val="16"/>
                <w:lang w:val="el-GR"/>
              </w:rPr>
              <w:t xml:space="preserve">5 </w:t>
            </w:r>
            <w:proofErr w:type="spellStart"/>
            <w:r>
              <w:rPr>
                <w:rFonts w:ascii="Segoe UI" w:hAnsi="Segoe UI" w:cs="Segoe UI"/>
                <w:i/>
                <w:sz w:val="16"/>
                <w:szCs w:val="16"/>
                <w:lang w:val="el-GR"/>
              </w:rPr>
              <w:t>μ.β</w:t>
            </w:r>
            <w:proofErr w:type="spellEnd"/>
            <w:r>
              <w:rPr>
                <w:rFonts w:ascii="Segoe UI" w:hAnsi="Segoe UI" w:cs="Segoe UI"/>
                <w:i/>
                <w:sz w:val="16"/>
                <w:szCs w:val="16"/>
                <w:lang w:val="el-GR"/>
              </w:rPr>
              <w:t>.</w:t>
            </w:r>
          </w:p>
        </w:tc>
      </w:tr>
      <w:tr w:rsidR="00B47FF2" w:rsidRPr="00B522A6" w:rsidTr="000F02F9">
        <w:trPr>
          <w:trHeight w:hRule="exact" w:val="482"/>
          <w:jc w:val="right"/>
        </w:trPr>
        <w:tc>
          <w:tcPr>
            <w:tcW w:w="3005" w:type="dxa"/>
            <w:tcBorders>
              <w:top w:val="single" w:sz="4" w:space="0" w:color="auto"/>
              <w:bottom w:val="single" w:sz="4" w:space="0" w:color="auto"/>
            </w:tcBorders>
            <w:shd w:val="clear" w:color="auto" w:fill="auto"/>
            <w:vAlign w:val="bottom"/>
          </w:tcPr>
          <w:p w:rsidR="00B47FF2" w:rsidRPr="003C4D83" w:rsidRDefault="00B47FF2" w:rsidP="00B47FF2">
            <w:pPr>
              <w:spacing w:after="160"/>
              <w:rPr>
                <w:rFonts w:ascii="Segoe UI" w:hAnsi="Segoe UI" w:cs="Segoe UI"/>
                <w:sz w:val="16"/>
                <w:szCs w:val="18"/>
                <w:lang w:val="el-GR"/>
              </w:rPr>
            </w:pPr>
            <w:r w:rsidRPr="003C4D83">
              <w:rPr>
                <w:rFonts w:ascii="Segoe UI" w:hAnsi="Segoe UI" w:cs="Segoe UI"/>
                <w:sz w:val="16"/>
                <w:szCs w:val="18"/>
                <w:lang w:val="el-GR"/>
              </w:rPr>
              <w:t xml:space="preserve">Δείκτης κάλυψης δανείων σε καθυστέρηση +90 ημερών Ομίλου </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74</w:t>
            </w:r>
            <w:r>
              <w:rPr>
                <w:rFonts w:ascii="Segoe UI" w:hAnsi="Segoe UI" w:cs="Segoe UI"/>
                <w:sz w:val="16"/>
                <w:szCs w:val="16"/>
                <w:lang w:val="en-US"/>
              </w:rPr>
              <w:t>,</w:t>
            </w:r>
            <w:r w:rsidRPr="00230F6E">
              <w:rPr>
                <w:rFonts w:ascii="Segoe UI" w:hAnsi="Segoe UI" w:cs="Segoe UI"/>
                <w:sz w:val="16"/>
                <w:szCs w:val="16"/>
                <w:lang w:val="el-GR"/>
              </w:rPr>
              <w:t>3%</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73,</w:t>
            </w:r>
            <w:r w:rsidRPr="00230F6E">
              <w:rPr>
                <w:rFonts w:ascii="Segoe UI" w:hAnsi="Segoe UI" w:cs="Segoe UI"/>
                <w:sz w:val="16"/>
                <w:szCs w:val="16"/>
                <w:lang w:val="el-GR"/>
              </w:rPr>
              <w:t>4%</w:t>
            </w:r>
          </w:p>
        </w:tc>
        <w:tc>
          <w:tcPr>
            <w:tcW w:w="850" w:type="dxa"/>
            <w:tcBorders>
              <w:top w:val="single" w:sz="4" w:space="0" w:color="auto"/>
              <w:bottom w:val="single" w:sz="4" w:space="0" w:color="auto"/>
            </w:tcBorders>
            <w:shd w:val="clear" w:color="auto" w:fill="auto"/>
            <w:vAlign w:val="bottom"/>
          </w:tcPr>
          <w:p w:rsidR="00B47FF2" w:rsidRPr="00230F6E" w:rsidRDefault="00B47FF2" w:rsidP="000F02F9">
            <w:pPr>
              <w:spacing w:after="160"/>
              <w:jc w:val="right"/>
              <w:rPr>
                <w:rFonts w:ascii="Segoe UI" w:hAnsi="Segoe UI" w:cs="Segoe UI"/>
                <w:i/>
                <w:sz w:val="16"/>
                <w:szCs w:val="16"/>
              </w:rPr>
            </w:pPr>
            <w:r>
              <w:rPr>
                <w:rFonts w:ascii="Segoe UI" w:hAnsi="Segoe UI" w:cs="Segoe UI"/>
                <w:i/>
                <w:sz w:val="16"/>
                <w:szCs w:val="16"/>
                <w:lang w:val="el-GR"/>
              </w:rPr>
              <w:t>0,9</w:t>
            </w:r>
            <w:r w:rsidRPr="00230F6E">
              <w:rPr>
                <w:rFonts w:ascii="Segoe UI" w:hAnsi="Segoe UI" w:cs="Segoe UI"/>
                <w:i/>
                <w:sz w:val="16"/>
                <w:szCs w:val="16"/>
              </w:rPr>
              <w:t xml:space="preserve"> </w:t>
            </w:r>
            <w:proofErr w:type="spellStart"/>
            <w:r w:rsidRPr="00230F6E">
              <w:rPr>
                <w:rFonts w:ascii="Segoe UI" w:hAnsi="Segoe UI" w:cs="Segoe UI"/>
                <w:i/>
                <w:sz w:val="16"/>
                <w:szCs w:val="16"/>
                <w:lang w:val="el-GR"/>
              </w:rPr>
              <w:t>μ.β</w:t>
            </w:r>
            <w:proofErr w:type="spellEnd"/>
            <w:r w:rsidRPr="00230F6E">
              <w:rPr>
                <w:rFonts w:ascii="Segoe UI" w:hAnsi="Segoe UI" w:cs="Segoe UI"/>
                <w:i/>
                <w:sz w:val="16"/>
                <w:szCs w:val="16"/>
                <w:lang w:val="el-GR"/>
              </w:rPr>
              <w:t>.</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74</w:t>
            </w:r>
            <w:r>
              <w:rPr>
                <w:rFonts w:ascii="Segoe UI" w:hAnsi="Segoe UI" w:cs="Segoe UI"/>
                <w:sz w:val="16"/>
                <w:szCs w:val="16"/>
                <w:lang w:val="en-US"/>
              </w:rPr>
              <w:t>,</w:t>
            </w:r>
            <w:r w:rsidRPr="00230F6E">
              <w:rPr>
                <w:rFonts w:ascii="Segoe UI" w:hAnsi="Segoe UI" w:cs="Segoe UI"/>
                <w:sz w:val="16"/>
                <w:szCs w:val="16"/>
                <w:lang w:val="el-GR"/>
              </w:rPr>
              <w:t>3%</w:t>
            </w:r>
          </w:p>
        </w:tc>
        <w:tc>
          <w:tcPr>
            <w:tcW w:w="1077" w:type="dxa"/>
            <w:tcBorders>
              <w:top w:val="single" w:sz="4" w:space="0" w:color="auto"/>
              <w:bottom w:val="single" w:sz="4" w:space="0" w:color="auto"/>
            </w:tcBorders>
            <w:vAlign w:val="bottom"/>
          </w:tcPr>
          <w:p w:rsidR="00B47FF2" w:rsidRPr="000F02F9" w:rsidRDefault="00B47FF2" w:rsidP="000F02F9">
            <w:pPr>
              <w:spacing w:after="160"/>
              <w:jc w:val="right"/>
              <w:rPr>
                <w:rFonts w:ascii="Segoe UI" w:hAnsi="Segoe UI" w:cs="Segoe UI"/>
                <w:sz w:val="16"/>
                <w:szCs w:val="16"/>
                <w:lang w:val="el-GR"/>
              </w:rPr>
            </w:pPr>
            <w:r w:rsidRPr="000F02F9">
              <w:rPr>
                <w:rFonts w:ascii="Segoe UI" w:hAnsi="Segoe UI" w:cs="Segoe UI"/>
                <w:sz w:val="16"/>
                <w:szCs w:val="16"/>
                <w:lang w:val="el-GR"/>
              </w:rPr>
              <w:t>74,6%</w:t>
            </w:r>
          </w:p>
        </w:tc>
        <w:tc>
          <w:tcPr>
            <w:tcW w:w="850" w:type="dxa"/>
            <w:tcBorders>
              <w:top w:val="single" w:sz="4" w:space="0" w:color="auto"/>
              <w:bottom w:val="single" w:sz="4" w:space="0" w:color="auto"/>
            </w:tcBorders>
          </w:tcPr>
          <w:p w:rsidR="00B47FF2" w:rsidRPr="00B1612B" w:rsidRDefault="00B47FF2" w:rsidP="00B47FF2">
            <w:pPr>
              <w:spacing w:after="160"/>
              <w:jc w:val="right"/>
              <w:rPr>
                <w:rFonts w:ascii="Segoe UI" w:hAnsi="Segoe UI" w:cs="Segoe UI"/>
                <w:i/>
                <w:sz w:val="16"/>
                <w:szCs w:val="16"/>
                <w:lang w:val="el-GR"/>
              </w:rPr>
            </w:pPr>
            <w:r w:rsidRPr="00B1612B">
              <w:rPr>
                <w:rFonts w:ascii="Segoe UI" w:hAnsi="Segoe UI" w:cs="Segoe UI"/>
                <w:i/>
                <w:sz w:val="16"/>
                <w:szCs w:val="16"/>
                <w:lang w:val="el-GR"/>
              </w:rPr>
              <w:t>-0</w:t>
            </w:r>
            <w:r>
              <w:rPr>
                <w:rFonts w:ascii="Segoe UI" w:hAnsi="Segoe UI" w:cs="Segoe UI"/>
                <w:i/>
                <w:sz w:val="16"/>
                <w:szCs w:val="16"/>
                <w:lang w:val="el-GR"/>
              </w:rPr>
              <w:t>,</w:t>
            </w:r>
            <w:r w:rsidRPr="00B1612B">
              <w:rPr>
                <w:rFonts w:ascii="Segoe UI" w:hAnsi="Segoe UI" w:cs="Segoe UI"/>
                <w:i/>
                <w:sz w:val="16"/>
                <w:szCs w:val="16"/>
                <w:lang w:val="el-GR"/>
              </w:rPr>
              <w:t xml:space="preserve">3 </w:t>
            </w:r>
            <w:proofErr w:type="spellStart"/>
            <w:r>
              <w:rPr>
                <w:rFonts w:ascii="Segoe UI" w:hAnsi="Segoe UI" w:cs="Segoe UI"/>
                <w:i/>
                <w:sz w:val="16"/>
                <w:szCs w:val="16"/>
                <w:lang w:val="el-GR"/>
              </w:rPr>
              <w:t>μ.β</w:t>
            </w:r>
            <w:proofErr w:type="spellEnd"/>
            <w:r>
              <w:rPr>
                <w:rFonts w:ascii="Segoe UI" w:hAnsi="Segoe UI" w:cs="Segoe UI"/>
                <w:i/>
                <w:sz w:val="16"/>
                <w:szCs w:val="16"/>
                <w:lang w:val="el-GR"/>
              </w:rPr>
              <w:t>.</w:t>
            </w:r>
          </w:p>
        </w:tc>
      </w:tr>
      <w:tr w:rsidR="00B47FF2" w:rsidRPr="00B522A6" w:rsidTr="000F02F9">
        <w:trPr>
          <w:trHeight w:hRule="exact" w:val="255"/>
          <w:jc w:val="right"/>
        </w:trPr>
        <w:tc>
          <w:tcPr>
            <w:tcW w:w="3005" w:type="dxa"/>
            <w:tcBorders>
              <w:top w:val="single" w:sz="4" w:space="0" w:color="auto"/>
              <w:bottom w:val="single" w:sz="4" w:space="0" w:color="auto"/>
            </w:tcBorders>
            <w:shd w:val="clear" w:color="auto" w:fill="auto"/>
            <w:vAlign w:val="bottom"/>
          </w:tcPr>
          <w:p w:rsidR="00B47FF2" w:rsidRPr="003C4D83" w:rsidRDefault="00B47FF2" w:rsidP="00B47FF2">
            <w:pPr>
              <w:spacing w:after="160"/>
              <w:rPr>
                <w:rFonts w:ascii="Segoe UI" w:hAnsi="Segoe UI" w:cs="Segoe UI"/>
                <w:sz w:val="16"/>
                <w:szCs w:val="18"/>
                <w:lang w:val="el-GR"/>
              </w:rPr>
            </w:pPr>
            <w:r w:rsidRPr="003C4D83">
              <w:rPr>
                <w:rFonts w:ascii="Segoe UI" w:hAnsi="Segoe UI" w:cs="Segoe UI"/>
                <w:sz w:val="16"/>
                <w:szCs w:val="18"/>
              </w:rPr>
              <w:t xml:space="preserve">          </w:t>
            </w:r>
            <w:r w:rsidRPr="003C4D83">
              <w:rPr>
                <w:rFonts w:ascii="Segoe UI" w:hAnsi="Segoe UI" w:cs="Segoe UI"/>
                <w:sz w:val="16"/>
                <w:szCs w:val="18"/>
                <w:lang w:val="el-GR"/>
              </w:rPr>
              <w:t>Ελλάδα</w:t>
            </w:r>
            <w:r>
              <w:rPr>
                <w:rFonts w:ascii="Segoe UI" w:hAnsi="Segoe UI" w:cs="Segoe UI"/>
                <w:sz w:val="16"/>
                <w:szCs w:val="18"/>
                <w:lang w:val="el-GR"/>
              </w:rPr>
              <w:t xml:space="preserve"> </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75,</w:t>
            </w:r>
            <w:r>
              <w:rPr>
                <w:rFonts w:ascii="Segoe UI" w:hAnsi="Segoe UI" w:cs="Segoe UI"/>
                <w:sz w:val="16"/>
                <w:szCs w:val="16"/>
                <w:lang w:val="en-US"/>
              </w:rPr>
              <w:t>4</w:t>
            </w:r>
            <w:r w:rsidRPr="00230F6E">
              <w:rPr>
                <w:rFonts w:ascii="Segoe UI" w:hAnsi="Segoe UI" w:cs="Segoe UI"/>
                <w:sz w:val="16"/>
                <w:szCs w:val="16"/>
                <w:lang w:val="el-GR"/>
              </w:rPr>
              <w:t>%</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74,</w:t>
            </w:r>
            <w:r w:rsidRPr="00230F6E">
              <w:rPr>
                <w:rFonts w:ascii="Segoe UI" w:hAnsi="Segoe UI" w:cs="Segoe UI"/>
                <w:sz w:val="16"/>
                <w:szCs w:val="16"/>
                <w:lang w:val="el-GR"/>
              </w:rPr>
              <w:t>5%</w:t>
            </w:r>
          </w:p>
        </w:tc>
        <w:tc>
          <w:tcPr>
            <w:tcW w:w="850"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i/>
                <w:sz w:val="16"/>
                <w:szCs w:val="16"/>
              </w:rPr>
            </w:pPr>
            <w:r>
              <w:rPr>
                <w:rFonts w:ascii="Segoe UI" w:hAnsi="Segoe UI" w:cs="Segoe UI"/>
                <w:i/>
                <w:sz w:val="16"/>
                <w:szCs w:val="16"/>
                <w:lang w:val="en-US"/>
              </w:rPr>
              <w:t>0</w:t>
            </w:r>
            <w:r>
              <w:rPr>
                <w:rFonts w:ascii="Segoe UI" w:hAnsi="Segoe UI" w:cs="Segoe UI"/>
                <w:i/>
                <w:sz w:val="16"/>
                <w:szCs w:val="16"/>
                <w:lang w:val="el-GR"/>
              </w:rPr>
              <w:t>,</w:t>
            </w:r>
            <w:r>
              <w:rPr>
                <w:rFonts w:ascii="Segoe UI" w:hAnsi="Segoe UI" w:cs="Segoe UI"/>
                <w:i/>
                <w:sz w:val="16"/>
                <w:szCs w:val="16"/>
                <w:lang w:val="en-US"/>
              </w:rPr>
              <w:t>9</w:t>
            </w:r>
            <w:r w:rsidRPr="00230F6E">
              <w:rPr>
                <w:rFonts w:ascii="Segoe UI" w:hAnsi="Segoe UI" w:cs="Segoe UI"/>
                <w:i/>
                <w:sz w:val="16"/>
                <w:szCs w:val="16"/>
                <w:lang w:val="el-GR"/>
              </w:rPr>
              <w:t xml:space="preserve"> </w:t>
            </w:r>
            <w:proofErr w:type="spellStart"/>
            <w:r w:rsidRPr="00230F6E">
              <w:rPr>
                <w:rFonts w:ascii="Segoe UI" w:hAnsi="Segoe UI" w:cs="Segoe UI"/>
                <w:i/>
                <w:sz w:val="16"/>
                <w:szCs w:val="16"/>
                <w:lang w:val="el-GR"/>
              </w:rPr>
              <w:t>μ.β</w:t>
            </w:r>
            <w:proofErr w:type="spellEnd"/>
            <w:r w:rsidRPr="00230F6E">
              <w:rPr>
                <w:rFonts w:ascii="Segoe UI" w:hAnsi="Segoe UI" w:cs="Segoe UI"/>
                <w:i/>
                <w:sz w:val="16"/>
                <w:szCs w:val="16"/>
                <w:lang w:val="el-GR"/>
              </w:rPr>
              <w:t>.</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75,</w:t>
            </w:r>
            <w:r>
              <w:rPr>
                <w:rFonts w:ascii="Segoe UI" w:hAnsi="Segoe UI" w:cs="Segoe UI"/>
                <w:sz w:val="16"/>
                <w:szCs w:val="16"/>
                <w:lang w:val="en-US"/>
              </w:rPr>
              <w:t>4</w:t>
            </w:r>
            <w:r w:rsidRPr="00230F6E">
              <w:rPr>
                <w:rFonts w:ascii="Segoe UI" w:hAnsi="Segoe UI" w:cs="Segoe UI"/>
                <w:sz w:val="16"/>
                <w:szCs w:val="16"/>
                <w:lang w:val="el-GR"/>
              </w:rPr>
              <w:t>%</w:t>
            </w:r>
          </w:p>
        </w:tc>
        <w:tc>
          <w:tcPr>
            <w:tcW w:w="1077" w:type="dxa"/>
            <w:tcBorders>
              <w:top w:val="single" w:sz="4" w:space="0" w:color="auto"/>
              <w:bottom w:val="single" w:sz="4" w:space="0" w:color="auto"/>
            </w:tcBorders>
            <w:vAlign w:val="bottom"/>
          </w:tcPr>
          <w:p w:rsidR="00B47FF2" w:rsidRPr="000F02F9" w:rsidRDefault="00B47FF2" w:rsidP="000F02F9">
            <w:pPr>
              <w:spacing w:after="160"/>
              <w:jc w:val="right"/>
              <w:rPr>
                <w:rFonts w:ascii="Segoe UI" w:hAnsi="Segoe UI" w:cs="Segoe UI"/>
                <w:sz w:val="16"/>
                <w:szCs w:val="16"/>
                <w:lang w:val="el-GR"/>
              </w:rPr>
            </w:pPr>
            <w:r w:rsidRPr="000F02F9">
              <w:rPr>
                <w:rFonts w:ascii="Segoe UI" w:hAnsi="Segoe UI" w:cs="Segoe UI"/>
                <w:sz w:val="16"/>
                <w:szCs w:val="16"/>
                <w:lang w:val="el-GR"/>
              </w:rPr>
              <w:t>76,8%</w:t>
            </w:r>
          </w:p>
        </w:tc>
        <w:tc>
          <w:tcPr>
            <w:tcW w:w="850" w:type="dxa"/>
            <w:tcBorders>
              <w:top w:val="single" w:sz="4" w:space="0" w:color="auto"/>
              <w:bottom w:val="single" w:sz="4" w:space="0" w:color="auto"/>
            </w:tcBorders>
          </w:tcPr>
          <w:p w:rsidR="00B47FF2" w:rsidRPr="00B1612B" w:rsidRDefault="00B47FF2" w:rsidP="00B47FF2">
            <w:pPr>
              <w:spacing w:after="160"/>
              <w:jc w:val="right"/>
              <w:rPr>
                <w:rFonts w:ascii="Segoe UI" w:hAnsi="Segoe UI" w:cs="Segoe UI"/>
                <w:i/>
                <w:sz w:val="16"/>
                <w:szCs w:val="16"/>
                <w:lang w:val="el-GR"/>
              </w:rPr>
            </w:pPr>
            <w:r w:rsidRPr="00B1612B">
              <w:rPr>
                <w:rFonts w:ascii="Segoe UI" w:hAnsi="Segoe UI" w:cs="Segoe UI"/>
                <w:i/>
                <w:sz w:val="16"/>
                <w:szCs w:val="16"/>
                <w:lang w:val="el-GR"/>
              </w:rPr>
              <w:t>-1</w:t>
            </w:r>
            <w:r>
              <w:rPr>
                <w:rFonts w:ascii="Segoe UI" w:hAnsi="Segoe UI" w:cs="Segoe UI"/>
                <w:i/>
                <w:sz w:val="16"/>
                <w:szCs w:val="16"/>
                <w:lang w:val="el-GR"/>
              </w:rPr>
              <w:t xml:space="preserve">,4 </w:t>
            </w:r>
            <w:proofErr w:type="spellStart"/>
            <w:r>
              <w:rPr>
                <w:rFonts w:ascii="Segoe UI" w:hAnsi="Segoe UI" w:cs="Segoe UI"/>
                <w:i/>
                <w:sz w:val="16"/>
                <w:szCs w:val="16"/>
                <w:lang w:val="el-GR"/>
              </w:rPr>
              <w:t>μ.β</w:t>
            </w:r>
            <w:proofErr w:type="spellEnd"/>
            <w:r>
              <w:rPr>
                <w:rFonts w:ascii="Segoe UI" w:hAnsi="Segoe UI" w:cs="Segoe UI"/>
                <w:i/>
                <w:sz w:val="16"/>
                <w:szCs w:val="16"/>
                <w:lang w:val="el-GR"/>
              </w:rPr>
              <w:t>.</w:t>
            </w:r>
          </w:p>
        </w:tc>
      </w:tr>
      <w:tr w:rsidR="00B47FF2" w:rsidRPr="00B522A6" w:rsidTr="000F02F9">
        <w:trPr>
          <w:trHeight w:hRule="exact" w:val="255"/>
          <w:jc w:val="right"/>
        </w:trPr>
        <w:tc>
          <w:tcPr>
            <w:tcW w:w="3005" w:type="dxa"/>
            <w:tcBorders>
              <w:top w:val="single" w:sz="4" w:space="0" w:color="auto"/>
            </w:tcBorders>
            <w:shd w:val="clear" w:color="auto" w:fill="auto"/>
            <w:vAlign w:val="bottom"/>
          </w:tcPr>
          <w:p w:rsidR="00B47FF2" w:rsidRPr="00486B04" w:rsidRDefault="00B47FF2" w:rsidP="00B47FF2">
            <w:pPr>
              <w:spacing w:after="160"/>
              <w:rPr>
                <w:rFonts w:ascii="Segoe UI" w:hAnsi="Segoe UI" w:cs="Segoe UI"/>
                <w:sz w:val="16"/>
                <w:szCs w:val="18"/>
              </w:rPr>
            </w:pPr>
            <w:r w:rsidRPr="00486B04">
              <w:rPr>
                <w:rFonts w:ascii="Segoe UI" w:hAnsi="Segoe UI" w:cs="Segoe UI"/>
                <w:sz w:val="16"/>
                <w:szCs w:val="18"/>
              </w:rPr>
              <w:t xml:space="preserve">          </w:t>
            </w:r>
            <w:r w:rsidRPr="00486B04">
              <w:rPr>
                <w:rFonts w:ascii="Segoe UI" w:hAnsi="Segoe UI" w:cs="Segoe UI"/>
                <w:sz w:val="16"/>
                <w:szCs w:val="18"/>
                <w:lang w:val="el-GR"/>
              </w:rPr>
              <w:t>ΝΑ Ευρώπη</w:t>
            </w:r>
            <w:r w:rsidRPr="00486B04">
              <w:rPr>
                <w:rFonts w:ascii="Segoe UI" w:hAnsi="Segoe UI" w:cs="Segoe UI"/>
                <w:sz w:val="16"/>
                <w:szCs w:val="18"/>
                <w:vertAlign w:val="superscript"/>
                <w:lang w:val="el-GR"/>
              </w:rPr>
              <w:t>2</w:t>
            </w:r>
            <w:r>
              <w:rPr>
                <w:rFonts w:ascii="Segoe UI" w:hAnsi="Segoe UI" w:cs="Segoe UI"/>
                <w:sz w:val="16"/>
                <w:szCs w:val="18"/>
                <w:vertAlign w:val="superscript"/>
                <w:lang w:val="el-GR"/>
              </w:rPr>
              <w:t xml:space="preserve"> </w:t>
            </w:r>
          </w:p>
        </w:tc>
        <w:tc>
          <w:tcPr>
            <w:tcW w:w="1077" w:type="dxa"/>
            <w:tcBorders>
              <w:top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58,</w:t>
            </w:r>
            <w:r w:rsidRPr="00230F6E">
              <w:rPr>
                <w:rFonts w:ascii="Segoe UI" w:hAnsi="Segoe UI" w:cs="Segoe UI"/>
                <w:sz w:val="16"/>
                <w:szCs w:val="16"/>
                <w:lang w:val="el-GR"/>
              </w:rPr>
              <w:t>6%</w:t>
            </w:r>
          </w:p>
        </w:tc>
        <w:tc>
          <w:tcPr>
            <w:tcW w:w="1077" w:type="dxa"/>
            <w:tcBorders>
              <w:top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57,</w:t>
            </w:r>
            <w:r w:rsidRPr="00230F6E">
              <w:rPr>
                <w:rFonts w:ascii="Segoe UI" w:hAnsi="Segoe UI" w:cs="Segoe UI"/>
                <w:sz w:val="16"/>
                <w:szCs w:val="16"/>
                <w:lang w:val="el-GR"/>
              </w:rPr>
              <w:t>7%</w:t>
            </w:r>
          </w:p>
        </w:tc>
        <w:tc>
          <w:tcPr>
            <w:tcW w:w="850" w:type="dxa"/>
            <w:tcBorders>
              <w:top w:val="single" w:sz="4" w:space="0" w:color="auto"/>
            </w:tcBorders>
            <w:vAlign w:val="bottom"/>
          </w:tcPr>
          <w:p w:rsidR="00B47FF2" w:rsidRPr="00230F6E" w:rsidRDefault="00B47FF2" w:rsidP="000F02F9">
            <w:pPr>
              <w:spacing w:after="160"/>
              <w:jc w:val="right"/>
              <w:rPr>
                <w:rFonts w:ascii="Segoe UI" w:hAnsi="Segoe UI" w:cs="Segoe UI"/>
                <w:i/>
                <w:sz w:val="16"/>
                <w:szCs w:val="16"/>
              </w:rPr>
            </w:pPr>
            <w:r>
              <w:rPr>
                <w:rFonts w:ascii="Segoe UI" w:hAnsi="Segoe UI" w:cs="Segoe UI"/>
                <w:i/>
                <w:sz w:val="16"/>
                <w:szCs w:val="16"/>
                <w:lang w:val="el-GR"/>
              </w:rPr>
              <w:t>0,9</w:t>
            </w:r>
            <w:r w:rsidRPr="00230F6E">
              <w:rPr>
                <w:rFonts w:ascii="Segoe UI" w:hAnsi="Segoe UI" w:cs="Segoe UI"/>
                <w:i/>
                <w:sz w:val="16"/>
                <w:szCs w:val="16"/>
              </w:rPr>
              <w:t xml:space="preserve"> </w:t>
            </w:r>
            <w:proofErr w:type="spellStart"/>
            <w:r w:rsidRPr="00230F6E">
              <w:rPr>
                <w:rFonts w:ascii="Segoe UI" w:hAnsi="Segoe UI" w:cs="Segoe UI"/>
                <w:i/>
                <w:sz w:val="16"/>
                <w:szCs w:val="16"/>
                <w:lang w:val="el-GR"/>
              </w:rPr>
              <w:t>μ.β</w:t>
            </w:r>
            <w:proofErr w:type="spellEnd"/>
            <w:r w:rsidRPr="00230F6E">
              <w:rPr>
                <w:rFonts w:ascii="Segoe UI" w:hAnsi="Segoe UI" w:cs="Segoe UI"/>
                <w:i/>
                <w:sz w:val="16"/>
                <w:szCs w:val="16"/>
                <w:lang w:val="el-GR"/>
              </w:rPr>
              <w:t>.</w:t>
            </w:r>
          </w:p>
        </w:tc>
        <w:tc>
          <w:tcPr>
            <w:tcW w:w="1077" w:type="dxa"/>
            <w:tcBorders>
              <w:top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58,</w:t>
            </w:r>
            <w:r w:rsidRPr="00230F6E">
              <w:rPr>
                <w:rFonts w:ascii="Segoe UI" w:hAnsi="Segoe UI" w:cs="Segoe UI"/>
                <w:sz w:val="16"/>
                <w:szCs w:val="16"/>
                <w:lang w:val="el-GR"/>
              </w:rPr>
              <w:t>6%</w:t>
            </w:r>
          </w:p>
        </w:tc>
        <w:tc>
          <w:tcPr>
            <w:tcW w:w="1077" w:type="dxa"/>
            <w:tcBorders>
              <w:top w:val="single" w:sz="4" w:space="0" w:color="auto"/>
            </w:tcBorders>
            <w:vAlign w:val="bottom"/>
          </w:tcPr>
          <w:p w:rsidR="00B47FF2" w:rsidRPr="00230F6E" w:rsidRDefault="00B47FF2" w:rsidP="000F02F9">
            <w:pPr>
              <w:jc w:val="right"/>
              <w:rPr>
                <w:rFonts w:ascii="Segoe UI" w:hAnsi="Segoe UI" w:cs="Segoe UI"/>
                <w:sz w:val="16"/>
                <w:szCs w:val="16"/>
              </w:rPr>
            </w:pPr>
            <w:r>
              <w:rPr>
                <w:rFonts w:ascii="Segoe UI" w:hAnsi="Segoe UI" w:cs="Segoe UI"/>
                <w:sz w:val="16"/>
                <w:szCs w:val="16"/>
              </w:rPr>
              <w:t>58,</w:t>
            </w:r>
            <w:r w:rsidRPr="00230F6E">
              <w:rPr>
                <w:rFonts w:ascii="Segoe UI" w:hAnsi="Segoe UI" w:cs="Segoe UI"/>
                <w:sz w:val="16"/>
                <w:szCs w:val="16"/>
              </w:rPr>
              <w:t>6%</w:t>
            </w:r>
          </w:p>
        </w:tc>
        <w:tc>
          <w:tcPr>
            <w:tcW w:w="850" w:type="dxa"/>
            <w:tcBorders>
              <w:top w:val="single" w:sz="4" w:space="0" w:color="auto"/>
            </w:tcBorders>
          </w:tcPr>
          <w:p w:rsidR="00B47FF2" w:rsidRPr="00B1612B" w:rsidRDefault="00B47FF2" w:rsidP="00B47FF2">
            <w:pPr>
              <w:spacing w:after="160"/>
              <w:jc w:val="right"/>
              <w:rPr>
                <w:rFonts w:ascii="Segoe UI" w:hAnsi="Segoe UI" w:cs="Segoe UI"/>
                <w:i/>
                <w:sz w:val="16"/>
                <w:szCs w:val="16"/>
                <w:lang w:val="el-GR"/>
              </w:rPr>
            </w:pPr>
            <w:r w:rsidRPr="00B1612B">
              <w:rPr>
                <w:rFonts w:ascii="Segoe UI" w:hAnsi="Segoe UI" w:cs="Segoe UI"/>
                <w:i/>
                <w:sz w:val="16"/>
                <w:szCs w:val="16"/>
                <w:lang w:val="el-GR"/>
              </w:rPr>
              <w:t>0</w:t>
            </w:r>
            <w:r>
              <w:rPr>
                <w:rFonts w:ascii="Segoe UI" w:hAnsi="Segoe UI" w:cs="Segoe UI"/>
                <w:i/>
                <w:sz w:val="16"/>
                <w:szCs w:val="16"/>
                <w:lang w:val="el-GR"/>
              </w:rPr>
              <w:t>,</w:t>
            </w:r>
            <w:r w:rsidRPr="00B1612B">
              <w:rPr>
                <w:rFonts w:ascii="Segoe UI" w:hAnsi="Segoe UI" w:cs="Segoe UI"/>
                <w:i/>
                <w:sz w:val="16"/>
                <w:szCs w:val="16"/>
                <w:lang w:val="el-GR"/>
              </w:rPr>
              <w:t xml:space="preserve">0 </w:t>
            </w:r>
            <w:proofErr w:type="spellStart"/>
            <w:r>
              <w:rPr>
                <w:rFonts w:ascii="Segoe UI" w:hAnsi="Segoe UI" w:cs="Segoe UI"/>
                <w:i/>
                <w:sz w:val="16"/>
                <w:szCs w:val="16"/>
                <w:lang w:val="el-GR"/>
              </w:rPr>
              <w:t>μ.β</w:t>
            </w:r>
            <w:proofErr w:type="spellEnd"/>
            <w:r>
              <w:rPr>
                <w:rFonts w:ascii="Segoe UI" w:hAnsi="Segoe UI" w:cs="Segoe UI"/>
                <w:i/>
                <w:sz w:val="16"/>
                <w:szCs w:val="16"/>
                <w:lang w:val="el-GR"/>
              </w:rPr>
              <w:t>.</w:t>
            </w:r>
          </w:p>
        </w:tc>
      </w:tr>
      <w:tr w:rsidR="00B47FF2" w:rsidRPr="00046481" w:rsidTr="000F02F9">
        <w:trPr>
          <w:trHeight w:hRule="exact" w:val="113"/>
          <w:jc w:val="right"/>
        </w:trPr>
        <w:tc>
          <w:tcPr>
            <w:tcW w:w="3005" w:type="dxa"/>
            <w:shd w:val="clear" w:color="auto" w:fill="auto"/>
            <w:vAlign w:val="bottom"/>
          </w:tcPr>
          <w:p w:rsidR="00B47FF2" w:rsidRPr="003C4D83" w:rsidRDefault="00B47FF2" w:rsidP="00B47FF2">
            <w:pPr>
              <w:spacing w:after="160"/>
              <w:rPr>
                <w:rFonts w:ascii="Segoe UI" w:hAnsi="Segoe UI" w:cs="Segoe UI"/>
                <w:sz w:val="16"/>
                <w:szCs w:val="18"/>
                <w:lang w:val="el-GR"/>
              </w:rPr>
            </w:pPr>
          </w:p>
        </w:tc>
        <w:tc>
          <w:tcPr>
            <w:tcW w:w="1077" w:type="dxa"/>
            <w:vAlign w:val="bottom"/>
          </w:tcPr>
          <w:p w:rsidR="00B47FF2" w:rsidRPr="00230F6E" w:rsidRDefault="00B47FF2" w:rsidP="000F02F9">
            <w:pPr>
              <w:spacing w:after="160"/>
              <w:jc w:val="right"/>
              <w:rPr>
                <w:rFonts w:ascii="Segoe UI" w:hAnsi="Segoe UI" w:cs="Segoe UI"/>
                <w:sz w:val="16"/>
                <w:szCs w:val="16"/>
                <w:lang w:val="el-GR"/>
              </w:rPr>
            </w:pPr>
          </w:p>
        </w:tc>
        <w:tc>
          <w:tcPr>
            <w:tcW w:w="1077" w:type="dxa"/>
            <w:vAlign w:val="bottom"/>
          </w:tcPr>
          <w:p w:rsidR="00B47FF2" w:rsidRPr="00230F6E" w:rsidRDefault="00B47FF2" w:rsidP="000F02F9">
            <w:pPr>
              <w:spacing w:after="160"/>
              <w:jc w:val="right"/>
              <w:rPr>
                <w:rFonts w:ascii="Segoe UI" w:hAnsi="Segoe UI" w:cs="Segoe UI"/>
                <w:sz w:val="16"/>
                <w:szCs w:val="16"/>
                <w:lang w:val="el-GR"/>
              </w:rPr>
            </w:pPr>
          </w:p>
        </w:tc>
        <w:tc>
          <w:tcPr>
            <w:tcW w:w="850" w:type="dxa"/>
            <w:vAlign w:val="bottom"/>
          </w:tcPr>
          <w:p w:rsidR="00B47FF2" w:rsidRPr="00230F6E" w:rsidRDefault="00B47FF2" w:rsidP="000F02F9">
            <w:pPr>
              <w:spacing w:after="160"/>
              <w:jc w:val="right"/>
              <w:rPr>
                <w:rFonts w:ascii="Segoe UI" w:hAnsi="Segoe UI" w:cs="Segoe UI"/>
                <w:i/>
                <w:sz w:val="16"/>
                <w:szCs w:val="16"/>
                <w:lang w:val="el-GR"/>
              </w:rPr>
            </w:pPr>
          </w:p>
        </w:tc>
        <w:tc>
          <w:tcPr>
            <w:tcW w:w="1077" w:type="dxa"/>
            <w:vAlign w:val="bottom"/>
          </w:tcPr>
          <w:p w:rsidR="00B47FF2" w:rsidRPr="00230F6E" w:rsidRDefault="00B47FF2" w:rsidP="000F02F9">
            <w:pPr>
              <w:spacing w:after="160"/>
              <w:jc w:val="right"/>
              <w:rPr>
                <w:rFonts w:ascii="Segoe UI" w:hAnsi="Segoe UI" w:cs="Segoe UI"/>
                <w:sz w:val="16"/>
                <w:szCs w:val="16"/>
                <w:lang w:val="el-GR"/>
              </w:rPr>
            </w:pPr>
          </w:p>
        </w:tc>
        <w:tc>
          <w:tcPr>
            <w:tcW w:w="1077" w:type="dxa"/>
            <w:vAlign w:val="bottom"/>
          </w:tcPr>
          <w:p w:rsidR="00B47FF2" w:rsidRPr="00230F6E" w:rsidRDefault="00B47FF2" w:rsidP="000F02F9">
            <w:pPr>
              <w:jc w:val="right"/>
              <w:rPr>
                <w:rFonts w:ascii="Segoe UI" w:hAnsi="Segoe UI" w:cs="Segoe UI"/>
                <w:sz w:val="16"/>
                <w:szCs w:val="16"/>
              </w:rPr>
            </w:pPr>
          </w:p>
        </w:tc>
        <w:tc>
          <w:tcPr>
            <w:tcW w:w="850" w:type="dxa"/>
          </w:tcPr>
          <w:p w:rsidR="00B47FF2" w:rsidRPr="00B1612B" w:rsidRDefault="00B47FF2" w:rsidP="00B47FF2">
            <w:pPr>
              <w:spacing w:after="160"/>
              <w:jc w:val="right"/>
              <w:rPr>
                <w:rFonts w:ascii="Segoe UI" w:hAnsi="Segoe UI" w:cs="Segoe UI"/>
                <w:i/>
                <w:sz w:val="16"/>
                <w:szCs w:val="16"/>
                <w:lang w:val="el-GR"/>
              </w:rPr>
            </w:pPr>
          </w:p>
        </w:tc>
      </w:tr>
      <w:tr w:rsidR="00B47FF2" w:rsidRPr="00046481" w:rsidTr="000F02F9">
        <w:trPr>
          <w:trHeight w:hRule="exact" w:val="482"/>
          <w:jc w:val="right"/>
        </w:trPr>
        <w:tc>
          <w:tcPr>
            <w:tcW w:w="3005" w:type="dxa"/>
            <w:tcBorders>
              <w:bottom w:val="single" w:sz="4" w:space="0" w:color="auto"/>
            </w:tcBorders>
            <w:shd w:val="clear" w:color="auto" w:fill="auto"/>
            <w:vAlign w:val="bottom"/>
          </w:tcPr>
          <w:p w:rsidR="00B47FF2" w:rsidRPr="003C4D83" w:rsidRDefault="00B47FF2" w:rsidP="00B47FF2">
            <w:pPr>
              <w:spacing w:after="160"/>
              <w:rPr>
                <w:rFonts w:ascii="Segoe UI" w:hAnsi="Segoe UI" w:cs="Segoe UI"/>
                <w:sz w:val="16"/>
                <w:szCs w:val="18"/>
                <w:lang w:val="el-GR"/>
              </w:rPr>
            </w:pPr>
            <w:r w:rsidRPr="003C4D83">
              <w:rPr>
                <w:rFonts w:ascii="Segoe UI" w:hAnsi="Segoe UI" w:cs="Segoe UI"/>
                <w:sz w:val="16"/>
                <w:szCs w:val="18"/>
                <w:lang w:val="el-GR"/>
              </w:rPr>
              <w:t xml:space="preserve">Δείκτης </w:t>
            </w:r>
            <w:r>
              <w:rPr>
                <w:rFonts w:ascii="Segoe UI" w:hAnsi="Segoe UI" w:cs="Segoe UI"/>
                <w:sz w:val="16"/>
                <w:szCs w:val="18"/>
                <w:lang w:val="el-GR"/>
              </w:rPr>
              <w:t xml:space="preserve">Μη Εξυπηρετούμενων Ανοιγμάτων Ομίλου </w:t>
            </w:r>
          </w:p>
        </w:tc>
        <w:tc>
          <w:tcPr>
            <w:tcW w:w="1077" w:type="dxa"/>
            <w:tcBorders>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43,</w:t>
            </w:r>
            <w:r w:rsidRPr="00230F6E">
              <w:rPr>
                <w:rFonts w:ascii="Segoe UI" w:hAnsi="Segoe UI" w:cs="Segoe UI"/>
                <w:sz w:val="16"/>
                <w:szCs w:val="16"/>
                <w:lang w:val="el-GR"/>
              </w:rPr>
              <w:t>6%</w:t>
            </w:r>
          </w:p>
        </w:tc>
        <w:tc>
          <w:tcPr>
            <w:tcW w:w="1077" w:type="dxa"/>
            <w:tcBorders>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44,</w:t>
            </w:r>
            <w:r w:rsidRPr="00230F6E">
              <w:rPr>
                <w:rFonts w:ascii="Segoe UI" w:hAnsi="Segoe UI" w:cs="Segoe UI"/>
                <w:sz w:val="16"/>
                <w:szCs w:val="16"/>
                <w:lang w:val="el-GR"/>
              </w:rPr>
              <w:t>8%</w:t>
            </w:r>
          </w:p>
        </w:tc>
        <w:tc>
          <w:tcPr>
            <w:tcW w:w="850" w:type="dxa"/>
            <w:tcBorders>
              <w:bottom w:val="single" w:sz="4" w:space="0" w:color="auto"/>
            </w:tcBorders>
            <w:shd w:val="clear" w:color="auto" w:fill="auto"/>
            <w:vAlign w:val="bottom"/>
          </w:tcPr>
          <w:p w:rsidR="00B47FF2" w:rsidRPr="00BC1009" w:rsidRDefault="00B47FF2" w:rsidP="000F02F9">
            <w:pPr>
              <w:jc w:val="right"/>
              <w:rPr>
                <w:rFonts w:ascii="Segoe UI" w:hAnsi="Segoe UI" w:cs="Segoe UI"/>
                <w:i/>
                <w:sz w:val="16"/>
                <w:szCs w:val="18"/>
                <w:lang w:val="el-GR"/>
              </w:rPr>
            </w:pPr>
            <w:r w:rsidRPr="00BC1009">
              <w:rPr>
                <w:rFonts w:ascii="Segoe UI" w:hAnsi="Segoe UI" w:cs="Segoe UI"/>
                <w:i/>
                <w:sz w:val="16"/>
                <w:szCs w:val="18"/>
                <w:lang w:val="el-GR"/>
              </w:rPr>
              <w:t xml:space="preserve">-1,2 </w:t>
            </w:r>
            <w:proofErr w:type="spellStart"/>
            <w:r>
              <w:rPr>
                <w:rFonts w:ascii="Segoe UI" w:hAnsi="Segoe UI" w:cs="Segoe UI"/>
                <w:i/>
                <w:sz w:val="16"/>
                <w:szCs w:val="18"/>
                <w:lang w:val="el-GR"/>
              </w:rPr>
              <w:t>μ.β</w:t>
            </w:r>
            <w:proofErr w:type="spellEnd"/>
            <w:r>
              <w:rPr>
                <w:rFonts w:ascii="Segoe UI" w:hAnsi="Segoe UI" w:cs="Segoe UI"/>
                <w:i/>
                <w:sz w:val="16"/>
                <w:szCs w:val="18"/>
                <w:lang w:val="el-GR"/>
              </w:rPr>
              <w:t>.</w:t>
            </w:r>
          </w:p>
        </w:tc>
        <w:tc>
          <w:tcPr>
            <w:tcW w:w="1077" w:type="dxa"/>
            <w:tcBorders>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43,</w:t>
            </w:r>
            <w:r w:rsidRPr="00230F6E">
              <w:rPr>
                <w:rFonts w:ascii="Segoe UI" w:hAnsi="Segoe UI" w:cs="Segoe UI"/>
                <w:sz w:val="16"/>
                <w:szCs w:val="16"/>
                <w:lang w:val="el-GR"/>
              </w:rPr>
              <w:t>6%</w:t>
            </w:r>
          </w:p>
        </w:tc>
        <w:tc>
          <w:tcPr>
            <w:tcW w:w="1077" w:type="dxa"/>
            <w:tcBorders>
              <w:bottom w:val="single" w:sz="4" w:space="0" w:color="auto"/>
            </w:tcBorders>
            <w:vAlign w:val="bottom"/>
          </w:tcPr>
          <w:p w:rsidR="00B47FF2" w:rsidRPr="00BC1009" w:rsidRDefault="00B47FF2" w:rsidP="000F02F9">
            <w:pPr>
              <w:jc w:val="right"/>
              <w:rPr>
                <w:rFonts w:ascii="Segoe UI" w:hAnsi="Segoe UI" w:cs="Segoe UI"/>
                <w:sz w:val="16"/>
                <w:szCs w:val="16"/>
                <w:lang w:val="el-GR"/>
              </w:rPr>
            </w:pPr>
            <w:r>
              <w:rPr>
                <w:rFonts w:ascii="Segoe UI" w:hAnsi="Segoe UI" w:cs="Segoe UI"/>
                <w:sz w:val="16"/>
                <w:szCs w:val="16"/>
                <w:lang w:val="el-GR"/>
              </w:rPr>
              <w:t>46,</w:t>
            </w:r>
            <w:r w:rsidRPr="00BC1009">
              <w:rPr>
                <w:rFonts w:ascii="Segoe UI" w:hAnsi="Segoe UI" w:cs="Segoe UI"/>
                <w:sz w:val="16"/>
                <w:szCs w:val="16"/>
                <w:lang w:val="el-GR"/>
              </w:rPr>
              <w:t>8%</w:t>
            </w:r>
          </w:p>
        </w:tc>
        <w:tc>
          <w:tcPr>
            <w:tcW w:w="850" w:type="dxa"/>
            <w:tcBorders>
              <w:bottom w:val="single" w:sz="4" w:space="0" w:color="auto"/>
            </w:tcBorders>
          </w:tcPr>
          <w:p w:rsidR="00B47FF2" w:rsidRPr="00B1612B" w:rsidRDefault="00B47FF2" w:rsidP="00B47FF2">
            <w:pPr>
              <w:spacing w:after="160"/>
              <w:jc w:val="right"/>
              <w:rPr>
                <w:rFonts w:ascii="Segoe UI" w:hAnsi="Segoe UI" w:cs="Segoe UI"/>
                <w:i/>
                <w:sz w:val="16"/>
                <w:szCs w:val="16"/>
                <w:lang w:val="el-GR"/>
              </w:rPr>
            </w:pPr>
            <w:r w:rsidRPr="00B1612B">
              <w:rPr>
                <w:rFonts w:ascii="Segoe UI" w:hAnsi="Segoe UI" w:cs="Segoe UI"/>
                <w:i/>
                <w:sz w:val="16"/>
                <w:szCs w:val="16"/>
                <w:lang w:val="el-GR"/>
              </w:rPr>
              <w:t>-3</w:t>
            </w:r>
            <w:r>
              <w:rPr>
                <w:rFonts w:ascii="Segoe UI" w:hAnsi="Segoe UI" w:cs="Segoe UI"/>
                <w:i/>
                <w:sz w:val="16"/>
                <w:szCs w:val="16"/>
                <w:lang w:val="el-GR"/>
              </w:rPr>
              <w:t xml:space="preserve">,2 </w:t>
            </w:r>
            <w:proofErr w:type="spellStart"/>
            <w:r>
              <w:rPr>
                <w:rFonts w:ascii="Segoe UI" w:hAnsi="Segoe UI" w:cs="Segoe UI"/>
                <w:i/>
                <w:sz w:val="16"/>
                <w:szCs w:val="16"/>
                <w:lang w:val="el-GR"/>
              </w:rPr>
              <w:t>μ.β</w:t>
            </w:r>
            <w:proofErr w:type="spellEnd"/>
            <w:r>
              <w:rPr>
                <w:rFonts w:ascii="Segoe UI" w:hAnsi="Segoe UI" w:cs="Segoe UI"/>
                <w:i/>
                <w:sz w:val="16"/>
                <w:szCs w:val="16"/>
                <w:lang w:val="el-GR"/>
              </w:rPr>
              <w:t>.</w:t>
            </w:r>
          </w:p>
        </w:tc>
      </w:tr>
      <w:tr w:rsidR="00B47FF2" w:rsidRPr="00BC1009" w:rsidTr="000F02F9">
        <w:trPr>
          <w:trHeight w:hRule="exact" w:val="255"/>
          <w:jc w:val="right"/>
        </w:trPr>
        <w:tc>
          <w:tcPr>
            <w:tcW w:w="3005" w:type="dxa"/>
            <w:tcBorders>
              <w:top w:val="single" w:sz="4" w:space="0" w:color="auto"/>
              <w:bottom w:val="single" w:sz="4" w:space="0" w:color="auto"/>
            </w:tcBorders>
            <w:shd w:val="clear" w:color="auto" w:fill="auto"/>
            <w:vAlign w:val="bottom"/>
          </w:tcPr>
          <w:p w:rsidR="00B47FF2" w:rsidRPr="003C4D83" w:rsidRDefault="00B47FF2" w:rsidP="00B47FF2">
            <w:pPr>
              <w:spacing w:after="160"/>
              <w:rPr>
                <w:rFonts w:ascii="Segoe UI" w:hAnsi="Segoe UI" w:cs="Segoe UI"/>
                <w:sz w:val="16"/>
                <w:szCs w:val="18"/>
                <w:lang w:val="el-GR"/>
              </w:rPr>
            </w:pPr>
            <w:r w:rsidRPr="00046481">
              <w:rPr>
                <w:rFonts w:ascii="Segoe UI" w:hAnsi="Segoe UI" w:cs="Segoe UI"/>
                <w:sz w:val="16"/>
                <w:szCs w:val="18"/>
                <w:lang w:val="el-GR"/>
              </w:rPr>
              <w:t xml:space="preserve">          </w:t>
            </w:r>
            <w:r w:rsidRPr="003C4D83">
              <w:rPr>
                <w:rFonts w:ascii="Segoe UI" w:hAnsi="Segoe UI" w:cs="Segoe UI"/>
                <w:sz w:val="16"/>
                <w:szCs w:val="18"/>
                <w:lang w:val="el-GR"/>
              </w:rPr>
              <w:t>Ελλάδα</w:t>
            </w:r>
            <w:r>
              <w:rPr>
                <w:rFonts w:ascii="Segoe UI" w:hAnsi="Segoe UI" w:cs="Segoe UI"/>
                <w:sz w:val="16"/>
                <w:szCs w:val="18"/>
                <w:lang w:val="el-GR"/>
              </w:rPr>
              <w:t xml:space="preserve"> </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45,</w:t>
            </w:r>
            <w:r w:rsidRPr="00230F6E">
              <w:rPr>
                <w:rFonts w:ascii="Segoe UI" w:hAnsi="Segoe UI" w:cs="Segoe UI"/>
                <w:sz w:val="16"/>
                <w:szCs w:val="16"/>
                <w:lang w:val="el-GR"/>
              </w:rPr>
              <w:t>1%</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46,</w:t>
            </w:r>
            <w:r w:rsidRPr="00230F6E">
              <w:rPr>
                <w:rFonts w:ascii="Segoe UI" w:hAnsi="Segoe UI" w:cs="Segoe UI"/>
                <w:sz w:val="16"/>
                <w:szCs w:val="16"/>
                <w:lang w:val="el-GR"/>
              </w:rPr>
              <w:t>4%</w:t>
            </w:r>
          </w:p>
        </w:tc>
        <w:tc>
          <w:tcPr>
            <w:tcW w:w="850" w:type="dxa"/>
            <w:tcBorders>
              <w:top w:val="single" w:sz="4" w:space="0" w:color="auto"/>
              <w:bottom w:val="single" w:sz="4" w:space="0" w:color="auto"/>
            </w:tcBorders>
            <w:vAlign w:val="bottom"/>
          </w:tcPr>
          <w:p w:rsidR="00B47FF2" w:rsidRPr="00BC1009" w:rsidRDefault="00B47FF2" w:rsidP="000F02F9">
            <w:pPr>
              <w:jc w:val="right"/>
              <w:rPr>
                <w:rFonts w:ascii="Segoe UI" w:hAnsi="Segoe UI" w:cs="Segoe UI"/>
                <w:i/>
                <w:sz w:val="16"/>
                <w:szCs w:val="18"/>
                <w:lang w:val="el-GR"/>
              </w:rPr>
            </w:pPr>
            <w:r w:rsidRPr="00BC1009">
              <w:rPr>
                <w:rFonts w:ascii="Segoe UI" w:hAnsi="Segoe UI" w:cs="Segoe UI"/>
                <w:i/>
                <w:sz w:val="16"/>
                <w:szCs w:val="18"/>
                <w:lang w:val="el-GR"/>
              </w:rPr>
              <w:t>-1</w:t>
            </w:r>
            <w:r>
              <w:rPr>
                <w:rFonts w:ascii="Segoe UI" w:hAnsi="Segoe UI" w:cs="Segoe UI"/>
                <w:i/>
                <w:sz w:val="16"/>
                <w:szCs w:val="18"/>
                <w:lang w:val="el-GR"/>
              </w:rPr>
              <w:t>,</w:t>
            </w:r>
            <w:r w:rsidRPr="00BC1009">
              <w:rPr>
                <w:rFonts w:ascii="Segoe UI" w:hAnsi="Segoe UI" w:cs="Segoe UI"/>
                <w:i/>
                <w:sz w:val="16"/>
                <w:szCs w:val="18"/>
                <w:lang w:val="el-GR"/>
              </w:rPr>
              <w:t xml:space="preserve">3 </w:t>
            </w:r>
            <w:proofErr w:type="spellStart"/>
            <w:r>
              <w:rPr>
                <w:rFonts w:ascii="Segoe UI" w:hAnsi="Segoe UI" w:cs="Segoe UI"/>
                <w:i/>
                <w:sz w:val="16"/>
                <w:szCs w:val="18"/>
                <w:lang w:val="el-GR"/>
              </w:rPr>
              <w:t>μ.β</w:t>
            </w:r>
            <w:proofErr w:type="spellEnd"/>
            <w:r>
              <w:rPr>
                <w:rFonts w:ascii="Segoe UI" w:hAnsi="Segoe UI" w:cs="Segoe UI"/>
                <w:i/>
                <w:sz w:val="16"/>
                <w:szCs w:val="18"/>
                <w:lang w:val="el-GR"/>
              </w:rPr>
              <w:t>.</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45,</w:t>
            </w:r>
            <w:r w:rsidRPr="00230F6E">
              <w:rPr>
                <w:rFonts w:ascii="Segoe UI" w:hAnsi="Segoe UI" w:cs="Segoe UI"/>
                <w:sz w:val="16"/>
                <w:szCs w:val="16"/>
                <w:lang w:val="el-GR"/>
              </w:rPr>
              <w:t>1%</w:t>
            </w:r>
          </w:p>
        </w:tc>
        <w:tc>
          <w:tcPr>
            <w:tcW w:w="1077" w:type="dxa"/>
            <w:tcBorders>
              <w:top w:val="single" w:sz="4" w:space="0" w:color="auto"/>
              <w:bottom w:val="single" w:sz="4" w:space="0" w:color="auto"/>
            </w:tcBorders>
            <w:vAlign w:val="bottom"/>
          </w:tcPr>
          <w:p w:rsidR="00B47FF2" w:rsidRPr="00BC1009" w:rsidRDefault="00B47FF2" w:rsidP="000F02F9">
            <w:pPr>
              <w:jc w:val="right"/>
              <w:rPr>
                <w:rFonts w:ascii="Segoe UI" w:hAnsi="Segoe UI" w:cs="Segoe UI"/>
                <w:sz w:val="16"/>
                <w:szCs w:val="16"/>
                <w:lang w:val="el-GR"/>
              </w:rPr>
            </w:pPr>
            <w:r>
              <w:rPr>
                <w:rFonts w:ascii="Segoe UI" w:hAnsi="Segoe UI" w:cs="Segoe UI"/>
                <w:sz w:val="16"/>
                <w:szCs w:val="16"/>
                <w:lang w:val="el-GR"/>
              </w:rPr>
              <w:t>49,</w:t>
            </w:r>
            <w:r w:rsidRPr="00BC1009">
              <w:rPr>
                <w:rFonts w:ascii="Segoe UI" w:hAnsi="Segoe UI" w:cs="Segoe UI"/>
                <w:sz w:val="16"/>
                <w:szCs w:val="16"/>
                <w:lang w:val="el-GR"/>
              </w:rPr>
              <w:t>2%</w:t>
            </w:r>
          </w:p>
        </w:tc>
        <w:tc>
          <w:tcPr>
            <w:tcW w:w="850" w:type="dxa"/>
            <w:tcBorders>
              <w:top w:val="single" w:sz="4" w:space="0" w:color="auto"/>
              <w:bottom w:val="single" w:sz="4" w:space="0" w:color="auto"/>
            </w:tcBorders>
          </w:tcPr>
          <w:p w:rsidR="00B47FF2" w:rsidRPr="00B1612B" w:rsidRDefault="00B47FF2" w:rsidP="00B47FF2">
            <w:pPr>
              <w:spacing w:after="160"/>
              <w:jc w:val="right"/>
              <w:rPr>
                <w:rFonts w:ascii="Segoe UI" w:hAnsi="Segoe UI" w:cs="Segoe UI"/>
                <w:i/>
                <w:sz w:val="16"/>
                <w:szCs w:val="16"/>
                <w:lang w:val="el-GR"/>
              </w:rPr>
            </w:pPr>
            <w:r w:rsidRPr="00B1612B">
              <w:rPr>
                <w:rFonts w:ascii="Segoe UI" w:hAnsi="Segoe UI" w:cs="Segoe UI"/>
                <w:i/>
                <w:sz w:val="16"/>
                <w:szCs w:val="16"/>
                <w:lang w:val="el-GR"/>
              </w:rPr>
              <w:t>-4</w:t>
            </w:r>
            <w:r>
              <w:rPr>
                <w:rFonts w:ascii="Segoe UI" w:hAnsi="Segoe UI" w:cs="Segoe UI"/>
                <w:i/>
                <w:sz w:val="16"/>
                <w:szCs w:val="16"/>
                <w:lang w:val="el-GR"/>
              </w:rPr>
              <w:t>,</w:t>
            </w:r>
            <w:r w:rsidRPr="00B1612B">
              <w:rPr>
                <w:rFonts w:ascii="Segoe UI" w:hAnsi="Segoe UI" w:cs="Segoe UI"/>
                <w:i/>
                <w:sz w:val="16"/>
                <w:szCs w:val="16"/>
                <w:lang w:val="el-GR"/>
              </w:rPr>
              <w:t>1</w:t>
            </w:r>
            <w:r>
              <w:rPr>
                <w:rFonts w:ascii="Segoe UI" w:hAnsi="Segoe UI" w:cs="Segoe UI"/>
                <w:i/>
                <w:sz w:val="16"/>
                <w:szCs w:val="16"/>
                <w:lang w:val="el-GR"/>
              </w:rPr>
              <w:t xml:space="preserve"> </w:t>
            </w:r>
            <w:proofErr w:type="spellStart"/>
            <w:r>
              <w:rPr>
                <w:rFonts w:ascii="Segoe UI" w:hAnsi="Segoe UI" w:cs="Segoe UI"/>
                <w:i/>
                <w:sz w:val="16"/>
                <w:szCs w:val="16"/>
                <w:lang w:val="el-GR"/>
              </w:rPr>
              <w:t>μ.β</w:t>
            </w:r>
            <w:proofErr w:type="spellEnd"/>
            <w:r>
              <w:rPr>
                <w:rFonts w:ascii="Segoe UI" w:hAnsi="Segoe UI" w:cs="Segoe UI"/>
                <w:i/>
                <w:sz w:val="16"/>
                <w:szCs w:val="16"/>
                <w:lang w:val="el-GR"/>
              </w:rPr>
              <w:t>.</w:t>
            </w:r>
          </w:p>
        </w:tc>
      </w:tr>
      <w:tr w:rsidR="00B47FF2" w:rsidRPr="00BC1009" w:rsidTr="000F02F9">
        <w:trPr>
          <w:trHeight w:hRule="exact" w:val="255"/>
          <w:jc w:val="right"/>
        </w:trPr>
        <w:tc>
          <w:tcPr>
            <w:tcW w:w="3005" w:type="dxa"/>
            <w:tcBorders>
              <w:top w:val="single" w:sz="4" w:space="0" w:color="auto"/>
              <w:bottom w:val="single" w:sz="4" w:space="0" w:color="auto"/>
            </w:tcBorders>
            <w:shd w:val="clear" w:color="auto" w:fill="auto"/>
            <w:vAlign w:val="bottom"/>
          </w:tcPr>
          <w:p w:rsidR="00B47FF2" w:rsidRPr="00C35BEC" w:rsidRDefault="00B47FF2" w:rsidP="00B47FF2">
            <w:pPr>
              <w:spacing w:after="160"/>
              <w:rPr>
                <w:rFonts w:ascii="Segoe UI" w:hAnsi="Segoe UI" w:cs="Segoe UI"/>
                <w:sz w:val="16"/>
                <w:szCs w:val="18"/>
                <w:lang w:val="el-GR"/>
              </w:rPr>
            </w:pPr>
            <w:r w:rsidRPr="003C4D83">
              <w:rPr>
                <w:rFonts w:ascii="Segoe UI" w:hAnsi="Segoe UI" w:cs="Segoe UI"/>
                <w:sz w:val="16"/>
                <w:szCs w:val="18"/>
                <w:lang w:val="el-GR"/>
              </w:rPr>
              <w:t xml:space="preserve">          ΝΑ Ευρώπη</w:t>
            </w:r>
            <w:r w:rsidRPr="003C4D83">
              <w:rPr>
                <w:rFonts w:ascii="Segoe UI" w:hAnsi="Segoe UI" w:cs="Segoe UI"/>
                <w:sz w:val="16"/>
                <w:szCs w:val="18"/>
                <w:vertAlign w:val="superscript"/>
                <w:lang w:val="el-GR"/>
              </w:rPr>
              <w:t>2</w:t>
            </w:r>
            <w:r>
              <w:rPr>
                <w:rFonts w:ascii="Segoe UI" w:hAnsi="Segoe UI" w:cs="Segoe UI"/>
                <w:sz w:val="16"/>
                <w:szCs w:val="18"/>
                <w:lang w:val="el-GR"/>
              </w:rPr>
              <w:t xml:space="preserve"> </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29,</w:t>
            </w:r>
            <w:r w:rsidRPr="00230F6E">
              <w:rPr>
                <w:rFonts w:ascii="Segoe UI" w:hAnsi="Segoe UI" w:cs="Segoe UI"/>
                <w:sz w:val="16"/>
                <w:szCs w:val="16"/>
                <w:lang w:val="el-GR"/>
              </w:rPr>
              <w:t>7%</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29,</w:t>
            </w:r>
            <w:r w:rsidRPr="00230F6E">
              <w:rPr>
                <w:rFonts w:ascii="Segoe UI" w:hAnsi="Segoe UI" w:cs="Segoe UI"/>
                <w:sz w:val="16"/>
                <w:szCs w:val="16"/>
                <w:lang w:val="el-GR"/>
              </w:rPr>
              <w:t>0%</w:t>
            </w:r>
          </w:p>
        </w:tc>
        <w:tc>
          <w:tcPr>
            <w:tcW w:w="850" w:type="dxa"/>
            <w:tcBorders>
              <w:top w:val="single" w:sz="4" w:space="0" w:color="auto"/>
              <w:bottom w:val="single" w:sz="4" w:space="0" w:color="auto"/>
            </w:tcBorders>
            <w:vAlign w:val="bottom"/>
          </w:tcPr>
          <w:p w:rsidR="00B47FF2" w:rsidRPr="00BC1009" w:rsidRDefault="00B47FF2" w:rsidP="000F02F9">
            <w:pPr>
              <w:jc w:val="right"/>
              <w:rPr>
                <w:rFonts w:ascii="Segoe UI" w:hAnsi="Segoe UI" w:cs="Segoe UI"/>
                <w:i/>
                <w:sz w:val="16"/>
                <w:szCs w:val="18"/>
                <w:lang w:val="el-GR"/>
              </w:rPr>
            </w:pPr>
            <w:r w:rsidRPr="00BC1009">
              <w:rPr>
                <w:rFonts w:ascii="Segoe UI" w:hAnsi="Segoe UI" w:cs="Segoe UI"/>
                <w:i/>
                <w:sz w:val="16"/>
                <w:szCs w:val="18"/>
                <w:lang w:val="el-GR"/>
              </w:rPr>
              <w:t>0</w:t>
            </w:r>
            <w:r>
              <w:rPr>
                <w:rFonts w:ascii="Segoe UI" w:hAnsi="Segoe UI" w:cs="Segoe UI"/>
                <w:i/>
                <w:sz w:val="16"/>
                <w:szCs w:val="18"/>
                <w:lang w:val="el-GR"/>
              </w:rPr>
              <w:t>,</w:t>
            </w:r>
            <w:r w:rsidRPr="00BC1009">
              <w:rPr>
                <w:rFonts w:ascii="Segoe UI" w:hAnsi="Segoe UI" w:cs="Segoe UI"/>
                <w:i/>
                <w:sz w:val="16"/>
                <w:szCs w:val="18"/>
                <w:lang w:val="el-GR"/>
              </w:rPr>
              <w:t xml:space="preserve">7 </w:t>
            </w:r>
            <w:proofErr w:type="spellStart"/>
            <w:r>
              <w:rPr>
                <w:rFonts w:ascii="Segoe UI" w:hAnsi="Segoe UI" w:cs="Segoe UI"/>
                <w:i/>
                <w:sz w:val="16"/>
                <w:szCs w:val="18"/>
                <w:lang w:val="el-GR"/>
              </w:rPr>
              <w:t>μ.β</w:t>
            </w:r>
            <w:proofErr w:type="spellEnd"/>
            <w:r>
              <w:rPr>
                <w:rFonts w:ascii="Segoe UI" w:hAnsi="Segoe UI" w:cs="Segoe UI"/>
                <w:i/>
                <w:sz w:val="16"/>
                <w:szCs w:val="18"/>
                <w:lang w:val="el-GR"/>
              </w:rPr>
              <w:t>.</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29,</w:t>
            </w:r>
            <w:r w:rsidRPr="00230F6E">
              <w:rPr>
                <w:rFonts w:ascii="Segoe UI" w:hAnsi="Segoe UI" w:cs="Segoe UI"/>
                <w:sz w:val="16"/>
                <w:szCs w:val="16"/>
                <w:lang w:val="el-GR"/>
              </w:rPr>
              <w:t>7%</w:t>
            </w:r>
          </w:p>
        </w:tc>
        <w:tc>
          <w:tcPr>
            <w:tcW w:w="1077" w:type="dxa"/>
            <w:tcBorders>
              <w:top w:val="single" w:sz="4" w:space="0" w:color="auto"/>
              <w:bottom w:val="single" w:sz="4" w:space="0" w:color="auto"/>
            </w:tcBorders>
            <w:vAlign w:val="bottom"/>
          </w:tcPr>
          <w:p w:rsidR="00B47FF2" w:rsidRPr="00BC1009" w:rsidRDefault="00B47FF2" w:rsidP="000F02F9">
            <w:pPr>
              <w:jc w:val="right"/>
              <w:rPr>
                <w:rFonts w:ascii="Segoe UI" w:hAnsi="Segoe UI" w:cs="Segoe UI"/>
                <w:sz w:val="16"/>
                <w:szCs w:val="16"/>
                <w:lang w:val="el-GR"/>
              </w:rPr>
            </w:pPr>
            <w:r>
              <w:rPr>
                <w:rFonts w:ascii="Segoe UI" w:hAnsi="Segoe UI" w:cs="Segoe UI"/>
                <w:sz w:val="16"/>
                <w:szCs w:val="16"/>
                <w:lang w:val="el-GR"/>
              </w:rPr>
              <w:t>31,</w:t>
            </w:r>
            <w:r w:rsidRPr="00BC1009">
              <w:rPr>
                <w:rFonts w:ascii="Segoe UI" w:hAnsi="Segoe UI" w:cs="Segoe UI"/>
                <w:sz w:val="16"/>
                <w:szCs w:val="16"/>
                <w:lang w:val="el-GR"/>
              </w:rPr>
              <w:t>1%</w:t>
            </w:r>
          </w:p>
        </w:tc>
        <w:tc>
          <w:tcPr>
            <w:tcW w:w="850" w:type="dxa"/>
            <w:tcBorders>
              <w:top w:val="single" w:sz="4" w:space="0" w:color="auto"/>
              <w:bottom w:val="single" w:sz="4" w:space="0" w:color="auto"/>
            </w:tcBorders>
          </w:tcPr>
          <w:p w:rsidR="00B47FF2" w:rsidRPr="00B1612B" w:rsidRDefault="00B47FF2" w:rsidP="00B47FF2">
            <w:pPr>
              <w:spacing w:after="160"/>
              <w:jc w:val="right"/>
              <w:rPr>
                <w:rFonts w:ascii="Segoe UI" w:hAnsi="Segoe UI" w:cs="Segoe UI"/>
                <w:i/>
                <w:sz w:val="16"/>
                <w:szCs w:val="16"/>
                <w:lang w:val="el-GR"/>
              </w:rPr>
            </w:pPr>
            <w:r w:rsidRPr="00B1612B">
              <w:rPr>
                <w:rFonts w:ascii="Segoe UI" w:hAnsi="Segoe UI" w:cs="Segoe UI"/>
                <w:i/>
                <w:sz w:val="16"/>
                <w:szCs w:val="16"/>
                <w:lang w:val="el-GR"/>
              </w:rPr>
              <w:t>-1</w:t>
            </w:r>
            <w:r>
              <w:rPr>
                <w:rFonts w:ascii="Segoe UI" w:hAnsi="Segoe UI" w:cs="Segoe UI"/>
                <w:i/>
                <w:sz w:val="16"/>
                <w:szCs w:val="16"/>
                <w:lang w:val="el-GR"/>
              </w:rPr>
              <w:t>,</w:t>
            </w:r>
            <w:r w:rsidRPr="00B1612B">
              <w:rPr>
                <w:rFonts w:ascii="Segoe UI" w:hAnsi="Segoe UI" w:cs="Segoe UI"/>
                <w:i/>
                <w:sz w:val="16"/>
                <w:szCs w:val="16"/>
                <w:lang w:val="el-GR"/>
              </w:rPr>
              <w:t xml:space="preserve">4 </w:t>
            </w:r>
            <w:proofErr w:type="spellStart"/>
            <w:r>
              <w:rPr>
                <w:rFonts w:ascii="Segoe UI" w:hAnsi="Segoe UI" w:cs="Segoe UI"/>
                <w:i/>
                <w:sz w:val="16"/>
                <w:szCs w:val="16"/>
                <w:lang w:val="el-GR"/>
              </w:rPr>
              <w:t>μ.β</w:t>
            </w:r>
            <w:proofErr w:type="spellEnd"/>
            <w:r>
              <w:rPr>
                <w:rFonts w:ascii="Segoe UI" w:hAnsi="Segoe UI" w:cs="Segoe UI"/>
                <w:i/>
                <w:sz w:val="16"/>
                <w:szCs w:val="16"/>
                <w:lang w:val="el-GR"/>
              </w:rPr>
              <w:t>.</w:t>
            </w:r>
          </w:p>
        </w:tc>
      </w:tr>
      <w:tr w:rsidR="00B47FF2" w:rsidRPr="00046481" w:rsidTr="000F02F9">
        <w:trPr>
          <w:trHeight w:hRule="exact" w:val="482"/>
          <w:jc w:val="right"/>
        </w:trPr>
        <w:tc>
          <w:tcPr>
            <w:tcW w:w="3005" w:type="dxa"/>
            <w:tcBorders>
              <w:top w:val="single" w:sz="4" w:space="0" w:color="auto"/>
              <w:bottom w:val="single" w:sz="4" w:space="0" w:color="auto"/>
            </w:tcBorders>
            <w:shd w:val="clear" w:color="auto" w:fill="auto"/>
            <w:vAlign w:val="bottom"/>
          </w:tcPr>
          <w:p w:rsidR="00B47FF2" w:rsidRPr="003C4D83" w:rsidRDefault="00B47FF2" w:rsidP="00B47FF2">
            <w:pPr>
              <w:spacing w:after="160"/>
              <w:rPr>
                <w:rFonts w:ascii="Segoe UI" w:hAnsi="Segoe UI" w:cs="Segoe UI"/>
                <w:sz w:val="16"/>
                <w:szCs w:val="18"/>
                <w:lang w:val="el-GR"/>
              </w:rPr>
            </w:pPr>
            <w:r w:rsidRPr="003C4D83">
              <w:rPr>
                <w:rFonts w:ascii="Segoe UI" w:hAnsi="Segoe UI" w:cs="Segoe UI"/>
                <w:sz w:val="16"/>
                <w:szCs w:val="18"/>
                <w:lang w:val="el-GR"/>
              </w:rPr>
              <w:t xml:space="preserve">Δείκτης κάλυψης </w:t>
            </w:r>
            <w:r>
              <w:rPr>
                <w:rFonts w:ascii="Segoe UI" w:hAnsi="Segoe UI" w:cs="Segoe UI"/>
                <w:sz w:val="16"/>
                <w:szCs w:val="18"/>
                <w:lang w:val="el-GR"/>
              </w:rPr>
              <w:t xml:space="preserve">Μη </w:t>
            </w:r>
            <w:proofErr w:type="spellStart"/>
            <w:r>
              <w:rPr>
                <w:rFonts w:ascii="Segoe UI" w:hAnsi="Segoe UI" w:cs="Segoe UI"/>
                <w:sz w:val="16"/>
                <w:szCs w:val="18"/>
                <w:lang w:val="el-GR"/>
              </w:rPr>
              <w:t>Εξυπηρετ</w:t>
            </w:r>
            <w:proofErr w:type="spellEnd"/>
            <w:r>
              <w:rPr>
                <w:rFonts w:ascii="Segoe UI" w:hAnsi="Segoe UI" w:cs="Segoe UI"/>
                <w:sz w:val="16"/>
                <w:szCs w:val="18"/>
                <w:lang w:val="el-GR"/>
              </w:rPr>
              <w:t>/</w:t>
            </w:r>
            <w:proofErr w:type="spellStart"/>
            <w:r>
              <w:rPr>
                <w:rFonts w:ascii="Segoe UI" w:hAnsi="Segoe UI" w:cs="Segoe UI"/>
                <w:sz w:val="16"/>
                <w:szCs w:val="18"/>
                <w:lang w:val="el-GR"/>
              </w:rPr>
              <w:t>νων</w:t>
            </w:r>
            <w:proofErr w:type="spellEnd"/>
            <w:r w:rsidRPr="00046481">
              <w:rPr>
                <w:rFonts w:ascii="Segoe UI" w:hAnsi="Segoe UI" w:cs="Segoe UI"/>
                <w:sz w:val="16"/>
                <w:szCs w:val="18"/>
                <w:lang w:val="el-GR"/>
              </w:rPr>
              <w:t xml:space="preserve"> Ανοιγμάτων </w:t>
            </w:r>
            <w:r w:rsidRPr="003C4D83">
              <w:rPr>
                <w:rFonts w:ascii="Segoe UI" w:hAnsi="Segoe UI" w:cs="Segoe UI"/>
                <w:sz w:val="16"/>
                <w:szCs w:val="18"/>
                <w:lang w:val="el-GR"/>
              </w:rPr>
              <w:t xml:space="preserve">Ομίλου </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56,</w:t>
            </w:r>
            <w:r w:rsidRPr="00230F6E">
              <w:rPr>
                <w:rFonts w:ascii="Segoe UI" w:hAnsi="Segoe UI" w:cs="Segoe UI"/>
                <w:sz w:val="16"/>
                <w:szCs w:val="16"/>
                <w:lang w:val="el-GR"/>
              </w:rPr>
              <w:t>0%</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56,</w:t>
            </w:r>
            <w:r w:rsidRPr="00230F6E">
              <w:rPr>
                <w:rFonts w:ascii="Segoe UI" w:hAnsi="Segoe UI" w:cs="Segoe UI"/>
                <w:sz w:val="16"/>
                <w:szCs w:val="16"/>
                <w:lang w:val="el-GR"/>
              </w:rPr>
              <w:t>3%</w:t>
            </w:r>
          </w:p>
        </w:tc>
        <w:tc>
          <w:tcPr>
            <w:tcW w:w="850" w:type="dxa"/>
            <w:tcBorders>
              <w:top w:val="single" w:sz="4" w:space="0" w:color="auto"/>
              <w:bottom w:val="single" w:sz="4" w:space="0" w:color="auto"/>
            </w:tcBorders>
            <w:shd w:val="clear" w:color="auto" w:fill="auto"/>
            <w:vAlign w:val="bottom"/>
          </w:tcPr>
          <w:p w:rsidR="00B47FF2" w:rsidRPr="00BC1009" w:rsidRDefault="00B47FF2" w:rsidP="000F02F9">
            <w:pPr>
              <w:jc w:val="right"/>
              <w:rPr>
                <w:rFonts w:ascii="Segoe UI" w:hAnsi="Segoe UI" w:cs="Segoe UI"/>
                <w:i/>
                <w:sz w:val="16"/>
                <w:szCs w:val="18"/>
              </w:rPr>
            </w:pPr>
            <w:r w:rsidRPr="00BC1009">
              <w:rPr>
                <w:rFonts w:ascii="Segoe UI" w:hAnsi="Segoe UI" w:cs="Segoe UI"/>
                <w:i/>
                <w:sz w:val="16"/>
                <w:szCs w:val="18"/>
              </w:rPr>
              <w:t>-0</w:t>
            </w:r>
            <w:r>
              <w:rPr>
                <w:rFonts w:ascii="Segoe UI" w:hAnsi="Segoe UI" w:cs="Segoe UI"/>
                <w:i/>
                <w:sz w:val="16"/>
                <w:szCs w:val="18"/>
                <w:lang w:val="el-GR"/>
              </w:rPr>
              <w:t>,</w:t>
            </w:r>
            <w:r w:rsidRPr="00BC1009">
              <w:rPr>
                <w:rFonts w:ascii="Segoe UI" w:hAnsi="Segoe UI" w:cs="Segoe UI"/>
                <w:i/>
                <w:sz w:val="16"/>
                <w:szCs w:val="18"/>
              </w:rPr>
              <w:t>3</w:t>
            </w:r>
            <w:r>
              <w:rPr>
                <w:rFonts w:ascii="Segoe UI" w:hAnsi="Segoe UI" w:cs="Segoe UI"/>
                <w:i/>
                <w:sz w:val="16"/>
                <w:szCs w:val="18"/>
                <w:lang w:val="el-GR"/>
              </w:rPr>
              <w:t xml:space="preserve"> </w:t>
            </w:r>
            <w:proofErr w:type="spellStart"/>
            <w:r>
              <w:rPr>
                <w:rFonts w:ascii="Segoe UI" w:hAnsi="Segoe UI" w:cs="Segoe UI"/>
                <w:i/>
                <w:sz w:val="16"/>
                <w:szCs w:val="18"/>
                <w:lang w:val="el-GR"/>
              </w:rPr>
              <w:t>μ.β</w:t>
            </w:r>
            <w:proofErr w:type="spellEnd"/>
            <w:r>
              <w:rPr>
                <w:rFonts w:ascii="Segoe UI" w:hAnsi="Segoe UI" w:cs="Segoe UI"/>
                <w:i/>
                <w:sz w:val="16"/>
                <w:szCs w:val="18"/>
                <w:lang w:val="el-GR"/>
              </w:rPr>
              <w:t>.</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56,</w:t>
            </w:r>
            <w:r w:rsidRPr="00230F6E">
              <w:rPr>
                <w:rFonts w:ascii="Segoe UI" w:hAnsi="Segoe UI" w:cs="Segoe UI"/>
                <w:sz w:val="16"/>
                <w:szCs w:val="16"/>
                <w:lang w:val="el-GR"/>
              </w:rPr>
              <w:t>0%</w:t>
            </w:r>
          </w:p>
        </w:tc>
        <w:tc>
          <w:tcPr>
            <w:tcW w:w="1077" w:type="dxa"/>
            <w:tcBorders>
              <w:top w:val="single" w:sz="4" w:space="0" w:color="auto"/>
              <w:bottom w:val="single" w:sz="4" w:space="0" w:color="auto"/>
            </w:tcBorders>
            <w:vAlign w:val="bottom"/>
          </w:tcPr>
          <w:p w:rsidR="00B47FF2" w:rsidRPr="00230F6E" w:rsidRDefault="00B47FF2" w:rsidP="000F02F9">
            <w:pPr>
              <w:jc w:val="right"/>
              <w:rPr>
                <w:rFonts w:ascii="Segoe UI" w:hAnsi="Segoe UI" w:cs="Segoe UI"/>
                <w:sz w:val="16"/>
                <w:szCs w:val="16"/>
              </w:rPr>
            </w:pPr>
            <w:r>
              <w:rPr>
                <w:rFonts w:ascii="Segoe UI" w:hAnsi="Segoe UI" w:cs="Segoe UI"/>
                <w:sz w:val="16"/>
                <w:szCs w:val="16"/>
              </w:rPr>
              <w:t>53,</w:t>
            </w:r>
            <w:r w:rsidRPr="00230F6E">
              <w:rPr>
                <w:rFonts w:ascii="Segoe UI" w:hAnsi="Segoe UI" w:cs="Segoe UI"/>
                <w:sz w:val="16"/>
                <w:szCs w:val="16"/>
              </w:rPr>
              <w:t>4%</w:t>
            </w:r>
          </w:p>
        </w:tc>
        <w:tc>
          <w:tcPr>
            <w:tcW w:w="850" w:type="dxa"/>
            <w:tcBorders>
              <w:top w:val="single" w:sz="4" w:space="0" w:color="auto"/>
              <w:bottom w:val="single" w:sz="4" w:space="0" w:color="auto"/>
            </w:tcBorders>
          </w:tcPr>
          <w:p w:rsidR="00B47FF2" w:rsidRPr="00B1612B" w:rsidRDefault="00B47FF2" w:rsidP="00B47FF2">
            <w:pPr>
              <w:spacing w:after="160"/>
              <w:jc w:val="right"/>
              <w:rPr>
                <w:rFonts w:ascii="Segoe UI" w:hAnsi="Segoe UI" w:cs="Segoe UI"/>
                <w:i/>
                <w:sz w:val="16"/>
                <w:szCs w:val="16"/>
                <w:lang w:val="el-GR"/>
              </w:rPr>
            </w:pPr>
            <w:r w:rsidRPr="00B1612B">
              <w:rPr>
                <w:rFonts w:ascii="Segoe UI" w:hAnsi="Segoe UI" w:cs="Segoe UI"/>
                <w:i/>
                <w:sz w:val="16"/>
                <w:szCs w:val="16"/>
                <w:lang w:val="el-GR"/>
              </w:rPr>
              <w:t>2</w:t>
            </w:r>
            <w:r>
              <w:rPr>
                <w:rFonts w:ascii="Segoe UI" w:hAnsi="Segoe UI" w:cs="Segoe UI"/>
                <w:i/>
                <w:sz w:val="16"/>
                <w:szCs w:val="16"/>
                <w:lang w:val="el-GR"/>
              </w:rPr>
              <w:t>,</w:t>
            </w:r>
            <w:r w:rsidRPr="00B1612B">
              <w:rPr>
                <w:rFonts w:ascii="Segoe UI" w:hAnsi="Segoe UI" w:cs="Segoe UI"/>
                <w:i/>
                <w:sz w:val="16"/>
                <w:szCs w:val="16"/>
                <w:lang w:val="el-GR"/>
              </w:rPr>
              <w:t>6</w:t>
            </w:r>
            <w:r>
              <w:rPr>
                <w:rFonts w:ascii="Segoe UI" w:hAnsi="Segoe UI" w:cs="Segoe UI"/>
                <w:i/>
                <w:sz w:val="16"/>
                <w:szCs w:val="16"/>
                <w:lang w:val="el-GR"/>
              </w:rPr>
              <w:t xml:space="preserve"> </w:t>
            </w:r>
            <w:proofErr w:type="spellStart"/>
            <w:r>
              <w:rPr>
                <w:rFonts w:ascii="Segoe UI" w:hAnsi="Segoe UI" w:cs="Segoe UI"/>
                <w:i/>
                <w:sz w:val="16"/>
                <w:szCs w:val="16"/>
                <w:lang w:val="el-GR"/>
              </w:rPr>
              <w:t>μ.β</w:t>
            </w:r>
            <w:proofErr w:type="spellEnd"/>
            <w:r>
              <w:rPr>
                <w:rFonts w:ascii="Segoe UI" w:hAnsi="Segoe UI" w:cs="Segoe UI"/>
                <w:i/>
                <w:sz w:val="16"/>
                <w:szCs w:val="16"/>
                <w:lang w:val="el-GR"/>
              </w:rPr>
              <w:t>.</w:t>
            </w:r>
          </w:p>
        </w:tc>
      </w:tr>
      <w:tr w:rsidR="00B47FF2" w:rsidRPr="00B522A6" w:rsidTr="000F02F9">
        <w:trPr>
          <w:trHeight w:hRule="exact" w:val="255"/>
          <w:jc w:val="right"/>
        </w:trPr>
        <w:tc>
          <w:tcPr>
            <w:tcW w:w="3005" w:type="dxa"/>
            <w:tcBorders>
              <w:top w:val="single" w:sz="4" w:space="0" w:color="auto"/>
              <w:bottom w:val="single" w:sz="4" w:space="0" w:color="auto"/>
            </w:tcBorders>
            <w:shd w:val="clear" w:color="auto" w:fill="auto"/>
            <w:vAlign w:val="bottom"/>
          </w:tcPr>
          <w:p w:rsidR="00B47FF2" w:rsidRPr="003C4D83" w:rsidRDefault="00B47FF2" w:rsidP="00B47FF2">
            <w:pPr>
              <w:spacing w:after="160"/>
              <w:rPr>
                <w:rFonts w:ascii="Segoe UI" w:hAnsi="Segoe UI" w:cs="Segoe UI"/>
                <w:sz w:val="16"/>
                <w:szCs w:val="18"/>
                <w:lang w:val="el-GR"/>
              </w:rPr>
            </w:pPr>
            <w:r w:rsidRPr="00046481">
              <w:rPr>
                <w:rFonts w:ascii="Segoe UI" w:hAnsi="Segoe UI" w:cs="Segoe UI"/>
                <w:sz w:val="16"/>
                <w:szCs w:val="18"/>
                <w:lang w:val="el-GR"/>
              </w:rPr>
              <w:t xml:space="preserve">          </w:t>
            </w:r>
            <w:r w:rsidRPr="003C4D83">
              <w:rPr>
                <w:rFonts w:ascii="Segoe UI" w:hAnsi="Segoe UI" w:cs="Segoe UI"/>
                <w:sz w:val="16"/>
                <w:szCs w:val="18"/>
                <w:lang w:val="el-GR"/>
              </w:rPr>
              <w:t>Ελλάδα</w:t>
            </w:r>
            <w:r>
              <w:rPr>
                <w:rFonts w:ascii="Segoe UI" w:hAnsi="Segoe UI" w:cs="Segoe UI"/>
                <w:sz w:val="16"/>
                <w:szCs w:val="18"/>
                <w:lang w:val="el-GR"/>
              </w:rPr>
              <w:t xml:space="preserve"> </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56,</w:t>
            </w:r>
            <w:r>
              <w:rPr>
                <w:rFonts w:ascii="Segoe UI" w:hAnsi="Segoe UI" w:cs="Segoe UI"/>
                <w:sz w:val="16"/>
                <w:szCs w:val="16"/>
                <w:lang w:val="en-US"/>
              </w:rPr>
              <w:t>5</w:t>
            </w:r>
            <w:r w:rsidRPr="00230F6E">
              <w:rPr>
                <w:rFonts w:ascii="Segoe UI" w:hAnsi="Segoe UI" w:cs="Segoe UI"/>
                <w:sz w:val="16"/>
                <w:szCs w:val="16"/>
                <w:lang w:val="el-GR"/>
              </w:rPr>
              <w:t>%</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56,</w:t>
            </w:r>
            <w:r w:rsidRPr="00230F6E">
              <w:rPr>
                <w:rFonts w:ascii="Segoe UI" w:hAnsi="Segoe UI" w:cs="Segoe UI"/>
                <w:sz w:val="16"/>
                <w:szCs w:val="16"/>
                <w:lang w:val="el-GR"/>
              </w:rPr>
              <w:t>8%</w:t>
            </w:r>
          </w:p>
        </w:tc>
        <w:tc>
          <w:tcPr>
            <w:tcW w:w="850" w:type="dxa"/>
            <w:tcBorders>
              <w:top w:val="single" w:sz="4" w:space="0" w:color="auto"/>
              <w:bottom w:val="single" w:sz="4" w:space="0" w:color="auto"/>
            </w:tcBorders>
            <w:vAlign w:val="bottom"/>
          </w:tcPr>
          <w:p w:rsidR="00B47FF2" w:rsidRPr="00BC1009" w:rsidRDefault="00B47FF2" w:rsidP="000F02F9">
            <w:pPr>
              <w:jc w:val="right"/>
              <w:rPr>
                <w:rFonts w:ascii="Segoe UI" w:hAnsi="Segoe UI" w:cs="Segoe UI"/>
                <w:i/>
                <w:sz w:val="16"/>
                <w:szCs w:val="18"/>
              </w:rPr>
            </w:pPr>
            <w:r w:rsidRPr="00BC1009">
              <w:rPr>
                <w:rFonts w:ascii="Segoe UI" w:hAnsi="Segoe UI" w:cs="Segoe UI"/>
                <w:i/>
                <w:sz w:val="16"/>
                <w:szCs w:val="18"/>
              </w:rPr>
              <w:t>-0</w:t>
            </w:r>
            <w:r>
              <w:rPr>
                <w:rFonts w:ascii="Segoe UI" w:hAnsi="Segoe UI" w:cs="Segoe UI"/>
                <w:i/>
                <w:sz w:val="16"/>
                <w:szCs w:val="18"/>
                <w:lang w:val="el-GR"/>
              </w:rPr>
              <w:t>,</w:t>
            </w:r>
            <w:r>
              <w:rPr>
                <w:rFonts w:ascii="Segoe UI" w:hAnsi="Segoe UI" w:cs="Segoe UI"/>
                <w:i/>
                <w:sz w:val="16"/>
                <w:szCs w:val="18"/>
              </w:rPr>
              <w:t>3</w:t>
            </w:r>
            <w:r>
              <w:rPr>
                <w:rFonts w:ascii="Segoe UI" w:hAnsi="Segoe UI" w:cs="Segoe UI"/>
                <w:i/>
                <w:sz w:val="16"/>
                <w:szCs w:val="18"/>
                <w:lang w:val="el-GR"/>
              </w:rPr>
              <w:t xml:space="preserve"> </w:t>
            </w:r>
            <w:proofErr w:type="spellStart"/>
            <w:r>
              <w:rPr>
                <w:rFonts w:ascii="Segoe UI" w:hAnsi="Segoe UI" w:cs="Segoe UI"/>
                <w:i/>
                <w:sz w:val="16"/>
                <w:szCs w:val="18"/>
                <w:lang w:val="el-GR"/>
              </w:rPr>
              <w:t>μ.β</w:t>
            </w:r>
            <w:proofErr w:type="spellEnd"/>
            <w:r>
              <w:rPr>
                <w:rFonts w:ascii="Segoe UI" w:hAnsi="Segoe UI" w:cs="Segoe UI"/>
                <w:i/>
                <w:sz w:val="16"/>
                <w:szCs w:val="18"/>
                <w:lang w:val="el-GR"/>
              </w:rPr>
              <w:t>.</w:t>
            </w:r>
          </w:p>
        </w:tc>
        <w:tc>
          <w:tcPr>
            <w:tcW w:w="1077" w:type="dxa"/>
            <w:tcBorders>
              <w:top w:val="single" w:sz="4" w:space="0" w:color="auto"/>
              <w:bottom w:val="single" w:sz="4"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56,</w:t>
            </w:r>
            <w:r>
              <w:rPr>
                <w:rFonts w:ascii="Segoe UI" w:hAnsi="Segoe UI" w:cs="Segoe UI"/>
                <w:sz w:val="16"/>
                <w:szCs w:val="16"/>
                <w:lang w:val="en-US"/>
              </w:rPr>
              <w:t>5</w:t>
            </w:r>
            <w:r w:rsidRPr="00230F6E">
              <w:rPr>
                <w:rFonts w:ascii="Segoe UI" w:hAnsi="Segoe UI" w:cs="Segoe UI"/>
                <w:sz w:val="16"/>
                <w:szCs w:val="16"/>
                <w:lang w:val="el-GR"/>
              </w:rPr>
              <w:t>%</w:t>
            </w:r>
          </w:p>
        </w:tc>
        <w:tc>
          <w:tcPr>
            <w:tcW w:w="1077" w:type="dxa"/>
            <w:tcBorders>
              <w:top w:val="single" w:sz="4" w:space="0" w:color="auto"/>
              <w:bottom w:val="single" w:sz="4" w:space="0" w:color="auto"/>
            </w:tcBorders>
            <w:vAlign w:val="bottom"/>
          </w:tcPr>
          <w:p w:rsidR="00B47FF2" w:rsidRPr="00230F6E" w:rsidRDefault="00B47FF2" w:rsidP="000F02F9">
            <w:pPr>
              <w:jc w:val="right"/>
              <w:rPr>
                <w:rFonts w:ascii="Segoe UI" w:hAnsi="Segoe UI" w:cs="Segoe UI"/>
                <w:sz w:val="16"/>
                <w:szCs w:val="16"/>
              </w:rPr>
            </w:pPr>
            <w:r>
              <w:rPr>
                <w:rFonts w:ascii="Segoe UI" w:hAnsi="Segoe UI" w:cs="Segoe UI"/>
                <w:sz w:val="16"/>
                <w:szCs w:val="16"/>
              </w:rPr>
              <w:t>52,</w:t>
            </w:r>
            <w:r w:rsidRPr="00230F6E">
              <w:rPr>
                <w:rFonts w:ascii="Segoe UI" w:hAnsi="Segoe UI" w:cs="Segoe UI"/>
                <w:sz w:val="16"/>
                <w:szCs w:val="16"/>
              </w:rPr>
              <w:t>8%</w:t>
            </w:r>
          </w:p>
        </w:tc>
        <w:tc>
          <w:tcPr>
            <w:tcW w:w="850" w:type="dxa"/>
            <w:tcBorders>
              <w:top w:val="single" w:sz="4" w:space="0" w:color="auto"/>
              <w:bottom w:val="single" w:sz="4" w:space="0" w:color="auto"/>
            </w:tcBorders>
          </w:tcPr>
          <w:p w:rsidR="00B47FF2" w:rsidRPr="00B1612B" w:rsidRDefault="00B47FF2" w:rsidP="00B47FF2">
            <w:pPr>
              <w:spacing w:after="160"/>
              <w:jc w:val="right"/>
              <w:rPr>
                <w:rFonts w:ascii="Segoe UI" w:hAnsi="Segoe UI" w:cs="Segoe UI"/>
                <w:i/>
                <w:sz w:val="16"/>
                <w:szCs w:val="16"/>
                <w:lang w:val="el-GR"/>
              </w:rPr>
            </w:pPr>
            <w:r w:rsidRPr="00B1612B">
              <w:rPr>
                <w:rFonts w:ascii="Segoe UI" w:hAnsi="Segoe UI" w:cs="Segoe UI"/>
                <w:i/>
                <w:sz w:val="16"/>
                <w:szCs w:val="16"/>
                <w:lang w:val="el-GR"/>
              </w:rPr>
              <w:t>3</w:t>
            </w:r>
            <w:r>
              <w:rPr>
                <w:rFonts w:ascii="Segoe UI" w:hAnsi="Segoe UI" w:cs="Segoe UI"/>
                <w:i/>
                <w:sz w:val="16"/>
                <w:szCs w:val="16"/>
                <w:lang w:val="el-GR"/>
              </w:rPr>
              <w:t>,</w:t>
            </w:r>
            <w:r>
              <w:rPr>
                <w:rFonts w:ascii="Segoe UI" w:hAnsi="Segoe UI" w:cs="Segoe UI"/>
                <w:i/>
                <w:sz w:val="16"/>
                <w:szCs w:val="16"/>
                <w:lang w:val="en-US"/>
              </w:rPr>
              <w:t>7</w:t>
            </w:r>
            <w:r>
              <w:rPr>
                <w:rFonts w:ascii="Segoe UI" w:hAnsi="Segoe UI" w:cs="Segoe UI"/>
                <w:i/>
                <w:sz w:val="16"/>
                <w:szCs w:val="16"/>
                <w:lang w:val="el-GR"/>
              </w:rPr>
              <w:t xml:space="preserve"> </w:t>
            </w:r>
            <w:proofErr w:type="spellStart"/>
            <w:r>
              <w:rPr>
                <w:rFonts w:ascii="Segoe UI" w:hAnsi="Segoe UI" w:cs="Segoe UI"/>
                <w:i/>
                <w:sz w:val="16"/>
                <w:szCs w:val="16"/>
                <w:lang w:val="el-GR"/>
              </w:rPr>
              <w:t>μ.β</w:t>
            </w:r>
            <w:proofErr w:type="spellEnd"/>
            <w:r>
              <w:rPr>
                <w:rFonts w:ascii="Segoe UI" w:hAnsi="Segoe UI" w:cs="Segoe UI"/>
                <w:i/>
                <w:sz w:val="16"/>
                <w:szCs w:val="16"/>
                <w:lang w:val="el-GR"/>
              </w:rPr>
              <w:t>.</w:t>
            </w:r>
          </w:p>
        </w:tc>
      </w:tr>
      <w:tr w:rsidR="00B47FF2" w:rsidRPr="00B522A6" w:rsidTr="000F02F9">
        <w:trPr>
          <w:trHeight w:hRule="exact" w:val="255"/>
          <w:jc w:val="right"/>
        </w:trPr>
        <w:tc>
          <w:tcPr>
            <w:tcW w:w="3005" w:type="dxa"/>
            <w:tcBorders>
              <w:top w:val="single" w:sz="4" w:space="0" w:color="auto"/>
              <w:bottom w:val="single" w:sz="12" w:space="0" w:color="auto"/>
            </w:tcBorders>
            <w:shd w:val="clear" w:color="auto" w:fill="auto"/>
            <w:vAlign w:val="bottom"/>
          </w:tcPr>
          <w:p w:rsidR="00B47FF2" w:rsidRPr="00486B04" w:rsidRDefault="00B47FF2" w:rsidP="00B47FF2">
            <w:pPr>
              <w:spacing w:after="160"/>
              <w:rPr>
                <w:rFonts w:ascii="Segoe UI" w:hAnsi="Segoe UI" w:cs="Segoe UI"/>
                <w:sz w:val="16"/>
                <w:szCs w:val="18"/>
              </w:rPr>
            </w:pPr>
            <w:r w:rsidRPr="00486B04">
              <w:rPr>
                <w:rFonts w:ascii="Segoe UI" w:hAnsi="Segoe UI" w:cs="Segoe UI"/>
                <w:sz w:val="16"/>
                <w:szCs w:val="18"/>
              </w:rPr>
              <w:t xml:space="preserve">          </w:t>
            </w:r>
            <w:r w:rsidRPr="00486B04">
              <w:rPr>
                <w:rFonts w:ascii="Segoe UI" w:hAnsi="Segoe UI" w:cs="Segoe UI"/>
                <w:sz w:val="16"/>
                <w:szCs w:val="18"/>
                <w:lang w:val="el-GR"/>
              </w:rPr>
              <w:t>ΝΑ Ευρώπη</w:t>
            </w:r>
            <w:r w:rsidRPr="00486B04">
              <w:rPr>
                <w:rFonts w:ascii="Segoe UI" w:hAnsi="Segoe UI" w:cs="Segoe UI"/>
                <w:sz w:val="16"/>
                <w:szCs w:val="18"/>
                <w:vertAlign w:val="superscript"/>
                <w:lang w:val="el-GR"/>
              </w:rPr>
              <w:t>2</w:t>
            </w:r>
            <w:r>
              <w:rPr>
                <w:rFonts w:ascii="Segoe UI" w:hAnsi="Segoe UI" w:cs="Segoe UI"/>
                <w:sz w:val="16"/>
                <w:szCs w:val="18"/>
                <w:vertAlign w:val="superscript"/>
                <w:lang w:val="el-GR"/>
              </w:rPr>
              <w:t xml:space="preserve"> </w:t>
            </w:r>
          </w:p>
        </w:tc>
        <w:tc>
          <w:tcPr>
            <w:tcW w:w="1077" w:type="dxa"/>
            <w:tcBorders>
              <w:top w:val="single" w:sz="4" w:space="0" w:color="auto"/>
              <w:bottom w:val="single" w:sz="12"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47,</w:t>
            </w:r>
            <w:r w:rsidRPr="00230F6E">
              <w:rPr>
                <w:rFonts w:ascii="Segoe UI" w:hAnsi="Segoe UI" w:cs="Segoe UI"/>
                <w:sz w:val="16"/>
                <w:szCs w:val="16"/>
                <w:lang w:val="el-GR"/>
              </w:rPr>
              <w:t>4%</w:t>
            </w:r>
          </w:p>
        </w:tc>
        <w:tc>
          <w:tcPr>
            <w:tcW w:w="1077" w:type="dxa"/>
            <w:tcBorders>
              <w:top w:val="single" w:sz="4" w:space="0" w:color="auto"/>
              <w:bottom w:val="single" w:sz="12"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47,</w:t>
            </w:r>
            <w:r w:rsidRPr="00230F6E">
              <w:rPr>
                <w:rFonts w:ascii="Segoe UI" w:hAnsi="Segoe UI" w:cs="Segoe UI"/>
                <w:sz w:val="16"/>
                <w:szCs w:val="16"/>
                <w:lang w:val="el-GR"/>
              </w:rPr>
              <w:t>5%</w:t>
            </w:r>
          </w:p>
        </w:tc>
        <w:tc>
          <w:tcPr>
            <w:tcW w:w="850" w:type="dxa"/>
            <w:tcBorders>
              <w:top w:val="single" w:sz="4" w:space="0" w:color="auto"/>
              <w:bottom w:val="single" w:sz="12" w:space="0" w:color="auto"/>
            </w:tcBorders>
            <w:vAlign w:val="bottom"/>
          </w:tcPr>
          <w:p w:rsidR="00B47FF2" w:rsidRPr="00BC1009" w:rsidRDefault="00B47FF2" w:rsidP="000F02F9">
            <w:pPr>
              <w:jc w:val="right"/>
              <w:rPr>
                <w:rFonts w:ascii="Segoe UI" w:hAnsi="Segoe UI" w:cs="Segoe UI"/>
                <w:i/>
                <w:sz w:val="16"/>
                <w:szCs w:val="18"/>
              </w:rPr>
            </w:pPr>
            <w:r w:rsidRPr="00BC1009">
              <w:rPr>
                <w:rFonts w:ascii="Segoe UI" w:hAnsi="Segoe UI" w:cs="Segoe UI"/>
                <w:i/>
                <w:sz w:val="16"/>
                <w:szCs w:val="18"/>
              </w:rPr>
              <w:t>-0</w:t>
            </w:r>
            <w:r>
              <w:rPr>
                <w:rFonts w:ascii="Segoe UI" w:hAnsi="Segoe UI" w:cs="Segoe UI"/>
                <w:i/>
                <w:sz w:val="16"/>
                <w:szCs w:val="18"/>
                <w:lang w:val="el-GR"/>
              </w:rPr>
              <w:t>,</w:t>
            </w:r>
            <w:r w:rsidRPr="00BC1009">
              <w:rPr>
                <w:rFonts w:ascii="Segoe UI" w:hAnsi="Segoe UI" w:cs="Segoe UI"/>
                <w:i/>
                <w:sz w:val="16"/>
                <w:szCs w:val="18"/>
              </w:rPr>
              <w:t xml:space="preserve">1 </w:t>
            </w:r>
            <w:proofErr w:type="spellStart"/>
            <w:r>
              <w:rPr>
                <w:rFonts w:ascii="Segoe UI" w:hAnsi="Segoe UI" w:cs="Segoe UI"/>
                <w:i/>
                <w:sz w:val="16"/>
                <w:szCs w:val="18"/>
                <w:lang w:val="el-GR"/>
              </w:rPr>
              <w:t>μ.β</w:t>
            </w:r>
            <w:proofErr w:type="spellEnd"/>
            <w:r>
              <w:rPr>
                <w:rFonts w:ascii="Segoe UI" w:hAnsi="Segoe UI" w:cs="Segoe UI"/>
                <w:i/>
                <w:sz w:val="16"/>
                <w:szCs w:val="18"/>
                <w:lang w:val="el-GR"/>
              </w:rPr>
              <w:t>.</w:t>
            </w:r>
          </w:p>
        </w:tc>
        <w:tc>
          <w:tcPr>
            <w:tcW w:w="1077" w:type="dxa"/>
            <w:tcBorders>
              <w:top w:val="single" w:sz="4" w:space="0" w:color="auto"/>
              <w:bottom w:val="single" w:sz="12" w:space="0" w:color="auto"/>
            </w:tcBorders>
            <w:vAlign w:val="bottom"/>
          </w:tcPr>
          <w:p w:rsidR="00B47FF2" w:rsidRPr="00230F6E" w:rsidRDefault="00B47FF2" w:rsidP="000F02F9">
            <w:pPr>
              <w:spacing w:after="160"/>
              <w:jc w:val="right"/>
              <w:rPr>
                <w:rFonts w:ascii="Segoe UI" w:hAnsi="Segoe UI" w:cs="Segoe UI"/>
                <w:sz w:val="16"/>
                <w:szCs w:val="16"/>
                <w:lang w:val="el-GR"/>
              </w:rPr>
            </w:pPr>
            <w:r>
              <w:rPr>
                <w:rFonts w:ascii="Segoe UI" w:hAnsi="Segoe UI" w:cs="Segoe UI"/>
                <w:sz w:val="16"/>
                <w:szCs w:val="16"/>
                <w:lang w:val="el-GR"/>
              </w:rPr>
              <w:t>47,</w:t>
            </w:r>
            <w:r w:rsidRPr="00230F6E">
              <w:rPr>
                <w:rFonts w:ascii="Segoe UI" w:hAnsi="Segoe UI" w:cs="Segoe UI"/>
                <w:sz w:val="16"/>
                <w:szCs w:val="16"/>
                <w:lang w:val="el-GR"/>
              </w:rPr>
              <w:t>4%</w:t>
            </w:r>
          </w:p>
        </w:tc>
        <w:tc>
          <w:tcPr>
            <w:tcW w:w="1077" w:type="dxa"/>
            <w:tcBorders>
              <w:top w:val="single" w:sz="4" w:space="0" w:color="auto"/>
              <w:bottom w:val="single" w:sz="12" w:space="0" w:color="auto"/>
            </w:tcBorders>
            <w:vAlign w:val="bottom"/>
          </w:tcPr>
          <w:p w:rsidR="00B47FF2" w:rsidRPr="00230F6E" w:rsidRDefault="00B47FF2" w:rsidP="000F02F9">
            <w:pPr>
              <w:jc w:val="right"/>
              <w:rPr>
                <w:rFonts w:ascii="Segoe UI" w:hAnsi="Segoe UI" w:cs="Segoe UI"/>
                <w:sz w:val="16"/>
                <w:szCs w:val="16"/>
              </w:rPr>
            </w:pPr>
            <w:r>
              <w:rPr>
                <w:rFonts w:ascii="Segoe UI" w:hAnsi="Segoe UI" w:cs="Segoe UI"/>
                <w:sz w:val="16"/>
                <w:szCs w:val="16"/>
              </w:rPr>
              <w:t>46,</w:t>
            </w:r>
            <w:r w:rsidRPr="00230F6E">
              <w:rPr>
                <w:rFonts w:ascii="Segoe UI" w:hAnsi="Segoe UI" w:cs="Segoe UI"/>
                <w:sz w:val="16"/>
                <w:szCs w:val="16"/>
              </w:rPr>
              <w:t>1%</w:t>
            </w:r>
          </w:p>
        </w:tc>
        <w:tc>
          <w:tcPr>
            <w:tcW w:w="850" w:type="dxa"/>
            <w:tcBorders>
              <w:top w:val="single" w:sz="4" w:space="0" w:color="auto"/>
              <w:bottom w:val="single" w:sz="12" w:space="0" w:color="auto"/>
            </w:tcBorders>
          </w:tcPr>
          <w:p w:rsidR="00B47FF2" w:rsidRPr="00B1612B" w:rsidRDefault="00B47FF2" w:rsidP="00B47FF2">
            <w:pPr>
              <w:spacing w:after="160"/>
              <w:jc w:val="right"/>
              <w:rPr>
                <w:rFonts w:ascii="Segoe UI" w:hAnsi="Segoe UI" w:cs="Segoe UI"/>
                <w:i/>
                <w:sz w:val="16"/>
                <w:szCs w:val="16"/>
                <w:lang w:val="el-GR"/>
              </w:rPr>
            </w:pPr>
            <w:r w:rsidRPr="00B1612B">
              <w:rPr>
                <w:rFonts w:ascii="Segoe UI" w:hAnsi="Segoe UI" w:cs="Segoe UI"/>
                <w:i/>
                <w:sz w:val="16"/>
                <w:szCs w:val="16"/>
                <w:lang w:val="el-GR"/>
              </w:rPr>
              <w:t>1</w:t>
            </w:r>
            <w:r>
              <w:rPr>
                <w:rFonts w:ascii="Segoe UI" w:hAnsi="Segoe UI" w:cs="Segoe UI"/>
                <w:i/>
                <w:sz w:val="16"/>
                <w:szCs w:val="16"/>
                <w:lang w:val="el-GR"/>
              </w:rPr>
              <w:t>,</w:t>
            </w:r>
            <w:r w:rsidRPr="00B1612B">
              <w:rPr>
                <w:rFonts w:ascii="Segoe UI" w:hAnsi="Segoe UI" w:cs="Segoe UI"/>
                <w:i/>
                <w:sz w:val="16"/>
                <w:szCs w:val="16"/>
                <w:lang w:val="el-GR"/>
              </w:rPr>
              <w:t xml:space="preserve">3 </w:t>
            </w:r>
            <w:proofErr w:type="spellStart"/>
            <w:r>
              <w:rPr>
                <w:rFonts w:ascii="Segoe UI" w:hAnsi="Segoe UI" w:cs="Segoe UI"/>
                <w:i/>
                <w:sz w:val="16"/>
                <w:szCs w:val="16"/>
                <w:lang w:val="el-GR"/>
              </w:rPr>
              <w:t>μ.β</w:t>
            </w:r>
            <w:proofErr w:type="spellEnd"/>
            <w:r>
              <w:rPr>
                <w:rFonts w:ascii="Segoe UI" w:hAnsi="Segoe UI" w:cs="Segoe UI"/>
                <w:i/>
                <w:sz w:val="16"/>
                <w:szCs w:val="16"/>
                <w:lang w:val="el-GR"/>
              </w:rPr>
              <w:t>.</w:t>
            </w:r>
          </w:p>
        </w:tc>
      </w:tr>
    </w:tbl>
    <w:p w:rsidR="0069150B" w:rsidRPr="00EF6286" w:rsidRDefault="0069150B">
      <w:pPr>
        <w:spacing w:after="0" w:line="240" w:lineRule="auto"/>
        <w:rPr>
          <w:rFonts w:ascii="Segoe UI" w:hAnsi="Segoe UI" w:cs="Segoe UI"/>
          <w:b/>
          <w:sz w:val="2"/>
          <w:lang w:val="el-GR"/>
        </w:rPr>
      </w:pPr>
      <w:r w:rsidRPr="00EF6286">
        <w:rPr>
          <w:rFonts w:ascii="Segoe UI" w:hAnsi="Segoe UI" w:cs="Segoe UI"/>
          <w:b/>
          <w:sz w:val="2"/>
          <w:lang w:val="el-GR"/>
        </w:rPr>
        <w:br w:type="page"/>
      </w:r>
    </w:p>
    <w:tbl>
      <w:tblPr>
        <w:tblW w:w="8730" w:type="dxa"/>
        <w:tblLook w:val="04A0"/>
      </w:tblPr>
      <w:tblGrid>
        <w:gridCol w:w="1814"/>
        <w:gridCol w:w="1077"/>
        <w:gridCol w:w="5839"/>
      </w:tblGrid>
      <w:tr w:rsidR="0061198F" w:rsidRPr="002F0633" w:rsidTr="00DB2AAE">
        <w:trPr>
          <w:trHeight w:val="300"/>
        </w:trPr>
        <w:tc>
          <w:tcPr>
            <w:tcW w:w="1814" w:type="dxa"/>
            <w:tcBorders>
              <w:top w:val="single" w:sz="4" w:space="0" w:color="D9D9D9"/>
              <w:left w:val="nil"/>
              <w:bottom w:val="single" w:sz="4" w:space="0" w:color="D9D9D9"/>
              <w:right w:val="nil"/>
            </w:tcBorders>
            <w:shd w:val="clear" w:color="auto" w:fill="808080" w:themeFill="background1" w:themeFillShade="80"/>
            <w:noWrap/>
            <w:vAlign w:val="bottom"/>
            <w:hideMark/>
          </w:tcPr>
          <w:p w:rsidR="009411AE" w:rsidRPr="002F0633" w:rsidRDefault="001955C2" w:rsidP="00715530">
            <w:pPr>
              <w:spacing w:after="0" w:line="240" w:lineRule="auto"/>
              <w:rPr>
                <w:rFonts w:eastAsia="Times New Roman"/>
                <w:b/>
                <w:bCs/>
                <w:color w:val="FFFFFF" w:themeColor="background1"/>
                <w:sz w:val="16"/>
                <w:szCs w:val="16"/>
                <w:lang w:val="el-GR" w:eastAsia="el-GR"/>
              </w:rPr>
            </w:pPr>
            <w:r>
              <w:rPr>
                <w:rFonts w:eastAsia="Times New Roman"/>
                <w:b/>
                <w:bCs/>
                <w:color w:val="FFFFFF" w:themeColor="background1"/>
                <w:sz w:val="16"/>
                <w:szCs w:val="16"/>
                <w:lang w:val="el-GR" w:eastAsia="el-GR"/>
              </w:rPr>
              <w:lastRenderedPageBreak/>
              <w:t>Ονομασία</w:t>
            </w:r>
          </w:p>
        </w:tc>
        <w:tc>
          <w:tcPr>
            <w:tcW w:w="1077" w:type="dxa"/>
            <w:tcBorders>
              <w:top w:val="single" w:sz="4" w:space="0" w:color="D9D9D9"/>
              <w:left w:val="nil"/>
              <w:bottom w:val="single" w:sz="4" w:space="0" w:color="D9D9D9"/>
              <w:right w:val="nil"/>
            </w:tcBorders>
            <w:shd w:val="clear" w:color="auto" w:fill="808080" w:themeFill="background1" w:themeFillShade="80"/>
            <w:noWrap/>
            <w:vAlign w:val="bottom"/>
            <w:hideMark/>
          </w:tcPr>
          <w:p w:rsidR="0061198F" w:rsidRPr="001955C2" w:rsidRDefault="001955C2" w:rsidP="00DB2AAE">
            <w:pPr>
              <w:spacing w:after="0" w:line="240" w:lineRule="auto"/>
              <w:rPr>
                <w:rFonts w:eastAsia="Times New Roman"/>
                <w:b/>
                <w:bCs/>
                <w:color w:val="FFFFFF" w:themeColor="background1"/>
                <w:sz w:val="16"/>
                <w:szCs w:val="16"/>
                <w:lang w:val="el-GR" w:eastAsia="el-GR"/>
              </w:rPr>
            </w:pPr>
            <w:proofErr w:type="spellStart"/>
            <w:r>
              <w:rPr>
                <w:rFonts w:eastAsia="Times New Roman"/>
                <w:b/>
                <w:bCs/>
                <w:color w:val="FFFFFF" w:themeColor="background1"/>
                <w:sz w:val="16"/>
                <w:szCs w:val="16"/>
                <w:lang w:val="el-GR" w:eastAsia="el-GR"/>
              </w:rPr>
              <w:t>Συντομ</w:t>
            </w:r>
            <w:proofErr w:type="spellEnd"/>
            <w:r w:rsidR="00DB2AAE">
              <w:rPr>
                <w:rFonts w:eastAsia="Times New Roman"/>
                <w:b/>
                <w:bCs/>
                <w:color w:val="FFFFFF" w:themeColor="background1"/>
                <w:sz w:val="16"/>
                <w:szCs w:val="16"/>
                <w:lang w:val="el-GR" w:eastAsia="el-GR"/>
              </w:rPr>
              <w:t>/</w:t>
            </w:r>
            <w:proofErr w:type="spellStart"/>
            <w:r>
              <w:rPr>
                <w:rFonts w:eastAsia="Times New Roman"/>
                <w:b/>
                <w:bCs/>
                <w:color w:val="FFFFFF" w:themeColor="background1"/>
                <w:sz w:val="16"/>
                <w:szCs w:val="16"/>
                <w:lang w:val="el-GR" w:eastAsia="el-GR"/>
              </w:rPr>
              <w:t>φία</w:t>
            </w:r>
            <w:proofErr w:type="spellEnd"/>
          </w:p>
        </w:tc>
        <w:tc>
          <w:tcPr>
            <w:tcW w:w="5839" w:type="dxa"/>
            <w:tcBorders>
              <w:top w:val="single" w:sz="4" w:space="0" w:color="D9D9D9"/>
              <w:left w:val="nil"/>
              <w:bottom w:val="single" w:sz="4" w:space="0" w:color="D9D9D9"/>
              <w:right w:val="nil"/>
            </w:tcBorders>
            <w:shd w:val="clear" w:color="auto" w:fill="808080" w:themeFill="background1" w:themeFillShade="80"/>
            <w:noWrap/>
            <w:vAlign w:val="bottom"/>
            <w:hideMark/>
          </w:tcPr>
          <w:p w:rsidR="0061198F" w:rsidRPr="001955C2" w:rsidRDefault="001955C2" w:rsidP="009411AE">
            <w:pPr>
              <w:spacing w:after="0" w:line="240" w:lineRule="auto"/>
              <w:rPr>
                <w:rFonts w:eastAsia="Times New Roman"/>
                <w:b/>
                <w:bCs/>
                <w:color w:val="FFFFFF" w:themeColor="background1"/>
                <w:sz w:val="16"/>
                <w:szCs w:val="16"/>
                <w:lang w:val="el-GR" w:eastAsia="el-GR"/>
              </w:rPr>
            </w:pPr>
            <w:r>
              <w:rPr>
                <w:rFonts w:eastAsia="Times New Roman"/>
                <w:b/>
                <w:bCs/>
                <w:color w:val="FFFFFF" w:themeColor="background1"/>
                <w:sz w:val="16"/>
                <w:szCs w:val="16"/>
                <w:lang w:val="el-GR" w:eastAsia="el-GR"/>
              </w:rPr>
              <w:t>Ορισμός</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Δάνεια</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μετά</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Προβλέψεων</w:t>
            </w:r>
            <w:proofErr w:type="spellEnd"/>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001919">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Δάνεια και απαιτήσεις κατά πελατών, εξαιρουμένου του δανείου στο Ελληνικό Δημόσιο ύψους €6,2 δισ.</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Δάνεια</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προ</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Προβλέψεων</w:t>
            </w:r>
            <w:proofErr w:type="spellEnd"/>
          </w:p>
        </w:tc>
        <w:tc>
          <w:tcPr>
            <w:tcW w:w="1077"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001919">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Δάνεια και απαιτήσεις κατά πελατών</w:t>
            </w:r>
            <w:r w:rsidR="00001919" w:rsidRPr="00715530">
              <w:rPr>
                <w:rFonts w:ascii="Segoe UI" w:hAnsi="Segoe UI" w:cs="Segoe UI"/>
                <w:color w:val="000000"/>
                <w:sz w:val="13"/>
                <w:szCs w:val="13"/>
                <w:lang w:val="el-GR"/>
              </w:rPr>
              <w:t xml:space="preserve"> προ </w:t>
            </w:r>
            <w:r w:rsidR="00001919">
              <w:rPr>
                <w:rFonts w:ascii="Segoe UI" w:hAnsi="Segoe UI" w:cs="Segoe UI"/>
                <w:color w:val="000000"/>
                <w:sz w:val="13"/>
                <w:szCs w:val="13"/>
                <w:lang w:val="el-GR"/>
              </w:rPr>
              <w:t>προβλέψεων</w:t>
            </w:r>
            <w:r w:rsidR="00001919" w:rsidRPr="00715530">
              <w:rPr>
                <w:rFonts w:ascii="Segoe UI" w:hAnsi="Segoe UI" w:cs="Segoe UI"/>
                <w:color w:val="000000"/>
                <w:sz w:val="13"/>
                <w:szCs w:val="13"/>
                <w:lang w:val="el-GR"/>
              </w:rPr>
              <w:t xml:space="preserve"> </w:t>
            </w:r>
            <w:proofErr w:type="spellStart"/>
            <w:r w:rsidR="00001919" w:rsidRPr="00715530">
              <w:rPr>
                <w:rFonts w:ascii="Segoe UI" w:hAnsi="Segoe UI" w:cs="Segoe UI"/>
                <w:color w:val="000000"/>
                <w:sz w:val="13"/>
                <w:szCs w:val="13"/>
                <w:lang w:val="el-GR"/>
              </w:rPr>
              <w:t>απομείωσης</w:t>
            </w:r>
            <w:proofErr w:type="spellEnd"/>
            <w:r w:rsidRPr="00715530">
              <w:rPr>
                <w:rFonts w:ascii="Segoe UI" w:hAnsi="Segoe UI" w:cs="Segoe UI"/>
                <w:color w:val="000000"/>
                <w:sz w:val="13"/>
                <w:szCs w:val="13"/>
                <w:lang w:val="el-GR"/>
              </w:rPr>
              <w:t>, εξαιρουμένου του δανείου στο Ελληνικό Δημόσιο ύψους €6,2 δισ.</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Δείκτης</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Δάνεια</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προς</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Καταθέσεις</w:t>
            </w:r>
            <w:proofErr w:type="spellEnd"/>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Δάνεια μετά προβλέψεων προς καταθέσεις, τέλος περιόδου</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Δείκτης Δανείων σε Καθυστέρηση +90 Ημερών</w:t>
            </w:r>
          </w:p>
        </w:tc>
        <w:tc>
          <w:tcPr>
            <w:tcW w:w="1077"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 xml:space="preserve">-- </w:t>
            </w:r>
          </w:p>
        </w:tc>
        <w:tc>
          <w:tcPr>
            <w:tcW w:w="5839"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Δάνεια σε καθυστέρηση άνω των 90 ημερών προς δάνεια προ προβλέψεων, τέλος περιόδου</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Δείκτης Κάλυψης Δανείων σε Καθυστέρηση +90 Ημερών</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 xml:space="preserve">-- </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Σωρευμένες προβλέψεις (πρόβλεψη </w:t>
            </w:r>
            <w:proofErr w:type="spellStart"/>
            <w:r w:rsidRPr="00715530">
              <w:rPr>
                <w:rFonts w:ascii="Segoe UI" w:hAnsi="Segoe UI" w:cs="Segoe UI"/>
                <w:color w:val="000000"/>
                <w:sz w:val="13"/>
                <w:szCs w:val="13"/>
                <w:lang w:val="el-GR"/>
              </w:rPr>
              <w:t>απομείωσης</w:t>
            </w:r>
            <w:proofErr w:type="spellEnd"/>
            <w:r w:rsidRPr="00715530">
              <w:rPr>
                <w:rFonts w:ascii="Segoe UI" w:hAnsi="Segoe UI" w:cs="Segoe UI"/>
                <w:color w:val="000000"/>
                <w:sz w:val="13"/>
                <w:szCs w:val="13"/>
                <w:lang w:val="el-GR"/>
              </w:rPr>
              <w:t xml:space="preserve"> δανείων και απαιτήσεων κατά πελατών) προς δάνεια σε καθυστέρηση άνω των 90 ημερών</w:t>
            </w:r>
            <w:r w:rsidR="00261857">
              <w:rPr>
                <w:rFonts w:ascii="Segoe UI" w:hAnsi="Segoe UI" w:cs="Segoe UI"/>
                <w:color w:val="000000"/>
                <w:sz w:val="13"/>
                <w:szCs w:val="13"/>
                <w:lang w:val="el-GR"/>
              </w:rPr>
              <w:t>, τέλος περιόδου</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Δείκτης Κάλυψης Μη Εξυπηρετούμενων Ανοιγμάτων</w:t>
            </w:r>
          </w:p>
        </w:tc>
        <w:tc>
          <w:tcPr>
            <w:tcW w:w="1077"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 xml:space="preserve">-- </w:t>
            </w:r>
          </w:p>
        </w:tc>
        <w:tc>
          <w:tcPr>
            <w:tcW w:w="5839"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Σωρευμένες προβλέψεις προς μη εξυπηρετούμενα ανοίγματα, τέλος περιόδου</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Δείκτης</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Κόστους</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προς</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Έσοδα</w:t>
            </w:r>
            <w:proofErr w:type="spellEnd"/>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Λειτουργικά έξοδα προς καθαρά λειτουργικά έσοδα</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Δείκτης Κόστους προς Οργανικά Έσοδα</w:t>
            </w:r>
          </w:p>
        </w:tc>
        <w:tc>
          <w:tcPr>
            <w:tcW w:w="1077"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Λειτουργικά έξοδα προς οργανικά έσοδα</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Δείκτης Κυρίων Βασικών Ιδίων Κεφαλαίων</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Δείκτης</w:t>
            </w:r>
            <w:proofErr w:type="spellEnd"/>
            <w:r w:rsidRPr="001D5F92">
              <w:rPr>
                <w:rFonts w:ascii="Segoe UI" w:hAnsi="Segoe UI" w:cs="Segoe UI"/>
                <w:color w:val="000000"/>
                <w:sz w:val="13"/>
                <w:szCs w:val="13"/>
              </w:rPr>
              <w:t xml:space="preserve"> CET1 </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Κύρια βασικά ίδια κεφάλαια, όπως ορίζονται από τον κανονισμό (</w:t>
            </w:r>
            <w:r w:rsidRPr="001D5F92">
              <w:rPr>
                <w:rFonts w:ascii="Segoe UI" w:hAnsi="Segoe UI" w:cs="Segoe UI"/>
                <w:color w:val="000000"/>
                <w:sz w:val="13"/>
                <w:szCs w:val="13"/>
              </w:rPr>
              <w:t>EU</w:t>
            </w:r>
            <w:r w:rsidRPr="00715530">
              <w:rPr>
                <w:rFonts w:ascii="Segoe UI" w:hAnsi="Segoe UI" w:cs="Segoe UI"/>
                <w:color w:val="000000"/>
                <w:sz w:val="13"/>
                <w:szCs w:val="13"/>
                <w:lang w:val="el-GR"/>
              </w:rPr>
              <w:t>) 575/2013, με σταδιακή εφαρμογή των διατάξεων στα σταθμισμένα στοιχεία Ενεργητικού</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Δείκτης Κυρίων Βασικών Ιδίων Κεφαλαίων με Πλήρη Εφαρμογή της Βασιλείας ΙΙΙ</w:t>
            </w:r>
          </w:p>
        </w:tc>
        <w:tc>
          <w:tcPr>
            <w:tcW w:w="1077"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Δείκτης </w:t>
            </w:r>
            <w:r w:rsidRPr="001D5F92">
              <w:rPr>
                <w:rFonts w:ascii="Segoe UI" w:hAnsi="Segoe UI" w:cs="Segoe UI"/>
                <w:color w:val="000000"/>
                <w:sz w:val="13"/>
                <w:szCs w:val="13"/>
              </w:rPr>
              <w:t>CET</w:t>
            </w:r>
            <w:r w:rsidRPr="00715530">
              <w:rPr>
                <w:rFonts w:ascii="Segoe UI" w:hAnsi="Segoe UI" w:cs="Segoe UI"/>
                <w:color w:val="000000"/>
                <w:sz w:val="13"/>
                <w:szCs w:val="13"/>
                <w:lang w:val="el-GR"/>
              </w:rPr>
              <w:t xml:space="preserve">1, </w:t>
            </w:r>
            <w:r w:rsidRPr="001D5F92">
              <w:rPr>
                <w:rFonts w:ascii="Segoe UI" w:hAnsi="Segoe UI" w:cs="Segoe UI"/>
                <w:color w:val="000000"/>
                <w:sz w:val="13"/>
                <w:szCs w:val="13"/>
              </w:rPr>
              <w:t>CRD</w:t>
            </w:r>
            <w:r w:rsidRPr="00715530">
              <w:rPr>
                <w:rFonts w:ascii="Segoe UI" w:hAnsi="Segoe UI" w:cs="Segoe UI"/>
                <w:color w:val="000000"/>
                <w:sz w:val="13"/>
                <w:szCs w:val="13"/>
                <w:lang w:val="el-GR"/>
              </w:rPr>
              <w:t xml:space="preserve"> </w:t>
            </w:r>
            <w:r w:rsidRPr="001D5F92">
              <w:rPr>
                <w:rFonts w:ascii="Segoe UI" w:hAnsi="Segoe UI" w:cs="Segoe UI"/>
                <w:color w:val="000000"/>
                <w:sz w:val="13"/>
                <w:szCs w:val="13"/>
              </w:rPr>
              <w:t>IV</w:t>
            </w:r>
            <w:r w:rsidRPr="00715530">
              <w:rPr>
                <w:rFonts w:ascii="Segoe UI" w:hAnsi="Segoe UI" w:cs="Segoe UI"/>
                <w:color w:val="000000"/>
                <w:sz w:val="13"/>
                <w:szCs w:val="13"/>
                <w:lang w:val="el-GR"/>
              </w:rPr>
              <w:t xml:space="preserve"> </w:t>
            </w:r>
            <w:r w:rsidRPr="001D5F92">
              <w:rPr>
                <w:rFonts w:ascii="Segoe UI" w:hAnsi="Segoe UI" w:cs="Segoe UI"/>
                <w:color w:val="000000"/>
                <w:sz w:val="13"/>
                <w:szCs w:val="13"/>
              </w:rPr>
              <w:t>FL</w:t>
            </w:r>
          </w:p>
        </w:tc>
        <w:tc>
          <w:tcPr>
            <w:tcW w:w="5839"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Κύρια βασικά ίδια κεφάλαια, όπως ορίζονται από τον κανονισμό (</w:t>
            </w:r>
            <w:r w:rsidRPr="001D5F92">
              <w:rPr>
                <w:rFonts w:ascii="Segoe UI" w:hAnsi="Segoe UI" w:cs="Segoe UI"/>
                <w:color w:val="000000"/>
                <w:sz w:val="13"/>
                <w:szCs w:val="13"/>
              </w:rPr>
              <w:t>EU</w:t>
            </w:r>
            <w:r w:rsidRPr="00715530">
              <w:rPr>
                <w:rFonts w:ascii="Segoe UI" w:hAnsi="Segoe UI" w:cs="Segoe UI"/>
                <w:color w:val="000000"/>
                <w:sz w:val="13"/>
                <w:szCs w:val="13"/>
                <w:lang w:val="el-GR"/>
              </w:rPr>
              <w:t>) 575/2013, χωρίς τη σταδιακή εφαρμογή των διατάξεων στα σταθμισμένα στοιχεία Ενεργητικού</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Δείκτης</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Μη</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Εξυπηρετούμενων</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Ανοιγμάτων</w:t>
            </w:r>
            <w:proofErr w:type="spellEnd"/>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Μη Εξυπηρετούμενα Ανοίγματα προς δάνεια προ προβλέψεων, τέλος περιόδου</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Ενσώματα</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Ίδια</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Κεφάλαια</w:t>
            </w:r>
            <w:proofErr w:type="spellEnd"/>
          </w:p>
        </w:tc>
        <w:tc>
          <w:tcPr>
            <w:tcW w:w="1077"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Κοινά ίδια κεφάλαια μείον υπεραξία επιχειρήσεων, λογισμικό και λοιπά άυλα</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Έσοδα από </w:t>
            </w:r>
            <w:proofErr w:type="spellStart"/>
            <w:r w:rsidRPr="00715530">
              <w:rPr>
                <w:rFonts w:ascii="Segoe UI" w:hAnsi="Segoe UI" w:cs="Segoe UI"/>
                <w:color w:val="000000"/>
                <w:sz w:val="13"/>
                <w:szCs w:val="13"/>
                <w:lang w:val="el-GR"/>
              </w:rPr>
              <w:t>Χρηματ</w:t>
            </w:r>
            <w:proofErr w:type="spellEnd"/>
            <w:r w:rsidRPr="00715530">
              <w:rPr>
                <w:rFonts w:ascii="Segoe UI" w:hAnsi="Segoe UI" w:cs="Segoe UI"/>
                <w:color w:val="000000"/>
                <w:sz w:val="13"/>
                <w:szCs w:val="13"/>
                <w:lang w:val="el-GR"/>
              </w:rPr>
              <w:t>/</w:t>
            </w:r>
            <w:proofErr w:type="spellStart"/>
            <w:r w:rsidRPr="00715530">
              <w:rPr>
                <w:rFonts w:ascii="Segoe UI" w:hAnsi="Segoe UI" w:cs="Segoe UI"/>
                <w:color w:val="000000"/>
                <w:sz w:val="13"/>
                <w:szCs w:val="13"/>
                <w:lang w:val="el-GR"/>
              </w:rPr>
              <w:t>κες</w:t>
            </w:r>
            <w:proofErr w:type="spellEnd"/>
            <w:r w:rsidRPr="00715530">
              <w:rPr>
                <w:rFonts w:ascii="Segoe UI" w:hAnsi="Segoe UI" w:cs="Segoe UI"/>
                <w:color w:val="000000"/>
                <w:sz w:val="13"/>
                <w:szCs w:val="13"/>
                <w:lang w:val="el-GR"/>
              </w:rPr>
              <w:t xml:space="preserve"> Πράξεις και Λοιπά Έσοδα</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Αποτελέσματα χρηματοοικονομικών πράξεων &amp; τίτλων επενδυτικού χαρτοφυλακίου + καθαρά λοιπά έσοδα / (έξοδα) + αναλογία κερδών από συμμετοχές σε συγγενείς επιχειρήσεις</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Καθαρά</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Κέρδη</w:t>
            </w:r>
            <w:proofErr w:type="spellEnd"/>
            <w:r w:rsidRPr="001D5F92">
              <w:rPr>
                <w:rFonts w:ascii="Segoe UI" w:hAnsi="Segoe UI" w:cs="Segoe UI"/>
                <w:color w:val="000000"/>
                <w:sz w:val="13"/>
                <w:szCs w:val="13"/>
              </w:rPr>
              <w:t xml:space="preserve"> / (</w:t>
            </w:r>
            <w:proofErr w:type="spellStart"/>
            <w:r w:rsidRPr="001D5F92">
              <w:rPr>
                <w:rFonts w:ascii="Segoe UI" w:hAnsi="Segoe UI" w:cs="Segoe UI"/>
                <w:color w:val="000000"/>
                <w:sz w:val="13"/>
                <w:szCs w:val="13"/>
              </w:rPr>
              <w:t>Ζημίες</w:t>
            </w:r>
            <w:proofErr w:type="spellEnd"/>
            <w:r w:rsidRPr="001D5F92">
              <w:rPr>
                <w:rFonts w:ascii="Segoe UI" w:hAnsi="Segoe UI" w:cs="Segoe UI"/>
                <w:color w:val="000000"/>
                <w:sz w:val="13"/>
                <w:szCs w:val="13"/>
              </w:rPr>
              <w:t xml:space="preserve">) </w:t>
            </w:r>
          </w:p>
        </w:tc>
        <w:tc>
          <w:tcPr>
            <w:tcW w:w="1077"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Κέρδη / (ζημίες) περιόδου αναλογούντα σε μετόχους της Τράπεζας</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Καθαρό</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Επιτοκιακό</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Περιθώριο</w:t>
            </w:r>
            <w:proofErr w:type="spellEnd"/>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Καθαρά έσοδα από τόκους </w:t>
            </w:r>
            <w:proofErr w:type="spellStart"/>
            <w:r w:rsidRPr="00715530">
              <w:rPr>
                <w:rFonts w:ascii="Segoe UI" w:hAnsi="Segoe UI" w:cs="Segoe UI"/>
                <w:color w:val="000000"/>
                <w:sz w:val="13"/>
                <w:szCs w:val="13"/>
                <w:lang w:val="el-GR"/>
              </w:rPr>
              <w:t>ετησιοποιημένα</w:t>
            </w:r>
            <w:proofErr w:type="spellEnd"/>
            <w:r w:rsidRPr="00715530">
              <w:rPr>
                <w:rFonts w:ascii="Segoe UI" w:hAnsi="Segoe UI" w:cs="Segoe UI"/>
                <w:color w:val="000000"/>
                <w:sz w:val="13"/>
                <w:szCs w:val="13"/>
                <w:lang w:val="el-GR"/>
              </w:rPr>
              <w:t xml:space="preserve"> προς το μέσο όρο των τοκοφόρων στοιχείων Ενεργητικού</w:t>
            </w:r>
          </w:p>
        </w:tc>
      </w:tr>
      <w:tr w:rsidR="001D5F92" w:rsidRPr="000B03D0" w:rsidTr="00DB2AAE">
        <w:trPr>
          <w:trHeight w:val="300"/>
        </w:trPr>
        <w:tc>
          <w:tcPr>
            <w:tcW w:w="1814"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Καταθέσεις</w:t>
            </w:r>
            <w:proofErr w:type="spellEnd"/>
            <w:r w:rsidRPr="001D5F92">
              <w:rPr>
                <w:rFonts w:ascii="Segoe UI" w:hAnsi="Segoe UI" w:cs="Segoe UI"/>
                <w:color w:val="000000"/>
                <w:sz w:val="13"/>
                <w:szCs w:val="13"/>
              </w:rPr>
              <w:t xml:space="preserve"> </w:t>
            </w:r>
          </w:p>
        </w:tc>
        <w:tc>
          <w:tcPr>
            <w:tcW w:w="1077"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Υποχρεώσεις</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προς</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πελάτες</w:t>
            </w:r>
            <w:proofErr w:type="spellEnd"/>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Κέρδη</w:t>
            </w:r>
            <w:proofErr w:type="spellEnd"/>
            <w:r w:rsidRPr="001D5F92">
              <w:rPr>
                <w:rFonts w:ascii="Segoe UI" w:hAnsi="Segoe UI" w:cs="Segoe UI"/>
                <w:color w:val="000000"/>
                <w:sz w:val="13"/>
                <w:szCs w:val="13"/>
              </w:rPr>
              <w:t xml:space="preserve"> / (</w:t>
            </w:r>
            <w:proofErr w:type="spellStart"/>
            <w:r w:rsidRPr="001D5F92">
              <w:rPr>
                <w:rFonts w:ascii="Segoe UI" w:hAnsi="Segoe UI" w:cs="Segoe UI"/>
                <w:color w:val="000000"/>
                <w:sz w:val="13"/>
                <w:szCs w:val="13"/>
              </w:rPr>
              <w:t>Ζημίες</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μετά</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Φόρων</w:t>
            </w:r>
            <w:proofErr w:type="spellEnd"/>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Κέρδη / (ζημίες) περιόδου (κέρδη / ζημίες προ φόρων από συνεχιζόμενες δραστηριότητες μείον φόροι)</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Κέρδη</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προ</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Προβλέψεων</w:t>
            </w:r>
            <w:proofErr w:type="spellEnd"/>
          </w:p>
        </w:tc>
        <w:tc>
          <w:tcPr>
            <w:tcW w:w="1077"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Καθαρά λειτουργικά έσοδα μείον λειτουργικά έξοδα, προ προβλέψεων </w:t>
            </w:r>
            <w:proofErr w:type="spellStart"/>
            <w:r w:rsidRPr="00715530">
              <w:rPr>
                <w:rFonts w:ascii="Segoe UI" w:hAnsi="Segoe UI" w:cs="Segoe UI"/>
                <w:color w:val="000000"/>
                <w:sz w:val="13"/>
                <w:szCs w:val="13"/>
                <w:lang w:val="el-GR"/>
              </w:rPr>
              <w:t>απομείωσης</w:t>
            </w:r>
            <w:proofErr w:type="spellEnd"/>
            <w:r w:rsidRPr="00715530">
              <w:rPr>
                <w:rFonts w:ascii="Segoe UI" w:hAnsi="Segoe UI" w:cs="Segoe UI"/>
                <w:color w:val="000000"/>
                <w:sz w:val="13"/>
                <w:szCs w:val="13"/>
                <w:lang w:val="el-GR"/>
              </w:rPr>
              <w:t xml:space="preserve"> για την κάλυψη πιστωτικού και άλλων κινδύνων</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Κοινά</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Ίδια</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Κεφάλαια</w:t>
            </w:r>
            <w:proofErr w:type="spellEnd"/>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Σύνολο ιδίων κεφαλαίων της Τράπεζας μείον μη ελέγχουσες συμμετοχές και </w:t>
            </w:r>
            <w:proofErr w:type="spellStart"/>
            <w:r w:rsidRPr="00715530">
              <w:rPr>
                <w:rFonts w:ascii="Segoe UI" w:hAnsi="Segoe UI" w:cs="Segoe UI"/>
                <w:color w:val="000000"/>
                <w:sz w:val="13"/>
                <w:szCs w:val="13"/>
                <w:lang w:val="el-GR"/>
              </w:rPr>
              <w:t>υπο</w:t>
            </w:r>
            <w:proofErr w:type="spellEnd"/>
            <w:r w:rsidRPr="00715530">
              <w:rPr>
                <w:rFonts w:ascii="Segoe UI" w:hAnsi="Segoe UI" w:cs="Segoe UI"/>
                <w:color w:val="000000"/>
                <w:sz w:val="13"/>
                <w:szCs w:val="13"/>
                <w:lang w:val="el-GR"/>
              </w:rPr>
              <w:t xml:space="preserve"> αίρεση μετατρέψιμες ομολογίες (</w:t>
            </w:r>
            <w:proofErr w:type="spellStart"/>
            <w:r w:rsidRPr="001D5F92">
              <w:rPr>
                <w:rFonts w:ascii="Segoe UI" w:hAnsi="Segoe UI" w:cs="Segoe UI"/>
                <w:color w:val="000000"/>
                <w:sz w:val="13"/>
                <w:szCs w:val="13"/>
              </w:rPr>
              <w:t>CoCos</w:t>
            </w:r>
            <w:proofErr w:type="spellEnd"/>
            <w:r w:rsidRPr="00715530">
              <w:rPr>
                <w:rFonts w:ascii="Segoe UI" w:hAnsi="Segoe UI" w:cs="Segoe UI"/>
                <w:color w:val="000000"/>
                <w:sz w:val="13"/>
                <w:szCs w:val="13"/>
                <w:lang w:val="el-GR"/>
              </w:rPr>
              <w:t>)</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Κόστος</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Άντλησης</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Ρευστότητας</w:t>
            </w:r>
            <w:proofErr w:type="spellEnd"/>
          </w:p>
        </w:tc>
        <w:tc>
          <w:tcPr>
            <w:tcW w:w="1077"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Το μίγμα του κόστους καταθέσεων, χρηματοδότησης από την ΕΚΤ και τον </w:t>
            </w:r>
            <w:r w:rsidRPr="001D5F92">
              <w:rPr>
                <w:rFonts w:ascii="Segoe UI" w:hAnsi="Segoe UI" w:cs="Segoe UI"/>
                <w:color w:val="000000"/>
                <w:sz w:val="13"/>
                <w:szCs w:val="13"/>
              </w:rPr>
              <w:t>ELA</w:t>
            </w:r>
            <w:r w:rsidRPr="00715530">
              <w:rPr>
                <w:rFonts w:ascii="Segoe UI" w:hAnsi="Segoe UI" w:cs="Segoe UI"/>
                <w:color w:val="000000"/>
                <w:sz w:val="13"/>
                <w:szCs w:val="13"/>
                <w:lang w:val="el-GR"/>
              </w:rPr>
              <w:t xml:space="preserve">, καθώς και των συναλλαγών σε </w:t>
            </w:r>
            <w:r w:rsidRPr="001D5F92">
              <w:rPr>
                <w:rFonts w:ascii="Segoe UI" w:hAnsi="Segoe UI" w:cs="Segoe UI"/>
                <w:color w:val="000000"/>
                <w:sz w:val="13"/>
                <w:szCs w:val="13"/>
              </w:rPr>
              <w:t>repos</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Κόστος</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πιστωτικού</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κινδύνου</w:t>
            </w:r>
            <w:proofErr w:type="spellEnd"/>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Προβλέψεις </w:t>
            </w:r>
            <w:proofErr w:type="spellStart"/>
            <w:r w:rsidRPr="00715530">
              <w:rPr>
                <w:rFonts w:ascii="Segoe UI" w:hAnsi="Segoe UI" w:cs="Segoe UI"/>
                <w:color w:val="000000"/>
                <w:sz w:val="13"/>
                <w:szCs w:val="13"/>
                <w:lang w:val="el-GR"/>
              </w:rPr>
              <w:t>απομείωσης</w:t>
            </w:r>
            <w:proofErr w:type="spellEnd"/>
            <w:r w:rsidRPr="00715530">
              <w:rPr>
                <w:rFonts w:ascii="Segoe UI" w:hAnsi="Segoe UI" w:cs="Segoe UI"/>
                <w:color w:val="000000"/>
                <w:sz w:val="13"/>
                <w:szCs w:val="13"/>
                <w:lang w:val="el-GR"/>
              </w:rPr>
              <w:t xml:space="preserve"> για την κάλυψη πιστωτικού κινδύνου </w:t>
            </w:r>
            <w:proofErr w:type="spellStart"/>
            <w:r w:rsidRPr="00715530">
              <w:rPr>
                <w:rFonts w:ascii="Segoe UI" w:hAnsi="Segoe UI" w:cs="Segoe UI"/>
                <w:color w:val="000000"/>
                <w:sz w:val="13"/>
                <w:szCs w:val="13"/>
                <w:lang w:val="el-GR"/>
              </w:rPr>
              <w:t>ετησιοποιημένες</w:t>
            </w:r>
            <w:proofErr w:type="spellEnd"/>
            <w:r w:rsidRPr="00715530">
              <w:rPr>
                <w:rFonts w:ascii="Segoe UI" w:hAnsi="Segoe UI" w:cs="Segoe UI"/>
                <w:color w:val="000000"/>
                <w:sz w:val="13"/>
                <w:szCs w:val="13"/>
                <w:lang w:val="el-GR"/>
              </w:rPr>
              <w:t xml:space="preserve"> προς μέσο δανείων προ προβλέψεων </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Λειτουργικά</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Έξοδα</w:t>
            </w:r>
            <w:proofErr w:type="spellEnd"/>
          </w:p>
        </w:tc>
        <w:tc>
          <w:tcPr>
            <w:tcW w:w="1077"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Δαπάνες προσωπικού + γενικά διοικητικά και λοιπά λειτουργικά έξοδα + αποσβέσεις και προβλέψεις </w:t>
            </w:r>
            <w:proofErr w:type="spellStart"/>
            <w:r w:rsidRPr="00715530">
              <w:rPr>
                <w:rFonts w:ascii="Segoe UI" w:hAnsi="Segoe UI" w:cs="Segoe UI"/>
                <w:color w:val="000000"/>
                <w:sz w:val="13"/>
                <w:szCs w:val="13"/>
                <w:lang w:val="el-GR"/>
              </w:rPr>
              <w:t>απομείωσης</w:t>
            </w:r>
            <w:proofErr w:type="spellEnd"/>
            <w:r w:rsidRPr="00715530">
              <w:rPr>
                <w:rFonts w:ascii="Segoe UI" w:hAnsi="Segoe UI" w:cs="Segoe UI"/>
                <w:color w:val="000000"/>
                <w:sz w:val="13"/>
                <w:szCs w:val="13"/>
                <w:lang w:val="el-GR"/>
              </w:rPr>
              <w:t xml:space="preserve"> αξίας ενσώματων παγίων και άυλων περιουσιακών στοιχείων και ακινήτων επενδύσεων + αποσβέσεις άυλων περιουσιακών στοιχείων αναγνωρισμένων σε συνενώσεις επιχειρήσεων</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Λειτουργικά</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Κέρδη</w:t>
            </w:r>
            <w:proofErr w:type="spellEnd"/>
            <w:r w:rsidRPr="001D5F92">
              <w:rPr>
                <w:rFonts w:ascii="Segoe UI" w:hAnsi="Segoe UI" w:cs="Segoe UI"/>
                <w:color w:val="000000"/>
                <w:sz w:val="13"/>
                <w:szCs w:val="13"/>
              </w:rPr>
              <w:t xml:space="preserve"> / (</w:t>
            </w:r>
            <w:proofErr w:type="spellStart"/>
            <w:r w:rsidRPr="001D5F92">
              <w:rPr>
                <w:rFonts w:ascii="Segoe UI" w:hAnsi="Segoe UI" w:cs="Segoe UI"/>
                <w:color w:val="000000"/>
                <w:sz w:val="13"/>
                <w:szCs w:val="13"/>
              </w:rPr>
              <w:t>Ζημίες</w:t>
            </w:r>
            <w:proofErr w:type="spellEnd"/>
            <w:r w:rsidRPr="001D5F92">
              <w:rPr>
                <w:rFonts w:ascii="Segoe UI" w:hAnsi="Segoe UI" w:cs="Segoe UI"/>
                <w:color w:val="000000"/>
                <w:sz w:val="13"/>
                <w:szCs w:val="13"/>
              </w:rPr>
              <w:t>)</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Κέρδη/(ζημίες) προ φόρων από συνεχιζόμενες δραστηριότητες (καθαρά λειτουργικά έσοδα μείον λειτουργικά έξοδα και προβλέψεις </w:t>
            </w:r>
            <w:proofErr w:type="spellStart"/>
            <w:r w:rsidRPr="00715530">
              <w:rPr>
                <w:rFonts w:ascii="Segoe UI" w:hAnsi="Segoe UI" w:cs="Segoe UI"/>
                <w:color w:val="000000"/>
                <w:sz w:val="13"/>
                <w:szCs w:val="13"/>
                <w:lang w:val="el-GR"/>
              </w:rPr>
              <w:t>απομείωσης</w:t>
            </w:r>
            <w:proofErr w:type="spellEnd"/>
            <w:r w:rsidRPr="00715530">
              <w:rPr>
                <w:rFonts w:ascii="Segoe UI" w:hAnsi="Segoe UI" w:cs="Segoe UI"/>
                <w:color w:val="000000"/>
                <w:sz w:val="13"/>
                <w:szCs w:val="13"/>
                <w:lang w:val="el-GR"/>
              </w:rPr>
              <w:t xml:space="preserve"> για την κάλυψη πιστωτικού και άλλων κινδύνων)</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Μη</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Εξυπηρετούμενα</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Ανοίγματα</w:t>
            </w:r>
            <w:proofErr w:type="spellEnd"/>
          </w:p>
        </w:tc>
        <w:tc>
          <w:tcPr>
            <w:tcW w:w="1077"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NPEs</w:t>
            </w:r>
          </w:p>
        </w:tc>
        <w:tc>
          <w:tcPr>
            <w:tcW w:w="5839"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B81DD6" w:rsidP="00B81DD6">
            <w:pPr>
              <w:spacing w:after="0" w:line="240" w:lineRule="auto"/>
              <w:rPr>
                <w:rFonts w:ascii="Segoe UI" w:hAnsi="Segoe UI" w:cs="Segoe UI"/>
                <w:color w:val="000000"/>
                <w:sz w:val="13"/>
                <w:szCs w:val="13"/>
                <w:lang w:val="el-GR"/>
              </w:rPr>
            </w:pPr>
            <w:r w:rsidRPr="00B81DD6">
              <w:rPr>
                <w:rFonts w:ascii="Segoe UI" w:hAnsi="Segoe UI" w:cs="Segoe UI"/>
                <w:color w:val="000000"/>
                <w:sz w:val="13"/>
                <w:szCs w:val="13"/>
                <w:lang w:val="el-GR"/>
              </w:rPr>
              <w:t xml:space="preserve">Σύμφωνα με τους ορισμούς της Ευρωπαϊκής Αρχής Τραπεζών (EBA, ITS </w:t>
            </w:r>
            <w:proofErr w:type="spellStart"/>
            <w:r w:rsidRPr="00B81DD6">
              <w:rPr>
                <w:rFonts w:ascii="Segoe UI" w:hAnsi="Segoe UI" w:cs="Segoe UI"/>
                <w:color w:val="000000"/>
                <w:sz w:val="13"/>
                <w:szCs w:val="13"/>
                <w:lang w:val="el-GR"/>
              </w:rPr>
              <w:t>Τechnical</w:t>
            </w:r>
            <w:proofErr w:type="spellEnd"/>
            <w:r w:rsidRPr="00B81DD6">
              <w:rPr>
                <w:rFonts w:ascii="Segoe UI" w:hAnsi="Segoe UI" w:cs="Segoe UI"/>
                <w:color w:val="000000"/>
                <w:sz w:val="13"/>
                <w:szCs w:val="13"/>
                <w:lang w:val="el-GR"/>
              </w:rPr>
              <w:t xml:space="preserve"> </w:t>
            </w:r>
            <w:proofErr w:type="spellStart"/>
            <w:r w:rsidRPr="00B81DD6">
              <w:rPr>
                <w:rFonts w:ascii="Segoe UI" w:hAnsi="Segoe UI" w:cs="Segoe UI"/>
                <w:color w:val="000000"/>
                <w:sz w:val="13"/>
                <w:szCs w:val="13"/>
                <w:lang w:val="el-GR"/>
              </w:rPr>
              <w:t>Standards</w:t>
            </w:r>
            <w:proofErr w:type="spellEnd"/>
            <w:r w:rsidRPr="00B81DD6">
              <w:rPr>
                <w:rFonts w:ascii="Segoe UI" w:hAnsi="Segoe UI" w:cs="Segoe UI"/>
                <w:color w:val="000000"/>
                <w:sz w:val="13"/>
                <w:szCs w:val="13"/>
                <w:lang w:val="el-GR"/>
              </w:rPr>
              <w:t>) ως μη εξυπηρετούμενα ορίζονται τα ανοίγματα που πληρούν μία εκ ή και τις δύο κάτωθι προϋποθέσεις</w:t>
            </w:r>
            <w:r>
              <w:rPr>
                <w:rFonts w:ascii="Segoe UI" w:hAnsi="Segoe UI" w:cs="Segoe UI"/>
                <w:color w:val="000000"/>
                <w:sz w:val="13"/>
                <w:szCs w:val="13"/>
                <w:lang w:val="el-GR"/>
              </w:rPr>
              <w:t>: (Ι) σ</w:t>
            </w:r>
            <w:r w:rsidRPr="00B81DD6">
              <w:rPr>
                <w:rFonts w:ascii="Segoe UI" w:hAnsi="Segoe UI" w:cs="Segoe UI"/>
                <w:color w:val="000000"/>
                <w:sz w:val="13"/>
                <w:szCs w:val="13"/>
                <w:lang w:val="el-GR"/>
              </w:rPr>
              <w:t xml:space="preserve">ημαντικά ανοίγματα με καθυστέρηση μεγαλύτερη των 90 ημερών </w:t>
            </w:r>
            <w:r>
              <w:rPr>
                <w:rFonts w:ascii="Segoe UI" w:hAnsi="Segoe UI" w:cs="Segoe UI"/>
                <w:color w:val="000000"/>
                <w:sz w:val="13"/>
                <w:szCs w:val="13"/>
                <w:lang w:val="el-GR"/>
              </w:rPr>
              <w:t>και (</w:t>
            </w:r>
            <w:r>
              <w:rPr>
                <w:rFonts w:ascii="Segoe UI" w:hAnsi="Segoe UI" w:cs="Segoe UI"/>
                <w:color w:val="000000"/>
                <w:sz w:val="13"/>
                <w:szCs w:val="13"/>
                <w:lang w:val="en-US"/>
              </w:rPr>
              <w:t>ii</w:t>
            </w:r>
            <w:r w:rsidRPr="00B81DD6">
              <w:rPr>
                <w:rFonts w:ascii="Segoe UI" w:hAnsi="Segoe UI" w:cs="Segoe UI"/>
                <w:color w:val="000000"/>
                <w:sz w:val="13"/>
                <w:szCs w:val="13"/>
                <w:lang w:val="el-GR"/>
              </w:rPr>
              <w:t>)</w:t>
            </w:r>
            <w:r>
              <w:rPr>
                <w:rFonts w:ascii="Segoe UI" w:hAnsi="Segoe UI" w:cs="Segoe UI"/>
                <w:color w:val="000000"/>
                <w:sz w:val="13"/>
                <w:szCs w:val="13"/>
                <w:lang w:val="el-GR"/>
              </w:rPr>
              <w:t xml:space="preserve"> </w:t>
            </w:r>
            <w:r w:rsidRPr="00B81DD6">
              <w:rPr>
                <w:rFonts w:ascii="Segoe UI" w:hAnsi="Segoe UI" w:cs="Segoe UI"/>
                <w:color w:val="000000"/>
                <w:sz w:val="13"/>
                <w:szCs w:val="13"/>
                <w:lang w:val="el-GR"/>
              </w:rPr>
              <w:t>Ανοίγματα αβέβαιης πλήρους είσπραξης χωρίς τη ρευστοποίηση εξασφάλισης, ανεξαρτήτως από την ύπαρξη ποσού σε κα</w:t>
            </w:r>
            <w:r>
              <w:rPr>
                <w:rFonts w:ascii="Segoe UI" w:hAnsi="Segoe UI" w:cs="Segoe UI"/>
                <w:color w:val="000000"/>
                <w:sz w:val="13"/>
                <w:szCs w:val="13"/>
                <w:lang w:val="el-GR"/>
              </w:rPr>
              <w:t>θυστέρηση ή ημερών καθυστέρησης</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Μη</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Εξυπηρετούμενα</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Δάνεια</w:t>
            </w:r>
            <w:proofErr w:type="spellEnd"/>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246B07" w:rsidP="00715530">
            <w:pPr>
              <w:spacing w:after="0" w:line="240" w:lineRule="auto"/>
              <w:rPr>
                <w:rFonts w:ascii="Segoe UI" w:hAnsi="Segoe UI" w:cs="Segoe UI"/>
                <w:color w:val="000000"/>
                <w:sz w:val="13"/>
                <w:szCs w:val="13"/>
                <w:lang w:val="el-GR"/>
              </w:rPr>
            </w:pPr>
            <w:r w:rsidRPr="00246B07">
              <w:rPr>
                <w:rFonts w:ascii="Segoe UI" w:hAnsi="Segoe UI" w:cs="Segoe UI"/>
                <w:color w:val="000000"/>
                <w:sz w:val="13"/>
                <w:szCs w:val="13"/>
                <w:lang w:val="el-GR"/>
              </w:rPr>
              <w:t>Δάνεια και απαιτήσεις κατά πελατών σε καθυσ</w:t>
            </w:r>
            <w:r>
              <w:rPr>
                <w:rFonts w:ascii="Segoe UI" w:hAnsi="Segoe UI" w:cs="Segoe UI"/>
                <w:color w:val="000000"/>
                <w:sz w:val="13"/>
                <w:szCs w:val="13"/>
                <w:lang w:val="el-GR"/>
              </w:rPr>
              <w:t>τέρηση μεγαλύτερη των 90 ημερών</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Οργανικά</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Έσοδα</w:t>
            </w:r>
            <w:proofErr w:type="spellEnd"/>
          </w:p>
        </w:tc>
        <w:tc>
          <w:tcPr>
            <w:tcW w:w="1077"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Καθαρά έσοδα από τόκους + καθαρά έσοδα από προμήθειες + καθαρά έσοδα από ασφαλιστικές δραστηριότητες </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Οργανικά</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Κέρδη</w:t>
            </w:r>
            <w:proofErr w:type="spellEnd"/>
            <w:r w:rsidRPr="001D5F92">
              <w:rPr>
                <w:rFonts w:ascii="Segoe UI" w:hAnsi="Segoe UI" w:cs="Segoe UI"/>
                <w:color w:val="000000"/>
                <w:sz w:val="13"/>
                <w:szCs w:val="13"/>
              </w:rPr>
              <w:t xml:space="preserve"> / (</w:t>
            </w:r>
            <w:proofErr w:type="spellStart"/>
            <w:r w:rsidRPr="001D5F92">
              <w:rPr>
                <w:rFonts w:ascii="Segoe UI" w:hAnsi="Segoe UI" w:cs="Segoe UI"/>
                <w:color w:val="000000"/>
                <w:sz w:val="13"/>
                <w:szCs w:val="13"/>
              </w:rPr>
              <w:t>Ζημίες</w:t>
            </w:r>
            <w:proofErr w:type="spellEnd"/>
            <w:r w:rsidRPr="001D5F92">
              <w:rPr>
                <w:rFonts w:ascii="Segoe UI" w:hAnsi="Segoe UI" w:cs="Segoe UI"/>
                <w:color w:val="000000"/>
                <w:sz w:val="13"/>
                <w:szCs w:val="13"/>
              </w:rPr>
              <w:t>)</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Οργανικά έσοδα μείον λειτουργικά έξοδα και προβλέψεις </w:t>
            </w:r>
            <w:proofErr w:type="spellStart"/>
            <w:r w:rsidRPr="00715530">
              <w:rPr>
                <w:rFonts w:ascii="Segoe UI" w:hAnsi="Segoe UI" w:cs="Segoe UI"/>
                <w:color w:val="000000"/>
                <w:sz w:val="13"/>
                <w:szCs w:val="13"/>
                <w:lang w:val="el-GR"/>
              </w:rPr>
              <w:t>απομείωσης</w:t>
            </w:r>
            <w:proofErr w:type="spellEnd"/>
            <w:r w:rsidRPr="00715530">
              <w:rPr>
                <w:rFonts w:ascii="Segoe UI" w:hAnsi="Segoe UI" w:cs="Segoe UI"/>
                <w:color w:val="000000"/>
                <w:sz w:val="13"/>
                <w:szCs w:val="13"/>
                <w:lang w:val="el-GR"/>
              </w:rPr>
              <w:t xml:space="preserve"> για την κάλυψη πιστωτικού και άλλων κινδύνων</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Οργανικά Κέρδη / (Ζημίες) προ Προβλέψεων</w:t>
            </w:r>
          </w:p>
        </w:tc>
        <w:tc>
          <w:tcPr>
            <w:tcW w:w="1077"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Οργανικά έσοδα μείον λειτουργικά έξοδα, πριν από προβλέψεις </w:t>
            </w:r>
            <w:proofErr w:type="spellStart"/>
            <w:r w:rsidRPr="00715530">
              <w:rPr>
                <w:rFonts w:ascii="Segoe UI" w:hAnsi="Segoe UI" w:cs="Segoe UI"/>
                <w:color w:val="000000"/>
                <w:sz w:val="13"/>
                <w:szCs w:val="13"/>
                <w:lang w:val="el-GR"/>
              </w:rPr>
              <w:t>απομείωσης</w:t>
            </w:r>
            <w:proofErr w:type="spellEnd"/>
            <w:r w:rsidRPr="00715530">
              <w:rPr>
                <w:rFonts w:ascii="Segoe UI" w:hAnsi="Segoe UI" w:cs="Segoe UI"/>
                <w:color w:val="000000"/>
                <w:sz w:val="13"/>
                <w:szCs w:val="13"/>
                <w:lang w:val="el-GR"/>
              </w:rPr>
              <w:t xml:space="preserve"> για την κάλυψη πιστωτικού και άλλων κινδύνων</w:t>
            </w:r>
          </w:p>
        </w:tc>
      </w:tr>
      <w:tr w:rsidR="001D5F92" w:rsidRPr="00DA6E40"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Ρυθμός Δημιουργίας Νέων Δανείων σε Καθυστέρηση+90 ημερών</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781643" w:rsidP="00781643">
            <w:pPr>
              <w:spacing w:after="0" w:line="240" w:lineRule="auto"/>
              <w:rPr>
                <w:rFonts w:ascii="Segoe UI" w:hAnsi="Segoe UI" w:cs="Segoe UI"/>
                <w:color w:val="000000"/>
                <w:sz w:val="13"/>
                <w:szCs w:val="13"/>
                <w:lang w:val="el-GR"/>
              </w:rPr>
            </w:pPr>
            <w:r w:rsidRPr="00781643">
              <w:rPr>
                <w:rFonts w:ascii="Segoe UI" w:hAnsi="Segoe UI" w:cs="Segoe UI"/>
                <w:color w:val="000000"/>
                <w:sz w:val="13"/>
                <w:szCs w:val="13"/>
                <w:lang w:val="el-GR"/>
              </w:rPr>
              <w:t>Καθαρή αύξηση / (μείωση) των δανείων και απαιτήσεων κατά πελατών σε καθυστέρηση μεγαλύτερη των 90 ημερών, προ διαγραφών και μετά από ρυθμίσεις</w:t>
            </w:r>
          </w:p>
        </w:tc>
      </w:tr>
      <w:tr w:rsidR="001D5F92" w:rsidRPr="00DA6E40" w:rsidTr="00DB2AAE">
        <w:trPr>
          <w:trHeight w:val="300"/>
        </w:trPr>
        <w:tc>
          <w:tcPr>
            <w:tcW w:w="1814" w:type="dxa"/>
            <w:tcBorders>
              <w:top w:val="single" w:sz="4" w:space="0" w:color="D9D9D9"/>
              <w:left w:val="nil"/>
              <w:bottom w:val="single" w:sz="12" w:space="0" w:color="auto"/>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proofErr w:type="spellStart"/>
            <w:r w:rsidRPr="001D5F92">
              <w:rPr>
                <w:rFonts w:ascii="Segoe UI" w:hAnsi="Segoe UI" w:cs="Segoe UI"/>
                <w:color w:val="000000"/>
                <w:sz w:val="13"/>
                <w:szCs w:val="13"/>
              </w:rPr>
              <w:t>Σταθμισμένα</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Στοιχεία</w:t>
            </w:r>
            <w:proofErr w:type="spellEnd"/>
            <w:r w:rsidRPr="001D5F92">
              <w:rPr>
                <w:rFonts w:ascii="Segoe UI" w:hAnsi="Segoe UI" w:cs="Segoe UI"/>
                <w:color w:val="000000"/>
                <w:sz w:val="13"/>
                <w:szCs w:val="13"/>
              </w:rPr>
              <w:t xml:space="preserve"> </w:t>
            </w:r>
            <w:proofErr w:type="spellStart"/>
            <w:r w:rsidRPr="001D5F92">
              <w:rPr>
                <w:rFonts w:ascii="Segoe UI" w:hAnsi="Segoe UI" w:cs="Segoe UI"/>
                <w:color w:val="000000"/>
                <w:sz w:val="13"/>
                <w:szCs w:val="13"/>
              </w:rPr>
              <w:t>Ενεργητικού</w:t>
            </w:r>
            <w:proofErr w:type="spellEnd"/>
            <w:r w:rsidRPr="001D5F92">
              <w:rPr>
                <w:rFonts w:ascii="Segoe UI" w:hAnsi="Segoe UI" w:cs="Segoe UI"/>
                <w:color w:val="000000"/>
                <w:sz w:val="13"/>
                <w:szCs w:val="13"/>
              </w:rPr>
              <w:t xml:space="preserve">  </w:t>
            </w:r>
          </w:p>
        </w:tc>
        <w:tc>
          <w:tcPr>
            <w:tcW w:w="1077" w:type="dxa"/>
            <w:tcBorders>
              <w:top w:val="single" w:sz="4" w:space="0" w:color="D9D9D9"/>
              <w:left w:val="nil"/>
              <w:bottom w:val="single" w:sz="12" w:space="0" w:color="auto"/>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12" w:space="0" w:color="auto"/>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Στοιχεία Ενεργητικού και στοιχεία εκτός Ισολογισμού, προσδιορισμένα βάσει σταθμισμένου κινδύνου, σύμφωνα με τον κανονισμό (</w:t>
            </w:r>
            <w:r w:rsidRPr="001D5F92">
              <w:rPr>
                <w:rFonts w:ascii="Segoe UI" w:hAnsi="Segoe UI" w:cs="Segoe UI"/>
                <w:color w:val="000000"/>
                <w:sz w:val="13"/>
                <w:szCs w:val="13"/>
              </w:rPr>
              <w:t>EU</w:t>
            </w:r>
            <w:r w:rsidRPr="00715530">
              <w:rPr>
                <w:rFonts w:ascii="Segoe UI" w:hAnsi="Segoe UI" w:cs="Segoe UI"/>
                <w:color w:val="000000"/>
                <w:sz w:val="13"/>
                <w:szCs w:val="13"/>
                <w:lang w:val="el-GR"/>
              </w:rPr>
              <w:t>) 575/2013</w:t>
            </w:r>
          </w:p>
        </w:tc>
      </w:tr>
    </w:tbl>
    <w:p w:rsidR="00314D49" w:rsidRPr="00B8495A" w:rsidRDefault="00314D49">
      <w:pPr>
        <w:spacing w:after="0" w:line="240" w:lineRule="auto"/>
        <w:rPr>
          <w:rFonts w:ascii="Segoe UI" w:hAnsi="Segoe UI" w:cs="Segoe UI"/>
          <w:b/>
          <w:sz w:val="16"/>
          <w:lang w:val="el-GR"/>
        </w:rPr>
      </w:pPr>
      <w:r w:rsidRPr="00B8495A">
        <w:rPr>
          <w:rFonts w:ascii="Segoe UI" w:hAnsi="Segoe UI" w:cs="Segoe UI"/>
          <w:b/>
          <w:sz w:val="16"/>
          <w:lang w:val="el-GR"/>
        </w:rPr>
        <w:br w:type="page"/>
      </w:r>
    </w:p>
    <w:p w:rsidR="000C3F12" w:rsidRPr="00751AEB" w:rsidRDefault="000C3F12" w:rsidP="004929D8">
      <w:pPr>
        <w:spacing w:after="160"/>
        <w:jc w:val="both"/>
        <w:rPr>
          <w:rFonts w:ascii="Segoe UI" w:hAnsi="Segoe UI" w:cs="Segoe UI"/>
          <w:b/>
          <w:sz w:val="16"/>
          <w:lang w:val="el-GR"/>
        </w:rPr>
      </w:pPr>
      <w:r w:rsidRPr="00751AEB">
        <w:rPr>
          <w:rFonts w:ascii="Segoe UI" w:hAnsi="Segoe UI" w:cs="Segoe UI"/>
          <w:b/>
          <w:sz w:val="16"/>
          <w:lang w:val="el-GR"/>
        </w:rPr>
        <w:lastRenderedPageBreak/>
        <w:t>ΔΗΛΩΣΗ ΑΠΟΠΟΙΗΣΗΣ ΕΥΘΥΝΗΣ</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Η Εθνική Τράπεζα της Ελλάδος (ο «</w:t>
      </w:r>
      <w:r w:rsidRPr="00751AEB">
        <w:rPr>
          <w:rFonts w:ascii="Segoe UI" w:hAnsi="Segoe UI" w:cs="Segoe UI"/>
          <w:b/>
          <w:sz w:val="16"/>
          <w:lang w:val="el-GR"/>
        </w:rPr>
        <w:t>Όμιλος</w:t>
      </w:r>
      <w:r w:rsidRPr="00751AEB">
        <w:rPr>
          <w:rFonts w:ascii="Segoe UI" w:hAnsi="Segoe UI" w:cs="Segoe UI"/>
          <w:sz w:val="16"/>
          <w:lang w:val="el-GR"/>
        </w:rPr>
        <w:t xml:space="preserve">») δεν προβαίνει και δεν θα προβεί σε καμία </w:t>
      </w:r>
      <w:proofErr w:type="spellStart"/>
      <w:r w:rsidRPr="00751AEB">
        <w:rPr>
          <w:rFonts w:ascii="Segoe UI" w:hAnsi="Segoe UI" w:cs="Segoe UI"/>
          <w:sz w:val="16"/>
          <w:lang w:val="el-GR"/>
        </w:rPr>
        <w:t>εγγυοδοτική</w:t>
      </w:r>
      <w:proofErr w:type="spellEnd"/>
      <w:r w:rsidRPr="00751AEB">
        <w:rPr>
          <w:rFonts w:ascii="Segoe UI" w:hAnsi="Segoe UI" w:cs="Segoe UI"/>
          <w:sz w:val="16"/>
          <w:lang w:val="el-GR"/>
        </w:rPr>
        <w:t xml:space="preserve"> δήλωση ή άλλη εγγύηση, ρητή ή σιωπηρή, και δεν αποδέχεται ούτε θα αποδεχτεί ευθύνη ως προς την ακρίβεια ή πληρότητα των πληροφοριών που περιέχονται στην παρούσα ανακοίνωση και τίποτε από τα αναφερόμενα στην παρούσα ανακοίνωση δεν μπορεί να θεωρηθεί ότι συνιστά τέτοια δήλωση ή εγγύηση. </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 xml:space="preserve">Παρόλο που οι δηλώσεις που αφορούν σε πραγματικά γεγονότα και ορισμένες πληροφορίες για τον κλάδο, την αγορά και τον ανταγωνισμό που περιέχονται στην παρούσα ανακοίνωση, έχουν προκύψει από και είναι βασισμένες σε πηγές που θεωρούνται από την Εθνική Τράπεζα της Ελλάδος αξιόπιστες, η ακρίβειά τους δεν είναι εγγυημένη και κάθε τέτοια πληροφορία μπορεί να είναι ελλιπής ή συνοπτική. Όλες οι απόψεις και εκτιμήσεις που περιλαμβάνονται στην παρούσα ανακοίνωση είναι υποκείμενες σε αλλαγή χωρίς προηγούμενη ειδοποίηση. Ο Όμιλος δεν φέρει ευθύνη να </w:t>
      </w:r>
      <w:proofErr w:type="spellStart"/>
      <w:r w:rsidRPr="00751AEB">
        <w:rPr>
          <w:rFonts w:ascii="Segoe UI" w:hAnsi="Segoe UI" w:cs="Segoe UI"/>
          <w:sz w:val="16"/>
          <w:lang w:val="el-GR"/>
        </w:rPr>
        <w:t>επικαιροποιεί</w:t>
      </w:r>
      <w:proofErr w:type="spellEnd"/>
      <w:r w:rsidRPr="00751AEB">
        <w:rPr>
          <w:rFonts w:ascii="Segoe UI" w:hAnsi="Segoe UI" w:cs="Segoe UI"/>
          <w:sz w:val="16"/>
          <w:lang w:val="el-GR"/>
        </w:rPr>
        <w:t xml:space="preserve"> ή να διατηρεί ως έχουν τις πληροφορίες που περιέχονται στην παρούσα ανακοίνωση.</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Επιπλέον, ορισμένα από αυτά τα στοιχεία προέρχονται από εσωτερική έρευνα και εκτιμήσεις του ίδιου του Ομίλου βάσει γνώσεως και εμπειρίας στη διαχείριση της αγοράς στην οποία δραστηριοποιείται. Η εν λόγω έρευνα και οι εκτιμήσεις, καθώς και η υποκείμενη μεθοδολογία τους δεν έχουν ελεγχθεί από οποιαδήποτε ανεξάρτητη αρχή για την ακρίβεια και την πληρότητά τους. Συνεπώς, δεν θα πρέπει ο αναγνώστης να βασίζεται υπέρμετρα σε αυτές.</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Η παρούσα ανακοίνωση περιλαμβάνει ορισμένες δηλώσεις που αφορούν σε μελλοντικές εξελίξεις. Οι εν λόγω δηλώσεις υπόκεινται σε κινδύνους και αβεβαιότητες που θα μπορούσαν να επηρεάσουν ουσιωδώς τα αναμενόμενα αποτελέσματα. Οι εν λόγω κίνδυνοι και αβεβαιότητες περιλαμβάνουν, μεταξύ άλλων, τη μεταβολή των οικονομικών, χρηματοοικονομικών, επιχειρηματικών ή άλλων συνθηκών της αγοράς. Ως αποτέλεσμα, συνιστάται στους αναγνώστες να μη βασιστούν στις δηλώσεις που αφορούν σε μελλοντικές εξελίξεις. Το περιεχόμενο της παρούσας ανακοίνωσης δεν πρέπει να ερμηνευθεί ως πρόβλεψη κερδών και δεν υπάρχει εγγύηση ότι οι εν λόγω δηλώσεις και προβλέψεις θα πραγματοποιηθούν. Συνιστάται στους αποδέκτες της παρούσας να μην αποδώσουν αδικαιολόγητη βαρύτητα στις εν λόγω δηλώσεις, οι οποίες απηχούν τις θέσεις του Ομίλου μόνο κατά την ημερομηνία της παρούσας ανακοίνωσης, και να προβούν σε δική τους ανεξάρτητη ανάλυση και απόφαση σε σχέση με τις περιόδους στις οποίες αφορούν οι προβλέψεις.</w:t>
      </w:r>
    </w:p>
    <w:p w:rsidR="000C3F12" w:rsidRPr="00751AEB" w:rsidRDefault="000C3F12" w:rsidP="004929D8">
      <w:pPr>
        <w:spacing w:after="160"/>
        <w:jc w:val="both"/>
        <w:rPr>
          <w:rFonts w:ascii="Segoe UI" w:hAnsi="Segoe UI" w:cs="Segoe UI"/>
          <w:sz w:val="16"/>
          <w:lang w:val="el-GR"/>
        </w:rPr>
      </w:pPr>
    </w:p>
    <w:sectPr w:rsidR="000C3F12" w:rsidRPr="00751AEB" w:rsidSect="0096101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388" w:right="1274" w:bottom="709" w:left="1985"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463" w:rsidRDefault="00F81463">
      <w:pPr>
        <w:spacing w:after="0" w:line="240" w:lineRule="auto"/>
      </w:pPr>
      <w:r>
        <w:separator/>
      </w:r>
    </w:p>
  </w:endnote>
  <w:endnote w:type="continuationSeparator" w:id="0">
    <w:p w:rsidR="00F81463" w:rsidRDefault="00F81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10002FF" w:usb1="4000FCFF" w:usb2="00000009" w:usb3="00000000" w:csb0="000001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794" w:rsidRDefault="00AD779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570060"/>
      <w:docPartObj>
        <w:docPartGallery w:val="Page Numbers (Bottom of Page)"/>
        <w:docPartUnique/>
      </w:docPartObj>
    </w:sdtPr>
    <w:sdtEndPr>
      <w:rPr>
        <w:sz w:val="16"/>
      </w:rPr>
    </w:sdtEndPr>
    <w:sdtContent>
      <w:p w:rsidR="002E354B" w:rsidRPr="007218B0" w:rsidRDefault="00E706B5">
        <w:pPr>
          <w:pStyle w:val="a6"/>
          <w:jc w:val="right"/>
          <w:rPr>
            <w:sz w:val="16"/>
          </w:rPr>
        </w:pPr>
        <w:r w:rsidRPr="00EE1E78">
          <w:fldChar w:fldCharType="begin"/>
        </w:r>
        <w:r w:rsidR="002E354B" w:rsidRPr="00EE1E78">
          <w:instrText xml:space="preserve"> PAGE   \* MERGEFORMAT </w:instrText>
        </w:r>
        <w:r w:rsidRPr="00EE1E78">
          <w:fldChar w:fldCharType="separate"/>
        </w:r>
        <w:r w:rsidR="00DA6E40">
          <w:rPr>
            <w:noProof/>
          </w:rPr>
          <w:t>3</w:t>
        </w:r>
        <w:r w:rsidRPr="00EE1E78">
          <w:rPr>
            <w:noProof/>
          </w:rPr>
          <w:fldChar w:fldCharType="end"/>
        </w:r>
      </w:p>
    </w:sdtContent>
  </w:sdt>
  <w:p w:rsidR="002E354B" w:rsidRPr="00BA6671" w:rsidRDefault="002E354B" w:rsidP="00D22CCD">
    <w:pPr>
      <w:pStyle w:val="a6"/>
      <w:jc w:val="right"/>
      <w:rPr>
        <w:color w:val="A6A6A6"/>
        <w:sz w:val="18"/>
        <w:szCs w:val="20"/>
        <w:lang w:val="el-G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180683"/>
      <w:docPartObj>
        <w:docPartGallery w:val="Page Numbers (Bottom of Page)"/>
        <w:docPartUnique/>
      </w:docPartObj>
    </w:sdtPr>
    <w:sdtContent>
      <w:p w:rsidR="002E354B" w:rsidRDefault="00E706B5">
        <w:pPr>
          <w:pStyle w:val="a6"/>
          <w:jc w:val="right"/>
        </w:pPr>
        <w:r>
          <w:fldChar w:fldCharType="begin"/>
        </w:r>
        <w:r w:rsidR="002E354B">
          <w:instrText xml:space="preserve"> PAGE   \* MERGEFORMAT </w:instrText>
        </w:r>
        <w:r>
          <w:fldChar w:fldCharType="separate"/>
        </w:r>
        <w:r w:rsidR="002E354B">
          <w:rPr>
            <w:noProof/>
          </w:rPr>
          <w:t>1</w:t>
        </w:r>
        <w:r>
          <w:rPr>
            <w:noProof/>
          </w:rPr>
          <w:fldChar w:fldCharType="end"/>
        </w:r>
      </w:p>
    </w:sdtContent>
  </w:sdt>
  <w:p w:rsidR="002E354B" w:rsidRDefault="002E354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463" w:rsidRDefault="00F81463">
      <w:pPr>
        <w:spacing w:after="0" w:line="240" w:lineRule="auto"/>
      </w:pPr>
      <w:r>
        <w:separator/>
      </w:r>
    </w:p>
  </w:footnote>
  <w:footnote w:type="continuationSeparator" w:id="0">
    <w:p w:rsidR="00F81463" w:rsidRDefault="00F81463">
      <w:pPr>
        <w:spacing w:after="0" w:line="240" w:lineRule="auto"/>
      </w:pPr>
      <w:r>
        <w:continuationSeparator/>
      </w:r>
    </w:p>
  </w:footnote>
  <w:footnote w:id="1">
    <w:p w:rsidR="002E354B" w:rsidRPr="004223DC" w:rsidRDefault="002E354B" w:rsidP="00437FF5">
      <w:pPr>
        <w:pStyle w:val="a8"/>
        <w:jc w:val="both"/>
        <w:rPr>
          <w:rFonts w:ascii="Segoe UI" w:hAnsi="Segoe UI" w:cs="Segoe UI"/>
          <w:sz w:val="12"/>
          <w:szCs w:val="12"/>
          <w:lang w:val="el-GR"/>
        </w:rPr>
      </w:pPr>
      <w:r w:rsidRPr="004223DC">
        <w:rPr>
          <w:rStyle w:val="a9"/>
          <w:rFonts w:ascii="Segoe UI" w:hAnsi="Segoe UI" w:cs="Segoe UI"/>
          <w:sz w:val="12"/>
          <w:szCs w:val="12"/>
        </w:rPr>
        <w:footnoteRef/>
      </w:r>
      <w:r w:rsidRPr="004223DC">
        <w:rPr>
          <w:rFonts w:ascii="Segoe UI" w:hAnsi="Segoe UI" w:cs="Segoe UI"/>
          <w:sz w:val="12"/>
          <w:szCs w:val="12"/>
          <w:lang w:val="el-GR"/>
        </w:rPr>
        <w:t xml:space="preserve"> Περιλαμβάνει τις δραστηριότητες του Ομίλου σε Ρουμανία, Σερβία, Αλβανία, </w:t>
      </w:r>
      <w:r>
        <w:rPr>
          <w:rFonts w:ascii="Segoe UI" w:hAnsi="Segoe UI" w:cs="Segoe UI"/>
          <w:sz w:val="12"/>
          <w:szCs w:val="12"/>
          <w:lang w:val="el-GR"/>
        </w:rPr>
        <w:t xml:space="preserve">ΠΓΜΔ, </w:t>
      </w:r>
      <w:r w:rsidRPr="00F85356">
        <w:rPr>
          <w:rFonts w:ascii="Segoe UI" w:hAnsi="Segoe UI" w:cs="Segoe UI"/>
          <w:sz w:val="12"/>
          <w:szCs w:val="12"/>
          <w:lang w:val="el-GR"/>
        </w:rPr>
        <w:t>Κύπρο, Μάλτα και Αίγυπτο</w:t>
      </w:r>
    </w:p>
  </w:footnote>
  <w:footnote w:id="2">
    <w:p w:rsidR="002E354B" w:rsidRPr="002A220C" w:rsidRDefault="002E354B" w:rsidP="00DA6E40">
      <w:pPr>
        <w:autoSpaceDE w:val="0"/>
        <w:autoSpaceDN w:val="0"/>
        <w:adjustRightInd w:val="0"/>
        <w:spacing w:afterLines="60" w:line="240" w:lineRule="auto"/>
        <w:jc w:val="both"/>
        <w:rPr>
          <w:rFonts w:ascii="Segoe UI" w:hAnsi="Segoe UI" w:cs="Segoe UI"/>
          <w:sz w:val="12"/>
          <w:szCs w:val="14"/>
          <w:lang w:val="el-GR"/>
        </w:rPr>
      </w:pPr>
      <w:r w:rsidRPr="002A220C">
        <w:rPr>
          <w:rStyle w:val="a9"/>
          <w:rFonts w:ascii="Segoe UI" w:hAnsi="Segoe UI" w:cs="Segoe UI"/>
          <w:sz w:val="12"/>
          <w:szCs w:val="14"/>
        </w:rPr>
        <w:footnoteRef/>
      </w:r>
      <w:r w:rsidRPr="002A220C">
        <w:rPr>
          <w:rFonts w:ascii="Segoe UI" w:hAnsi="Segoe UI" w:cs="Segoe UI"/>
          <w:sz w:val="12"/>
          <w:szCs w:val="14"/>
          <w:lang w:val="el-GR"/>
        </w:rPr>
        <w:t xml:space="preserve"> </w:t>
      </w:r>
      <w:r w:rsidRPr="002A220C">
        <w:rPr>
          <w:rFonts w:ascii="Segoe UI" w:hAnsi="Segoe UI" w:cs="Segoe UI"/>
          <w:sz w:val="12"/>
          <w:szCs w:val="14"/>
          <w:lang w:val="el-GR"/>
        </w:rPr>
        <w:t xml:space="preserve">Η </w:t>
      </w:r>
      <w:r w:rsidRPr="00F67F17">
        <w:rPr>
          <w:rFonts w:ascii="Segoe UI" w:hAnsi="Segoe UI" w:cs="Segoe UI"/>
          <w:sz w:val="12"/>
          <w:szCs w:val="14"/>
          <w:lang w:val="el-GR"/>
        </w:rPr>
        <w:t xml:space="preserve">σύγκριση με τις λοιπές εγχώριες </w:t>
      </w:r>
      <w:proofErr w:type="spellStart"/>
      <w:r w:rsidRPr="00F67F17">
        <w:rPr>
          <w:rFonts w:ascii="Segoe UI" w:hAnsi="Segoe UI" w:cs="Segoe UI"/>
          <w:sz w:val="12"/>
          <w:szCs w:val="14"/>
          <w:lang w:val="el-GR"/>
        </w:rPr>
        <w:t>συστημικές</w:t>
      </w:r>
      <w:proofErr w:type="spellEnd"/>
      <w:r w:rsidRPr="00F67F17">
        <w:rPr>
          <w:rFonts w:ascii="Segoe UI" w:hAnsi="Segoe UI" w:cs="Segoe UI"/>
          <w:sz w:val="12"/>
          <w:szCs w:val="14"/>
          <w:lang w:val="el-GR"/>
        </w:rPr>
        <w:t xml:space="preserve"> τράπεζες βασίζεται στα τελευταία διαθέσιμα στοιχεία</w:t>
      </w:r>
    </w:p>
  </w:footnote>
  <w:footnote w:id="3">
    <w:p w:rsidR="002E354B" w:rsidRPr="002A220C" w:rsidRDefault="002E354B" w:rsidP="00DA6E40">
      <w:pPr>
        <w:pStyle w:val="a8"/>
        <w:spacing w:afterLines="60"/>
        <w:jc w:val="both"/>
        <w:rPr>
          <w:sz w:val="18"/>
          <w:lang w:val="el-GR"/>
        </w:rPr>
      </w:pPr>
      <w:r w:rsidRPr="002A220C">
        <w:rPr>
          <w:rStyle w:val="a9"/>
          <w:rFonts w:ascii="Segoe UI" w:hAnsi="Segoe UI" w:cs="Segoe UI"/>
          <w:sz w:val="12"/>
          <w:szCs w:val="14"/>
        </w:rPr>
        <w:footnoteRef/>
      </w:r>
      <w:r w:rsidRPr="002A220C">
        <w:rPr>
          <w:rFonts w:ascii="Segoe UI" w:hAnsi="Segoe UI" w:cs="Segoe UI"/>
          <w:sz w:val="12"/>
          <w:szCs w:val="14"/>
          <w:lang w:val="el-GR"/>
        </w:rPr>
        <w:t xml:space="preserve"> </w:t>
      </w:r>
      <w:r w:rsidRPr="002A220C">
        <w:rPr>
          <w:rFonts w:ascii="Segoe UI" w:hAnsi="Segoe UI" w:cs="Segoe UI"/>
          <w:sz w:val="12"/>
          <w:szCs w:val="14"/>
          <w:lang w:val="el-GR"/>
        </w:rPr>
        <w:t xml:space="preserve">Περιλαμβάνει τις δραστηριότητες του Ομίλου σε </w:t>
      </w:r>
      <w:r>
        <w:rPr>
          <w:rFonts w:ascii="Segoe UI" w:hAnsi="Segoe UI" w:cs="Segoe UI"/>
          <w:sz w:val="12"/>
          <w:szCs w:val="14"/>
          <w:lang w:val="el-GR"/>
        </w:rPr>
        <w:t xml:space="preserve">Ρουμανία, Σερβία, Αλβανία, ΠΓΔΜ, </w:t>
      </w:r>
      <w:r w:rsidRPr="00F85356">
        <w:rPr>
          <w:rFonts w:ascii="Segoe UI" w:hAnsi="Segoe UI" w:cs="Segoe UI"/>
          <w:sz w:val="12"/>
          <w:szCs w:val="14"/>
          <w:lang w:val="el-GR"/>
        </w:rPr>
        <w:t>Κύπρο, Μάλτα και Αίγυπτο</w:t>
      </w:r>
    </w:p>
  </w:footnote>
  <w:footnote w:id="4">
    <w:p w:rsidR="002E354B" w:rsidRPr="004929D8" w:rsidRDefault="002E354B" w:rsidP="00DA6E40">
      <w:pPr>
        <w:pStyle w:val="a8"/>
        <w:spacing w:afterLines="60"/>
        <w:jc w:val="both"/>
        <w:rPr>
          <w:rFonts w:ascii="Segoe UI" w:hAnsi="Segoe UI" w:cs="Segoe UI"/>
          <w:sz w:val="14"/>
          <w:szCs w:val="14"/>
          <w:lang w:val="el-GR"/>
        </w:rPr>
      </w:pPr>
      <w:r w:rsidRPr="002A220C">
        <w:rPr>
          <w:rStyle w:val="a9"/>
          <w:rFonts w:ascii="Segoe UI" w:hAnsi="Segoe UI" w:cs="Segoe UI"/>
          <w:sz w:val="12"/>
          <w:szCs w:val="14"/>
        </w:rPr>
        <w:footnoteRef/>
      </w:r>
      <w:r w:rsidRPr="00885F17">
        <w:rPr>
          <w:rFonts w:ascii="Segoe UI" w:hAnsi="Segoe UI" w:cs="Segoe UI"/>
          <w:sz w:val="12"/>
          <w:szCs w:val="14"/>
          <w:lang w:val="el-GR"/>
        </w:rPr>
        <w:t xml:space="preserve"> </w:t>
      </w:r>
      <w:r w:rsidRPr="002A220C">
        <w:rPr>
          <w:rFonts w:ascii="Segoe UI" w:hAnsi="Segoe UI" w:cs="Segoe UI"/>
          <w:sz w:val="12"/>
          <w:szCs w:val="14"/>
          <w:lang w:val="el-GR"/>
        </w:rPr>
        <w:t xml:space="preserve">Η </w:t>
      </w:r>
      <w:r w:rsidRPr="00F67F17">
        <w:rPr>
          <w:rFonts w:ascii="Segoe UI" w:hAnsi="Segoe UI" w:cs="Segoe UI"/>
          <w:sz w:val="12"/>
          <w:szCs w:val="14"/>
          <w:lang w:val="el-GR"/>
        </w:rPr>
        <w:t xml:space="preserve">σύγκριση με τις λοιπές εγχώριες </w:t>
      </w:r>
      <w:proofErr w:type="spellStart"/>
      <w:r w:rsidRPr="00F67F17">
        <w:rPr>
          <w:rFonts w:ascii="Segoe UI" w:hAnsi="Segoe UI" w:cs="Segoe UI"/>
          <w:sz w:val="12"/>
          <w:szCs w:val="14"/>
          <w:lang w:val="el-GR"/>
        </w:rPr>
        <w:t>συστημικές</w:t>
      </w:r>
      <w:proofErr w:type="spellEnd"/>
      <w:r w:rsidRPr="00F67F17">
        <w:rPr>
          <w:rFonts w:ascii="Segoe UI" w:hAnsi="Segoe UI" w:cs="Segoe UI"/>
          <w:sz w:val="12"/>
          <w:szCs w:val="14"/>
          <w:lang w:val="el-GR"/>
        </w:rPr>
        <w:t xml:space="preserve"> τράπεζες βασίζεται στα τελευταία διαθέσιμα στοιχεία</w:t>
      </w:r>
    </w:p>
  </w:footnote>
  <w:footnote w:id="5">
    <w:p w:rsidR="002E354B" w:rsidRPr="004929D8" w:rsidRDefault="002E354B" w:rsidP="00DA6E40">
      <w:pPr>
        <w:pStyle w:val="a8"/>
        <w:spacing w:afterLines="60"/>
        <w:jc w:val="both"/>
        <w:rPr>
          <w:rFonts w:ascii="Segoe UI" w:hAnsi="Segoe UI" w:cs="Segoe UI"/>
          <w:sz w:val="14"/>
          <w:szCs w:val="14"/>
          <w:lang w:val="el-GR"/>
        </w:rPr>
      </w:pPr>
      <w:r w:rsidRPr="002A220C">
        <w:rPr>
          <w:rStyle w:val="a9"/>
          <w:rFonts w:ascii="Segoe UI" w:hAnsi="Segoe UI" w:cs="Segoe UI"/>
          <w:sz w:val="12"/>
          <w:szCs w:val="14"/>
        </w:rPr>
        <w:footnoteRef/>
      </w:r>
      <w:r w:rsidRPr="00885F17">
        <w:rPr>
          <w:rFonts w:ascii="Segoe UI" w:hAnsi="Segoe UI" w:cs="Segoe UI"/>
          <w:sz w:val="12"/>
          <w:szCs w:val="14"/>
          <w:lang w:val="el-GR"/>
        </w:rPr>
        <w:t xml:space="preserve"> </w:t>
      </w:r>
      <w:r w:rsidRPr="002A220C">
        <w:rPr>
          <w:rFonts w:ascii="Segoe UI" w:hAnsi="Segoe UI" w:cs="Segoe UI"/>
          <w:sz w:val="12"/>
          <w:szCs w:val="14"/>
          <w:lang w:val="el-GR"/>
        </w:rPr>
        <w:t xml:space="preserve">Περιλαμβάνει τις δραστηριότητες του Ομίλου σε </w:t>
      </w:r>
      <w:r>
        <w:rPr>
          <w:rFonts w:ascii="Segoe UI" w:hAnsi="Segoe UI" w:cs="Segoe UI"/>
          <w:sz w:val="12"/>
          <w:szCs w:val="14"/>
          <w:lang w:val="el-GR"/>
        </w:rPr>
        <w:t xml:space="preserve">Ρουμανία, Σερβία, Αλβανία, ΠΓΔΜ, </w:t>
      </w:r>
      <w:r w:rsidRPr="00F85356">
        <w:rPr>
          <w:rFonts w:ascii="Segoe UI" w:hAnsi="Segoe UI" w:cs="Segoe UI"/>
          <w:sz w:val="12"/>
          <w:szCs w:val="14"/>
          <w:lang w:val="el-GR"/>
        </w:rPr>
        <w:t>Κύπρο, Μάλτα και Αίγυπτο</w:t>
      </w:r>
    </w:p>
  </w:footnote>
  <w:footnote w:id="6">
    <w:p w:rsidR="002E354B" w:rsidRPr="004929D8" w:rsidRDefault="002E354B" w:rsidP="00DA6E40">
      <w:pPr>
        <w:pStyle w:val="a8"/>
        <w:spacing w:afterLines="60"/>
        <w:jc w:val="both"/>
        <w:rPr>
          <w:rFonts w:ascii="Segoe UI" w:hAnsi="Segoe UI" w:cs="Segoe UI"/>
          <w:sz w:val="14"/>
          <w:szCs w:val="14"/>
          <w:lang w:val="el-GR"/>
        </w:rPr>
      </w:pPr>
      <w:r w:rsidRPr="002A220C">
        <w:rPr>
          <w:rStyle w:val="a9"/>
          <w:rFonts w:ascii="Segoe UI" w:hAnsi="Segoe UI" w:cs="Segoe UI"/>
          <w:sz w:val="12"/>
          <w:szCs w:val="14"/>
        </w:rPr>
        <w:footnoteRef/>
      </w:r>
      <w:r w:rsidRPr="00885F17">
        <w:rPr>
          <w:rFonts w:ascii="Segoe UI" w:hAnsi="Segoe UI" w:cs="Segoe UI"/>
          <w:sz w:val="12"/>
          <w:szCs w:val="14"/>
          <w:lang w:val="el-GR"/>
        </w:rPr>
        <w:t xml:space="preserve"> </w:t>
      </w:r>
      <w:r w:rsidRPr="002A220C">
        <w:rPr>
          <w:rFonts w:ascii="Segoe UI" w:hAnsi="Segoe UI" w:cs="Segoe UI"/>
          <w:sz w:val="12"/>
          <w:szCs w:val="14"/>
          <w:lang w:val="el-GR"/>
        </w:rPr>
        <w:t xml:space="preserve">Στοιχεία με ημερομηνία </w:t>
      </w:r>
      <w:r>
        <w:rPr>
          <w:rFonts w:ascii="Segoe UI" w:hAnsi="Segoe UI" w:cs="Segoe UI"/>
          <w:sz w:val="12"/>
          <w:szCs w:val="14"/>
          <w:lang w:val="el-GR"/>
        </w:rPr>
        <w:t>22 Μαρτίου</w:t>
      </w:r>
      <w:r w:rsidRPr="002A220C">
        <w:rPr>
          <w:rFonts w:ascii="Segoe UI" w:hAnsi="Segoe UI" w:cs="Segoe UI"/>
          <w:sz w:val="12"/>
          <w:szCs w:val="14"/>
          <w:lang w:val="el-GR"/>
        </w:rPr>
        <w:t>, 201</w:t>
      </w:r>
      <w:r>
        <w:rPr>
          <w:rFonts w:ascii="Segoe UI" w:hAnsi="Segoe UI" w:cs="Segoe UI"/>
          <w:sz w:val="12"/>
          <w:szCs w:val="14"/>
          <w:lang w:val="el-GR"/>
        </w:rPr>
        <w:t>7</w:t>
      </w:r>
    </w:p>
  </w:footnote>
  <w:footnote w:id="7">
    <w:p w:rsidR="002E354B" w:rsidRPr="00330556" w:rsidRDefault="002E354B" w:rsidP="00F178C8">
      <w:pPr>
        <w:pStyle w:val="a8"/>
        <w:spacing w:after="60"/>
        <w:jc w:val="both"/>
        <w:rPr>
          <w:rFonts w:ascii="Segoe UI" w:hAnsi="Segoe UI" w:cs="Segoe UI"/>
          <w:sz w:val="14"/>
          <w:szCs w:val="14"/>
          <w:lang w:val="el-GR"/>
        </w:rPr>
      </w:pPr>
      <w:r w:rsidRPr="00E8717E">
        <w:rPr>
          <w:rStyle w:val="a9"/>
          <w:rFonts w:ascii="Segoe UI" w:hAnsi="Segoe UI" w:cs="Segoe UI"/>
          <w:sz w:val="12"/>
          <w:szCs w:val="14"/>
        </w:rPr>
        <w:footnoteRef/>
      </w:r>
      <w:r w:rsidRPr="00E8717E">
        <w:rPr>
          <w:rFonts w:ascii="Segoe UI" w:hAnsi="Segoe UI" w:cs="Segoe UI"/>
          <w:sz w:val="12"/>
          <w:szCs w:val="14"/>
          <w:lang w:val="el-GR"/>
        </w:rPr>
        <w:t xml:space="preserve"> </w:t>
      </w:r>
      <w:r w:rsidRPr="00E8717E">
        <w:rPr>
          <w:rFonts w:ascii="Segoe UI" w:hAnsi="Segoe UI" w:cs="Segoe UI"/>
          <w:sz w:val="12"/>
          <w:szCs w:val="14"/>
          <w:lang w:val="el-GR"/>
        </w:rPr>
        <w:t xml:space="preserve">Ο όμιλος εξαιρεί τα στοιχεία </w:t>
      </w:r>
      <w:r>
        <w:rPr>
          <w:rFonts w:ascii="Segoe UI" w:hAnsi="Segoe UI" w:cs="Segoe UI"/>
          <w:sz w:val="12"/>
          <w:szCs w:val="14"/>
          <w:lang w:val="el-GR"/>
        </w:rPr>
        <w:t>Ε</w:t>
      </w:r>
      <w:r w:rsidRPr="00E8717E">
        <w:rPr>
          <w:rFonts w:ascii="Segoe UI" w:hAnsi="Segoe UI" w:cs="Segoe UI"/>
          <w:sz w:val="12"/>
          <w:szCs w:val="14"/>
          <w:lang w:val="el-GR"/>
        </w:rPr>
        <w:t>νεργητικού και τα κέρδη / (ζημίες) από διακοπείσες δραστηριότητες</w:t>
      </w:r>
      <w:r>
        <w:rPr>
          <w:rFonts w:ascii="Segoe UI" w:hAnsi="Segoe UI" w:cs="Segoe UI"/>
          <w:sz w:val="12"/>
          <w:szCs w:val="14"/>
          <w:lang w:val="el-GR"/>
        </w:rPr>
        <w:t xml:space="preserve"> (</w:t>
      </w:r>
      <w:proofErr w:type="spellStart"/>
      <w:r>
        <w:rPr>
          <w:rFonts w:ascii="Segoe UI" w:hAnsi="Segoe UI" w:cs="Segoe UI"/>
          <w:sz w:val="12"/>
          <w:szCs w:val="14"/>
          <w:lang w:val="en-US"/>
        </w:rPr>
        <w:t>Finansbank</w:t>
      </w:r>
      <w:proofErr w:type="spellEnd"/>
      <w:r>
        <w:rPr>
          <w:rFonts w:ascii="Segoe UI" w:hAnsi="Segoe UI" w:cs="Segoe UI"/>
          <w:sz w:val="12"/>
          <w:szCs w:val="14"/>
          <w:lang w:val="el-GR"/>
        </w:rPr>
        <w:t xml:space="preserve">, </w:t>
      </w:r>
      <w:r>
        <w:rPr>
          <w:rFonts w:ascii="Segoe UI" w:hAnsi="Segoe UI" w:cs="Segoe UI"/>
          <w:sz w:val="12"/>
          <w:szCs w:val="14"/>
          <w:lang w:val="en-US"/>
        </w:rPr>
        <w:t>NBGI</w:t>
      </w:r>
      <w:r>
        <w:rPr>
          <w:rFonts w:ascii="Segoe UI" w:hAnsi="Segoe UI" w:cs="Segoe UI"/>
          <w:sz w:val="12"/>
          <w:szCs w:val="14"/>
          <w:lang w:val="el-GR"/>
        </w:rPr>
        <w:t xml:space="preserve">, ΑΣΤΗΡ ΠΑΛΑΣ, </w:t>
      </w:r>
      <w:r>
        <w:rPr>
          <w:rFonts w:ascii="Segoe UI" w:hAnsi="Segoe UI" w:cs="Segoe UI"/>
          <w:sz w:val="12"/>
          <w:szCs w:val="14"/>
          <w:lang w:val="en-US"/>
        </w:rPr>
        <w:t>UBB</w:t>
      </w:r>
      <w:r w:rsidRPr="007C65DD">
        <w:rPr>
          <w:rFonts w:ascii="Segoe UI" w:hAnsi="Segoe UI" w:cs="Segoe UI"/>
          <w:sz w:val="12"/>
          <w:szCs w:val="14"/>
          <w:lang w:val="el-GR"/>
        </w:rPr>
        <w:t xml:space="preserve"> &amp; </w:t>
      </w:r>
      <w:proofErr w:type="spellStart"/>
      <w:r>
        <w:rPr>
          <w:rFonts w:ascii="Segoe UI" w:hAnsi="Segoe UI" w:cs="Segoe UI"/>
          <w:sz w:val="12"/>
          <w:szCs w:val="14"/>
          <w:lang w:val="en-US"/>
        </w:rPr>
        <w:t>Interlease</w:t>
      </w:r>
      <w:proofErr w:type="spellEnd"/>
      <w:r w:rsidRPr="007C65DD">
        <w:rPr>
          <w:rFonts w:ascii="Segoe UI" w:hAnsi="Segoe UI" w:cs="Segoe UI"/>
          <w:sz w:val="12"/>
          <w:szCs w:val="14"/>
          <w:lang w:val="el-GR"/>
        </w:rPr>
        <w:t xml:space="preserve"> </w:t>
      </w:r>
      <w:r>
        <w:rPr>
          <w:rFonts w:ascii="Segoe UI" w:hAnsi="Segoe UI" w:cs="Segoe UI"/>
          <w:sz w:val="12"/>
          <w:szCs w:val="14"/>
          <w:lang w:val="el-GR"/>
        </w:rPr>
        <w:t xml:space="preserve">και </w:t>
      </w:r>
      <w:r>
        <w:rPr>
          <w:rFonts w:ascii="Segoe UI" w:hAnsi="Segoe UI" w:cs="Segoe UI"/>
          <w:sz w:val="12"/>
          <w:szCs w:val="14"/>
          <w:lang w:val="en-US"/>
        </w:rPr>
        <w:t>S</w:t>
      </w:r>
      <w:r>
        <w:rPr>
          <w:rFonts w:ascii="Segoe UI" w:hAnsi="Segoe UI" w:cs="Segoe UI"/>
          <w:sz w:val="12"/>
          <w:szCs w:val="14"/>
          <w:lang w:val="el-GR"/>
        </w:rPr>
        <w:t>.</w:t>
      </w:r>
      <w:r>
        <w:rPr>
          <w:rFonts w:ascii="Segoe UI" w:hAnsi="Segoe UI" w:cs="Segoe UI"/>
          <w:sz w:val="12"/>
          <w:szCs w:val="14"/>
          <w:lang w:val="en-US"/>
        </w:rPr>
        <w:t>A</w:t>
      </w:r>
      <w:r>
        <w:rPr>
          <w:rFonts w:ascii="Segoe UI" w:hAnsi="Segoe UI" w:cs="Segoe UI"/>
          <w:sz w:val="12"/>
          <w:szCs w:val="14"/>
          <w:lang w:val="el-GR"/>
        </w:rPr>
        <w:t>.</w:t>
      </w:r>
      <w:r>
        <w:rPr>
          <w:rFonts w:ascii="Segoe UI" w:hAnsi="Segoe UI" w:cs="Segoe UI"/>
          <w:sz w:val="12"/>
          <w:szCs w:val="14"/>
          <w:lang w:val="en-US"/>
        </w:rPr>
        <w:t>B</w:t>
      </w:r>
      <w:r>
        <w:rPr>
          <w:rFonts w:ascii="Segoe UI" w:hAnsi="Segoe UI" w:cs="Segoe UI"/>
          <w:sz w:val="12"/>
          <w:szCs w:val="14"/>
          <w:lang w:val="el-GR"/>
        </w:rPr>
        <w:t>.</w:t>
      </w:r>
      <w:r>
        <w:rPr>
          <w:rFonts w:ascii="Segoe UI" w:hAnsi="Segoe UI" w:cs="Segoe UI"/>
          <w:sz w:val="12"/>
          <w:szCs w:val="14"/>
          <w:lang w:val="en-US"/>
        </w:rPr>
        <w:t>A</w:t>
      </w:r>
      <w:r>
        <w:rPr>
          <w:rFonts w:ascii="Segoe UI" w:hAnsi="Segoe UI" w:cs="Segoe UI"/>
          <w:sz w:val="12"/>
          <w:szCs w:val="14"/>
          <w:lang w:val="el-GR"/>
        </w:rPr>
        <w:t xml:space="preserve">.)  </w:t>
      </w:r>
    </w:p>
  </w:footnote>
  <w:footnote w:id="8">
    <w:p w:rsidR="002E354B" w:rsidRPr="001B088D" w:rsidRDefault="002E354B" w:rsidP="00F178C8">
      <w:pPr>
        <w:spacing w:after="60" w:line="240" w:lineRule="auto"/>
        <w:jc w:val="both"/>
        <w:rPr>
          <w:rFonts w:ascii="Segoe UI" w:hAnsi="Segoe UI" w:cs="Segoe UI"/>
          <w:sz w:val="12"/>
          <w:szCs w:val="12"/>
          <w:lang w:val="el-GR"/>
        </w:rPr>
      </w:pPr>
      <w:r w:rsidRPr="001B088D">
        <w:rPr>
          <w:rStyle w:val="a9"/>
          <w:rFonts w:ascii="Segoe UI" w:hAnsi="Segoe UI" w:cs="Segoe UI"/>
          <w:sz w:val="12"/>
          <w:szCs w:val="12"/>
        </w:rPr>
        <w:footnoteRef/>
      </w:r>
      <w:r w:rsidRPr="001B088D">
        <w:rPr>
          <w:rFonts w:ascii="Segoe UI" w:hAnsi="Segoe UI" w:cs="Segoe UI"/>
          <w:sz w:val="12"/>
          <w:szCs w:val="12"/>
          <w:lang w:val="el-GR"/>
        </w:rPr>
        <w:t xml:space="preserve"> </w:t>
      </w:r>
      <w:r w:rsidRPr="001B088D">
        <w:rPr>
          <w:rFonts w:ascii="Segoe UI" w:hAnsi="Segoe UI" w:cs="Segoe UI"/>
          <w:sz w:val="12"/>
          <w:szCs w:val="12"/>
          <w:lang w:val="el-GR"/>
        </w:rPr>
        <w:t xml:space="preserve">Περιλαμβάνει τις δραστηριότητες του Ομίλου σε, </w:t>
      </w:r>
      <w:r>
        <w:rPr>
          <w:rFonts w:ascii="Segoe UI" w:hAnsi="Segoe UI" w:cs="Segoe UI"/>
          <w:sz w:val="12"/>
          <w:szCs w:val="12"/>
          <w:lang w:val="el-GR"/>
        </w:rPr>
        <w:t>Ρουμανία, Σερβία, Αλβανία, ΠΓΔΜ, Κύπρο, Μάλτα και Αίγυπτο</w:t>
      </w:r>
    </w:p>
  </w:footnote>
  <w:footnote w:id="9">
    <w:p w:rsidR="002E354B" w:rsidRPr="001B088D" w:rsidRDefault="002E354B" w:rsidP="004E5C7D">
      <w:pPr>
        <w:spacing w:after="60" w:line="240" w:lineRule="auto"/>
        <w:jc w:val="both"/>
        <w:rPr>
          <w:rFonts w:ascii="Segoe UI" w:hAnsi="Segoe UI" w:cs="Segoe UI"/>
          <w:sz w:val="12"/>
          <w:szCs w:val="12"/>
          <w:lang w:val="el-GR"/>
        </w:rPr>
      </w:pPr>
      <w:r w:rsidRPr="001B088D">
        <w:rPr>
          <w:rStyle w:val="a9"/>
          <w:rFonts w:ascii="Segoe UI" w:hAnsi="Segoe UI" w:cs="Segoe UI"/>
          <w:sz w:val="12"/>
          <w:szCs w:val="12"/>
        </w:rPr>
        <w:footnoteRef/>
      </w:r>
      <w:r w:rsidRPr="001B088D">
        <w:rPr>
          <w:rFonts w:ascii="Segoe UI" w:hAnsi="Segoe UI" w:cs="Segoe UI"/>
          <w:sz w:val="12"/>
          <w:szCs w:val="12"/>
          <w:lang w:val="el-GR"/>
        </w:rPr>
        <w:t xml:space="preserve"> </w:t>
      </w:r>
      <w:r>
        <w:rPr>
          <w:rFonts w:ascii="Segoe UI" w:hAnsi="Segoe UI" w:cs="Segoe UI"/>
          <w:sz w:val="12"/>
          <w:szCs w:val="12"/>
          <w:lang w:val="el-GR"/>
        </w:rPr>
        <w:t xml:space="preserve">Τα δάνεια προ προβλέψεων και οι καταθέσεις για το Γ’ τρίμηνο του 2016 και το 2015 εξαιρούν τη </w:t>
      </w:r>
      <w:r>
        <w:rPr>
          <w:rFonts w:ascii="Segoe UI" w:hAnsi="Segoe UI" w:cs="Segoe UI"/>
          <w:sz w:val="12"/>
          <w:szCs w:val="12"/>
          <w:lang w:val="en-US"/>
        </w:rPr>
        <w:t>S</w:t>
      </w:r>
      <w:r w:rsidRPr="009D7304">
        <w:rPr>
          <w:rFonts w:ascii="Segoe UI" w:hAnsi="Segoe UI" w:cs="Segoe UI"/>
          <w:sz w:val="12"/>
          <w:szCs w:val="12"/>
          <w:lang w:val="el-GR"/>
        </w:rPr>
        <w:t>.</w:t>
      </w:r>
      <w:r>
        <w:rPr>
          <w:rFonts w:ascii="Segoe UI" w:hAnsi="Segoe UI" w:cs="Segoe UI"/>
          <w:sz w:val="12"/>
          <w:szCs w:val="12"/>
          <w:lang w:val="en-US"/>
        </w:rPr>
        <w:t>A</w:t>
      </w:r>
      <w:r w:rsidRPr="009D7304">
        <w:rPr>
          <w:rFonts w:ascii="Segoe UI" w:hAnsi="Segoe UI" w:cs="Segoe UI"/>
          <w:sz w:val="12"/>
          <w:szCs w:val="12"/>
          <w:lang w:val="el-GR"/>
        </w:rPr>
        <w:t>.</w:t>
      </w:r>
      <w:r>
        <w:rPr>
          <w:rFonts w:ascii="Segoe UI" w:hAnsi="Segoe UI" w:cs="Segoe UI"/>
          <w:sz w:val="12"/>
          <w:szCs w:val="12"/>
          <w:lang w:val="en-US"/>
        </w:rPr>
        <w:t>B</w:t>
      </w:r>
      <w:r w:rsidRPr="009D7304">
        <w:rPr>
          <w:rFonts w:ascii="Segoe UI" w:hAnsi="Segoe UI" w:cs="Segoe UI"/>
          <w:sz w:val="12"/>
          <w:szCs w:val="12"/>
          <w:lang w:val="el-GR"/>
        </w:rPr>
        <w:t>.</w:t>
      </w:r>
      <w:r>
        <w:rPr>
          <w:rFonts w:ascii="Segoe UI" w:hAnsi="Segoe UI" w:cs="Segoe UI"/>
          <w:sz w:val="12"/>
          <w:szCs w:val="12"/>
          <w:lang w:val="en-US"/>
        </w:rPr>
        <w:t>A</w:t>
      </w:r>
      <w:r w:rsidRPr="009D7304">
        <w:rPr>
          <w:rFonts w:ascii="Segoe UI" w:hAnsi="Segoe UI" w:cs="Segoe UI"/>
          <w:sz w:val="12"/>
          <w:szCs w:val="12"/>
          <w:lang w:val="el-GR"/>
        </w:rPr>
        <w:t>.</w:t>
      </w:r>
      <w:r>
        <w:rPr>
          <w:rFonts w:ascii="Segoe UI" w:hAnsi="Segoe UI" w:cs="Segoe UI"/>
          <w:sz w:val="12"/>
          <w:szCs w:val="12"/>
          <w:lang w:val="el-GR"/>
        </w:rPr>
        <w:t xml:space="preserve">, </w:t>
      </w:r>
      <w:r>
        <w:rPr>
          <w:rFonts w:ascii="Segoe UI" w:hAnsi="Segoe UI" w:cs="Segoe UI"/>
          <w:sz w:val="12"/>
          <w:szCs w:val="12"/>
          <w:lang w:val="en-US"/>
        </w:rPr>
        <w:t>UBB</w:t>
      </w:r>
      <w:r>
        <w:rPr>
          <w:rFonts w:ascii="Segoe UI" w:hAnsi="Segoe UI" w:cs="Segoe UI"/>
          <w:sz w:val="12"/>
          <w:szCs w:val="12"/>
          <w:lang w:val="el-GR"/>
        </w:rPr>
        <w:t xml:space="preserve"> και</w:t>
      </w:r>
      <w:r w:rsidRPr="009D7304">
        <w:rPr>
          <w:rFonts w:ascii="Segoe UI" w:hAnsi="Segoe UI" w:cs="Segoe UI"/>
          <w:sz w:val="12"/>
          <w:szCs w:val="12"/>
          <w:lang w:val="el-GR"/>
        </w:rPr>
        <w:t xml:space="preserve"> </w:t>
      </w:r>
      <w:proofErr w:type="spellStart"/>
      <w:r>
        <w:rPr>
          <w:rFonts w:ascii="Segoe UI" w:hAnsi="Segoe UI" w:cs="Segoe UI"/>
          <w:sz w:val="12"/>
          <w:szCs w:val="12"/>
          <w:lang w:val="en-US"/>
        </w:rPr>
        <w:t>Interlease</w:t>
      </w:r>
      <w:proofErr w:type="spellEnd"/>
      <w:r>
        <w:rPr>
          <w:rFonts w:ascii="Segoe UI" w:hAnsi="Segoe UI" w:cs="Segoe UI"/>
          <w:sz w:val="12"/>
          <w:szCs w:val="12"/>
          <w:lang w:val="el-GR"/>
        </w:rPr>
        <w:t xml:space="preserve"> που </w:t>
      </w:r>
      <w:r w:rsidRPr="009D7304">
        <w:rPr>
          <w:rFonts w:ascii="Segoe UI" w:hAnsi="Segoe UI" w:cs="Segoe UI"/>
          <w:sz w:val="12"/>
          <w:szCs w:val="14"/>
          <w:lang w:val="el-GR"/>
        </w:rPr>
        <w:t xml:space="preserve">έχουν ταξινομηθεί </w:t>
      </w:r>
      <w:r>
        <w:rPr>
          <w:rFonts w:ascii="Segoe UI" w:hAnsi="Segoe UI" w:cs="Segoe UI"/>
          <w:sz w:val="12"/>
          <w:szCs w:val="14"/>
          <w:lang w:val="el-GR"/>
        </w:rPr>
        <w:t xml:space="preserve">το 2016 </w:t>
      </w:r>
      <w:r w:rsidRPr="009D7304">
        <w:rPr>
          <w:rFonts w:ascii="Segoe UI" w:hAnsi="Segoe UI" w:cs="Segoe UI"/>
          <w:sz w:val="12"/>
          <w:szCs w:val="14"/>
          <w:lang w:val="el-GR"/>
        </w:rPr>
        <w:t xml:space="preserve">ως </w:t>
      </w:r>
      <w:r>
        <w:rPr>
          <w:rFonts w:ascii="Segoe UI" w:hAnsi="Segoe UI" w:cs="Segoe UI"/>
          <w:sz w:val="12"/>
          <w:szCs w:val="14"/>
          <w:lang w:val="el-GR"/>
        </w:rPr>
        <w:t>μ</w:t>
      </w:r>
      <w:r w:rsidRPr="009D7304">
        <w:rPr>
          <w:rFonts w:ascii="Segoe UI" w:hAnsi="Segoe UI" w:cs="Segoe UI"/>
          <w:sz w:val="12"/>
          <w:szCs w:val="14"/>
          <w:lang w:val="el-GR"/>
        </w:rPr>
        <w:t>η κυκλοφορούντα περιουσιακά στοιχεία προοριζόμενα προς πώληση και υποχρεώσεις σχετιζόμενες με μη κυκλοφορούντα περιουσιακά στοιχεία προοριζόμενα προς πώληση</w:t>
      </w:r>
    </w:p>
  </w:footnote>
  <w:footnote w:id="10">
    <w:p w:rsidR="002E354B" w:rsidRPr="001B088D" w:rsidRDefault="002E354B" w:rsidP="000F02F9">
      <w:pPr>
        <w:pStyle w:val="a8"/>
        <w:spacing w:after="60"/>
        <w:rPr>
          <w:lang w:val="el-GR"/>
        </w:rPr>
      </w:pPr>
      <w:r w:rsidRPr="001B088D">
        <w:rPr>
          <w:rStyle w:val="a9"/>
          <w:rFonts w:ascii="Segoe UI" w:hAnsi="Segoe UI" w:cs="Segoe UI"/>
          <w:sz w:val="12"/>
          <w:szCs w:val="12"/>
        </w:rPr>
        <w:footnoteRef/>
      </w:r>
      <w:r w:rsidRPr="001B088D">
        <w:rPr>
          <w:rFonts w:ascii="Segoe UI" w:hAnsi="Segoe UI" w:cs="Segoe UI"/>
          <w:sz w:val="12"/>
          <w:szCs w:val="12"/>
          <w:lang w:val="el-GR"/>
        </w:rPr>
        <w:t xml:space="preserve"> </w:t>
      </w:r>
      <w:r w:rsidRPr="001B088D">
        <w:rPr>
          <w:rFonts w:ascii="Segoe UI" w:hAnsi="Segoe UI" w:cs="Segoe UI"/>
          <w:sz w:val="12"/>
          <w:szCs w:val="12"/>
          <w:lang w:val="el-GR"/>
        </w:rPr>
        <w:t>Τα ίδια Κεφάλαια εξαιρού</w:t>
      </w:r>
      <w:r>
        <w:rPr>
          <w:rFonts w:ascii="Segoe UI" w:hAnsi="Segoe UI" w:cs="Segoe UI"/>
          <w:sz w:val="12"/>
          <w:szCs w:val="12"/>
          <w:lang w:val="el-GR"/>
        </w:rPr>
        <w:t xml:space="preserve">ν τα δικαιώματα μειοψηφίας, καθώς και </w:t>
      </w:r>
      <w:r w:rsidRPr="001B088D">
        <w:rPr>
          <w:rFonts w:ascii="Segoe UI" w:hAnsi="Segoe UI" w:cs="Segoe UI"/>
          <w:sz w:val="12"/>
          <w:szCs w:val="12"/>
          <w:lang w:val="el-GR"/>
        </w:rPr>
        <w:t xml:space="preserve">τις υπό αίρεση μετατρέψιμες ομολογίες </w:t>
      </w:r>
      <w:r>
        <w:rPr>
          <w:rFonts w:ascii="Segoe UI" w:hAnsi="Segoe UI" w:cs="Segoe UI"/>
          <w:sz w:val="12"/>
          <w:szCs w:val="12"/>
          <w:lang w:val="el-GR"/>
        </w:rPr>
        <w:t>ύψους €2,029 εκατ. για το 2015 και το Γ’ τρίμηνο του 2016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794" w:rsidRDefault="00AD779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54B" w:rsidRPr="00C95096" w:rsidRDefault="002E354B" w:rsidP="001523EE">
    <w:pPr>
      <w:pStyle w:val="a5"/>
      <w:pBdr>
        <w:bottom w:val="single" w:sz="4" w:space="1" w:color="BFBFBF"/>
      </w:pBdr>
      <w:tabs>
        <w:tab w:val="clear" w:pos="8306"/>
      </w:tabs>
      <w:spacing w:after="0"/>
      <w:rPr>
        <w:color w:val="808080"/>
        <w:sz w:val="18"/>
        <w:lang w:val="el-GR"/>
      </w:rPr>
    </w:pPr>
    <w:r>
      <w:rPr>
        <w:noProof/>
        <w:color w:val="808080"/>
        <w:sz w:val="18"/>
        <w:lang w:val="el-GR" w:eastAsia="el-GR"/>
      </w:rPr>
      <w:drawing>
        <wp:anchor distT="0" distB="0" distL="114300" distR="114300" simplePos="0" relativeHeight="251656192" behindDoc="0" locked="0" layoutInCell="1" allowOverlap="1">
          <wp:simplePos x="0" y="0"/>
          <wp:positionH relativeFrom="column">
            <wp:posOffset>-808355</wp:posOffset>
          </wp:positionH>
          <wp:positionV relativeFrom="paragraph">
            <wp:posOffset>-170180</wp:posOffset>
          </wp:positionV>
          <wp:extent cx="647700" cy="405765"/>
          <wp:effectExtent l="19050" t="0" r="0" b="0"/>
          <wp:wrapSquare wrapText="bothSides"/>
          <wp:docPr id="9" name="Picture 9" descr="Annual Report 2002_Gr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Report 2002_Gr_0001"/>
                  <pic:cNvPicPr>
                    <a:picLocks noChangeAspect="1" noChangeArrowheads="1"/>
                  </pic:cNvPicPr>
                </pic:nvPicPr>
                <pic:blipFill>
                  <a:blip r:embed="rId1">
                    <a:grayscl/>
                  </a:blip>
                  <a:srcRect/>
                  <a:stretch>
                    <a:fillRect/>
                  </a:stretch>
                </pic:blipFill>
                <pic:spPr bwMode="auto">
                  <a:xfrm>
                    <a:off x="0" y="0"/>
                    <a:ext cx="647700" cy="405765"/>
                  </a:xfrm>
                  <a:prstGeom prst="rect">
                    <a:avLst/>
                  </a:prstGeom>
                  <a:noFill/>
                  <a:ln w="9525">
                    <a:noFill/>
                    <a:miter lim="800000"/>
                    <a:headEnd/>
                    <a:tailEnd/>
                  </a:ln>
                </pic:spPr>
              </pic:pic>
            </a:graphicData>
          </a:graphic>
        </wp:anchor>
      </w:drawing>
    </w:r>
    <w:r>
      <w:rPr>
        <w:noProof/>
        <w:color w:val="808080"/>
        <w:sz w:val="18"/>
        <w:lang w:val="el-GR" w:eastAsia="el-GR"/>
      </w:rPr>
      <w:drawing>
        <wp:anchor distT="0" distB="0" distL="114300" distR="114300" simplePos="0" relativeHeight="251661312" behindDoc="0" locked="0" layoutInCell="1" allowOverlap="1">
          <wp:simplePos x="0" y="0"/>
          <wp:positionH relativeFrom="column">
            <wp:posOffset>-808355</wp:posOffset>
          </wp:positionH>
          <wp:positionV relativeFrom="paragraph">
            <wp:posOffset>-170180</wp:posOffset>
          </wp:positionV>
          <wp:extent cx="647700" cy="405765"/>
          <wp:effectExtent l="19050" t="0" r="0" b="0"/>
          <wp:wrapSquare wrapText="bothSides"/>
          <wp:docPr id="10" name="Picture 1" descr="Annual Report 2002_Gr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Report 2002_Gr_0001"/>
                  <pic:cNvPicPr>
                    <a:picLocks noChangeAspect="1" noChangeArrowheads="1"/>
                  </pic:cNvPicPr>
                </pic:nvPicPr>
                <pic:blipFill>
                  <a:blip r:embed="rId1">
                    <a:grayscl/>
                  </a:blip>
                  <a:srcRect/>
                  <a:stretch>
                    <a:fillRect/>
                  </a:stretch>
                </pic:blipFill>
                <pic:spPr bwMode="auto">
                  <a:xfrm>
                    <a:off x="0" y="0"/>
                    <a:ext cx="647700" cy="405765"/>
                  </a:xfrm>
                  <a:prstGeom prst="rect">
                    <a:avLst/>
                  </a:prstGeom>
                  <a:noFill/>
                  <a:ln w="9525">
                    <a:noFill/>
                    <a:miter lim="800000"/>
                    <a:headEnd/>
                    <a:tailEnd/>
                  </a:ln>
                </pic:spPr>
              </pic:pic>
            </a:graphicData>
          </a:graphic>
        </wp:anchor>
      </w:drawing>
    </w:r>
    <w:r>
      <w:rPr>
        <w:color w:val="808080"/>
        <w:sz w:val="18"/>
        <w:lang w:val="el-GR"/>
      </w:rPr>
      <w:t>Εθνική Τράπεζα της Ελλάδος</w:t>
    </w:r>
    <w:r w:rsidRPr="00E525FE">
      <w:rPr>
        <w:lang w:val="el-GR"/>
      </w:rPr>
      <w:tab/>
    </w:r>
    <w:r w:rsidRPr="00E525FE">
      <w:rPr>
        <w:lang w:val="el-GR"/>
      </w:rPr>
      <w:tab/>
    </w:r>
    <w:r>
      <w:rPr>
        <w:lang w:val="el-GR"/>
      </w:rPr>
      <w:t xml:space="preserve">                                     </w:t>
    </w:r>
    <w:r>
      <w:rPr>
        <w:color w:val="808080"/>
        <w:sz w:val="18"/>
        <w:lang w:val="el-GR"/>
      </w:rPr>
      <w:t>Αποτελέσματα Δ’ Τριμήνου 2016</w:t>
    </w:r>
  </w:p>
  <w:p w:rsidR="002E354B" w:rsidRPr="00E525FE" w:rsidRDefault="002E354B" w:rsidP="00D22CCD">
    <w:pPr>
      <w:pStyle w:val="a5"/>
      <w:pBdr>
        <w:bottom w:val="single" w:sz="4" w:space="1" w:color="BFBFBF"/>
      </w:pBdr>
      <w:tabs>
        <w:tab w:val="clear" w:pos="8306"/>
        <w:tab w:val="right" w:pos="8647"/>
      </w:tabs>
      <w:spacing w:after="0" w:line="120" w:lineRule="auto"/>
      <w:rPr>
        <w:color w:val="808080"/>
        <w:sz w:val="18"/>
        <w:lang w:val="el-G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794" w:rsidRDefault="00AD779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1525E"/>
    <w:multiLevelType w:val="hybridMultilevel"/>
    <w:tmpl w:val="2A94C00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249938D8"/>
    <w:multiLevelType w:val="hybridMultilevel"/>
    <w:tmpl w:val="0D1ADB5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27E35DF2"/>
    <w:multiLevelType w:val="hybridMultilevel"/>
    <w:tmpl w:val="D0A26C3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AC757B2"/>
    <w:multiLevelType w:val="hybridMultilevel"/>
    <w:tmpl w:val="33B65F0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343E7347"/>
    <w:multiLevelType w:val="hybridMultilevel"/>
    <w:tmpl w:val="769C99B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47BB09CF"/>
    <w:multiLevelType w:val="hybridMultilevel"/>
    <w:tmpl w:val="E990C8E4"/>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512C47C3"/>
    <w:multiLevelType w:val="hybridMultilevel"/>
    <w:tmpl w:val="9B940996"/>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7">
    <w:nsid w:val="53651327"/>
    <w:multiLevelType w:val="hybridMultilevel"/>
    <w:tmpl w:val="E920F83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64FC5295"/>
    <w:multiLevelType w:val="hybridMultilevel"/>
    <w:tmpl w:val="DFE4EFD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65374B62"/>
    <w:multiLevelType w:val="hybridMultilevel"/>
    <w:tmpl w:val="71D0BF2E"/>
    <w:lvl w:ilvl="0" w:tplc="04080003">
      <w:start w:val="1"/>
      <w:numFmt w:val="bullet"/>
      <w:lvlText w:val="o"/>
      <w:lvlJc w:val="left"/>
      <w:pPr>
        <w:ind w:left="786" w:hanging="360"/>
      </w:pPr>
      <w:rPr>
        <w:rFonts w:ascii="Courier New" w:hAnsi="Courier New" w:cs="Courier New" w:hint="default"/>
      </w:rPr>
    </w:lvl>
    <w:lvl w:ilvl="1" w:tplc="04080003">
      <w:start w:val="1"/>
      <w:numFmt w:val="bullet"/>
      <w:lvlText w:val="o"/>
      <w:lvlJc w:val="left"/>
      <w:pPr>
        <w:ind w:left="786"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10">
    <w:nsid w:val="6F637C93"/>
    <w:multiLevelType w:val="hybridMultilevel"/>
    <w:tmpl w:val="ECE6B198"/>
    <w:lvl w:ilvl="0" w:tplc="04080003">
      <w:start w:val="1"/>
      <w:numFmt w:val="bullet"/>
      <w:lvlText w:val="o"/>
      <w:lvlJc w:val="left"/>
      <w:pPr>
        <w:ind w:left="717" w:hanging="360"/>
      </w:pPr>
      <w:rPr>
        <w:rFonts w:ascii="Courier New" w:hAnsi="Courier New" w:cs="Courier New" w:hint="default"/>
      </w:rPr>
    </w:lvl>
    <w:lvl w:ilvl="1" w:tplc="04080003">
      <w:start w:val="1"/>
      <w:numFmt w:val="bullet"/>
      <w:lvlText w:val="o"/>
      <w:lvlJc w:val="left"/>
      <w:pPr>
        <w:ind w:left="786"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11">
    <w:nsid w:val="733E6A2F"/>
    <w:multiLevelType w:val="hybridMultilevel"/>
    <w:tmpl w:val="A34AC4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9"/>
  </w:num>
  <w:num w:numId="5">
    <w:abstractNumId w:val="5"/>
  </w:num>
  <w:num w:numId="6">
    <w:abstractNumId w:val="2"/>
  </w:num>
  <w:num w:numId="7">
    <w:abstractNumId w:val="4"/>
  </w:num>
  <w:num w:numId="8">
    <w:abstractNumId w:val="1"/>
  </w:num>
  <w:num w:numId="9">
    <w:abstractNumId w:val="6"/>
  </w:num>
  <w:num w:numId="10">
    <w:abstractNumId w:val="7"/>
  </w:num>
  <w:num w:numId="11">
    <w:abstractNumId w:val="11"/>
  </w:num>
  <w:num w:numId="12">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5362"/>
  </w:hdrShapeDefaults>
  <w:footnotePr>
    <w:numRestart w:val="eachPage"/>
    <w:footnote w:id="-1"/>
    <w:footnote w:id="0"/>
  </w:footnotePr>
  <w:endnotePr>
    <w:endnote w:id="-1"/>
    <w:endnote w:id="0"/>
  </w:endnotePr>
  <w:compat/>
  <w:rsids>
    <w:rsidRoot w:val="00FB32F9"/>
    <w:rsid w:val="000007D5"/>
    <w:rsid w:val="0000174E"/>
    <w:rsid w:val="00001919"/>
    <w:rsid w:val="00001A5A"/>
    <w:rsid w:val="00001C39"/>
    <w:rsid w:val="00002113"/>
    <w:rsid w:val="000021FC"/>
    <w:rsid w:val="0000245F"/>
    <w:rsid w:val="00003678"/>
    <w:rsid w:val="00005427"/>
    <w:rsid w:val="00005C8D"/>
    <w:rsid w:val="0000651D"/>
    <w:rsid w:val="000067C5"/>
    <w:rsid w:val="00006FCF"/>
    <w:rsid w:val="000071B7"/>
    <w:rsid w:val="00007384"/>
    <w:rsid w:val="000074E5"/>
    <w:rsid w:val="000105CF"/>
    <w:rsid w:val="00011093"/>
    <w:rsid w:val="00011437"/>
    <w:rsid w:val="00012193"/>
    <w:rsid w:val="00012D86"/>
    <w:rsid w:val="00012E56"/>
    <w:rsid w:val="000130E6"/>
    <w:rsid w:val="00013421"/>
    <w:rsid w:val="00013668"/>
    <w:rsid w:val="00013AC7"/>
    <w:rsid w:val="00013BF4"/>
    <w:rsid w:val="00013E09"/>
    <w:rsid w:val="0001455A"/>
    <w:rsid w:val="00015168"/>
    <w:rsid w:val="00015205"/>
    <w:rsid w:val="00015243"/>
    <w:rsid w:val="0001730E"/>
    <w:rsid w:val="000175F5"/>
    <w:rsid w:val="00017698"/>
    <w:rsid w:val="0002079B"/>
    <w:rsid w:val="00021D73"/>
    <w:rsid w:val="0002300D"/>
    <w:rsid w:val="0002325C"/>
    <w:rsid w:val="00023361"/>
    <w:rsid w:val="00023661"/>
    <w:rsid w:val="00023AFC"/>
    <w:rsid w:val="00023B7A"/>
    <w:rsid w:val="00023E07"/>
    <w:rsid w:val="00023E4F"/>
    <w:rsid w:val="00024232"/>
    <w:rsid w:val="00024398"/>
    <w:rsid w:val="00024CF5"/>
    <w:rsid w:val="00025646"/>
    <w:rsid w:val="000257F3"/>
    <w:rsid w:val="0002597A"/>
    <w:rsid w:val="00025D2D"/>
    <w:rsid w:val="0002686A"/>
    <w:rsid w:val="00027BCC"/>
    <w:rsid w:val="00027F17"/>
    <w:rsid w:val="00030FF6"/>
    <w:rsid w:val="000310BB"/>
    <w:rsid w:val="0003113C"/>
    <w:rsid w:val="0003153D"/>
    <w:rsid w:val="00031A35"/>
    <w:rsid w:val="00032465"/>
    <w:rsid w:val="00032DCB"/>
    <w:rsid w:val="00033439"/>
    <w:rsid w:val="000346AE"/>
    <w:rsid w:val="00034C7B"/>
    <w:rsid w:val="00034CD6"/>
    <w:rsid w:val="0003528C"/>
    <w:rsid w:val="00036AE3"/>
    <w:rsid w:val="00036BBA"/>
    <w:rsid w:val="00036EF8"/>
    <w:rsid w:val="00037030"/>
    <w:rsid w:val="00037EAC"/>
    <w:rsid w:val="00037FE4"/>
    <w:rsid w:val="00040075"/>
    <w:rsid w:val="00040267"/>
    <w:rsid w:val="00040E21"/>
    <w:rsid w:val="00040FE3"/>
    <w:rsid w:val="000418DB"/>
    <w:rsid w:val="000426FB"/>
    <w:rsid w:val="00042B4C"/>
    <w:rsid w:val="00043237"/>
    <w:rsid w:val="00043262"/>
    <w:rsid w:val="0004336F"/>
    <w:rsid w:val="00043436"/>
    <w:rsid w:val="00043C0B"/>
    <w:rsid w:val="0004448D"/>
    <w:rsid w:val="0004524C"/>
    <w:rsid w:val="00045682"/>
    <w:rsid w:val="000456A7"/>
    <w:rsid w:val="00045AA8"/>
    <w:rsid w:val="00046481"/>
    <w:rsid w:val="00047765"/>
    <w:rsid w:val="0004777B"/>
    <w:rsid w:val="00047967"/>
    <w:rsid w:val="00047B7C"/>
    <w:rsid w:val="000507E1"/>
    <w:rsid w:val="00051856"/>
    <w:rsid w:val="0005194D"/>
    <w:rsid w:val="00051F3A"/>
    <w:rsid w:val="000533FC"/>
    <w:rsid w:val="000539DC"/>
    <w:rsid w:val="00053A57"/>
    <w:rsid w:val="00054695"/>
    <w:rsid w:val="00054ED7"/>
    <w:rsid w:val="000551B6"/>
    <w:rsid w:val="00055207"/>
    <w:rsid w:val="00055291"/>
    <w:rsid w:val="00055DB6"/>
    <w:rsid w:val="00056063"/>
    <w:rsid w:val="00057564"/>
    <w:rsid w:val="00057B80"/>
    <w:rsid w:val="00060531"/>
    <w:rsid w:val="00060B4B"/>
    <w:rsid w:val="00061524"/>
    <w:rsid w:val="00061F44"/>
    <w:rsid w:val="00062B7A"/>
    <w:rsid w:val="00062E4C"/>
    <w:rsid w:val="00063085"/>
    <w:rsid w:val="000632AD"/>
    <w:rsid w:val="00063949"/>
    <w:rsid w:val="00063F5C"/>
    <w:rsid w:val="0006453A"/>
    <w:rsid w:val="000645FB"/>
    <w:rsid w:val="00064C4F"/>
    <w:rsid w:val="00064CC0"/>
    <w:rsid w:val="00065227"/>
    <w:rsid w:val="00066403"/>
    <w:rsid w:val="000675B2"/>
    <w:rsid w:val="0006760B"/>
    <w:rsid w:val="0006780F"/>
    <w:rsid w:val="00067EE7"/>
    <w:rsid w:val="00070E9C"/>
    <w:rsid w:val="0007166F"/>
    <w:rsid w:val="0007283F"/>
    <w:rsid w:val="000731E6"/>
    <w:rsid w:val="00073402"/>
    <w:rsid w:val="00073680"/>
    <w:rsid w:val="000737E0"/>
    <w:rsid w:val="000740D1"/>
    <w:rsid w:val="000744EA"/>
    <w:rsid w:val="00074780"/>
    <w:rsid w:val="0007484E"/>
    <w:rsid w:val="00074F67"/>
    <w:rsid w:val="0007589C"/>
    <w:rsid w:val="00075965"/>
    <w:rsid w:val="00075A55"/>
    <w:rsid w:val="00075AD0"/>
    <w:rsid w:val="00075B08"/>
    <w:rsid w:val="0007762E"/>
    <w:rsid w:val="00077D8F"/>
    <w:rsid w:val="00080EAA"/>
    <w:rsid w:val="000810DB"/>
    <w:rsid w:val="00081CEA"/>
    <w:rsid w:val="00083A02"/>
    <w:rsid w:val="00083D31"/>
    <w:rsid w:val="0008514E"/>
    <w:rsid w:val="0008684E"/>
    <w:rsid w:val="00086AD7"/>
    <w:rsid w:val="00087526"/>
    <w:rsid w:val="00090068"/>
    <w:rsid w:val="00090A15"/>
    <w:rsid w:val="000914ED"/>
    <w:rsid w:val="00091AD3"/>
    <w:rsid w:val="000929D6"/>
    <w:rsid w:val="00092F1C"/>
    <w:rsid w:val="00092F74"/>
    <w:rsid w:val="0009300A"/>
    <w:rsid w:val="0009326E"/>
    <w:rsid w:val="00093803"/>
    <w:rsid w:val="00093D3C"/>
    <w:rsid w:val="00094783"/>
    <w:rsid w:val="00094D4D"/>
    <w:rsid w:val="00094D98"/>
    <w:rsid w:val="00095338"/>
    <w:rsid w:val="000955DD"/>
    <w:rsid w:val="0009637D"/>
    <w:rsid w:val="0009680C"/>
    <w:rsid w:val="00096A88"/>
    <w:rsid w:val="00096CCB"/>
    <w:rsid w:val="0009771F"/>
    <w:rsid w:val="000978DA"/>
    <w:rsid w:val="00097920"/>
    <w:rsid w:val="000A0120"/>
    <w:rsid w:val="000A0206"/>
    <w:rsid w:val="000A0267"/>
    <w:rsid w:val="000A03BC"/>
    <w:rsid w:val="000A06DD"/>
    <w:rsid w:val="000A3501"/>
    <w:rsid w:val="000A3B87"/>
    <w:rsid w:val="000A4E0C"/>
    <w:rsid w:val="000A72E0"/>
    <w:rsid w:val="000A7378"/>
    <w:rsid w:val="000A7707"/>
    <w:rsid w:val="000A7B5A"/>
    <w:rsid w:val="000A7CB5"/>
    <w:rsid w:val="000A7F24"/>
    <w:rsid w:val="000B03D0"/>
    <w:rsid w:val="000B1094"/>
    <w:rsid w:val="000B18D0"/>
    <w:rsid w:val="000B22A4"/>
    <w:rsid w:val="000B3191"/>
    <w:rsid w:val="000B350E"/>
    <w:rsid w:val="000B3805"/>
    <w:rsid w:val="000B3D68"/>
    <w:rsid w:val="000B4174"/>
    <w:rsid w:val="000B42F3"/>
    <w:rsid w:val="000B46B3"/>
    <w:rsid w:val="000B5AAC"/>
    <w:rsid w:val="000B5F45"/>
    <w:rsid w:val="000B6234"/>
    <w:rsid w:val="000B655C"/>
    <w:rsid w:val="000C0145"/>
    <w:rsid w:val="000C06B8"/>
    <w:rsid w:val="000C0813"/>
    <w:rsid w:val="000C0FC3"/>
    <w:rsid w:val="000C1CCF"/>
    <w:rsid w:val="000C2CF8"/>
    <w:rsid w:val="000C2F58"/>
    <w:rsid w:val="000C30BD"/>
    <w:rsid w:val="000C35CB"/>
    <w:rsid w:val="000C3F12"/>
    <w:rsid w:val="000C3F1C"/>
    <w:rsid w:val="000C4A10"/>
    <w:rsid w:val="000C4D24"/>
    <w:rsid w:val="000C4DD9"/>
    <w:rsid w:val="000C5517"/>
    <w:rsid w:val="000C57FE"/>
    <w:rsid w:val="000C5B30"/>
    <w:rsid w:val="000C60A9"/>
    <w:rsid w:val="000C6463"/>
    <w:rsid w:val="000C6D86"/>
    <w:rsid w:val="000C7A34"/>
    <w:rsid w:val="000C7C30"/>
    <w:rsid w:val="000D0304"/>
    <w:rsid w:val="000D078D"/>
    <w:rsid w:val="000D14A8"/>
    <w:rsid w:val="000D15DD"/>
    <w:rsid w:val="000D478F"/>
    <w:rsid w:val="000D5AD1"/>
    <w:rsid w:val="000D64E8"/>
    <w:rsid w:val="000E0F36"/>
    <w:rsid w:val="000E0F7F"/>
    <w:rsid w:val="000E19BB"/>
    <w:rsid w:val="000E2160"/>
    <w:rsid w:val="000E2F7C"/>
    <w:rsid w:val="000E3543"/>
    <w:rsid w:val="000E4378"/>
    <w:rsid w:val="000E442B"/>
    <w:rsid w:val="000E4C13"/>
    <w:rsid w:val="000E5038"/>
    <w:rsid w:val="000E5A4C"/>
    <w:rsid w:val="000E6C1C"/>
    <w:rsid w:val="000E6CB8"/>
    <w:rsid w:val="000E7154"/>
    <w:rsid w:val="000E75CD"/>
    <w:rsid w:val="000E76DA"/>
    <w:rsid w:val="000E7F32"/>
    <w:rsid w:val="000F02F9"/>
    <w:rsid w:val="000F093D"/>
    <w:rsid w:val="000F0CE3"/>
    <w:rsid w:val="000F0DC3"/>
    <w:rsid w:val="000F15A3"/>
    <w:rsid w:val="000F1817"/>
    <w:rsid w:val="000F1C24"/>
    <w:rsid w:val="000F1E30"/>
    <w:rsid w:val="000F281D"/>
    <w:rsid w:val="000F290C"/>
    <w:rsid w:val="000F2C52"/>
    <w:rsid w:val="000F3AC0"/>
    <w:rsid w:val="000F459A"/>
    <w:rsid w:val="000F4900"/>
    <w:rsid w:val="000F4AF0"/>
    <w:rsid w:val="000F4D74"/>
    <w:rsid w:val="000F5137"/>
    <w:rsid w:val="000F5BE4"/>
    <w:rsid w:val="000F5EF5"/>
    <w:rsid w:val="000F5FA1"/>
    <w:rsid w:val="000F63A5"/>
    <w:rsid w:val="000F70B4"/>
    <w:rsid w:val="000F7A39"/>
    <w:rsid w:val="000F7F31"/>
    <w:rsid w:val="00100830"/>
    <w:rsid w:val="001009FE"/>
    <w:rsid w:val="001010B0"/>
    <w:rsid w:val="001011E5"/>
    <w:rsid w:val="0010193F"/>
    <w:rsid w:val="00101CF5"/>
    <w:rsid w:val="00102009"/>
    <w:rsid w:val="00102E97"/>
    <w:rsid w:val="00102F3F"/>
    <w:rsid w:val="00102F8E"/>
    <w:rsid w:val="0010338F"/>
    <w:rsid w:val="001036FD"/>
    <w:rsid w:val="001037D3"/>
    <w:rsid w:val="00103A4D"/>
    <w:rsid w:val="00104592"/>
    <w:rsid w:val="001045E5"/>
    <w:rsid w:val="00104C39"/>
    <w:rsid w:val="001052E6"/>
    <w:rsid w:val="001059FB"/>
    <w:rsid w:val="00105C72"/>
    <w:rsid w:val="00105E56"/>
    <w:rsid w:val="00106072"/>
    <w:rsid w:val="001065D1"/>
    <w:rsid w:val="00106F44"/>
    <w:rsid w:val="001079D0"/>
    <w:rsid w:val="00107F15"/>
    <w:rsid w:val="00110695"/>
    <w:rsid w:val="00110A09"/>
    <w:rsid w:val="00110A92"/>
    <w:rsid w:val="00110C97"/>
    <w:rsid w:val="00111370"/>
    <w:rsid w:val="00113769"/>
    <w:rsid w:val="00113B1B"/>
    <w:rsid w:val="001147D0"/>
    <w:rsid w:val="00114EBD"/>
    <w:rsid w:val="00114F29"/>
    <w:rsid w:val="0011514A"/>
    <w:rsid w:val="001157F9"/>
    <w:rsid w:val="00115CC2"/>
    <w:rsid w:val="00115F3C"/>
    <w:rsid w:val="001162E9"/>
    <w:rsid w:val="00116448"/>
    <w:rsid w:val="00116A39"/>
    <w:rsid w:val="00117366"/>
    <w:rsid w:val="00117AE9"/>
    <w:rsid w:val="001211C9"/>
    <w:rsid w:val="001216CE"/>
    <w:rsid w:val="0012175D"/>
    <w:rsid w:val="00121C43"/>
    <w:rsid w:val="00122087"/>
    <w:rsid w:val="00122525"/>
    <w:rsid w:val="00122991"/>
    <w:rsid w:val="00122ACF"/>
    <w:rsid w:val="001234BC"/>
    <w:rsid w:val="001243E1"/>
    <w:rsid w:val="001243E8"/>
    <w:rsid w:val="001249B7"/>
    <w:rsid w:val="001250FE"/>
    <w:rsid w:val="00125C83"/>
    <w:rsid w:val="001260A1"/>
    <w:rsid w:val="00126EBE"/>
    <w:rsid w:val="00127AA1"/>
    <w:rsid w:val="00127EB1"/>
    <w:rsid w:val="00131043"/>
    <w:rsid w:val="001311B1"/>
    <w:rsid w:val="00132241"/>
    <w:rsid w:val="00132D8B"/>
    <w:rsid w:val="001330EB"/>
    <w:rsid w:val="001339E5"/>
    <w:rsid w:val="0013400B"/>
    <w:rsid w:val="00134CF1"/>
    <w:rsid w:val="00134E09"/>
    <w:rsid w:val="00135168"/>
    <w:rsid w:val="001359E8"/>
    <w:rsid w:val="001364CD"/>
    <w:rsid w:val="00136639"/>
    <w:rsid w:val="001368FD"/>
    <w:rsid w:val="00136D24"/>
    <w:rsid w:val="00137D8C"/>
    <w:rsid w:val="00140A09"/>
    <w:rsid w:val="001410A6"/>
    <w:rsid w:val="00141323"/>
    <w:rsid w:val="00141853"/>
    <w:rsid w:val="00142C37"/>
    <w:rsid w:val="00143093"/>
    <w:rsid w:val="00143FB6"/>
    <w:rsid w:val="001442D2"/>
    <w:rsid w:val="00144610"/>
    <w:rsid w:val="00145064"/>
    <w:rsid w:val="0014570E"/>
    <w:rsid w:val="001462B9"/>
    <w:rsid w:val="00147137"/>
    <w:rsid w:val="00147209"/>
    <w:rsid w:val="00147F33"/>
    <w:rsid w:val="00150011"/>
    <w:rsid w:val="0015083B"/>
    <w:rsid w:val="001510AA"/>
    <w:rsid w:val="001516CA"/>
    <w:rsid w:val="0015187C"/>
    <w:rsid w:val="00151D5C"/>
    <w:rsid w:val="00151E63"/>
    <w:rsid w:val="001520D8"/>
    <w:rsid w:val="001523EE"/>
    <w:rsid w:val="0015288C"/>
    <w:rsid w:val="00153BE9"/>
    <w:rsid w:val="00154801"/>
    <w:rsid w:val="00154F32"/>
    <w:rsid w:val="00156C6D"/>
    <w:rsid w:val="00156F04"/>
    <w:rsid w:val="00157F7D"/>
    <w:rsid w:val="00160A32"/>
    <w:rsid w:val="00160D99"/>
    <w:rsid w:val="001615F8"/>
    <w:rsid w:val="00161968"/>
    <w:rsid w:val="00161FE8"/>
    <w:rsid w:val="001626A1"/>
    <w:rsid w:val="00162890"/>
    <w:rsid w:val="00162A28"/>
    <w:rsid w:val="00162FB7"/>
    <w:rsid w:val="00162FEF"/>
    <w:rsid w:val="001637A4"/>
    <w:rsid w:val="001649AD"/>
    <w:rsid w:val="001657A7"/>
    <w:rsid w:val="00165897"/>
    <w:rsid w:val="00165B49"/>
    <w:rsid w:val="00165B5D"/>
    <w:rsid w:val="00165DCD"/>
    <w:rsid w:val="00167679"/>
    <w:rsid w:val="001678D5"/>
    <w:rsid w:val="0017031D"/>
    <w:rsid w:val="001706D9"/>
    <w:rsid w:val="00170AD8"/>
    <w:rsid w:val="00171EA8"/>
    <w:rsid w:val="0017294D"/>
    <w:rsid w:val="00172B3C"/>
    <w:rsid w:val="00173467"/>
    <w:rsid w:val="001738A3"/>
    <w:rsid w:val="00173946"/>
    <w:rsid w:val="0017540B"/>
    <w:rsid w:val="001758B3"/>
    <w:rsid w:val="00176A13"/>
    <w:rsid w:val="001770EF"/>
    <w:rsid w:val="00177390"/>
    <w:rsid w:val="0017781F"/>
    <w:rsid w:val="00177D4F"/>
    <w:rsid w:val="00177E47"/>
    <w:rsid w:val="00180255"/>
    <w:rsid w:val="0018050D"/>
    <w:rsid w:val="00180CC7"/>
    <w:rsid w:val="00180E1D"/>
    <w:rsid w:val="00180E33"/>
    <w:rsid w:val="0018131A"/>
    <w:rsid w:val="0018176A"/>
    <w:rsid w:val="0018179F"/>
    <w:rsid w:val="00181801"/>
    <w:rsid w:val="00181F1A"/>
    <w:rsid w:val="001823D4"/>
    <w:rsid w:val="00182C8C"/>
    <w:rsid w:val="00183490"/>
    <w:rsid w:val="0018385B"/>
    <w:rsid w:val="00183C14"/>
    <w:rsid w:val="00184103"/>
    <w:rsid w:val="001843DC"/>
    <w:rsid w:val="001865C7"/>
    <w:rsid w:val="00186C6D"/>
    <w:rsid w:val="001870BB"/>
    <w:rsid w:val="001870D7"/>
    <w:rsid w:val="0018713C"/>
    <w:rsid w:val="00187503"/>
    <w:rsid w:val="00187791"/>
    <w:rsid w:val="00191210"/>
    <w:rsid w:val="0019196C"/>
    <w:rsid w:val="0019232F"/>
    <w:rsid w:val="001930DE"/>
    <w:rsid w:val="0019323F"/>
    <w:rsid w:val="0019390C"/>
    <w:rsid w:val="0019457C"/>
    <w:rsid w:val="00195460"/>
    <w:rsid w:val="001955C2"/>
    <w:rsid w:val="001955E8"/>
    <w:rsid w:val="0019603A"/>
    <w:rsid w:val="00196056"/>
    <w:rsid w:val="00196971"/>
    <w:rsid w:val="00196C99"/>
    <w:rsid w:val="00197191"/>
    <w:rsid w:val="001975AA"/>
    <w:rsid w:val="00197751"/>
    <w:rsid w:val="00197D0E"/>
    <w:rsid w:val="001A02F2"/>
    <w:rsid w:val="001A09BC"/>
    <w:rsid w:val="001A2132"/>
    <w:rsid w:val="001A2602"/>
    <w:rsid w:val="001A2BCB"/>
    <w:rsid w:val="001A2F88"/>
    <w:rsid w:val="001A306B"/>
    <w:rsid w:val="001A36CA"/>
    <w:rsid w:val="001A37F3"/>
    <w:rsid w:val="001A39FF"/>
    <w:rsid w:val="001A3D08"/>
    <w:rsid w:val="001A3DC2"/>
    <w:rsid w:val="001A4320"/>
    <w:rsid w:val="001A44A6"/>
    <w:rsid w:val="001A458B"/>
    <w:rsid w:val="001A4F78"/>
    <w:rsid w:val="001A4F9C"/>
    <w:rsid w:val="001A4FF9"/>
    <w:rsid w:val="001A5DF3"/>
    <w:rsid w:val="001A685C"/>
    <w:rsid w:val="001A6AF6"/>
    <w:rsid w:val="001A6CB7"/>
    <w:rsid w:val="001A6F4E"/>
    <w:rsid w:val="001A71BD"/>
    <w:rsid w:val="001A7561"/>
    <w:rsid w:val="001A76A8"/>
    <w:rsid w:val="001A78B9"/>
    <w:rsid w:val="001B0038"/>
    <w:rsid w:val="001B0216"/>
    <w:rsid w:val="001B062C"/>
    <w:rsid w:val="001B0641"/>
    <w:rsid w:val="001B088D"/>
    <w:rsid w:val="001B0996"/>
    <w:rsid w:val="001B0CEB"/>
    <w:rsid w:val="001B2A84"/>
    <w:rsid w:val="001B2ECC"/>
    <w:rsid w:val="001B34C0"/>
    <w:rsid w:val="001B3D32"/>
    <w:rsid w:val="001B3D8D"/>
    <w:rsid w:val="001B5468"/>
    <w:rsid w:val="001B577E"/>
    <w:rsid w:val="001B5791"/>
    <w:rsid w:val="001B628E"/>
    <w:rsid w:val="001B78B3"/>
    <w:rsid w:val="001B795C"/>
    <w:rsid w:val="001B7A93"/>
    <w:rsid w:val="001B7C04"/>
    <w:rsid w:val="001C06D1"/>
    <w:rsid w:val="001C0CC3"/>
    <w:rsid w:val="001C27A6"/>
    <w:rsid w:val="001C4D06"/>
    <w:rsid w:val="001C4FB5"/>
    <w:rsid w:val="001C5855"/>
    <w:rsid w:val="001C682B"/>
    <w:rsid w:val="001C6D80"/>
    <w:rsid w:val="001C7A06"/>
    <w:rsid w:val="001D040E"/>
    <w:rsid w:val="001D0ED6"/>
    <w:rsid w:val="001D2F48"/>
    <w:rsid w:val="001D33D2"/>
    <w:rsid w:val="001D34EB"/>
    <w:rsid w:val="001D4470"/>
    <w:rsid w:val="001D4A42"/>
    <w:rsid w:val="001D4BF4"/>
    <w:rsid w:val="001D5821"/>
    <w:rsid w:val="001D5B73"/>
    <w:rsid w:val="001D5F92"/>
    <w:rsid w:val="001D62D6"/>
    <w:rsid w:val="001D63ED"/>
    <w:rsid w:val="001D64CF"/>
    <w:rsid w:val="001E01D7"/>
    <w:rsid w:val="001E0A93"/>
    <w:rsid w:val="001E1220"/>
    <w:rsid w:val="001E18C9"/>
    <w:rsid w:val="001E22CB"/>
    <w:rsid w:val="001E297A"/>
    <w:rsid w:val="001E31B5"/>
    <w:rsid w:val="001E38AD"/>
    <w:rsid w:val="001E4036"/>
    <w:rsid w:val="001E5617"/>
    <w:rsid w:val="001E5789"/>
    <w:rsid w:val="001E6C6E"/>
    <w:rsid w:val="001E6D0A"/>
    <w:rsid w:val="001F02A8"/>
    <w:rsid w:val="001F072F"/>
    <w:rsid w:val="001F1976"/>
    <w:rsid w:val="001F23C2"/>
    <w:rsid w:val="001F2BF8"/>
    <w:rsid w:val="001F5761"/>
    <w:rsid w:val="001F650D"/>
    <w:rsid w:val="001F6BB0"/>
    <w:rsid w:val="001F7A6B"/>
    <w:rsid w:val="001F7E3A"/>
    <w:rsid w:val="0020082C"/>
    <w:rsid w:val="0020097C"/>
    <w:rsid w:val="002020C4"/>
    <w:rsid w:val="0020216D"/>
    <w:rsid w:val="002025E0"/>
    <w:rsid w:val="002026AB"/>
    <w:rsid w:val="00202862"/>
    <w:rsid w:val="0020298F"/>
    <w:rsid w:val="00202CD2"/>
    <w:rsid w:val="00204CD1"/>
    <w:rsid w:val="00205356"/>
    <w:rsid w:val="002058D2"/>
    <w:rsid w:val="00205E56"/>
    <w:rsid w:val="002060DE"/>
    <w:rsid w:val="00206923"/>
    <w:rsid w:val="00206ACC"/>
    <w:rsid w:val="002078D2"/>
    <w:rsid w:val="00210848"/>
    <w:rsid w:val="00210D90"/>
    <w:rsid w:val="00210E3E"/>
    <w:rsid w:val="00211600"/>
    <w:rsid w:val="002117BE"/>
    <w:rsid w:val="00212325"/>
    <w:rsid w:val="00212F93"/>
    <w:rsid w:val="00213CB3"/>
    <w:rsid w:val="0021446A"/>
    <w:rsid w:val="0021479A"/>
    <w:rsid w:val="00215169"/>
    <w:rsid w:val="0021533E"/>
    <w:rsid w:val="0021542B"/>
    <w:rsid w:val="00215449"/>
    <w:rsid w:val="002159D3"/>
    <w:rsid w:val="00215CCD"/>
    <w:rsid w:val="00215FE4"/>
    <w:rsid w:val="00216850"/>
    <w:rsid w:val="00216B02"/>
    <w:rsid w:val="00216B18"/>
    <w:rsid w:val="002175A0"/>
    <w:rsid w:val="00217B9E"/>
    <w:rsid w:val="00217E7C"/>
    <w:rsid w:val="00217ED4"/>
    <w:rsid w:val="00220182"/>
    <w:rsid w:val="00220312"/>
    <w:rsid w:val="002203A0"/>
    <w:rsid w:val="002204AF"/>
    <w:rsid w:val="00220A98"/>
    <w:rsid w:val="00220F36"/>
    <w:rsid w:val="0022206C"/>
    <w:rsid w:val="00222B58"/>
    <w:rsid w:val="002251CF"/>
    <w:rsid w:val="00225260"/>
    <w:rsid w:val="002252BA"/>
    <w:rsid w:val="00227824"/>
    <w:rsid w:val="0022794A"/>
    <w:rsid w:val="00227B4D"/>
    <w:rsid w:val="00227D39"/>
    <w:rsid w:val="00230486"/>
    <w:rsid w:val="002304D5"/>
    <w:rsid w:val="0023051F"/>
    <w:rsid w:val="002306A6"/>
    <w:rsid w:val="00230F6E"/>
    <w:rsid w:val="00231386"/>
    <w:rsid w:val="0023289E"/>
    <w:rsid w:val="0023301C"/>
    <w:rsid w:val="00233761"/>
    <w:rsid w:val="002337A1"/>
    <w:rsid w:val="00233B72"/>
    <w:rsid w:val="00234324"/>
    <w:rsid w:val="00235FDE"/>
    <w:rsid w:val="0023602C"/>
    <w:rsid w:val="00236B1D"/>
    <w:rsid w:val="00236C6B"/>
    <w:rsid w:val="00236DAD"/>
    <w:rsid w:val="00237C20"/>
    <w:rsid w:val="00237C70"/>
    <w:rsid w:val="00237F74"/>
    <w:rsid w:val="002409FF"/>
    <w:rsid w:val="00240D95"/>
    <w:rsid w:val="00240D97"/>
    <w:rsid w:val="0024150A"/>
    <w:rsid w:val="00241532"/>
    <w:rsid w:val="00241FE7"/>
    <w:rsid w:val="00242CD6"/>
    <w:rsid w:val="00242F4F"/>
    <w:rsid w:val="00243BB7"/>
    <w:rsid w:val="0024437A"/>
    <w:rsid w:val="00244741"/>
    <w:rsid w:val="002449D5"/>
    <w:rsid w:val="00244A28"/>
    <w:rsid w:val="0024616D"/>
    <w:rsid w:val="00246250"/>
    <w:rsid w:val="00246731"/>
    <w:rsid w:val="00246B07"/>
    <w:rsid w:val="00246C7B"/>
    <w:rsid w:val="002476AF"/>
    <w:rsid w:val="00247EC2"/>
    <w:rsid w:val="002506DF"/>
    <w:rsid w:val="002510BB"/>
    <w:rsid w:val="0025167A"/>
    <w:rsid w:val="00251DDE"/>
    <w:rsid w:val="0025205A"/>
    <w:rsid w:val="0025236D"/>
    <w:rsid w:val="0025263C"/>
    <w:rsid w:val="00252695"/>
    <w:rsid w:val="00253582"/>
    <w:rsid w:val="00253AE0"/>
    <w:rsid w:val="00253BAC"/>
    <w:rsid w:val="00253C75"/>
    <w:rsid w:val="00253F1A"/>
    <w:rsid w:val="0025453B"/>
    <w:rsid w:val="00254D75"/>
    <w:rsid w:val="00254E22"/>
    <w:rsid w:val="002569A3"/>
    <w:rsid w:val="00260F8C"/>
    <w:rsid w:val="00261672"/>
    <w:rsid w:val="00261697"/>
    <w:rsid w:val="00261857"/>
    <w:rsid w:val="00262C9F"/>
    <w:rsid w:val="002630EB"/>
    <w:rsid w:val="00263256"/>
    <w:rsid w:val="00264182"/>
    <w:rsid w:val="002652FA"/>
    <w:rsid w:val="00266098"/>
    <w:rsid w:val="002663FE"/>
    <w:rsid w:val="00266D30"/>
    <w:rsid w:val="00267F0B"/>
    <w:rsid w:val="002700FB"/>
    <w:rsid w:val="00270995"/>
    <w:rsid w:val="0027149C"/>
    <w:rsid w:val="0027172F"/>
    <w:rsid w:val="00271D08"/>
    <w:rsid w:val="00272B70"/>
    <w:rsid w:val="00272D62"/>
    <w:rsid w:val="00273010"/>
    <w:rsid w:val="00273CFB"/>
    <w:rsid w:val="0027427F"/>
    <w:rsid w:val="00274641"/>
    <w:rsid w:val="00275701"/>
    <w:rsid w:val="00276951"/>
    <w:rsid w:val="00276DA1"/>
    <w:rsid w:val="00277836"/>
    <w:rsid w:val="00277A17"/>
    <w:rsid w:val="00277FB2"/>
    <w:rsid w:val="0028008F"/>
    <w:rsid w:val="0028191D"/>
    <w:rsid w:val="00281955"/>
    <w:rsid w:val="00281C68"/>
    <w:rsid w:val="00281EDE"/>
    <w:rsid w:val="002821FE"/>
    <w:rsid w:val="00282B86"/>
    <w:rsid w:val="002849AF"/>
    <w:rsid w:val="00285158"/>
    <w:rsid w:val="0028564C"/>
    <w:rsid w:val="00285F4B"/>
    <w:rsid w:val="00286472"/>
    <w:rsid w:val="00286955"/>
    <w:rsid w:val="00287240"/>
    <w:rsid w:val="00290C55"/>
    <w:rsid w:val="0029119C"/>
    <w:rsid w:val="0029132B"/>
    <w:rsid w:val="002919C6"/>
    <w:rsid w:val="00291EF9"/>
    <w:rsid w:val="002929A8"/>
    <w:rsid w:val="0029343D"/>
    <w:rsid w:val="0029347E"/>
    <w:rsid w:val="002936F8"/>
    <w:rsid w:val="002937C5"/>
    <w:rsid w:val="00293D79"/>
    <w:rsid w:val="00294713"/>
    <w:rsid w:val="0029491B"/>
    <w:rsid w:val="00294B9C"/>
    <w:rsid w:val="00294F4E"/>
    <w:rsid w:val="002958E8"/>
    <w:rsid w:val="00296218"/>
    <w:rsid w:val="0029656E"/>
    <w:rsid w:val="00297E2D"/>
    <w:rsid w:val="002A0202"/>
    <w:rsid w:val="002A04DE"/>
    <w:rsid w:val="002A074E"/>
    <w:rsid w:val="002A0EE6"/>
    <w:rsid w:val="002A1102"/>
    <w:rsid w:val="002A124E"/>
    <w:rsid w:val="002A15D5"/>
    <w:rsid w:val="002A16DF"/>
    <w:rsid w:val="002A1C37"/>
    <w:rsid w:val="002A1D24"/>
    <w:rsid w:val="002A220C"/>
    <w:rsid w:val="002A2313"/>
    <w:rsid w:val="002A239F"/>
    <w:rsid w:val="002A242F"/>
    <w:rsid w:val="002A26DF"/>
    <w:rsid w:val="002A27B6"/>
    <w:rsid w:val="002A316F"/>
    <w:rsid w:val="002A31EE"/>
    <w:rsid w:val="002A5C3E"/>
    <w:rsid w:val="002A614B"/>
    <w:rsid w:val="002A6FB6"/>
    <w:rsid w:val="002A76F4"/>
    <w:rsid w:val="002A771E"/>
    <w:rsid w:val="002A79FB"/>
    <w:rsid w:val="002A7C80"/>
    <w:rsid w:val="002A7FBA"/>
    <w:rsid w:val="002B1020"/>
    <w:rsid w:val="002B131D"/>
    <w:rsid w:val="002B1BAC"/>
    <w:rsid w:val="002B1C81"/>
    <w:rsid w:val="002B2393"/>
    <w:rsid w:val="002B2C2A"/>
    <w:rsid w:val="002B3041"/>
    <w:rsid w:val="002B350A"/>
    <w:rsid w:val="002B362C"/>
    <w:rsid w:val="002B3797"/>
    <w:rsid w:val="002B39C4"/>
    <w:rsid w:val="002B3E50"/>
    <w:rsid w:val="002B4A0C"/>
    <w:rsid w:val="002B4AAB"/>
    <w:rsid w:val="002B537E"/>
    <w:rsid w:val="002B55D4"/>
    <w:rsid w:val="002B5771"/>
    <w:rsid w:val="002B5791"/>
    <w:rsid w:val="002B5FC4"/>
    <w:rsid w:val="002B6200"/>
    <w:rsid w:val="002B64BB"/>
    <w:rsid w:val="002B65DE"/>
    <w:rsid w:val="002B7350"/>
    <w:rsid w:val="002C2704"/>
    <w:rsid w:val="002C2ABB"/>
    <w:rsid w:val="002C36D0"/>
    <w:rsid w:val="002C38CC"/>
    <w:rsid w:val="002C4EBA"/>
    <w:rsid w:val="002C5358"/>
    <w:rsid w:val="002C5845"/>
    <w:rsid w:val="002C5981"/>
    <w:rsid w:val="002C6BBE"/>
    <w:rsid w:val="002C7771"/>
    <w:rsid w:val="002D1556"/>
    <w:rsid w:val="002D193C"/>
    <w:rsid w:val="002D215F"/>
    <w:rsid w:val="002D26A0"/>
    <w:rsid w:val="002D2DF3"/>
    <w:rsid w:val="002D330D"/>
    <w:rsid w:val="002D339D"/>
    <w:rsid w:val="002D3FCF"/>
    <w:rsid w:val="002D42DB"/>
    <w:rsid w:val="002D4AC3"/>
    <w:rsid w:val="002D4F79"/>
    <w:rsid w:val="002D51C6"/>
    <w:rsid w:val="002D586C"/>
    <w:rsid w:val="002D59D3"/>
    <w:rsid w:val="002D5E7B"/>
    <w:rsid w:val="002D74B2"/>
    <w:rsid w:val="002E03A4"/>
    <w:rsid w:val="002E0596"/>
    <w:rsid w:val="002E1F8B"/>
    <w:rsid w:val="002E20FC"/>
    <w:rsid w:val="002E2601"/>
    <w:rsid w:val="002E2A85"/>
    <w:rsid w:val="002E2F93"/>
    <w:rsid w:val="002E354B"/>
    <w:rsid w:val="002E358C"/>
    <w:rsid w:val="002E399A"/>
    <w:rsid w:val="002E3EDB"/>
    <w:rsid w:val="002E41BD"/>
    <w:rsid w:val="002E4AF6"/>
    <w:rsid w:val="002E52B2"/>
    <w:rsid w:val="002E5428"/>
    <w:rsid w:val="002E5443"/>
    <w:rsid w:val="002E6559"/>
    <w:rsid w:val="002E6A65"/>
    <w:rsid w:val="002E76CF"/>
    <w:rsid w:val="002F005E"/>
    <w:rsid w:val="002F0AEE"/>
    <w:rsid w:val="002F0BA5"/>
    <w:rsid w:val="002F1360"/>
    <w:rsid w:val="002F1648"/>
    <w:rsid w:val="002F1975"/>
    <w:rsid w:val="002F2B78"/>
    <w:rsid w:val="002F3E65"/>
    <w:rsid w:val="002F473F"/>
    <w:rsid w:val="002F4C0A"/>
    <w:rsid w:val="002F4CC2"/>
    <w:rsid w:val="002F541D"/>
    <w:rsid w:val="002F5858"/>
    <w:rsid w:val="002F593D"/>
    <w:rsid w:val="002F6E68"/>
    <w:rsid w:val="002F71E2"/>
    <w:rsid w:val="00300752"/>
    <w:rsid w:val="00300B05"/>
    <w:rsid w:val="003011A3"/>
    <w:rsid w:val="003013BC"/>
    <w:rsid w:val="00301595"/>
    <w:rsid w:val="00301C4D"/>
    <w:rsid w:val="003020A1"/>
    <w:rsid w:val="00302543"/>
    <w:rsid w:val="00302A01"/>
    <w:rsid w:val="00302AAE"/>
    <w:rsid w:val="00302E5F"/>
    <w:rsid w:val="00302FB4"/>
    <w:rsid w:val="0030304E"/>
    <w:rsid w:val="00304411"/>
    <w:rsid w:val="00304423"/>
    <w:rsid w:val="003044D0"/>
    <w:rsid w:val="00304BE0"/>
    <w:rsid w:val="0030539F"/>
    <w:rsid w:val="0030549B"/>
    <w:rsid w:val="00305B2E"/>
    <w:rsid w:val="00305DCB"/>
    <w:rsid w:val="003061F4"/>
    <w:rsid w:val="00307D82"/>
    <w:rsid w:val="00310768"/>
    <w:rsid w:val="003108CF"/>
    <w:rsid w:val="00310E04"/>
    <w:rsid w:val="00311399"/>
    <w:rsid w:val="003116C5"/>
    <w:rsid w:val="00311F0B"/>
    <w:rsid w:val="00311F6B"/>
    <w:rsid w:val="00311F6E"/>
    <w:rsid w:val="0031227D"/>
    <w:rsid w:val="003127D7"/>
    <w:rsid w:val="00314258"/>
    <w:rsid w:val="00314320"/>
    <w:rsid w:val="00314468"/>
    <w:rsid w:val="003147F1"/>
    <w:rsid w:val="00314D3A"/>
    <w:rsid w:val="00314D49"/>
    <w:rsid w:val="00314DA4"/>
    <w:rsid w:val="003150E0"/>
    <w:rsid w:val="00315785"/>
    <w:rsid w:val="00315912"/>
    <w:rsid w:val="003161D6"/>
    <w:rsid w:val="00316623"/>
    <w:rsid w:val="00317A2F"/>
    <w:rsid w:val="00317FB6"/>
    <w:rsid w:val="00321808"/>
    <w:rsid w:val="00321E32"/>
    <w:rsid w:val="00322E39"/>
    <w:rsid w:val="00323FDA"/>
    <w:rsid w:val="003243BF"/>
    <w:rsid w:val="003245B3"/>
    <w:rsid w:val="003251C7"/>
    <w:rsid w:val="00325339"/>
    <w:rsid w:val="003260AD"/>
    <w:rsid w:val="00326254"/>
    <w:rsid w:val="00326641"/>
    <w:rsid w:val="00327E4E"/>
    <w:rsid w:val="00330556"/>
    <w:rsid w:val="0033083C"/>
    <w:rsid w:val="00331531"/>
    <w:rsid w:val="00331752"/>
    <w:rsid w:val="00331A29"/>
    <w:rsid w:val="003320AE"/>
    <w:rsid w:val="00332324"/>
    <w:rsid w:val="0033258C"/>
    <w:rsid w:val="00333AA2"/>
    <w:rsid w:val="00334933"/>
    <w:rsid w:val="00334C4C"/>
    <w:rsid w:val="00334D8D"/>
    <w:rsid w:val="00334F93"/>
    <w:rsid w:val="00335CFE"/>
    <w:rsid w:val="00335D10"/>
    <w:rsid w:val="003362A9"/>
    <w:rsid w:val="003368F5"/>
    <w:rsid w:val="00336BC7"/>
    <w:rsid w:val="00336EF3"/>
    <w:rsid w:val="00337302"/>
    <w:rsid w:val="00337506"/>
    <w:rsid w:val="0034111E"/>
    <w:rsid w:val="00341582"/>
    <w:rsid w:val="003418EA"/>
    <w:rsid w:val="00341BD3"/>
    <w:rsid w:val="003428AE"/>
    <w:rsid w:val="0034351D"/>
    <w:rsid w:val="003435F4"/>
    <w:rsid w:val="003437CF"/>
    <w:rsid w:val="00343CBC"/>
    <w:rsid w:val="00343FCE"/>
    <w:rsid w:val="003447A3"/>
    <w:rsid w:val="003449B9"/>
    <w:rsid w:val="00344C47"/>
    <w:rsid w:val="003461D2"/>
    <w:rsid w:val="00346715"/>
    <w:rsid w:val="00346ACC"/>
    <w:rsid w:val="00346EB1"/>
    <w:rsid w:val="003473CB"/>
    <w:rsid w:val="003474B2"/>
    <w:rsid w:val="00347AE1"/>
    <w:rsid w:val="00347B65"/>
    <w:rsid w:val="00347F03"/>
    <w:rsid w:val="00347FDB"/>
    <w:rsid w:val="00350679"/>
    <w:rsid w:val="00350E32"/>
    <w:rsid w:val="00352B63"/>
    <w:rsid w:val="00353211"/>
    <w:rsid w:val="003537F5"/>
    <w:rsid w:val="003546E9"/>
    <w:rsid w:val="00354BD7"/>
    <w:rsid w:val="00354EA3"/>
    <w:rsid w:val="0035559E"/>
    <w:rsid w:val="00355775"/>
    <w:rsid w:val="00355ED7"/>
    <w:rsid w:val="00356819"/>
    <w:rsid w:val="003569BB"/>
    <w:rsid w:val="00357ECA"/>
    <w:rsid w:val="00357FAE"/>
    <w:rsid w:val="0036018E"/>
    <w:rsid w:val="00360259"/>
    <w:rsid w:val="00360FAA"/>
    <w:rsid w:val="0036208F"/>
    <w:rsid w:val="0036384F"/>
    <w:rsid w:val="0036396D"/>
    <w:rsid w:val="00363D97"/>
    <w:rsid w:val="00364CA3"/>
    <w:rsid w:val="00364EDC"/>
    <w:rsid w:val="00365046"/>
    <w:rsid w:val="0036549D"/>
    <w:rsid w:val="00365593"/>
    <w:rsid w:val="00365A38"/>
    <w:rsid w:val="00365C0A"/>
    <w:rsid w:val="00366A55"/>
    <w:rsid w:val="00366F93"/>
    <w:rsid w:val="00367079"/>
    <w:rsid w:val="003675FE"/>
    <w:rsid w:val="00371187"/>
    <w:rsid w:val="003716AA"/>
    <w:rsid w:val="00372147"/>
    <w:rsid w:val="00372327"/>
    <w:rsid w:val="00372AE9"/>
    <w:rsid w:val="00373D16"/>
    <w:rsid w:val="0037498A"/>
    <w:rsid w:val="00374DAA"/>
    <w:rsid w:val="00375188"/>
    <w:rsid w:val="003751C9"/>
    <w:rsid w:val="00375536"/>
    <w:rsid w:val="003759CD"/>
    <w:rsid w:val="00375B37"/>
    <w:rsid w:val="00375CE8"/>
    <w:rsid w:val="00376D5C"/>
    <w:rsid w:val="0037712B"/>
    <w:rsid w:val="00377D04"/>
    <w:rsid w:val="0038121C"/>
    <w:rsid w:val="0038129A"/>
    <w:rsid w:val="003820ED"/>
    <w:rsid w:val="0038339E"/>
    <w:rsid w:val="003847F5"/>
    <w:rsid w:val="00384A49"/>
    <w:rsid w:val="00384A8C"/>
    <w:rsid w:val="00385282"/>
    <w:rsid w:val="0038549D"/>
    <w:rsid w:val="0038559B"/>
    <w:rsid w:val="00385643"/>
    <w:rsid w:val="00385A53"/>
    <w:rsid w:val="00385C9F"/>
    <w:rsid w:val="00386091"/>
    <w:rsid w:val="003863C7"/>
    <w:rsid w:val="00386656"/>
    <w:rsid w:val="00386A9B"/>
    <w:rsid w:val="00386E41"/>
    <w:rsid w:val="00387ADE"/>
    <w:rsid w:val="00387DE6"/>
    <w:rsid w:val="00390647"/>
    <w:rsid w:val="00390B48"/>
    <w:rsid w:val="00390F5D"/>
    <w:rsid w:val="00391917"/>
    <w:rsid w:val="00391DE8"/>
    <w:rsid w:val="003922AC"/>
    <w:rsid w:val="0039286F"/>
    <w:rsid w:val="0039303C"/>
    <w:rsid w:val="003930AE"/>
    <w:rsid w:val="003933CD"/>
    <w:rsid w:val="0039368E"/>
    <w:rsid w:val="00393C04"/>
    <w:rsid w:val="0039411A"/>
    <w:rsid w:val="00394D91"/>
    <w:rsid w:val="00396495"/>
    <w:rsid w:val="003968BE"/>
    <w:rsid w:val="00396CA2"/>
    <w:rsid w:val="00396F8A"/>
    <w:rsid w:val="00397053"/>
    <w:rsid w:val="00397424"/>
    <w:rsid w:val="003974C5"/>
    <w:rsid w:val="003975D8"/>
    <w:rsid w:val="00397E8E"/>
    <w:rsid w:val="00397F2C"/>
    <w:rsid w:val="003A0218"/>
    <w:rsid w:val="003A0259"/>
    <w:rsid w:val="003A0557"/>
    <w:rsid w:val="003A127E"/>
    <w:rsid w:val="003A1461"/>
    <w:rsid w:val="003A1C5C"/>
    <w:rsid w:val="003A1F22"/>
    <w:rsid w:val="003A21B2"/>
    <w:rsid w:val="003A269A"/>
    <w:rsid w:val="003A3F72"/>
    <w:rsid w:val="003A3FCB"/>
    <w:rsid w:val="003A4B21"/>
    <w:rsid w:val="003A5A52"/>
    <w:rsid w:val="003A5D2B"/>
    <w:rsid w:val="003A5D9F"/>
    <w:rsid w:val="003A662E"/>
    <w:rsid w:val="003A6E57"/>
    <w:rsid w:val="003A7A39"/>
    <w:rsid w:val="003B078A"/>
    <w:rsid w:val="003B0A7B"/>
    <w:rsid w:val="003B0C6C"/>
    <w:rsid w:val="003B17B2"/>
    <w:rsid w:val="003B18AA"/>
    <w:rsid w:val="003B2804"/>
    <w:rsid w:val="003B2B4A"/>
    <w:rsid w:val="003B2FB4"/>
    <w:rsid w:val="003B3311"/>
    <w:rsid w:val="003B39FB"/>
    <w:rsid w:val="003B41B7"/>
    <w:rsid w:val="003B469F"/>
    <w:rsid w:val="003B586C"/>
    <w:rsid w:val="003B5B5C"/>
    <w:rsid w:val="003B5F1D"/>
    <w:rsid w:val="003B608F"/>
    <w:rsid w:val="003B663F"/>
    <w:rsid w:val="003B6FAB"/>
    <w:rsid w:val="003B719F"/>
    <w:rsid w:val="003B785D"/>
    <w:rsid w:val="003C03E1"/>
    <w:rsid w:val="003C0814"/>
    <w:rsid w:val="003C0C3C"/>
    <w:rsid w:val="003C0DD8"/>
    <w:rsid w:val="003C1336"/>
    <w:rsid w:val="003C19A9"/>
    <w:rsid w:val="003C1F34"/>
    <w:rsid w:val="003C219F"/>
    <w:rsid w:val="003C42A6"/>
    <w:rsid w:val="003C4785"/>
    <w:rsid w:val="003C4D83"/>
    <w:rsid w:val="003C51C3"/>
    <w:rsid w:val="003C5467"/>
    <w:rsid w:val="003C559E"/>
    <w:rsid w:val="003C6730"/>
    <w:rsid w:val="003C67E8"/>
    <w:rsid w:val="003C6878"/>
    <w:rsid w:val="003C7663"/>
    <w:rsid w:val="003C783E"/>
    <w:rsid w:val="003D0768"/>
    <w:rsid w:val="003D0910"/>
    <w:rsid w:val="003D0F81"/>
    <w:rsid w:val="003D1AF8"/>
    <w:rsid w:val="003D236A"/>
    <w:rsid w:val="003D2629"/>
    <w:rsid w:val="003D36E5"/>
    <w:rsid w:val="003D3B80"/>
    <w:rsid w:val="003D3F57"/>
    <w:rsid w:val="003D4843"/>
    <w:rsid w:val="003D4878"/>
    <w:rsid w:val="003D5064"/>
    <w:rsid w:val="003D5712"/>
    <w:rsid w:val="003D5BDB"/>
    <w:rsid w:val="003D6237"/>
    <w:rsid w:val="003D6734"/>
    <w:rsid w:val="003E0045"/>
    <w:rsid w:val="003E0085"/>
    <w:rsid w:val="003E0AE3"/>
    <w:rsid w:val="003E115C"/>
    <w:rsid w:val="003E2362"/>
    <w:rsid w:val="003E28B8"/>
    <w:rsid w:val="003E2DDD"/>
    <w:rsid w:val="003E3E16"/>
    <w:rsid w:val="003E43F7"/>
    <w:rsid w:val="003E4C51"/>
    <w:rsid w:val="003E72DB"/>
    <w:rsid w:val="003E7E1E"/>
    <w:rsid w:val="003E7E8E"/>
    <w:rsid w:val="003F00A4"/>
    <w:rsid w:val="003F021A"/>
    <w:rsid w:val="003F1100"/>
    <w:rsid w:val="003F1383"/>
    <w:rsid w:val="003F13D6"/>
    <w:rsid w:val="003F19DC"/>
    <w:rsid w:val="003F24B0"/>
    <w:rsid w:val="003F3BA0"/>
    <w:rsid w:val="003F4809"/>
    <w:rsid w:val="003F6FC6"/>
    <w:rsid w:val="003F71F4"/>
    <w:rsid w:val="003F74FE"/>
    <w:rsid w:val="003F7E3C"/>
    <w:rsid w:val="003F7E94"/>
    <w:rsid w:val="0040068E"/>
    <w:rsid w:val="004007C0"/>
    <w:rsid w:val="00400F2A"/>
    <w:rsid w:val="00401009"/>
    <w:rsid w:val="0040111E"/>
    <w:rsid w:val="004018A4"/>
    <w:rsid w:val="00402A9B"/>
    <w:rsid w:val="00403389"/>
    <w:rsid w:val="00403B5C"/>
    <w:rsid w:val="00403CC5"/>
    <w:rsid w:val="00403F0D"/>
    <w:rsid w:val="004045FB"/>
    <w:rsid w:val="00404BA4"/>
    <w:rsid w:val="00404EC3"/>
    <w:rsid w:val="00404F66"/>
    <w:rsid w:val="004050BE"/>
    <w:rsid w:val="00405320"/>
    <w:rsid w:val="004058C5"/>
    <w:rsid w:val="004060B3"/>
    <w:rsid w:val="00406D20"/>
    <w:rsid w:val="00407B00"/>
    <w:rsid w:val="00407BE6"/>
    <w:rsid w:val="00410247"/>
    <w:rsid w:val="0041064D"/>
    <w:rsid w:val="00410A65"/>
    <w:rsid w:val="00411699"/>
    <w:rsid w:val="004117C9"/>
    <w:rsid w:val="0041183F"/>
    <w:rsid w:val="004119B7"/>
    <w:rsid w:val="00411B8F"/>
    <w:rsid w:val="00412BE8"/>
    <w:rsid w:val="00413159"/>
    <w:rsid w:val="00413345"/>
    <w:rsid w:val="00413809"/>
    <w:rsid w:val="00413C57"/>
    <w:rsid w:val="00414AAB"/>
    <w:rsid w:val="004157BF"/>
    <w:rsid w:val="00416D2C"/>
    <w:rsid w:val="00416FE9"/>
    <w:rsid w:val="00417477"/>
    <w:rsid w:val="004175DC"/>
    <w:rsid w:val="00417BDA"/>
    <w:rsid w:val="0042008E"/>
    <w:rsid w:val="00420DA8"/>
    <w:rsid w:val="00421470"/>
    <w:rsid w:val="004215ED"/>
    <w:rsid w:val="00421C7C"/>
    <w:rsid w:val="00422341"/>
    <w:rsid w:val="004223DC"/>
    <w:rsid w:val="00422732"/>
    <w:rsid w:val="00422FAB"/>
    <w:rsid w:val="00423A99"/>
    <w:rsid w:val="00424093"/>
    <w:rsid w:val="004270E1"/>
    <w:rsid w:val="00427C12"/>
    <w:rsid w:val="00430370"/>
    <w:rsid w:val="00430B27"/>
    <w:rsid w:val="00431A37"/>
    <w:rsid w:val="00431D68"/>
    <w:rsid w:val="00433BC7"/>
    <w:rsid w:val="00433FDA"/>
    <w:rsid w:val="00434740"/>
    <w:rsid w:val="00434B42"/>
    <w:rsid w:val="004354D0"/>
    <w:rsid w:val="00435E08"/>
    <w:rsid w:val="00435E4F"/>
    <w:rsid w:val="00437D3E"/>
    <w:rsid w:val="00437FF5"/>
    <w:rsid w:val="0044032C"/>
    <w:rsid w:val="004403D3"/>
    <w:rsid w:val="0044044D"/>
    <w:rsid w:val="00440FD0"/>
    <w:rsid w:val="0044109C"/>
    <w:rsid w:val="00441185"/>
    <w:rsid w:val="00441555"/>
    <w:rsid w:val="0044266F"/>
    <w:rsid w:val="00442770"/>
    <w:rsid w:val="004427A0"/>
    <w:rsid w:val="00442939"/>
    <w:rsid w:val="00442A55"/>
    <w:rsid w:val="00442B89"/>
    <w:rsid w:val="00442DEA"/>
    <w:rsid w:val="00442F5A"/>
    <w:rsid w:val="004433CD"/>
    <w:rsid w:val="004435DC"/>
    <w:rsid w:val="00444398"/>
    <w:rsid w:val="00444523"/>
    <w:rsid w:val="004449AE"/>
    <w:rsid w:val="00444C5E"/>
    <w:rsid w:val="004456EC"/>
    <w:rsid w:val="00445DB6"/>
    <w:rsid w:val="004462A9"/>
    <w:rsid w:val="00446378"/>
    <w:rsid w:val="00446F77"/>
    <w:rsid w:val="004470D3"/>
    <w:rsid w:val="0044796A"/>
    <w:rsid w:val="00447A26"/>
    <w:rsid w:val="00447D8F"/>
    <w:rsid w:val="00450198"/>
    <w:rsid w:val="004509F8"/>
    <w:rsid w:val="0045112D"/>
    <w:rsid w:val="00452A6F"/>
    <w:rsid w:val="00452C57"/>
    <w:rsid w:val="004538F4"/>
    <w:rsid w:val="00453F1B"/>
    <w:rsid w:val="00453F29"/>
    <w:rsid w:val="0045445F"/>
    <w:rsid w:val="004549C0"/>
    <w:rsid w:val="0045587C"/>
    <w:rsid w:val="0045588E"/>
    <w:rsid w:val="00455EBF"/>
    <w:rsid w:val="00455F67"/>
    <w:rsid w:val="004564DB"/>
    <w:rsid w:val="00456AA6"/>
    <w:rsid w:val="00456BEF"/>
    <w:rsid w:val="00456D70"/>
    <w:rsid w:val="004579DB"/>
    <w:rsid w:val="00457A06"/>
    <w:rsid w:val="00460BAE"/>
    <w:rsid w:val="00461031"/>
    <w:rsid w:val="0046109A"/>
    <w:rsid w:val="004617E5"/>
    <w:rsid w:val="004618C2"/>
    <w:rsid w:val="00461D92"/>
    <w:rsid w:val="00462516"/>
    <w:rsid w:val="00462E76"/>
    <w:rsid w:val="00463AB4"/>
    <w:rsid w:val="00463F80"/>
    <w:rsid w:val="0046403C"/>
    <w:rsid w:val="004641C4"/>
    <w:rsid w:val="00464A19"/>
    <w:rsid w:val="00464C05"/>
    <w:rsid w:val="00464DEA"/>
    <w:rsid w:val="00465FC8"/>
    <w:rsid w:val="00466229"/>
    <w:rsid w:val="0046719F"/>
    <w:rsid w:val="00467213"/>
    <w:rsid w:val="004678C3"/>
    <w:rsid w:val="004705D5"/>
    <w:rsid w:val="004710CE"/>
    <w:rsid w:val="00471B60"/>
    <w:rsid w:val="00472135"/>
    <w:rsid w:val="0047299C"/>
    <w:rsid w:val="00472A0B"/>
    <w:rsid w:val="004730C8"/>
    <w:rsid w:val="004733E3"/>
    <w:rsid w:val="00473473"/>
    <w:rsid w:val="004736B9"/>
    <w:rsid w:val="0047473B"/>
    <w:rsid w:val="00474FB6"/>
    <w:rsid w:val="004751EE"/>
    <w:rsid w:val="0047570A"/>
    <w:rsid w:val="004759F6"/>
    <w:rsid w:val="004761D6"/>
    <w:rsid w:val="004764E1"/>
    <w:rsid w:val="00477035"/>
    <w:rsid w:val="004771C9"/>
    <w:rsid w:val="004775E9"/>
    <w:rsid w:val="00480A19"/>
    <w:rsid w:val="004812F3"/>
    <w:rsid w:val="00481DA3"/>
    <w:rsid w:val="00483777"/>
    <w:rsid w:val="0048536F"/>
    <w:rsid w:val="00485AAD"/>
    <w:rsid w:val="00485BE6"/>
    <w:rsid w:val="0048653A"/>
    <w:rsid w:val="00486B04"/>
    <w:rsid w:val="00486C54"/>
    <w:rsid w:val="004872B6"/>
    <w:rsid w:val="00487A52"/>
    <w:rsid w:val="00487AD7"/>
    <w:rsid w:val="00487ED3"/>
    <w:rsid w:val="00487F34"/>
    <w:rsid w:val="00491876"/>
    <w:rsid w:val="00491900"/>
    <w:rsid w:val="004920DA"/>
    <w:rsid w:val="0049214E"/>
    <w:rsid w:val="004929D8"/>
    <w:rsid w:val="004940A6"/>
    <w:rsid w:val="004957B9"/>
    <w:rsid w:val="00495A83"/>
    <w:rsid w:val="004960F5"/>
    <w:rsid w:val="004962ED"/>
    <w:rsid w:val="004964F5"/>
    <w:rsid w:val="004974BC"/>
    <w:rsid w:val="004A00C4"/>
    <w:rsid w:val="004A119B"/>
    <w:rsid w:val="004A14BE"/>
    <w:rsid w:val="004A2B01"/>
    <w:rsid w:val="004A3C3C"/>
    <w:rsid w:val="004A3F1D"/>
    <w:rsid w:val="004A53A0"/>
    <w:rsid w:val="004A56B0"/>
    <w:rsid w:val="004A591E"/>
    <w:rsid w:val="004A6225"/>
    <w:rsid w:val="004A646A"/>
    <w:rsid w:val="004A66D8"/>
    <w:rsid w:val="004A6972"/>
    <w:rsid w:val="004A741C"/>
    <w:rsid w:val="004A7657"/>
    <w:rsid w:val="004B00C7"/>
    <w:rsid w:val="004B0D94"/>
    <w:rsid w:val="004B0F61"/>
    <w:rsid w:val="004B15AA"/>
    <w:rsid w:val="004B17C0"/>
    <w:rsid w:val="004B215E"/>
    <w:rsid w:val="004B3230"/>
    <w:rsid w:val="004B390B"/>
    <w:rsid w:val="004B3B44"/>
    <w:rsid w:val="004B3FCA"/>
    <w:rsid w:val="004B4C55"/>
    <w:rsid w:val="004B6573"/>
    <w:rsid w:val="004B6BE1"/>
    <w:rsid w:val="004B6FA5"/>
    <w:rsid w:val="004C06A7"/>
    <w:rsid w:val="004C0760"/>
    <w:rsid w:val="004C0BE0"/>
    <w:rsid w:val="004C29E9"/>
    <w:rsid w:val="004C4634"/>
    <w:rsid w:val="004C4919"/>
    <w:rsid w:val="004C525A"/>
    <w:rsid w:val="004C5C05"/>
    <w:rsid w:val="004C5F4C"/>
    <w:rsid w:val="004C6124"/>
    <w:rsid w:val="004C678F"/>
    <w:rsid w:val="004C684E"/>
    <w:rsid w:val="004C7336"/>
    <w:rsid w:val="004C7802"/>
    <w:rsid w:val="004C7887"/>
    <w:rsid w:val="004D01D0"/>
    <w:rsid w:val="004D090D"/>
    <w:rsid w:val="004D0A0D"/>
    <w:rsid w:val="004D272B"/>
    <w:rsid w:val="004D2A59"/>
    <w:rsid w:val="004D2DD3"/>
    <w:rsid w:val="004D31D4"/>
    <w:rsid w:val="004D344B"/>
    <w:rsid w:val="004D557F"/>
    <w:rsid w:val="004D5ACB"/>
    <w:rsid w:val="004D5FC7"/>
    <w:rsid w:val="004D62D6"/>
    <w:rsid w:val="004D67D4"/>
    <w:rsid w:val="004D6A8E"/>
    <w:rsid w:val="004D7124"/>
    <w:rsid w:val="004D7B22"/>
    <w:rsid w:val="004D7CD6"/>
    <w:rsid w:val="004D7F38"/>
    <w:rsid w:val="004E043F"/>
    <w:rsid w:val="004E126B"/>
    <w:rsid w:val="004E12C3"/>
    <w:rsid w:val="004E168B"/>
    <w:rsid w:val="004E1D31"/>
    <w:rsid w:val="004E41CF"/>
    <w:rsid w:val="004E47B2"/>
    <w:rsid w:val="004E52F7"/>
    <w:rsid w:val="004E5B00"/>
    <w:rsid w:val="004E5C7D"/>
    <w:rsid w:val="004E5DAB"/>
    <w:rsid w:val="004E5EDF"/>
    <w:rsid w:val="004E5F3A"/>
    <w:rsid w:val="004E6B42"/>
    <w:rsid w:val="004E6F7C"/>
    <w:rsid w:val="004E72B5"/>
    <w:rsid w:val="004F0074"/>
    <w:rsid w:val="004F1A4B"/>
    <w:rsid w:val="004F1AAF"/>
    <w:rsid w:val="004F1BFB"/>
    <w:rsid w:val="004F1CEB"/>
    <w:rsid w:val="004F2346"/>
    <w:rsid w:val="004F2691"/>
    <w:rsid w:val="004F2A3B"/>
    <w:rsid w:val="004F2DA9"/>
    <w:rsid w:val="004F43DC"/>
    <w:rsid w:val="004F4A26"/>
    <w:rsid w:val="004F5524"/>
    <w:rsid w:val="004F6055"/>
    <w:rsid w:val="004F6348"/>
    <w:rsid w:val="004F63CE"/>
    <w:rsid w:val="004F7164"/>
    <w:rsid w:val="004F760C"/>
    <w:rsid w:val="004F77DC"/>
    <w:rsid w:val="004F7E92"/>
    <w:rsid w:val="0050124B"/>
    <w:rsid w:val="00502205"/>
    <w:rsid w:val="00502B3E"/>
    <w:rsid w:val="00503703"/>
    <w:rsid w:val="00503C4B"/>
    <w:rsid w:val="0050418B"/>
    <w:rsid w:val="005041EF"/>
    <w:rsid w:val="00504BEB"/>
    <w:rsid w:val="0050549D"/>
    <w:rsid w:val="00505B4A"/>
    <w:rsid w:val="00506043"/>
    <w:rsid w:val="005061B2"/>
    <w:rsid w:val="005063AF"/>
    <w:rsid w:val="00506BF6"/>
    <w:rsid w:val="00506D67"/>
    <w:rsid w:val="00507241"/>
    <w:rsid w:val="00507898"/>
    <w:rsid w:val="005078A0"/>
    <w:rsid w:val="00507C07"/>
    <w:rsid w:val="00510421"/>
    <w:rsid w:val="00511682"/>
    <w:rsid w:val="005123F0"/>
    <w:rsid w:val="00512E21"/>
    <w:rsid w:val="00513D3D"/>
    <w:rsid w:val="0051453F"/>
    <w:rsid w:val="005158EA"/>
    <w:rsid w:val="005159A3"/>
    <w:rsid w:val="00515C53"/>
    <w:rsid w:val="00516607"/>
    <w:rsid w:val="00516D4E"/>
    <w:rsid w:val="00517057"/>
    <w:rsid w:val="0051717F"/>
    <w:rsid w:val="00517D3E"/>
    <w:rsid w:val="005216F2"/>
    <w:rsid w:val="00521E0D"/>
    <w:rsid w:val="005221C9"/>
    <w:rsid w:val="005222DC"/>
    <w:rsid w:val="00523FA5"/>
    <w:rsid w:val="00524400"/>
    <w:rsid w:val="00524777"/>
    <w:rsid w:val="00524A2F"/>
    <w:rsid w:val="00524D60"/>
    <w:rsid w:val="00525470"/>
    <w:rsid w:val="0052575B"/>
    <w:rsid w:val="00527287"/>
    <w:rsid w:val="0053018E"/>
    <w:rsid w:val="005302B2"/>
    <w:rsid w:val="00530B64"/>
    <w:rsid w:val="00530DC6"/>
    <w:rsid w:val="00530E77"/>
    <w:rsid w:val="00531412"/>
    <w:rsid w:val="00531567"/>
    <w:rsid w:val="00532665"/>
    <w:rsid w:val="005341DB"/>
    <w:rsid w:val="00534D28"/>
    <w:rsid w:val="00534D6E"/>
    <w:rsid w:val="005352BD"/>
    <w:rsid w:val="00535868"/>
    <w:rsid w:val="005362EE"/>
    <w:rsid w:val="00536302"/>
    <w:rsid w:val="00536C6E"/>
    <w:rsid w:val="00536CC0"/>
    <w:rsid w:val="005371AE"/>
    <w:rsid w:val="0053768A"/>
    <w:rsid w:val="005376C5"/>
    <w:rsid w:val="005377C9"/>
    <w:rsid w:val="005378C6"/>
    <w:rsid w:val="00537A9C"/>
    <w:rsid w:val="00537DEB"/>
    <w:rsid w:val="00537F03"/>
    <w:rsid w:val="00537F0E"/>
    <w:rsid w:val="00540297"/>
    <w:rsid w:val="00540A40"/>
    <w:rsid w:val="00540D59"/>
    <w:rsid w:val="00540E21"/>
    <w:rsid w:val="00541430"/>
    <w:rsid w:val="00541636"/>
    <w:rsid w:val="005416B0"/>
    <w:rsid w:val="00541C7F"/>
    <w:rsid w:val="005426D8"/>
    <w:rsid w:val="00542A85"/>
    <w:rsid w:val="00543ABA"/>
    <w:rsid w:val="00543F96"/>
    <w:rsid w:val="00544B9D"/>
    <w:rsid w:val="00544F82"/>
    <w:rsid w:val="0054520B"/>
    <w:rsid w:val="005467F8"/>
    <w:rsid w:val="00546A6C"/>
    <w:rsid w:val="0054747D"/>
    <w:rsid w:val="005500AB"/>
    <w:rsid w:val="00550153"/>
    <w:rsid w:val="00550A91"/>
    <w:rsid w:val="00550D04"/>
    <w:rsid w:val="00551A77"/>
    <w:rsid w:val="00551E7F"/>
    <w:rsid w:val="0055245D"/>
    <w:rsid w:val="00552E2E"/>
    <w:rsid w:val="0055363C"/>
    <w:rsid w:val="00553702"/>
    <w:rsid w:val="00553DE8"/>
    <w:rsid w:val="00553E7F"/>
    <w:rsid w:val="005543B8"/>
    <w:rsid w:val="0055494C"/>
    <w:rsid w:val="00554B28"/>
    <w:rsid w:val="0055546A"/>
    <w:rsid w:val="00555523"/>
    <w:rsid w:val="005559C1"/>
    <w:rsid w:val="00556FAA"/>
    <w:rsid w:val="00556FD8"/>
    <w:rsid w:val="0055734E"/>
    <w:rsid w:val="00557492"/>
    <w:rsid w:val="005575E4"/>
    <w:rsid w:val="005578E2"/>
    <w:rsid w:val="00557A37"/>
    <w:rsid w:val="0056027F"/>
    <w:rsid w:val="005609AD"/>
    <w:rsid w:val="00560C34"/>
    <w:rsid w:val="00561246"/>
    <w:rsid w:val="00561848"/>
    <w:rsid w:val="00561FD2"/>
    <w:rsid w:val="0056270C"/>
    <w:rsid w:val="0056275E"/>
    <w:rsid w:val="00562E33"/>
    <w:rsid w:val="00563828"/>
    <w:rsid w:val="0056574D"/>
    <w:rsid w:val="0056593E"/>
    <w:rsid w:val="00566376"/>
    <w:rsid w:val="00566699"/>
    <w:rsid w:val="005670CD"/>
    <w:rsid w:val="005672B0"/>
    <w:rsid w:val="0056735C"/>
    <w:rsid w:val="005673DF"/>
    <w:rsid w:val="0057054B"/>
    <w:rsid w:val="005705D9"/>
    <w:rsid w:val="00570611"/>
    <w:rsid w:val="0057102E"/>
    <w:rsid w:val="00573920"/>
    <w:rsid w:val="00574246"/>
    <w:rsid w:val="0057430C"/>
    <w:rsid w:val="00574744"/>
    <w:rsid w:val="005747DD"/>
    <w:rsid w:val="0057480F"/>
    <w:rsid w:val="005749C2"/>
    <w:rsid w:val="00574C26"/>
    <w:rsid w:val="005750B2"/>
    <w:rsid w:val="005758C6"/>
    <w:rsid w:val="005766AA"/>
    <w:rsid w:val="005767FA"/>
    <w:rsid w:val="00576C6A"/>
    <w:rsid w:val="005778B4"/>
    <w:rsid w:val="00580BB9"/>
    <w:rsid w:val="00581763"/>
    <w:rsid w:val="00582E29"/>
    <w:rsid w:val="00583E8D"/>
    <w:rsid w:val="00584631"/>
    <w:rsid w:val="00584F19"/>
    <w:rsid w:val="005854F8"/>
    <w:rsid w:val="00586538"/>
    <w:rsid w:val="005900E8"/>
    <w:rsid w:val="00590AC4"/>
    <w:rsid w:val="00590DFC"/>
    <w:rsid w:val="00590F31"/>
    <w:rsid w:val="00591684"/>
    <w:rsid w:val="0059182A"/>
    <w:rsid w:val="00591D4A"/>
    <w:rsid w:val="00591FB6"/>
    <w:rsid w:val="005929B9"/>
    <w:rsid w:val="00592AA5"/>
    <w:rsid w:val="00593775"/>
    <w:rsid w:val="005939F7"/>
    <w:rsid w:val="00594111"/>
    <w:rsid w:val="00594A34"/>
    <w:rsid w:val="00594AFF"/>
    <w:rsid w:val="00595B37"/>
    <w:rsid w:val="00595DDD"/>
    <w:rsid w:val="005978D4"/>
    <w:rsid w:val="005A05C6"/>
    <w:rsid w:val="005A0724"/>
    <w:rsid w:val="005A0DA7"/>
    <w:rsid w:val="005A1112"/>
    <w:rsid w:val="005A13BD"/>
    <w:rsid w:val="005A24A4"/>
    <w:rsid w:val="005A2DA6"/>
    <w:rsid w:val="005A3123"/>
    <w:rsid w:val="005A3A8B"/>
    <w:rsid w:val="005A3CAC"/>
    <w:rsid w:val="005A3CFF"/>
    <w:rsid w:val="005A3D49"/>
    <w:rsid w:val="005A4931"/>
    <w:rsid w:val="005A5411"/>
    <w:rsid w:val="005A5728"/>
    <w:rsid w:val="005A5F58"/>
    <w:rsid w:val="005A6B79"/>
    <w:rsid w:val="005A70B4"/>
    <w:rsid w:val="005A7233"/>
    <w:rsid w:val="005A745B"/>
    <w:rsid w:val="005A7603"/>
    <w:rsid w:val="005B0384"/>
    <w:rsid w:val="005B05B9"/>
    <w:rsid w:val="005B07F8"/>
    <w:rsid w:val="005B127B"/>
    <w:rsid w:val="005B1285"/>
    <w:rsid w:val="005B1EFB"/>
    <w:rsid w:val="005B2425"/>
    <w:rsid w:val="005B2480"/>
    <w:rsid w:val="005B26F4"/>
    <w:rsid w:val="005B3106"/>
    <w:rsid w:val="005B329D"/>
    <w:rsid w:val="005B350A"/>
    <w:rsid w:val="005B3981"/>
    <w:rsid w:val="005B3B99"/>
    <w:rsid w:val="005B5218"/>
    <w:rsid w:val="005B5265"/>
    <w:rsid w:val="005B55D2"/>
    <w:rsid w:val="005B606A"/>
    <w:rsid w:val="005B699C"/>
    <w:rsid w:val="005C00F4"/>
    <w:rsid w:val="005C0405"/>
    <w:rsid w:val="005C0964"/>
    <w:rsid w:val="005C0D73"/>
    <w:rsid w:val="005C0E1F"/>
    <w:rsid w:val="005C0E91"/>
    <w:rsid w:val="005C101E"/>
    <w:rsid w:val="005C1319"/>
    <w:rsid w:val="005C2081"/>
    <w:rsid w:val="005C2257"/>
    <w:rsid w:val="005C3169"/>
    <w:rsid w:val="005C32E6"/>
    <w:rsid w:val="005C355C"/>
    <w:rsid w:val="005C3661"/>
    <w:rsid w:val="005C3898"/>
    <w:rsid w:val="005C3CCD"/>
    <w:rsid w:val="005C5F0A"/>
    <w:rsid w:val="005C63DC"/>
    <w:rsid w:val="005C68B1"/>
    <w:rsid w:val="005C6CF1"/>
    <w:rsid w:val="005C71A4"/>
    <w:rsid w:val="005C7C8F"/>
    <w:rsid w:val="005C7E8F"/>
    <w:rsid w:val="005D02FF"/>
    <w:rsid w:val="005D1A20"/>
    <w:rsid w:val="005D1EA9"/>
    <w:rsid w:val="005D215A"/>
    <w:rsid w:val="005D2337"/>
    <w:rsid w:val="005D270F"/>
    <w:rsid w:val="005D2EA5"/>
    <w:rsid w:val="005D30A4"/>
    <w:rsid w:val="005D31BE"/>
    <w:rsid w:val="005D3218"/>
    <w:rsid w:val="005D33D9"/>
    <w:rsid w:val="005D39B1"/>
    <w:rsid w:val="005D47BD"/>
    <w:rsid w:val="005D4A54"/>
    <w:rsid w:val="005D4D2E"/>
    <w:rsid w:val="005D4F2D"/>
    <w:rsid w:val="005D613D"/>
    <w:rsid w:val="005D639A"/>
    <w:rsid w:val="005D691D"/>
    <w:rsid w:val="005D75E0"/>
    <w:rsid w:val="005D7A4A"/>
    <w:rsid w:val="005E0071"/>
    <w:rsid w:val="005E0C29"/>
    <w:rsid w:val="005E1739"/>
    <w:rsid w:val="005E1F12"/>
    <w:rsid w:val="005E24C3"/>
    <w:rsid w:val="005E2A8A"/>
    <w:rsid w:val="005E2E64"/>
    <w:rsid w:val="005E39A7"/>
    <w:rsid w:val="005E558F"/>
    <w:rsid w:val="005E5C27"/>
    <w:rsid w:val="005E7672"/>
    <w:rsid w:val="005E7F60"/>
    <w:rsid w:val="005F1500"/>
    <w:rsid w:val="005F1BF5"/>
    <w:rsid w:val="005F1D73"/>
    <w:rsid w:val="005F23E1"/>
    <w:rsid w:val="005F29CA"/>
    <w:rsid w:val="005F2AB1"/>
    <w:rsid w:val="005F344E"/>
    <w:rsid w:val="005F3881"/>
    <w:rsid w:val="005F38E2"/>
    <w:rsid w:val="005F3AAD"/>
    <w:rsid w:val="005F3B4F"/>
    <w:rsid w:val="005F48ED"/>
    <w:rsid w:val="005F4E11"/>
    <w:rsid w:val="005F55FC"/>
    <w:rsid w:val="005F5BC0"/>
    <w:rsid w:val="005F6629"/>
    <w:rsid w:val="005F6827"/>
    <w:rsid w:val="005F7068"/>
    <w:rsid w:val="005F70C5"/>
    <w:rsid w:val="005F7F3E"/>
    <w:rsid w:val="0060018B"/>
    <w:rsid w:val="00600630"/>
    <w:rsid w:val="00600FFC"/>
    <w:rsid w:val="00601E57"/>
    <w:rsid w:val="006022B7"/>
    <w:rsid w:val="00603078"/>
    <w:rsid w:val="00603466"/>
    <w:rsid w:val="00603648"/>
    <w:rsid w:val="006044CF"/>
    <w:rsid w:val="006102B8"/>
    <w:rsid w:val="00611454"/>
    <w:rsid w:val="006114AF"/>
    <w:rsid w:val="006117CC"/>
    <w:rsid w:val="0061182C"/>
    <w:rsid w:val="0061198F"/>
    <w:rsid w:val="006121B5"/>
    <w:rsid w:val="006128C5"/>
    <w:rsid w:val="00613916"/>
    <w:rsid w:val="006158DF"/>
    <w:rsid w:val="0061640D"/>
    <w:rsid w:val="006177B1"/>
    <w:rsid w:val="00617E07"/>
    <w:rsid w:val="00617EE6"/>
    <w:rsid w:val="006214F4"/>
    <w:rsid w:val="0062157F"/>
    <w:rsid w:val="00621BF8"/>
    <w:rsid w:val="00621EF9"/>
    <w:rsid w:val="006227AF"/>
    <w:rsid w:val="006228AE"/>
    <w:rsid w:val="00622E18"/>
    <w:rsid w:val="0062328E"/>
    <w:rsid w:val="006238D0"/>
    <w:rsid w:val="00624B30"/>
    <w:rsid w:val="00625451"/>
    <w:rsid w:val="00625682"/>
    <w:rsid w:val="00625DAD"/>
    <w:rsid w:val="00625EE3"/>
    <w:rsid w:val="00626236"/>
    <w:rsid w:val="00627003"/>
    <w:rsid w:val="00627F8C"/>
    <w:rsid w:val="00630033"/>
    <w:rsid w:val="0063006A"/>
    <w:rsid w:val="00630CFE"/>
    <w:rsid w:val="00630F4D"/>
    <w:rsid w:val="006311FC"/>
    <w:rsid w:val="00631BA8"/>
    <w:rsid w:val="00631E39"/>
    <w:rsid w:val="0063213B"/>
    <w:rsid w:val="00632779"/>
    <w:rsid w:val="00632AAD"/>
    <w:rsid w:val="00633CC1"/>
    <w:rsid w:val="00634F86"/>
    <w:rsid w:val="0063584E"/>
    <w:rsid w:val="00635910"/>
    <w:rsid w:val="00636723"/>
    <w:rsid w:val="00636F02"/>
    <w:rsid w:val="0063791A"/>
    <w:rsid w:val="0063792A"/>
    <w:rsid w:val="0064078A"/>
    <w:rsid w:val="00641CF7"/>
    <w:rsid w:val="00642287"/>
    <w:rsid w:val="0064237B"/>
    <w:rsid w:val="00642F8B"/>
    <w:rsid w:val="00643703"/>
    <w:rsid w:val="00643C34"/>
    <w:rsid w:val="0064412E"/>
    <w:rsid w:val="00644198"/>
    <w:rsid w:val="00645271"/>
    <w:rsid w:val="006466A7"/>
    <w:rsid w:val="006469B1"/>
    <w:rsid w:val="00650809"/>
    <w:rsid w:val="00650B75"/>
    <w:rsid w:val="0065132B"/>
    <w:rsid w:val="00652EFB"/>
    <w:rsid w:val="00653C95"/>
    <w:rsid w:val="00653CBF"/>
    <w:rsid w:val="00654823"/>
    <w:rsid w:val="00654E96"/>
    <w:rsid w:val="006554F6"/>
    <w:rsid w:val="00655D0A"/>
    <w:rsid w:val="00656A7C"/>
    <w:rsid w:val="00656CCB"/>
    <w:rsid w:val="006577AA"/>
    <w:rsid w:val="006578AA"/>
    <w:rsid w:val="00657AFC"/>
    <w:rsid w:val="006601A7"/>
    <w:rsid w:val="00661093"/>
    <w:rsid w:val="00662E1F"/>
    <w:rsid w:val="006636F4"/>
    <w:rsid w:val="00664E37"/>
    <w:rsid w:val="00665B45"/>
    <w:rsid w:val="00666A27"/>
    <w:rsid w:val="00666C1A"/>
    <w:rsid w:val="006704E2"/>
    <w:rsid w:val="00670A9C"/>
    <w:rsid w:val="00670F21"/>
    <w:rsid w:val="00672C82"/>
    <w:rsid w:val="00673215"/>
    <w:rsid w:val="006739CE"/>
    <w:rsid w:val="0067438E"/>
    <w:rsid w:val="006743D2"/>
    <w:rsid w:val="00674AA3"/>
    <w:rsid w:val="00674E3A"/>
    <w:rsid w:val="00675ED1"/>
    <w:rsid w:val="00676280"/>
    <w:rsid w:val="006765E5"/>
    <w:rsid w:val="00676D1B"/>
    <w:rsid w:val="00676FA8"/>
    <w:rsid w:val="00677158"/>
    <w:rsid w:val="006804ED"/>
    <w:rsid w:val="00680DFC"/>
    <w:rsid w:val="00680E60"/>
    <w:rsid w:val="00680EE4"/>
    <w:rsid w:val="00680EF0"/>
    <w:rsid w:val="006810C4"/>
    <w:rsid w:val="00682525"/>
    <w:rsid w:val="0068384F"/>
    <w:rsid w:val="00684B4D"/>
    <w:rsid w:val="00684E30"/>
    <w:rsid w:val="00685A28"/>
    <w:rsid w:val="006863FC"/>
    <w:rsid w:val="00686B94"/>
    <w:rsid w:val="00686D5F"/>
    <w:rsid w:val="00686EB6"/>
    <w:rsid w:val="00687223"/>
    <w:rsid w:val="0069150B"/>
    <w:rsid w:val="0069173C"/>
    <w:rsid w:val="006917F6"/>
    <w:rsid w:val="006921A2"/>
    <w:rsid w:val="00692C27"/>
    <w:rsid w:val="0069325D"/>
    <w:rsid w:val="00693602"/>
    <w:rsid w:val="0069391D"/>
    <w:rsid w:val="00693A7A"/>
    <w:rsid w:val="00693D57"/>
    <w:rsid w:val="00693DED"/>
    <w:rsid w:val="00694048"/>
    <w:rsid w:val="006949FB"/>
    <w:rsid w:val="00694A36"/>
    <w:rsid w:val="0069518A"/>
    <w:rsid w:val="006954AC"/>
    <w:rsid w:val="00695A89"/>
    <w:rsid w:val="00695C93"/>
    <w:rsid w:val="00695DFF"/>
    <w:rsid w:val="006960AD"/>
    <w:rsid w:val="006964B8"/>
    <w:rsid w:val="006969B5"/>
    <w:rsid w:val="00696F6E"/>
    <w:rsid w:val="00697377"/>
    <w:rsid w:val="00697B64"/>
    <w:rsid w:val="00697CF6"/>
    <w:rsid w:val="006A1623"/>
    <w:rsid w:val="006A1E22"/>
    <w:rsid w:val="006A2778"/>
    <w:rsid w:val="006A2873"/>
    <w:rsid w:val="006A3385"/>
    <w:rsid w:val="006A341A"/>
    <w:rsid w:val="006A38DD"/>
    <w:rsid w:val="006A3B9A"/>
    <w:rsid w:val="006A4A27"/>
    <w:rsid w:val="006A5490"/>
    <w:rsid w:val="006A61A7"/>
    <w:rsid w:val="006A639F"/>
    <w:rsid w:val="006A6896"/>
    <w:rsid w:val="006A69C3"/>
    <w:rsid w:val="006A6F73"/>
    <w:rsid w:val="006A75D1"/>
    <w:rsid w:val="006A761F"/>
    <w:rsid w:val="006A7F8D"/>
    <w:rsid w:val="006B0180"/>
    <w:rsid w:val="006B06E0"/>
    <w:rsid w:val="006B2A67"/>
    <w:rsid w:val="006B30EF"/>
    <w:rsid w:val="006B3FDC"/>
    <w:rsid w:val="006B4244"/>
    <w:rsid w:val="006B4840"/>
    <w:rsid w:val="006B4EC7"/>
    <w:rsid w:val="006B58CA"/>
    <w:rsid w:val="006B5B6F"/>
    <w:rsid w:val="006B5DBC"/>
    <w:rsid w:val="006B5F55"/>
    <w:rsid w:val="006B60C8"/>
    <w:rsid w:val="006B63E3"/>
    <w:rsid w:val="006B6830"/>
    <w:rsid w:val="006B72CC"/>
    <w:rsid w:val="006B770A"/>
    <w:rsid w:val="006B79BA"/>
    <w:rsid w:val="006C0652"/>
    <w:rsid w:val="006C06EC"/>
    <w:rsid w:val="006C094A"/>
    <w:rsid w:val="006C176C"/>
    <w:rsid w:val="006C1A8F"/>
    <w:rsid w:val="006C1EBB"/>
    <w:rsid w:val="006C226A"/>
    <w:rsid w:val="006C2277"/>
    <w:rsid w:val="006C25BF"/>
    <w:rsid w:val="006C324C"/>
    <w:rsid w:val="006C3F27"/>
    <w:rsid w:val="006C4087"/>
    <w:rsid w:val="006C4BFE"/>
    <w:rsid w:val="006C4D19"/>
    <w:rsid w:val="006C50C1"/>
    <w:rsid w:val="006C5709"/>
    <w:rsid w:val="006C5B5E"/>
    <w:rsid w:val="006C5E08"/>
    <w:rsid w:val="006C5E6C"/>
    <w:rsid w:val="006C62E0"/>
    <w:rsid w:val="006C720D"/>
    <w:rsid w:val="006C7E8A"/>
    <w:rsid w:val="006D010D"/>
    <w:rsid w:val="006D0119"/>
    <w:rsid w:val="006D084F"/>
    <w:rsid w:val="006D13C4"/>
    <w:rsid w:val="006D170A"/>
    <w:rsid w:val="006D18C5"/>
    <w:rsid w:val="006D1C8E"/>
    <w:rsid w:val="006D24F2"/>
    <w:rsid w:val="006D2605"/>
    <w:rsid w:val="006D2615"/>
    <w:rsid w:val="006D276B"/>
    <w:rsid w:val="006D2B56"/>
    <w:rsid w:val="006D2E5C"/>
    <w:rsid w:val="006D2F47"/>
    <w:rsid w:val="006D32F5"/>
    <w:rsid w:val="006D3593"/>
    <w:rsid w:val="006D39E0"/>
    <w:rsid w:val="006D3FED"/>
    <w:rsid w:val="006D47C2"/>
    <w:rsid w:val="006D4D3E"/>
    <w:rsid w:val="006D6AD3"/>
    <w:rsid w:val="006D729F"/>
    <w:rsid w:val="006D786A"/>
    <w:rsid w:val="006D79FD"/>
    <w:rsid w:val="006E0397"/>
    <w:rsid w:val="006E0468"/>
    <w:rsid w:val="006E11B9"/>
    <w:rsid w:val="006E13E5"/>
    <w:rsid w:val="006E1657"/>
    <w:rsid w:val="006E1BB2"/>
    <w:rsid w:val="006E21A4"/>
    <w:rsid w:val="006E373C"/>
    <w:rsid w:val="006E3830"/>
    <w:rsid w:val="006E4CB7"/>
    <w:rsid w:val="006E4D1C"/>
    <w:rsid w:val="006E61BE"/>
    <w:rsid w:val="006E6F76"/>
    <w:rsid w:val="006E7668"/>
    <w:rsid w:val="006E7803"/>
    <w:rsid w:val="006E7905"/>
    <w:rsid w:val="006F01EC"/>
    <w:rsid w:val="006F0385"/>
    <w:rsid w:val="006F182C"/>
    <w:rsid w:val="006F1B58"/>
    <w:rsid w:val="006F376E"/>
    <w:rsid w:val="006F3D75"/>
    <w:rsid w:val="006F4643"/>
    <w:rsid w:val="006F494C"/>
    <w:rsid w:val="006F4BA8"/>
    <w:rsid w:val="006F4CF5"/>
    <w:rsid w:val="006F6080"/>
    <w:rsid w:val="006F6291"/>
    <w:rsid w:val="006F7325"/>
    <w:rsid w:val="006F7624"/>
    <w:rsid w:val="006F7BE5"/>
    <w:rsid w:val="00700531"/>
    <w:rsid w:val="00700826"/>
    <w:rsid w:val="00700A35"/>
    <w:rsid w:val="00700FE3"/>
    <w:rsid w:val="0070161A"/>
    <w:rsid w:val="00703709"/>
    <w:rsid w:val="00703A68"/>
    <w:rsid w:val="0070406C"/>
    <w:rsid w:val="007043E4"/>
    <w:rsid w:val="0070473D"/>
    <w:rsid w:val="00706216"/>
    <w:rsid w:val="00706A17"/>
    <w:rsid w:val="00706BE4"/>
    <w:rsid w:val="00706E4A"/>
    <w:rsid w:val="00710135"/>
    <w:rsid w:val="0071084A"/>
    <w:rsid w:val="00710A8B"/>
    <w:rsid w:val="0071156B"/>
    <w:rsid w:val="007115C7"/>
    <w:rsid w:val="00711AE5"/>
    <w:rsid w:val="00711CFF"/>
    <w:rsid w:val="007120EE"/>
    <w:rsid w:val="00712AE0"/>
    <w:rsid w:val="007131DD"/>
    <w:rsid w:val="00713903"/>
    <w:rsid w:val="007146AE"/>
    <w:rsid w:val="00715530"/>
    <w:rsid w:val="007156A4"/>
    <w:rsid w:val="00715D45"/>
    <w:rsid w:val="0071604C"/>
    <w:rsid w:val="0071628A"/>
    <w:rsid w:val="007165DE"/>
    <w:rsid w:val="0071675A"/>
    <w:rsid w:val="00716E60"/>
    <w:rsid w:val="00717016"/>
    <w:rsid w:val="007171F5"/>
    <w:rsid w:val="007175A0"/>
    <w:rsid w:val="00717616"/>
    <w:rsid w:val="00720261"/>
    <w:rsid w:val="00720B21"/>
    <w:rsid w:val="0072127C"/>
    <w:rsid w:val="00721358"/>
    <w:rsid w:val="0072136C"/>
    <w:rsid w:val="007218B0"/>
    <w:rsid w:val="007236D0"/>
    <w:rsid w:val="00723D94"/>
    <w:rsid w:val="007240D1"/>
    <w:rsid w:val="0072433C"/>
    <w:rsid w:val="007259C2"/>
    <w:rsid w:val="00725E1E"/>
    <w:rsid w:val="007261D2"/>
    <w:rsid w:val="00727E77"/>
    <w:rsid w:val="0073053B"/>
    <w:rsid w:val="0073087C"/>
    <w:rsid w:val="00730B3C"/>
    <w:rsid w:val="00731345"/>
    <w:rsid w:val="00731EAE"/>
    <w:rsid w:val="007332AA"/>
    <w:rsid w:val="00734139"/>
    <w:rsid w:val="007344D2"/>
    <w:rsid w:val="00734652"/>
    <w:rsid w:val="00734C06"/>
    <w:rsid w:val="00734F9E"/>
    <w:rsid w:val="00735F0C"/>
    <w:rsid w:val="007364FE"/>
    <w:rsid w:val="00736AC8"/>
    <w:rsid w:val="00737B62"/>
    <w:rsid w:val="00737F34"/>
    <w:rsid w:val="00740328"/>
    <w:rsid w:val="00740747"/>
    <w:rsid w:val="00740801"/>
    <w:rsid w:val="00740934"/>
    <w:rsid w:val="00741682"/>
    <w:rsid w:val="00741A44"/>
    <w:rsid w:val="00742AC7"/>
    <w:rsid w:val="00743DCE"/>
    <w:rsid w:val="00744342"/>
    <w:rsid w:val="00744BE3"/>
    <w:rsid w:val="00744CD1"/>
    <w:rsid w:val="00744CE0"/>
    <w:rsid w:val="00745D70"/>
    <w:rsid w:val="0074665A"/>
    <w:rsid w:val="00747880"/>
    <w:rsid w:val="00747FC2"/>
    <w:rsid w:val="007503C6"/>
    <w:rsid w:val="0075066F"/>
    <w:rsid w:val="00750722"/>
    <w:rsid w:val="00750FCC"/>
    <w:rsid w:val="00751108"/>
    <w:rsid w:val="00751AEB"/>
    <w:rsid w:val="007520BD"/>
    <w:rsid w:val="00752333"/>
    <w:rsid w:val="00752B57"/>
    <w:rsid w:val="00752E70"/>
    <w:rsid w:val="007533D7"/>
    <w:rsid w:val="00753A86"/>
    <w:rsid w:val="00753CB4"/>
    <w:rsid w:val="007547C3"/>
    <w:rsid w:val="00754C53"/>
    <w:rsid w:val="00755284"/>
    <w:rsid w:val="00755A41"/>
    <w:rsid w:val="00755B3B"/>
    <w:rsid w:val="00755C88"/>
    <w:rsid w:val="007562F8"/>
    <w:rsid w:val="00756D69"/>
    <w:rsid w:val="0075713C"/>
    <w:rsid w:val="00757361"/>
    <w:rsid w:val="007574AF"/>
    <w:rsid w:val="00757B66"/>
    <w:rsid w:val="00760312"/>
    <w:rsid w:val="007605C4"/>
    <w:rsid w:val="007617DE"/>
    <w:rsid w:val="007619C7"/>
    <w:rsid w:val="00761A15"/>
    <w:rsid w:val="00762649"/>
    <w:rsid w:val="00762BC2"/>
    <w:rsid w:val="007638B2"/>
    <w:rsid w:val="007647B9"/>
    <w:rsid w:val="007649C4"/>
    <w:rsid w:val="007654F1"/>
    <w:rsid w:val="007660C1"/>
    <w:rsid w:val="0076614A"/>
    <w:rsid w:val="00767E87"/>
    <w:rsid w:val="00770BBB"/>
    <w:rsid w:val="00770FDA"/>
    <w:rsid w:val="00771BC7"/>
    <w:rsid w:val="00772910"/>
    <w:rsid w:val="00772C75"/>
    <w:rsid w:val="007734B3"/>
    <w:rsid w:val="00773517"/>
    <w:rsid w:val="0077366C"/>
    <w:rsid w:val="00774C8E"/>
    <w:rsid w:val="007756B8"/>
    <w:rsid w:val="007761E2"/>
    <w:rsid w:val="007767DB"/>
    <w:rsid w:val="00776824"/>
    <w:rsid w:val="00776DE2"/>
    <w:rsid w:val="00776F45"/>
    <w:rsid w:val="00777209"/>
    <w:rsid w:val="00777C69"/>
    <w:rsid w:val="007807B5"/>
    <w:rsid w:val="007813F5"/>
    <w:rsid w:val="00781454"/>
    <w:rsid w:val="00781643"/>
    <w:rsid w:val="007825CC"/>
    <w:rsid w:val="00782A1F"/>
    <w:rsid w:val="00782E13"/>
    <w:rsid w:val="00783528"/>
    <w:rsid w:val="007838D4"/>
    <w:rsid w:val="00783A14"/>
    <w:rsid w:val="00783C37"/>
    <w:rsid w:val="0078418D"/>
    <w:rsid w:val="00784D33"/>
    <w:rsid w:val="00785097"/>
    <w:rsid w:val="00785649"/>
    <w:rsid w:val="0078589C"/>
    <w:rsid w:val="00785B72"/>
    <w:rsid w:val="00785E39"/>
    <w:rsid w:val="00785E46"/>
    <w:rsid w:val="0078692E"/>
    <w:rsid w:val="00786B9F"/>
    <w:rsid w:val="00786D66"/>
    <w:rsid w:val="00786EBD"/>
    <w:rsid w:val="007876DC"/>
    <w:rsid w:val="00787C6E"/>
    <w:rsid w:val="007900F4"/>
    <w:rsid w:val="007907B3"/>
    <w:rsid w:val="00790826"/>
    <w:rsid w:val="00791605"/>
    <w:rsid w:val="00791791"/>
    <w:rsid w:val="0079212E"/>
    <w:rsid w:val="0079240A"/>
    <w:rsid w:val="00792CE8"/>
    <w:rsid w:val="00793A4B"/>
    <w:rsid w:val="00794334"/>
    <w:rsid w:val="00794C5A"/>
    <w:rsid w:val="00794CAF"/>
    <w:rsid w:val="0079511F"/>
    <w:rsid w:val="00795286"/>
    <w:rsid w:val="00796306"/>
    <w:rsid w:val="007964EF"/>
    <w:rsid w:val="007974A0"/>
    <w:rsid w:val="00797B0F"/>
    <w:rsid w:val="007A0CDF"/>
    <w:rsid w:val="007A0E69"/>
    <w:rsid w:val="007A1526"/>
    <w:rsid w:val="007A1618"/>
    <w:rsid w:val="007A1E0F"/>
    <w:rsid w:val="007A25C4"/>
    <w:rsid w:val="007A2E14"/>
    <w:rsid w:val="007A3299"/>
    <w:rsid w:val="007A3FB5"/>
    <w:rsid w:val="007A4431"/>
    <w:rsid w:val="007A4607"/>
    <w:rsid w:val="007A47FF"/>
    <w:rsid w:val="007A51A6"/>
    <w:rsid w:val="007A5487"/>
    <w:rsid w:val="007A57CF"/>
    <w:rsid w:val="007A5FD5"/>
    <w:rsid w:val="007A6370"/>
    <w:rsid w:val="007A6666"/>
    <w:rsid w:val="007A69D1"/>
    <w:rsid w:val="007A6BBC"/>
    <w:rsid w:val="007A7BB5"/>
    <w:rsid w:val="007A7E73"/>
    <w:rsid w:val="007B098D"/>
    <w:rsid w:val="007B2B74"/>
    <w:rsid w:val="007B3574"/>
    <w:rsid w:val="007B44A1"/>
    <w:rsid w:val="007B48F8"/>
    <w:rsid w:val="007B61F5"/>
    <w:rsid w:val="007B64FC"/>
    <w:rsid w:val="007B65B8"/>
    <w:rsid w:val="007C0D1F"/>
    <w:rsid w:val="007C127C"/>
    <w:rsid w:val="007C2040"/>
    <w:rsid w:val="007C2CE3"/>
    <w:rsid w:val="007C313C"/>
    <w:rsid w:val="007C3E74"/>
    <w:rsid w:val="007C3FF6"/>
    <w:rsid w:val="007C4919"/>
    <w:rsid w:val="007C565C"/>
    <w:rsid w:val="007C5684"/>
    <w:rsid w:val="007C5802"/>
    <w:rsid w:val="007C5B58"/>
    <w:rsid w:val="007C5D8F"/>
    <w:rsid w:val="007C5F22"/>
    <w:rsid w:val="007C65DD"/>
    <w:rsid w:val="007C6A17"/>
    <w:rsid w:val="007C6AFC"/>
    <w:rsid w:val="007C77A1"/>
    <w:rsid w:val="007D1E30"/>
    <w:rsid w:val="007D1EA2"/>
    <w:rsid w:val="007D26F0"/>
    <w:rsid w:val="007D347A"/>
    <w:rsid w:val="007D3925"/>
    <w:rsid w:val="007D3E5F"/>
    <w:rsid w:val="007D51FD"/>
    <w:rsid w:val="007D5F95"/>
    <w:rsid w:val="007D66E8"/>
    <w:rsid w:val="007D6D3A"/>
    <w:rsid w:val="007D7500"/>
    <w:rsid w:val="007D7505"/>
    <w:rsid w:val="007D7BEE"/>
    <w:rsid w:val="007E03E9"/>
    <w:rsid w:val="007E0D2F"/>
    <w:rsid w:val="007E1268"/>
    <w:rsid w:val="007E1497"/>
    <w:rsid w:val="007E2209"/>
    <w:rsid w:val="007E24ED"/>
    <w:rsid w:val="007E270A"/>
    <w:rsid w:val="007E292E"/>
    <w:rsid w:val="007E2A87"/>
    <w:rsid w:val="007E337D"/>
    <w:rsid w:val="007E40F5"/>
    <w:rsid w:val="007E47CD"/>
    <w:rsid w:val="007E541E"/>
    <w:rsid w:val="007E57DB"/>
    <w:rsid w:val="007E5BC9"/>
    <w:rsid w:val="007E5E5C"/>
    <w:rsid w:val="007E5ED0"/>
    <w:rsid w:val="007E6442"/>
    <w:rsid w:val="007E65A6"/>
    <w:rsid w:val="007E682C"/>
    <w:rsid w:val="007E6856"/>
    <w:rsid w:val="007E6C7E"/>
    <w:rsid w:val="007E6D11"/>
    <w:rsid w:val="007E7090"/>
    <w:rsid w:val="007E769A"/>
    <w:rsid w:val="007E7718"/>
    <w:rsid w:val="007E7A6F"/>
    <w:rsid w:val="007E7BA5"/>
    <w:rsid w:val="007E7BE8"/>
    <w:rsid w:val="007E7E4C"/>
    <w:rsid w:val="007F00B1"/>
    <w:rsid w:val="007F058D"/>
    <w:rsid w:val="007F185E"/>
    <w:rsid w:val="007F2104"/>
    <w:rsid w:val="007F241C"/>
    <w:rsid w:val="007F2835"/>
    <w:rsid w:val="007F3496"/>
    <w:rsid w:val="007F3501"/>
    <w:rsid w:val="007F3DA7"/>
    <w:rsid w:val="007F45B6"/>
    <w:rsid w:val="007F4D7B"/>
    <w:rsid w:val="007F51B4"/>
    <w:rsid w:val="007F5E14"/>
    <w:rsid w:val="007F62E5"/>
    <w:rsid w:val="007F7B70"/>
    <w:rsid w:val="007F7C4E"/>
    <w:rsid w:val="007F7EE2"/>
    <w:rsid w:val="00800567"/>
    <w:rsid w:val="00800BB6"/>
    <w:rsid w:val="0080131E"/>
    <w:rsid w:val="00801667"/>
    <w:rsid w:val="0080329C"/>
    <w:rsid w:val="0080463F"/>
    <w:rsid w:val="008046D7"/>
    <w:rsid w:val="00804D92"/>
    <w:rsid w:val="00805ADC"/>
    <w:rsid w:val="00805E08"/>
    <w:rsid w:val="00806701"/>
    <w:rsid w:val="0080672B"/>
    <w:rsid w:val="00806BDD"/>
    <w:rsid w:val="008076DB"/>
    <w:rsid w:val="00810058"/>
    <w:rsid w:val="00810444"/>
    <w:rsid w:val="008106E7"/>
    <w:rsid w:val="008110B3"/>
    <w:rsid w:val="00811466"/>
    <w:rsid w:val="008115B2"/>
    <w:rsid w:val="008116CB"/>
    <w:rsid w:val="008116DC"/>
    <w:rsid w:val="00811C4A"/>
    <w:rsid w:val="00811CB0"/>
    <w:rsid w:val="008128C6"/>
    <w:rsid w:val="0081342E"/>
    <w:rsid w:val="00813893"/>
    <w:rsid w:val="00813A8E"/>
    <w:rsid w:val="00814264"/>
    <w:rsid w:val="0081447A"/>
    <w:rsid w:val="008149EA"/>
    <w:rsid w:val="00815452"/>
    <w:rsid w:val="00815E1E"/>
    <w:rsid w:val="0081670C"/>
    <w:rsid w:val="00816B4B"/>
    <w:rsid w:val="008211A5"/>
    <w:rsid w:val="00821799"/>
    <w:rsid w:val="00821897"/>
    <w:rsid w:val="008218E7"/>
    <w:rsid w:val="00821988"/>
    <w:rsid w:val="00821A03"/>
    <w:rsid w:val="00822B10"/>
    <w:rsid w:val="00822FE9"/>
    <w:rsid w:val="008230EF"/>
    <w:rsid w:val="00824723"/>
    <w:rsid w:val="00824AE4"/>
    <w:rsid w:val="0082576B"/>
    <w:rsid w:val="00825877"/>
    <w:rsid w:val="00825CAB"/>
    <w:rsid w:val="0082657D"/>
    <w:rsid w:val="00826A72"/>
    <w:rsid w:val="00827766"/>
    <w:rsid w:val="008323B5"/>
    <w:rsid w:val="008330FC"/>
    <w:rsid w:val="0083344A"/>
    <w:rsid w:val="00833974"/>
    <w:rsid w:val="00833B5F"/>
    <w:rsid w:val="00834A43"/>
    <w:rsid w:val="0083506C"/>
    <w:rsid w:val="0083521C"/>
    <w:rsid w:val="008352E0"/>
    <w:rsid w:val="00835451"/>
    <w:rsid w:val="0083565C"/>
    <w:rsid w:val="00835EA7"/>
    <w:rsid w:val="0083617B"/>
    <w:rsid w:val="008361FB"/>
    <w:rsid w:val="00836CF5"/>
    <w:rsid w:val="00836E6B"/>
    <w:rsid w:val="00836FBB"/>
    <w:rsid w:val="00837108"/>
    <w:rsid w:val="008405E5"/>
    <w:rsid w:val="00840C52"/>
    <w:rsid w:val="00841164"/>
    <w:rsid w:val="0084178E"/>
    <w:rsid w:val="00841B91"/>
    <w:rsid w:val="00842236"/>
    <w:rsid w:val="00842587"/>
    <w:rsid w:val="00842965"/>
    <w:rsid w:val="00842C02"/>
    <w:rsid w:val="00842FE6"/>
    <w:rsid w:val="00843056"/>
    <w:rsid w:val="008430A6"/>
    <w:rsid w:val="008436B4"/>
    <w:rsid w:val="00844365"/>
    <w:rsid w:val="00844412"/>
    <w:rsid w:val="00844AB9"/>
    <w:rsid w:val="00844DE8"/>
    <w:rsid w:val="008454AD"/>
    <w:rsid w:val="008458B3"/>
    <w:rsid w:val="008470A1"/>
    <w:rsid w:val="008471E4"/>
    <w:rsid w:val="00847252"/>
    <w:rsid w:val="0084792F"/>
    <w:rsid w:val="00847FAD"/>
    <w:rsid w:val="00850575"/>
    <w:rsid w:val="00850669"/>
    <w:rsid w:val="00851B18"/>
    <w:rsid w:val="00852102"/>
    <w:rsid w:val="008523BB"/>
    <w:rsid w:val="0085286E"/>
    <w:rsid w:val="00852D6E"/>
    <w:rsid w:val="00852F3B"/>
    <w:rsid w:val="00853317"/>
    <w:rsid w:val="008547DC"/>
    <w:rsid w:val="00854BC0"/>
    <w:rsid w:val="00854E6C"/>
    <w:rsid w:val="008553CA"/>
    <w:rsid w:val="008560FC"/>
    <w:rsid w:val="00856ACA"/>
    <w:rsid w:val="00856B5E"/>
    <w:rsid w:val="00856F91"/>
    <w:rsid w:val="0085703E"/>
    <w:rsid w:val="00857A40"/>
    <w:rsid w:val="00860552"/>
    <w:rsid w:val="00860C4A"/>
    <w:rsid w:val="008624FE"/>
    <w:rsid w:val="00862536"/>
    <w:rsid w:val="0086286B"/>
    <w:rsid w:val="00862B14"/>
    <w:rsid w:val="00862DA8"/>
    <w:rsid w:val="00862E43"/>
    <w:rsid w:val="00863E57"/>
    <w:rsid w:val="008646C6"/>
    <w:rsid w:val="0086475A"/>
    <w:rsid w:val="008649C7"/>
    <w:rsid w:val="00864E0B"/>
    <w:rsid w:val="00865181"/>
    <w:rsid w:val="00865EC0"/>
    <w:rsid w:val="00865FBF"/>
    <w:rsid w:val="00866165"/>
    <w:rsid w:val="00866AF1"/>
    <w:rsid w:val="00866D78"/>
    <w:rsid w:val="0086776A"/>
    <w:rsid w:val="0087013D"/>
    <w:rsid w:val="00870839"/>
    <w:rsid w:val="00870874"/>
    <w:rsid w:val="008711D4"/>
    <w:rsid w:val="0087219F"/>
    <w:rsid w:val="0087257F"/>
    <w:rsid w:val="00872CA9"/>
    <w:rsid w:val="00872EF7"/>
    <w:rsid w:val="00874C30"/>
    <w:rsid w:val="00875094"/>
    <w:rsid w:val="00876CB7"/>
    <w:rsid w:val="00877F61"/>
    <w:rsid w:val="00880025"/>
    <w:rsid w:val="00881667"/>
    <w:rsid w:val="00881B2A"/>
    <w:rsid w:val="00882635"/>
    <w:rsid w:val="00883A41"/>
    <w:rsid w:val="00884004"/>
    <w:rsid w:val="008842F1"/>
    <w:rsid w:val="00884BDB"/>
    <w:rsid w:val="00885494"/>
    <w:rsid w:val="0088563A"/>
    <w:rsid w:val="00885BC0"/>
    <w:rsid w:val="00885F17"/>
    <w:rsid w:val="00885F8A"/>
    <w:rsid w:val="00887401"/>
    <w:rsid w:val="00887520"/>
    <w:rsid w:val="008901F0"/>
    <w:rsid w:val="008903DC"/>
    <w:rsid w:val="00890934"/>
    <w:rsid w:val="00890A10"/>
    <w:rsid w:val="00890AD5"/>
    <w:rsid w:val="00891989"/>
    <w:rsid w:val="00893259"/>
    <w:rsid w:val="00893B3A"/>
    <w:rsid w:val="00894984"/>
    <w:rsid w:val="008958D2"/>
    <w:rsid w:val="00895E5F"/>
    <w:rsid w:val="00896A14"/>
    <w:rsid w:val="008A0675"/>
    <w:rsid w:val="008A0AF8"/>
    <w:rsid w:val="008A0DBD"/>
    <w:rsid w:val="008A1225"/>
    <w:rsid w:val="008A1274"/>
    <w:rsid w:val="008A29B2"/>
    <w:rsid w:val="008A29D7"/>
    <w:rsid w:val="008A3093"/>
    <w:rsid w:val="008A34FE"/>
    <w:rsid w:val="008A3A88"/>
    <w:rsid w:val="008A3BC6"/>
    <w:rsid w:val="008A4AEF"/>
    <w:rsid w:val="008A695A"/>
    <w:rsid w:val="008B1187"/>
    <w:rsid w:val="008B120E"/>
    <w:rsid w:val="008B12C3"/>
    <w:rsid w:val="008B19E9"/>
    <w:rsid w:val="008B1ABD"/>
    <w:rsid w:val="008B2280"/>
    <w:rsid w:val="008B350A"/>
    <w:rsid w:val="008B372C"/>
    <w:rsid w:val="008B3AB5"/>
    <w:rsid w:val="008B4DDA"/>
    <w:rsid w:val="008B4F30"/>
    <w:rsid w:val="008B5868"/>
    <w:rsid w:val="008B596E"/>
    <w:rsid w:val="008B5D75"/>
    <w:rsid w:val="008B61B4"/>
    <w:rsid w:val="008B6275"/>
    <w:rsid w:val="008B6397"/>
    <w:rsid w:val="008B656F"/>
    <w:rsid w:val="008B7140"/>
    <w:rsid w:val="008B7177"/>
    <w:rsid w:val="008C000F"/>
    <w:rsid w:val="008C0C83"/>
    <w:rsid w:val="008C19B5"/>
    <w:rsid w:val="008C19DE"/>
    <w:rsid w:val="008C21AE"/>
    <w:rsid w:val="008C245F"/>
    <w:rsid w:val="008C2680"/>
    <w:rsid w:val="008C2A16"/>
    <w:rsid w:val="008C3EDE"/>
    <w:rsid w:val="008C465C"/>
    <w:rsid w:val="008C4BE9"/>
    <w:rsid w:val="008C57F9"/>
    <w:rsid w:val="008C5C4E"/>
    <w:rsid w:val="008C5CEF"/>
    <w:rsid w:val="008C5F6C"/>
    <w:rsid w:val="008C606D"/>
    <w:rsid w:val="008C648A"/>
    <w:rsid w:val="008C6E36"/>
    <w:rsid w:val="008C6F99"/>
    <w:rsid w:val="008C73EB"/>
    <w:rsid w:val="008C7975"/>
    <w:rsid w:val="008C79E5"/>
    <w:rsid w:val="008D0250"/>
    <w:rsid w:val="008D0F1A"/>
    <w:rsid w:val="008D2D6B"/>
    <w:rsid w:val="008D3180"/>
    <w:rsid w:val="008D4217"/>
    <w:rsid w:val="008D49CE"/>
    <w:rsid w:val="008D4CD3"/>
    <w:rsid w:val="008D552F"/>
    <w:rsid w:val="008D5681"/>
    <w:rsid w:val="008D5C03"/>
    <w:rsid w:val="008D6551"/>
    <w:rsid w:val="008D666B"/>
    <w:rsid w:val="008D6B16"/>
    <w:rsid w:val="008D71D5"/>
    <w:rsid w:val="008E0E04"/>
    <w:rsid w:val="008E1006"/>
    <w:rsid w:val="008E13FB"/>
    <w:rsid w:val="008E141F"/>
    <w:rsid w:val="008E14BE"/>
    <w:rsid w:val="008E1D50"/>
    <w:rsid w:val="008E1EF5"/>
    <w:rsid w:val="008E206D"/>
    <w:rsid w:val="008E2658"/>
    <w:rsid w:val="008E2E2B"/>
    <w:rsid w:val="008E2FF6"/>
    <w:rsid w:val="008E31CE"/>
    <w:rsid w:val="008E3809"/>
    <w:rsid w:val="008E4889"/>
    <w:rsid w:val="008E48D3"/>
    <w:rsid w:val="008E48EF"/>
    <w:rsid w:val="008E4909"/>
    <w:rsid w:val="008E4E76"/>
    <w:rsid w:val="008E55CA"/>
    <w:rsid w:val="008E6100"/>
    <w:rsid w:val="008E6DFA"/>
    <w:rsid w:val="008F00B1"/>
    <w:rsid w:val="008F0414"/>
    <w:rsid w:val="008F06DA"/>
    <w:rsid w:val="008F14C8"/>
    <w:rsid w:val="008F38E5"/>
    <w:rsid w:val="008F48D8"/>
    <w:rsid w:val="008F5ED3"/>
    <w:rsid w:val="008F6935"/>
    <w:rsid w:val="00900CFD"/>
    <w:rsid w:val="00900D4D"/>
    <w:rsid w:val="00901454"/>
    <w:rsid w:val="00901CDD"/>
    <w:rsid w:val="009021C1"/>
    <w:rsid w:val="00902852"/>
    <w:rsid w:val="0090389D"/>
    <w:rsid w:val="00903932"/>
    <w:rsid w:val="009053BD"/>
    <w:rsid w:val="009063E0"/>
    <w:rsid w:val="0090664C"/>
    <w:rsid w:val="009066FE"/>
    <w:rsid w:val="009067EC"/>
    <w:rsid w:val="00906970"/>
    <w:rsid w:val="009072F2"/>
    <w:rsid w:val="00907562"/>
    <w:rsid w:val="00907637"/>
    <w:rsid w:val="009078C5"/>
    <w:rsid w:val="009079CF"/>
    <w:rsid w:val="009079D2"/>
    <w:rsid w:val="00907B67"/>
    <w:rsid w:val="009104B8"/>
    <w:rsid w:val="0091074B"/>
    <w:rsid w:val="00910D5E"/>
    <w:rsid w:val="00911587"/>
    <w:rsid w:val="009115AC"/>
    <w:rsid w:val="00911AD5"/>
    <w:rsid w:val="00912670"/>
    <w:rsid w:val="0091270D"/>
    <w:rsid w:val="00912870"/>
    <w:rsid w:val="00912B7F"/>
    <w:rsid w:val="00912F8E"/>
    <w:rsid w:val="009137A0"/>
    <w:rsid w:val="0091454E"/>
    <w:rsid w:val="0091470A"/>
    <w:rsid w:val="00914979"/>
    <w:rsid w:val="00915D70"/>
    <w:rsid w:val="009171B9"/>
    <w:rsid w:val="0091725F"/>
    <w:rsid w:val="00917E30"/>
    <w:rsid w:val="00920700"/>
    <w:rsid w:val="00920783"/>
    <w:rsid w:val="009207B5"/>
    <w:rsid w:val="00921714"/>
    <w:rsid w:val="009218F2"/>
    <w:rsid w:val="00921E6E"/>
    <w:rsid w:val="00922498"/>
    <w:rsid w:val="00922CE3"/>
    <w:rsid w:val="009240EF"/>
    <w:rsid w:val="00924A9C"/>
    <w:rsid w:val="00926509"/>
    <w:rsid w:val="00926A43"/>
    <w:rsid w:val="00926BD5"/>
    <w:rsid w:val="00927172"/>
    <w:rsid w:val="00927CB4"/>
    <w:rsid w:val="00930174"/>
    <w:rsid w:val="00930395"/>
    <w:rsid w:val="00930D8D"/>
    <w:rsid w:val="00931536"/>
    <w:rsid w:val="0093178C"/>
    <w:rsid w:val="00932103"/>
    <w:rsid w:val="009328F2"/>
    <w:rsid w:val="00932A07"/>
    <w:rsid w:val="00932B7B"/>
    <w:rsid w:val="00932BD6"/>
    <w:rsid w:val="00932C32"/>
    <w:rsid w:val="009333C9"/>
    <w:rsid w:val="009337B9"/>
    <w:rsid w:val="00934328"/>
    <w:rsid w:val="0093447C"/>
    <w:rsid w:val="009345D0"/>
    <w:rsid w:val="009354B9"/>
    <w:rsid w:val="00935A85"/>
    <w:rsid w:val="009360CA"/>
    <w:rsid w:val="00936A3D"/>
    <w:rsid w:val="00936FAD"/>
    <w:rsid w:val="00937052"/>
    <w:rsid w:val="009375ED"/>
    <w:rsid w:val="009401B1"/>
    <w:rsid w:val="00940897"/>
    <w:rsid w:val="00940C1E"/>
    <w:rsid w:val="009411AE"/>
    <w:rsid w:val="009419EA"/>
    <w:rsid w:val="009425A7"/>
    <w:rsid w:val="0094344D"/>
    <w:rsid w:val="009439D9"/>
    <w:rsid w:val="009440A2"/>
    <w:rsid w:val="00944B34"/>
    <w:rsid w:val="00944D44"/>
    <w:rsid w:val="009458C2"/>
    <w:rsid w:val="00945B5C"/>
    <w:rsid w:val="00945DFF"/>
    <w:rsid w:val="00945E7C"/>
    <w:rsid w:val="00946153"/>
    <w:rsid w:val="00946390"/>
    <w:rsid w:val="0094743D"/>
    <w:rsid w:val="00947BB6"/>
    <w:rsid w:val="00947F31"/>
    <w:rsid w:val="009503C1"/>
    <w:rsid w:val="00950AFD"/>
    <w:rsid w:val="00950EBD"/>
    <w:rsid w:val="00951509"/>
    <w:rsid w:val="00951ECE"/>
    <w:rsid w:val="0095269C"/>
    <w:rsid w:val="00952AC3"/>
    <w:rsid w:val="00952FF4"/>
    <w:rsid w:val="00953434"/>
    <w:rsid w:val="0095358A"/>
    <w:rsid w:val="0095497C"/>
    <w:rsid w:val="00955172"/>
    <w:rsid w:val="00955B7C"/>
    <w:rsid w:val="009569B6"/>
    <w:rsid w:val="00956A0C"/>
    <w:rsid w:val="0096012A"/>
    <w:rsid w:val="009602F7"/>
    <w:rsid w:val="00960551"/>
    <w:rsid w:val="00960951"/>
    <w:rsid w:val="00960E24"/>
    <w:rsid w:val="0096101A"/>
    <w:rsid w:val="00961A40"/>
    <w:rsid w:val="00961A6F"/>
    <w:rsid w:val="0096265D"/>
    <w:rsid w:val="009630F2"/>
    <w:rsid w:val="0096416F"/>
    <w:rsid w:val="009641BA"/>
    <w:rsid w:val="009651BE"/>
    <w:rsid w:val="009653A2"/>
    <w:rsid w:val="00965579"/>
    <w:rsid w:val="009660DF"/>
    <w:rsid w:val="009664A4"/>
    <w:rsid w:val="00966C2D"/>
    <w:rsid w:val="00967EB2"/>
    <w:rsid w:val="0097020A"/>
    <w:rsid w:val="00970454"/>
    <w:rsid w:val="00970843"/>
    <w:rsid w:val="00970B5D"/>
    <w:rsid w:val="00970D8E"/>
    <w:rsid w:val="0097214A"/>
    <w:rsid w:val="009724E7"/>
    <w:rsid w:val="00972506"/>
    <w:rsid w:val="00972CCE"/>
    <w:rsid w:val="00973368"/>
    <w:rsid w:val="009733BA"/>
    <w:rsid w:val="00973A97"/>
    <w:rsid w:val="0097417D"/>
    <w:rsid w:val="009745BC"/>
    <w:rsid w:val="00974727"/>
    <w:rsid w:val="0097532D"/>
    <w:rsid w:val="00975A30"/>
    <w:rsid w:val="009763AD"/>
    <w:rsid w:val="00976CE1"/>
    <w:rsid w:val="00977717"/>
    <w:rsid w:val="00980626"/>
    <w:rsid w:val="00980CE3"/>
    <w:rsid w:val="009810F9"/>
    <w:rsid w:val="00981197"/>
    <w:rsid w:val="009818C9"/>
    <w:rsid w:val="0098192B"/>
    <w:rsid w:val="00981F08"/>
    <w:rsid w:val="00981F67"/>
    <w:rsid w:val="00982107"/>
    <w:rsid w:val="00983215"/>
    <w:rsid w:val="0098367F"/>
    <w:rsid w:val="00983799"/>
    <w:rsid w:val="00984066"/>
    <w:rsid w:val="009842F7"/>
    <w:rsid w:val="00984BA0"/>
    <w:rsid w:val="009856FF"/>
    <w:rsid w:val="009858C0"/>
    <w:rsid w:val="00985E23"/>
    <w:rsid w:val="00987081"/>
    <w:rsid w:val="009879F4"/>
    <w:rsid w:val="00987CD1"/>
    <w:rsid w:val="00990575"/>
    <w:rsid w:val="00990826"/>
    <w:rsid w:val="00991629"/>
    <w:rsid w:val="009917B6"/>
    <w:rsid w:val="009923B2"/>
    <w:rsid w:val="00992968"/>
    <w:rsid w:val="00992AE8"/>
    <w:rsid w:val="0099315B"/>
    <w:rsid w:val="009933FC"/>
    <w:rsid w:val="00994E0D"/>
    <w:rsid w:val="00995B40"/>
    <w:rsid w:val="00995C5C"/>
    <w:rsid w:val="00995D90"/>
    <w:rsid w:val="00996395"/>
    <w:rsid w:val="00996FA0"/>
    <w:rsid w:val="009971A2"/>
    <w:rsid w:val="009972E3"/>
    <w:rsid w:val="00997EB7"/>
    <w:rsid w:val="009A00D4"/>
    <w:rsid w:val="009A0D5F"/>
    <w:rsid w:val="009A12FB"/>
    <w:rsid w:val="009A1368"/>
    <w:rsid w:val="009A1495"/>
    <w:rsid w:val="009A159A"/>
    <w:rsid w:val="009A1820"/>
    <w:rsid w:val="009A25D5"/>
    <w:rsid w:val="009A2A9B"/>
    <w:rsid w:val="009A2C89"/>
    <w:rsid w:val="009A2E24"/>
    <w:rsid w:val="009A4103"/>
    <w:rsid w:val="009A49C4"/>
    <w:rsid w:val="009A4BD7"/>
    <w:rsid w:val="009A5166"/>
    <w:rsid w:val="009A5B5F"/>
    <w:rsid w:val="009A5C09"/>
    <w:rsid w:val="009A5EEA"/>
    <w:rsid w:val="009A6122"/>
    <w:rsid w:val="009A6BCB"/>
    <w:rsid w:val="009A6D21"/>
    <w:rsid w:val="009A7613"/>
    <w:rsid w:val="009B0A4B"/>
    <w:rsid w:val="009B0B03"/>
    <w:rsid w:val="009B0B19"/>
    <w:rsid w:val="009B0B41"/>
    <w:rsid w:val="009B1066"/>
    <w:rsid w:val="009B1DD9"/>
    <w:rsid w:val="009B204C"/>
    <w:rsid w:val="009B21CD"/>
    <w:rsid w:val="009B2499"/>
    <w:rsid w:val="009B367E"/>
    <w:rsid w:val="009B5F7C"/>
    <w:rsid w:val="009B6257"/>
    <w:rsid w:val="009B6919"/>
    <w:rsid w:val="009B6AE6"/>
    <w:rsid w:val="009B6CD9"/>
    <w:rsid w:val="009B6D3A"/>
    <w:rsid w:val="009B6E75"/>
    <w:rsid w:val="009B7423"/>
    <w:rsid w:val="009B75DC"/>
    <w:rsid w:val="009C0D1A"/>
    <w:rsid w:val="009C1D50"/>
    <w:rsid w:val="009C2C38"/>
    <w:rsid w:val="009C3D46"/>
    <w:rsid w:val="009C4598"/>
    <w:rsid w:val="009C4A14"/>
    <w:rsid w:val="009C4CD8"/>
    <w:rsid w:val="009C5381"/>
    <w:rsid w:val="009C54CA"/>
    <w:rsid w:val="009C6591"/>
    <w:rsid w:val="009C69CF"/>
    <w:rsid w:val="009C6E35"/>
    <w:rsid w:val="009C6E82"/>
    <w:rsid w:val="009C7AFC"/>
    <w:rsid w:val="009C7B4C"/>
    <w:rsid w:val="009D00C4"/>
    <w:rsid w:val="009D096D"/>
    <w:rsid w:val="009D0A0C"/>
    <w:rsid w:val="009D0B6A"/>
    <w:rsid w:val="009D0F47"/>
    <w:rsid w:val="009D13D9"/>
    <w:rsid w:val="009D1931"/>
    <w:rsid w:val="009D2331"/>
    <w:rsid w:val="009D37BD"/>
    <w:rsid w:val="009D4F55"/>
    <w:rsid w:val="009D5DC1"/>
    <w:rsid w:val="009D60DA"/>
    <w:rsid w:val="009D636A"/>
    <w:rsid w:val="009D6B8B"/>
    <w:rsid w:val="009D7295"/>
    <w:rsid w:val="009D7304"/>
    <w:rsid w:val="009D7FFD"/>
    <w:rsid w:val="009E04B8"/>
    <w:rsid w:val="009E08BF"/>
    <w:rsid w:val="009E0DC1"/>
    <w:rsid w:val="009E3112"/>
    <w:rsid w:val="009E3C3C"/>
    <w:rsid w:val="009E4BA4"/>
    <w:rsid w:val="009E4C52"/>
    <w:rsid w:val="009E5208"/>
    <w:rsid w:val="009E5C27"/>
    <w:rsid w:val="009E5E5F"/>
    <w:rsid w:val="009E694F"/>
    <w:rsid w:val="009E6ADA"/>
    <w:rsid w:val="009E6EB2"/>
    <w:rsid w:val="009E71DA"/>
    <w:rsid w:val="009E73C9"/>
    <w:rsid w:val="009F0227"/>
    <w:rsid w:val="009F080A"/>
    <w:rsid w:val="009F13E4"/>
    <w:rsid w:val="009F2FD0"/>
    <w:rsid w:val="009F3274"/>
    <w:rsid w:val="009F4950"/>
    <w:rsid w:val="009F5C41"/>
    <w:rsid w:val="009F5D26"/>
    <w:rsid w:val="009F6648"/>
    <w:rsid w:val="009F6BB1"/>
    <w:rsid w:val="009F7036"/>
    <w:rsid w:val="00A0073A"/>
    <w:rsid w:val="00A01392"/>
    <w:rsid w:val="00A015B3"/>
    <w:rsid w:val="00A021FF"/>
    <w:rsid w:val="00A02827"/>
    <w:rsid w:val="00A03032"/>
    <w:rsid w:val="00A0396E"/>
    <w:rsid w:val="00A03F51"/>
    <w:rsid w:val="00A04AFA"/>
    <w:rsid w:val="00A0592D"/>
    <w:rsid w:val="00A059AC"/>
    <w:rsid w:val="00A05A61"/>
    <w:rsid w:val="00A05F43"/>
    <w:rsid w:val="00A0676E"/>
    <w:rsid w:val="00A0694B"/>
    <w:rsid w:val="00A06A15"/>
    <w:rsid w:val="00A0701B"/>
    <w:rsid w:val="00A07753"/>
    <w:rsid w:val="00A10A5B"/>
    <w:rsid w:val="00A11DC1"/>
    <w:rsid w:val="00A12030"/>
    <w:rsid w:val="00A1277C"/>
    <w:rsid w:val="00A1298C"/>
    <w:rsid w:val="00A12FA6"/>
    <w:rsid w:val="00A136DD"/>
    <w:rsid w:val="00A137C0"/>
    <w:rsid w:val="00A14F72"/>
    <w:rsid w:val="00A15C69"/>
    <w:rsid w:val="00A15C7F"/>
    <w:rsid w:val="00A15DED"/>
    <w:rsid w:val="00A15F5B"/>
    <w:rsid w:val="00A16C89"/>
    <w:rsid w:val="00A16D52"/>
    <w:rsid w:val="00A16EE6"/>
    <w:rsid w:val="00A17475"/>
    <w:rsid w:val="00A177AE"/>
    <w:rsid w:val="00A179FD"/>
    <w:rsid w:val="00A202A0"/>
    <w:rsid w:val="00A20434"/>
    <w:rsid w:val="00A2108E"/>
    <w:rsid w:val="00A2181B"/>
    <w:rsid w:val="00A21B57"/>
    <w:rsid w:val="00A21EA3"/>
    <w:rsid w:val="00A22564"/>
    <w:rsid w:val="00A229C0"/>
    <w:rsid w:val="00A232D9"/>
    <w:rsid w:val="00A239D1"/>
    <w:rsid w:val="00A251F1"/>
    <w:rsid w:val="00A25DA1"/>
    <w:rsid w:val="00A25F17"/>
    <w:rsid w:val="00A26410"/>
    <w:rsid w:val="00A27730"/>
    <w:rsid w:val="00A278F5"/>
    <w:rsid w:val="00A27D83"/>
    <w:rsid w:val="00A27F46"/>
    <w:rsid w:val="00A308B5"/>
    <w:rsid w:val="00A30FC0"/>
    <w:rsid w:val="00A31915"/>
    <w:rsid w:val="00A31B15"/>
    <w:rsid w:val="00A3345A"/>
    <w:rsid w:val="00A34B50"/>
    <w:rsid w:val="00A353B0"/>
    <w:rsid w:val="00A3618C"/>
    <w:rsid w:val="00A36E42"/>
    <w:rsid w:val="00A37AE0"/>
    <w:rsid w:val="00A37F0E"/>
    <w:rsid w:val="00A4079F"/>
    <w:rsid w:val="00A40BF6"/>
    <w:rsid w:val="00A41854"/>
    <w:rsid w:val="00A42CFD"/>
    <w:rsid w:val="00A436CA"/>
    <w:rsid w:val="00A439DC"/>
    <w:rsid w:val="00A43CF4"/>
    <w:rsid w:val="00A4407F"/>
    <w:rsid w:val="00A445DF"/>
    <w:rsid w:val="00A4473A"/>
    <w:rsid w:val="00A458E7"/>
    <w:rsid w:val="00A45ADF"/>
    <w:rsid w:val="00A45CC0"/>
    <w:rsid w:val="00A466A4"/>
    <w:rsid w:val="00A467C1"/>
    <w:rsid w:val="00A46998"/>
    <w:rsid w:val="00A46B2D"/>
    <w:rsid w:val="00A4733F"/>
    <w:rsid w:val="00A4786B"/>
    <w:rsid w:val="00A5027B"/>
    <w:rsid w:val="00A50890"/>
    <w:rsid w:val="00A5141A"/>
    <w:rsid w:val="00A51833"/>
    <w:rsid w:val="00A519B6"/>
    <w:rsid w:val="00A52470"/>
    <w:rsid w:val="00A52D5B"/>
    <w:rsid w:val="00A5394C"/>
    <w:rsid w:val="00A53A1B"/>
    <w:rsid w:val="00A553A6"/>
    <w:rsid w:val="00A5574D"/>
    <w:rsid w:val="00A560D2"/>
    <w:rsid w:val="00A5622F"/>
    <w:rsid w:val="00A56823"/>
    <w:rsid w:val="00A57DC6"/>
    <w:rsid w:val="00A60286"/>
    <w:rsid w:val="00A616D0"/>
    <w:rsid w:val="00A62132"/>
    <w:rsid w:val="00A62502"/>
    <w:rsid w:val="00A64FB9"/>
    <w:rsid w:val="00A6568F"/>
    <w:rsid w:val="00A65920"/>
    <w:rsid w:val="00A6624A"/>
    <w:rsid w:val="00A6792B"/>
    <w:rsid w:val="00A67C1A"/>
    <w:rsid w:val="00A67C4F"/>
    <w:rsid w:val="00A70B0D"/>
    <w:rsid w:val="00A70B9E"/>
    <w:rsid w:val="00A7131D"/>
    <w:rsid w:val="00A71398"/>
    <w:rsid w:val="00A7146C"/>
    <w:rsid w:val="00A71AEF"/>
    <w:rsid w:val="00A721F5"/>
    <w:rsid w:val="00A7238D"/>
    <w:rsid w:val="00A728F4"/>
    <w:rsid w:val="00A72E83"/>
    <w:rsid w:val="00A730BD"/>
    <w:rsid w:val="00A73769"/>
    <w:rsid w:val="00A74DF9"/>
    <w:rsid w:val="00A7515B"/>
    <w:rsid w:val="00A75C02"/>
    <w:rsid w:val="00A75EC3"/>
    <w:rsid w:val="00A7662E"/>
    <w:rsid w:val="00A77E4A"/>
    <w:rsid w:val="00A80748"/>
    <w:rsid w:val="00A80CC7"/>
    <w:rsid w:val="00A80FA9"/>
    <w:rsid w:val="00A81C73"/>
    <w:rsid w:val="00A8234C"/>
    <w:rsid w:val="00A82745"/>
    <w:rsid w:val="00A83186"/>
    <w:rsid w:val="00A83509"/>
    <w:rsid w:val="00A83712"/>
    <w:rsid w:val="00A83981"/>
    <w:rsid w:val="00A8549C"/>
    <w:rsid w:val="00A86126"/>
    <w:rsid w:val="00A8653B"/>
    <w:rsid w:val="00A87958"/>
    <w:rsid w:val="00A87F00"/>
    <w:rsid w:val="00A91412"/>
    <w:rsid w:val="00A92212"/>
    <w:rsid w:val="00A926B0"/>
    <w:rsid w:val="00A9363C"/>
    <w:rsid w:val="00A93702"/>
    <w:rsid w:val="00A93B2B"/>
    <w:rsid w:val="00A94489"/>
    <w:rsid w:val="00A9496C"/>
    <w:rsid w:val="00A94FA5"/>
    <w:rsid w:val="00A95300"/>
    <w:rsid w:val="00A95420"/>
    <w:rsid w:val="00A957D6"/>
    <w:rsid w:val="00A95947"/>
    <w:rsid w:val="00A95BCE"/>
    <w:rsid w:val="00A95ED1"/>
    <w:rsid w:val="00A969F0"/>
    <w:rsid w:val="00A971C5"/>
    <w:rsid w:val="00A976E9"/>
    <w:rsid w:val="00A97C25"/>
    <w:rsid w:val="00A97E8A"/>
    <w:rsid w:val="00AA090C"/>
    <w:rsid w:val="00AA0AC5"/>
    <w:rsid w:val="00AA14F5"/>
    <w:rsid w:val="00AA239A"/>
    <w:rsid w:val="00AA27FF"/>
    <w:rsid w:val="00AA29E0"/>
    <w:rsid w:val="00AA2FA9"/>
    <w:rsid w:val="00AA2FAA"/>
    <w:rsid w:val="00AA32B5"/>
    <w:rsid w:val="00AA363A"/>
    <w:rsid w:val="00AA3FD6"/>
    <w:rsid w:val="00AA4109"/>
    <w:rsid w:val="00AA43E4"/>
    <w:rsid w:val="00AA50BC"/>
    <w:rsid w:val="00AA5D47"/>
    <w:rsid w:val="00AA5DB4"/>
    <w:rsid w:val="00AA7572"/>
    <w:rsid w:val="00AA781B"/>
    <w:rsid w:val="00AA7A28"/>
    <w:rsid w:val="00AA7D45"/>
    <w:rsid w:val="00AB1BF4"/>
    <w:rsid w:val="00AB1C02"/>
    <w:rsid w:val="00AB2674"/>
    <w:rsid w:val="00AB2A06"/>
    <w:rsid w:val="00AB32F6"/>
    <w:rsid w:val="00AB39C0"/>
    <w:rsid w:val="00AB46BB"/>
    <w:rsid w:val="00AB4C86"/>
    <w:rsid w:val="00AB5670"/>
    <w:rsid w:val="00AB5FCE"/>
    <w:rsid w:val="00AB5FD0"/>
    <w:rsid w:val="00AB70A2"/>
    <w:rsid w:val="00AB7307"/>
    <w:rsid w:val="00AB791C"/>
    <w:rsid w:val="00AC15FF"/>
    <w:rsid w:val="00AC1917"/>
    <w:rsid w:val="00AC38D0"/>
    <w:rsid w:val="00AC4450"/>
    <w:rsid w:val="00AC4877"/>
    <w:rsid w:val="00AC5693"/>
    <w:rsid w:val="00AC71ED"/>
    <w:rsid w:val="00AD0540"/>
    <w:rsid w:val="00AD0616"/>
    <w:rsid w:val="00AD0C56"/>
    <w:rsid w:val="00AD0E03"/>
    <w:rsid w:val="00AD1075"/>
    <w:rsid w:val="00AD19B2"/>
    <w:rsid w:val="00AD3DA5"/>
    <w:rsid w:val="00AD4223"/>
    <w:rsid w:val="00AD42BA"/>
    <w:rsid w:val="00AD4320"/>
    <w:rsid w:val="00AD4392"/>
    <w:rsid w:val="00AD4907"/>
    <w:rsid w:val="00AD561B"/>
    <w:rsid w:val="00AD5AB3"/>
    <w:rsid w:val="00AD5B6B"/>
    <w:rsid w:val="00AD5C64"/>
    <w:rsid w:val="00AD5E57"/>
    <w:rsid w:val="00AD610C"/>
    <w:rsid w:val="00AD67F2"/>
    <w:rsid w:val="00AD6A56"/>
    <w:rsid w:val="00AD7794"/>
    <w:rsid w:val="00AE0AE7"/>
    <w:rsid w:val="00AE0F0A"/>
    <w:rsid w:val="00AE113E"/>
    <w:rsid w:val="00AE2AB8"/>
    <w:rsid w:val="00AE3242"/>
    <w:rsid w:val="00AE327C"/>
    <w:rsid w:val="00AE37F9"/>
    <w:rsid w:val="00AE38AE"/>
    <w:rsid w:val="00AE3EB4"/>
    <w:rsid w:val="00AE40DC"/>
    <w:rsid w:val="00AE44AD"/>
    <w:rsid w:val="00AE4517"/>
    <w:rsid w:val="00AE57C4"/>
    <w:rsid w:val="00AE6CA1"/>
    <w:rsid w:val="00AE773B"/>
    <w:rsid w:val="00AF05C1"/>
    <w:rsid w:val="00AF0C3B"/>
    <w:rsid w:val="00AF1681"/>
    <w:rsid w:val="00AF267F"/>
    <w:rsid w:val="00AF29CE"/>
    <w:rsid w:val="00AF2C62"/>
    <w:rsid w:val="00AF35FD"/>
    <w:rsid w:val="00AF37AC"/>
    <w:rsid w:val="00AF3D56"/>
    <w:rsid w:val="00AF4BC0"/>
    <w:rsid w:val="00AF55C1"/>
    <w:rsid w:val="00AF565A"/>
    <w:rsid w:val="00AF642C"/>
    <w:rsid w:val="00AF650E"/>
    <w:rsid w:val="00AF735B"/>
    <w:rsid w:val="00AF78CA"/>
    <w:rsid w:val="00B005DB"/>
    <w:rsid w:val="00B0091C"/>
    <w:rsid w:val="00B00DD8"/>
    <w:rsid w:val="00B010CF"/>
    <w:rsid w:val="00B012AD"/>
    <w:rsid w:val="00B0172D"/>
    <w:rsid w:val="00B021FE"/>
    <w:rsid w:val="00B03594"/>
    <w:rsid w:val="00B04C84"/>
    <w:rsid w:val="00B050D8"/>
    <w:rsid w:val="00B051E3"/>
    <w:rsid w:val="00B05978"/>
    <w:rsid w:val="00B05D3A"/>
    <w:rsid w:val="00B06FAA"/>
    <w:rsid w:val="00B07184"/>
    <w:rsid w:val="00B07291"/>
    <w:rsid w:val="00B0762A"/>
    <w:rsid w:val="00B07E99"/>
    <w:rsid w:val="00B1132F"/>
    <w:rsid w:val="00B117FA"/>
    <w:rsid w:val="00B11CAA"/>
    <w:rsid w:val="00B12C7E"/>
    <w:rsid w:val="00B13FFA"/>
    <w:rsid w:val="00B1444F"/>
    <w:rsid w:val="00B14580"/>
    <w:rsid w:val="00B14D88"/>
    <w:rsid w:val="00B15D77"/>
    <w:rsid w:val="00B1612B"/>
    <w:rsid w:val="00B16B52"/>
    <w:rsid w:val="00B174D6"/>
    <w:rsid w:val="00B17525"/>
    <w:rsid w:val="00B20175"/>
    <w:rsid w:val="00B205D0"/>
    <w:rsid w:val="00B20C5C"/>
    <w:rsid w:val="00B20CE3"/>
    <w:rsid w:val="00B21029"/>
    <w:rsid w:val="00B21509"/>
    <w:rsid w:val="00B2166F"/>
    <w:rsid w:val="00B21819"/>
    <w:rsid w:val="00B21CAA"/>
    <w:rsid w:val="00B21E24"/>
    <w:rsid w:val="00B23C76"/>
    <w:rsid w:val="00B23D38"/>
    <w:rsid w:val="00B24271"/>
    <w:rsid w:val="00B25390"/>
    <w:rsid w:val="00B25487"/>
    <w:rsid w:val="00B264C0"/>
    <w:rsid w:val="00B26A8B"/>
    <w:rsid w:val="00B26B47"/>
    <w:rsid w:val="00B275E9"/>
    <w:rsid w:val="00B2765B"/>
    <w:rsid w:val="00B3071A"/>
    <w:rsid w:val="00B308D6"/>
    <w:rsid w:val="00B30C72"/>
    <w:rsid w:val="00B312EE"/>
    <w:rsid w:val="00B31541"/>
    <w:rsid w:val="00B317C1"/>
    <w:rsid w:val="00B32072"/>
    <w:rsid w:val="00B329B8"/>
    <w:rsid w:val="00B32C01"/>
    <w:rsid w:val="00B32FEA"/>
    <w:rsid w:val="00B33E64"/>
    <w:rsid w:val="00B346D7"/>
    <w:rsid w:val="00B34B54"/>
    <w:rsid w:val="00B350A3"/>
    <w:rsid w:val="00B367EC"/>
    <w:rsid w:val="00B36B8D"/>
    <w:rsid w:val="00B36E60"/>
    <w:rsid w:val="00B372F4"/>
    <w:rsid w:val="00B3734B"/>
    <w:rsid w:val="00B37CE4"/>
    <w:rsid w:val="00B4073A"/>
    <w:rsid w:val="00B41653"/>
    <w:rsid w:val="00B41AE4"/>
    <w:rsid w:val="00B420D8"/>
    <w:rsid w:val="00B42160"/>
    <w:rsid w:val="00B42608"/>
    <w:rsid w:val="00B42C45"/>
    <w:rsid w:val="00B4347B"/>
    <w:rsid w:val="00B438B6"/>
    <w:rsid w:val="00B446DD"/>
    <w:rsid w:val="00B449D2"/>
    <w:rsid w:val="00B453AC"/>
    <w:rsid w:val="00B459E2"/>
    <w:rsid w:val="00B46A35"/>
    <w:rsid w:val="00B470AF"/>
    <w:rsid w:val="00B47215"/>
    <w:rsid w:val="00B47895"/>
    <w:rsid w:val="00B47FF2"/>
    <w:rsid w:val="00B5163A"/>
    <w:rsid w:val="00B5191F"/>
    <w:rsid w:val="00B519CD"/>
    <w:rsid w:val="00B51B53"/>
    <w:rsid w:val="00B522A6"/>
    <w:rsid w:val="00B539D3"/>
    <w:rsid w:val="00B53AB4"/>
    <w:rsid w:val="00B54056"/>
    <w:rsid w:val="00B547F1"/>
    <w:rsid w:val="00B54FCB"/>
    <w:rsid w:val="00B55B02"/>
    <w:rsid w:val="00B561B4"/>
    <w:rsid w:val="00B570C2"/>
    <w:rsid w:val="00B57163"/>
    <w:rsid w:val="00B57E95"/>
    <w:rsid w:val="00B57F55"/>
    <w:rsid w:val="00B57F95"/>
    <w:rsid w:val="00B60B8B"/>
    <w:rsid w:val="00B617E8"/>
    <w:rsid w:val="00B6194D"/>
    <w:rsid w:val="00B61C0A"/>
    <w:rsid w:val="00B63129"/>
    <w:rsid w:val="00B6331B"/>
    <w:rsid w:val="00B643B4"/>
    <w:rsid w:val="00B643DF"/>
    <w:rsid w:val="00B64EA0"/>
    <w:rsid w:val="00B66B84"/>
    <w:rsid w:val="00B66F39"/>
    <w:rsid w:val="00B67561"/>
    <w:rsid w:val="00B67605"/>
    <w:rsid w:val="00B678DD"/>
    <w:rsid w:val="00B701FF"/>
    <w:rsid w:val="00B70777"/>
    <w:rsid w:val="00B70DD7"/>
    <w:rsid w:val="00B7158D"/>
    <w:rsid w:val="00B718F5"/>
    <w:rsid w:val="00B7194C"/>
    <w:rsid w:val="00B71B08"/>
    <w:rsid w:val="00B71CC5"/>
    <w:rsid w:val="00B71D6A"/>
    <w:rsid w:val="00B727CD"/>
    <w:rsid w:val="00B72B68"/>
    <w:rsid w:val="00B72C69"/>
    <w:rsid w:val="00B73679"/>
    <w:rsid w:val="00B7386D"/>
    <w:rsid w:val="00B74E94"/>
    <w:rsid w:val="00B74F50"/>
    <w:rsid w:val="00B75A77"/>
    <w:rsid w:val="00B7603D"/>
    <w:rsid w:val="00B76FA4"/>
    <w:rsid w:val="00B770DC"/>
    <w:rsid w:val="00B7776D"/>
    <w:rsid w:val="00B77C05"/>
    <w:rsid w:val="00B77C55"/>
    <w:rsid w:val="00B80D58"/>
    <w:rsid w:val="00B81DD6"/>
    <w:rsid w:val="00B8212E"/>
    <w:rsid w:val="00B82EAE"/>
    <w:rsid w:val="00B8421B"/>
    <w:rsid w:val="00B8495A"/>
    <w:rsid w:val="00B8504D"/>
    <w:rsid w:val="00B8558B"/>
    <w:rsid w:val="00B8588D"/>
    <w:rsid w:val="00B865E7"/>
    <w:rsid w:val="00B86BE1"/>
    <w:rsid w:val="00B87455"/>
    <w:rsid w:val="00B87DDF"/>
    <w:rsid w:val="00B909A3"/>
    <w:rsid w:val="00B90A41"/>
    <w:rsid w:val="00B91E36"/>
    <w:rsid w:val="00B92572"/>
    <w:rsid w:val="00B926E4"/>
    <w:rsid w:val="00B927D9"/>
    <w:rsid w:val="00B92DC1"/>
    <w:rsid w:val="00B93D84"/>
    <w:rsid w:val="00B94618"/>
    <w:rsid w:val="00B94B31"/>
    <w:rsid w:val="00B94E45"/>
    <w:rsid w:val="00B953D9"/>
    <w:rsid w:val="00B95E80"/>
    <w:rsid w:val="00B95EEC"/>
    <w:rsid w:val="00B966BF"/>
    <w:rsid w:val="00B96B1D"/>
    <w:rsid w:val="00B96F66"/>
    <w:rsid w:val="00B97817"/>
    <w:rsid w:val="00B97E26"/>
    <w:rsid w:val="00BA03D1"/>
    <w:rsid w:val="00BA0D07"/>
    <w:rsid w:val="00BA1B98"/>
    <w:rsid w:val="00BA1FFE"/>
    <w:rsid w:val="00BA23FD"/>
    <w:rsid w:val="00BA32C9"/>
    <w:rsid w:val="00BA35E0"/>
    <w:rsid w:val="00BA3F08"/>
    <w:rsid w:val="00BA4027"/>
    <w:rsid w:val="00BA44E4"/>
    <w:rsid w:val="00BA4852"/>
    <w:rsid w:val="00BA53E0"/>
    <w:rsid w:val="00BA557F"/>
    <w:rsid w:val="00BA59BB"/>
    <w:rsid w:val="00BA5A76"/>
    <w:rsid w:val="00BA5B1D"/>
    <w:rsid w:val="00BA5E8D"/>
    <w:rsid w:val="00BA6253"/>
    <w:rsid w:val="00BA661C"/>
    <w:rsid w:val="00BA6671"/>
    <w:rsid w:val="00BA6745"/>
    <w:rsid w:val="00BA7A08"/>
    <w:rsid w:val="00BB18F3"/>
    <w:rsid w:val="00BB1A8F"/>
    <w:rsid w:val="00BB1F38"/>
    <w:rsid w:val="00BB22F0"/>
    <w:rsid w:val="00BB2598"/>
    <w:rsid w:val="00BB27C3"/>
    <w:rsid w:val="00BB335F"/>
    <w:rsid w:val="00BB3642"/>
    <w:rsid w:val="00BB3CC6"/>
    <w:rsid w:val="00BB3E22"/>
    <w:rsid w:val="00BB414B"/>
    <w:rsid w:val="00BB437C"/>
    <w:rsid w:val="00BB58CD"/>
    <w:rsid w:val="00BB6474"/>
    <w:rsid w:val="00BB7689"/>
    <w:rsid w:val="00BC012E"/>
    <w:rsid w:val="00BC088B"/>
    <w:rsid w:val="00BC093F"/>
    <w:rsid w:val="00BC1009"/>
    <w:rsid w:val="00BC111F"/>
    <w:rsid w:val="00BC1502"/>
    <w:rsid w:val="00BC2168"/>
    <w:rsid w:val="00BC2C52"/>
    <w:rsid w:val="00BC312E"/>
    <w:rsid w:val="00BC499A"/>
    <w:rsid w:val="00BC4A0A"/>
    <w:rsid w:val="00BC4C50"/>
    <w:rsid w:val="00BC4FF8"/>
    <w:rsid w:val="00BC5525"/>
    <w:rsid w:val="00BC55BA"/>
    <w:rsid w:val="00BC568D"/>
    <w:rsid w:val="00BC5A45"/>
    <w:rsid w:val="00BC5E72"/>
    <w:rsid w:val="00BC6423"/>
    <w:rsid w:val="00BC6A52"/>
    <w:rsid w:val="00BC6D79"/>
    <w:rsid w:val="00BC73C2"/>
    <w:rsid w:val="00BC76A0"/>
    <w:rsid w:val="00BD30B9"/>
    <w:rsid w:val="00BD355A"/>
    <w:rsid w:val="00BD4A97"/>
    <w:rsid w:val="00BD5418"/>
    <w:rsid w:val="00BD6102"/>
    <w:rsid w:val="00BD6157"/>
    <w:rsid w:val="00BD63C8"/>
    <w:rsid w:val="00BD6D02"/>
    <w:rsid w:val="00BD70A9"/>
    <w:rsid w:val="00BD790C"/>
    <w:rsid w:val="00BE069E"/>
    <w:rsid w:val="00BE0818"/>
    <w:rsid w:val="00BE10F6"/>
    <w:rsid w:val="00BE194D"/>
    <w:rsid w:val="00BE2C07"/>
    <w:rsid w:val="00BE33BC"/>
    <w:rsid w:val="00BE3498"/>
    <w:rsid w:val="00BE3605"/>
    <w:rsid w:val="00BE39A7"/>
    <w:rsid w:val="00BE56BE"/>
    <w:rsid w:val="00BE6BCF"/>
    <w:rsid w:val="00BF0010"/>
    <w:rsid w:val="00BF01E2"/>
    <w:rsid w:val="00BF11D9"/>
    <w:rsid w:val="00BF18B8"/>
    <w:rsid w:val="00BF1A76"/>
    <w:rsid w:val="00BF1B5B"/>
    <w:rsid w:val="00BF1BE7"/>
    <w:rsid w:val="00BF1BEE"/>
    <w:rsid w:val="00BF1ECA"/>
    <w:rsid w:val="00BF249B"/>
    <w:rsid w:val="00BF2931"/>
    <w:rsid w:val="00BF33C0"/>
    <w:rsid w:val="00BF35FF"/>
    <w:rsid w:val="00BF37B5"/>
    <w:rsid w:val="00BF39F2"/>
    <w:rsid w:val="00BF3EC6"/>
    <w:rsid w:val="00BF459E"/>
    <w:rsid w:val="00BF4C5B"/>
    <w:rsid w:val="00BF5874"/>
    <w:rsid w:val="00BF613F"/>
    <w:rsid w:val="00BF6560"/>
    <w:rsid w:val="00BF6719"/>
    <w:rsid w:val="00BF68F8"/>
    <w:rsid w:val="00BF6954"/>
    <w:rsid w:val="00BF6A29"/>
    <w:rsid w:val="00BF6E28"/>
    <w:rsid w:val="00BF7AC8"/>
    <w:rsid w:val="00BF7BFE"/>
    <w:rsid w:val="00C009A0"/>
    <w:rsid w:val="00C00D20"/>
    <w:rsid w:val="00C0163F"/>
    <w:rsid w:val="00C01E03"/>
    <w:rsid w:val="00C029BE"/>
    <w:rsid w:val="00C02A84"/>
    <w:rsid w:val="00C02BB4"/>
    <w:rsid w:val="00C02E49"/>
    <w:rsid w:val="00C02F47"/>
    <w:rsid w:val="00C0349D"/>
    <w:rsid w:val="00C03968"/>
    <w:rsid w:val="00C03BE2"/>
    <w:rsid w:val="00C03C97"/>
    <w:rsid w:val="00C04458"/>
    <w:rsid w:val="00C045A5"/>
    <w:rsid w:val="00C04B0E"/>
    <w:rsid w:val="00C04DBE"/>
    <w:rsid w:val="00C053E1"/>
    <w:rsid w:val="00C057F9"/>
    <w:rsid w:val="00C06D15"/>
    <w:rsid w:val="00C06FBF"/>
    <w:rsid w:val="00C073C1"/>
    <w:rsid w:val="00C07839"/>
    <w:rsid w:val="00C07CAA"/>
    <w:rsid w:val="00C114B9"/>
    <w:rsid w:val="00C11A55"/>
    <w:rsid w:val="00C11E92"/>
    <w:rsid w:val="00C12218"/>
    <w:rsid w:val="00C122C7"/>
    <w:rsid w:val="00C12462"/>
    <w:rsid w:val="00C1293C"/>
    <w:rsid w:val="00C12A48"/>
    <w:rsid w:val="00C12AEB"/>
    <w:rsid w:val="00C12C9E"/>
    <w:rsid w:val="00C1387A"/>
    <w:rsid w:val="00C138F1"/>
    <w:rsid w:val="00C13A86"/>
    <w:rsid w:val="00C13AC8"/>
    <w:rsid w:val="00C13E83"/>
    <w:rsid w:val="00C143AE"/>
    <w:rsid w:val="00C16502"/>
    <w:rsid w:val="00C17387"/>
    <w:rsid w:val="00C17388"/>
    <w:rsid w:val="00C17D24"/>
    <w:rsid w:val="00C20301"/>
    <w:rsid w:val="00C20484"/>
    <w:rsid w:val="00C204E1"/>
    <w:rsid w:val="00C2085F"/>
    <w:rsid w:val="00C20D5F"/>
    <w:rsid w:val="00C212BE"/>
    <w:rsid w:val="00C21B59"/>
    <w:rsid w:val="00C22159"/>
    <w:rsid w:val="00C22214"/>
    <w:rsid w:val="00C22612"/>
    <w:rsid w:val="00C22993"/>
    <w:rsid w:val="00C22C4D"/>
    <w:rsid w:val="00C2357F"/>
    <w:rsid w:val="00C241AA"/>
    <w:rsid w:val="00C24229"/>
    <w:rsid w:val="00C2503D"/>
    <w:rsid w:val="00C25212"/>
    <w:rsid w:val="00C25A3C"/>
    <w:rsid w:val="00C274A2"/>
    <w:rsid w:val="00C2753C"/>
    <w:rsid w:val="00C30185"/>
    <w:rsid w:val="00C304CF"/>
    <w:rsid w:val="00C30D64"/>
    <w:rsid w:val="00C31288"/>
    <w:rsid w:val="00C31715"/>
    <w:rsid w:val="00C31C95"/>
    <w:rsid w:val="00C32006"/>
    <w:rsid w:val="00C32428"/>
    <w:rsid w:val="00C32584"/>
    <w:rsid w:val="00C325D9"/>
    <w:rsid w:val="00C33254"/>
    <w:rsid w:val="00C33E38"/>
    <w:rsid w:val="00C34582"/>
    <w:rsid w:val="00C34AD0"/>
    <w:rsid w:val="00C34E87"/>
    <w:rsid w:val="00C35003"/>
    <w:rsid w:val="00C35043"/>
    <w:rsid w:val="00C35BEC"/>
    <w:rsid w:val="00C35D44"/>
    <w:rsid w:val="00C372EB"/>
    <w:rsid w:val="00C3784A"/>
    <w:rsid w:val="00C37C4A"/>
    <w:rsid w:val="00C4072A"/>
    <w:rsid w:val="00C4122F"/>
    <w:rsid w:val="00C419E3"/>
    <w:rsid w:val="00C41C22"/>
    <w:rsid w:val="00C41D6B"/>
    <w:rsid w:val="00C42BF7"/>
    <w:rsid w:val="00C44C56"/>
    <w:rsid w:val="00C44EE0"/>
    <w:rsid w:val="00C4540F"/>
    <w:rsid w:val="00C45BCA"/>
    <w:rsid w:val="00C45FCC"/>
    <w:rsid w:val="00C46107"/>
    <w:rsid w:val="00C461F6"/>
    <w:rsid w:val="00C4679A"/>
    <w:rsid w:val="00C47C61"/>
    <w:rsid w:val="00C50024"/>
    <w:rsid w:val="00C50A38"/>
    <w:rsid w:val="00C513A3"/>
    <w:rsid w:val="00C52951"/>
    <w:rsid w:val="00C53AF8"/>
    <w:rsid w:val="00C54FA7"/>
    <w:rsid w:val="00C5542E"/>
    <w:rsid w:val="00C5589D"/>
    <w:rsid w:val="00C55D4A"/>
    <w:rsid w:val="00C55EC2"/>
    <w:rsid w:val="00C568F8"/>
    <w:rsid w:val="00C56D3D"/>
    <w:rsid w:val="00C57201"/>
    <w:rsid w:val="00C5742A"/>
    <w:rsid w:val="00C57FC5"/>
    <w:rsid w:val="00C60095"/>
    <w:rsid w:val="00C600F4"/>
    <w:rsid w:val="00C6105A"/>
    <w:rsid w:val="00C611AD"/>
    <w:rsid w:val="00C612C8"/>
    <w:rsid w:val="00C61AAC"/>
    <w:rsid w:val="00C624E4"/>
    <w:rsid w:val="00C6255B"/>
    <w:rsid w:val="00C62CF1"/>
    <w:rsid w:val="00C63101"/>
    <w:rsid w:val="00C6331D"/>
    <w:rsid w:val="00C63DD3"/>
    <w:rsid w:val="00C644F7"/>
    <w:rsid w:val="00C6487E"/>
    <w:rsid w:val="00C64A57"/>
    <w:rsid w:val="00C651E4"/>
    <w:rsid w:val="00C656D6"/>
    <w:rsid w:val="00C65983"/>
    <w:rsid w:val="00C65B49"/>
    <w:rsid w:val="00C669FF"/>
    <w:rsid w:val="00C67B49"/>
    <w:rsid w:val="00C70CE5"/>
    <w:rsid w:val="00C7177F"/>
    <w:rsid w:val="00C71DE2"/>
    <w:rsid w:val="00C729D8"/>
    <w:rsid w:val="00C72AAE"/>
    <w:rsid w:val="00C7353A"/>
    <w:rsid w:val="00C739AC"/>
    <w:rsid w:val="00C73A8F"/>
    <w:rsid w:val="00C7457A"/>
    <w:rsid w:val="00C74809"/>
    <w:rsid w:val="00C75BD5"/>
    <w:rsid w:val="00C75F0D"/>
    <w:rsid w:val="00C7631B"/>
    <w:rsid w:val="00C772ED"/>
    <w:rsid w:val="00C77B6B"/>
    <w:rsid w:val="00C77F92"/>
    <w:rsid w:val="00C80A20"/>
    <w:rsid w:val="00C80C85"/>
    <w:rsid w:val="00C80E22"/>
    <w:rsid w:val="00C81061"/>
    <w:rsid w:val="00C8114B"/>
    <w:rsid w:val="00C811C0"/>
    <w:rsid w:val="00C81962"/>
    <w:rsid w:val="00C81BE8"/>
    <w:rsid w:val="00C81DE4"/>
    <w:rsid w:val="00C823E3"/>
    <w:rsid w:val="00C83667"/>
    <w:rsid w:val="00C83CD7"/>
    <w:rsid w:val="00C84400"/>
    <w:rsid w:val="00C84452"/>
    <w:rsid w:val="00C844E2"/>
    <w:rsid w:val="00C84B56"/>
    <w:rsid w:val="00C84B67"/>
    <w:rsid w:val="00C84E3D"/>
    <w:rsid w:val="00C85605"/>
    <w:rsid w:val="00C85913"/>
    <w:rsid w:val="00C85DCF"/>
    <w:rsid w:val="00C86959"/>
    <w:rsid w:val="00C87305"/>
    <w:rsid w:val="00C87E36"/>
    <w:rsid w:val="00C9026F"/>
    <w:rsid w:val="00C902A9"/>
    <w:rsid w:val="00C90BBE"/>
    <w:rsid w:val="00C91949"/>
    <w:rsid w:val="00C91AA8"/>
    <w:rsid w:val="00C91AB5"/>
    <w:rsid w:val="00C91C87"/>
    <w:rsid w:val="00C91D73"/>
    <w:rsid w:val="00C91F68"/>
    <w:rsid w:val="00C9244E"/>
    <w:rsid w:val="00C925CA"/>
    <w:rsid w:val="00C9265A"/>
    <w:rsid w:val="00C9322E"/>
    <w:rsid w:val="00C933FC"/>
    <w:rsid w:val="00C93451"/>
    <w:rsid w:val="00C9387E"/>
    <w:rsid w:val="00C94402"/>
    <w:rsid w:val="00C94728"/>
    <w:rsid w:val="00C94769"/>
    <w:rsid w:val="00C94AD7"/>
    <w:rsid w:val="00C94C34"/>
    <w:rsid w:val="00C95096"/>
    <w:rsid w:val="00C95189"/>
    <w:rsid w:val="00C95AE2"/>
    <w:rsid w:val="00C96214"/>
    <w:rsid w:val="00C9641A"/>
    <w:rsid w:val="00C96DB8"/>
    <w:rsid w:val="00C96DF4"/>
    <w:rsid w:val="00C97CFE"/>
    <w:rsid w:val="00C97D5E"/>
    <w:rsid w:val="00CA01F2"/>
    <w:rsid w:val="00CA2906"/>
    <w:rsid w:val="00CA294C"/>
    <w:rsid w:val="00CA2AB5"/>
    <w:rsid w:val="00CA2C3C"/>
    <w:rsid w:val="00CA2DB8"/>
    <w:rsid w:val="00CA3680"/>
    <w:rsid w:val="00CA3806"/>
    <w:rsid w:val="00CA3A03"/>
    <w:rsid w:val="00CA3F12"/>
    <w:rsid w:val="00CA3FA2"/>
    <w:rsid w:val="00CA4168"/>
    <w:rsid w:val="00CA44B8"/>
    <w:rsid w:val="00CA571A"/>
    <w:rsid w:val="00CA6AD7"/>
    <w:rsid w:val="00CA6B86"/>
    <w:rsid w:val="00CA76BD"/>
    <w:rsid w:val="00CB11EB"/>
    <w:rsid w:val="00CB12BB"/>
    <w:rsid w:val="00CB22EE"/>
    <w:rsid w:val="00CB2A90"/>
    <w:rsid w:val="00CB2C8F"/>
    <w:rsid w:val="00CB2D8C"/>
    <w:rsid w:val="00CB30F6"/>
    <w:rsid w:val="00CB3C20"/>
    <w:rsid w:val="00CB3CDD"/>
    <w:rsid w:val="00CB430A"/>
    <w:rsid w:val="00CB465E"/>
    <w:rsid w:val="00CB492A"/>
    <w:rsid w:val="00CB4A83"/>
    <w:rsid w:val="00CB5870"/>
    <w:rsid w:val="00CB5E75"/>
    <w:rsid w:val="00CB60CE"/>
    <w:rsid w:val="00CB60D3"/>
    <w:rsid w:val="00CB768E"/>
    <w:rsid w:val="00CC0772"/>
    <w:rsid w:val="00CC0ADB"/>
    <w:rsid w:val="00CC1564"/>
    <w:rsid w:val="00CC1B2B"/>
    <w:rsid w:val="00CC1F3B"/>
    <w:rsid w:val="00CC26F1"/>
    <w:rsid w:val="00CC33C9"/>
    <w:rsid w:val="00CC405F"/>
    <w:rsid w:val="00CC40C5"/>
    <w:rsid w:val="00CC4286"/>
    <w:rsid w:val="00CC457B"/>
    <w:rsid w:val="00CC458B"/>
    <w:rsid w:val="00CC4EC6"/>
    <w:rsid w:val="00CC543C"/>
    <w:rsid w:val="00CC6328"/>
    <w:rsid w:val="00CC6E0F"/>
    <w:rsid w:val="00CC6E4D"/>
    <w:rsid w:val="00CC7A5B"/>
    <w:rsid w:val="00CC7E1E"/>
    <w:rsid w:val="00CC7F62"/>
    <w:rsid w:val="00CD0175"/>
    <w:rsid w:val="00CD0C2E"/>
    <w:rsid w:val="00CD1EB7"/>
    <w:rsid w:val="00CD2C41"/>
    <w:rsid w:val="00CD3522"/>
    <w:rsid w:val="00CD36BD"/>
    <w:rsid w:val="00CD3E97"/>
    <w:rsid w:val="00CD4E99"/>
    <w:rsid w:val="00CD57E9"/>
    <w:rsid w:val="00CD61C0"/>
    <w:rsid w:val="00CD6569"/>
    <w:rsid w:val="00CD67D7"/>
    <w:rsid w:val="00CD6E20"/>
    <w:rsid w:val="00CD6FD7"/>
    <w:rsid w:val="00CD7A1D"/>
    <w:rsid w:val="00CD7EEE"/>
    <w:rsid w:val="00CE0358"/>
    <w:rsid w:val="00CE05FC"/>
    <w:rsid w:val="00CE0C23"/>
    <w:rsid w:val="00CE128C"/>
    <w:rsid w:val="00CE17E2"/>
    <w:rsid w:val="00CE1F35"/>
    <w:rsid w:val="00CE3065"/>
    <w:rsid w:val="00CE3847"/>
    <w:rsid w:val="00CE3F0A"/>
    <w:rsid w:val="00CE3F29"/>
    <w:rsid w:val="00CE3FE7"/>
    <w:rsid w:val="00CE4656"/>
    <w:rsid w:val="00CE47CB"/>
    <w:rsid w:val="00CE4B61"/>
    <w:rsid w:val="00CE5B93"/>
    <w:rsid w:val="00CE5CE5"/>
    <w:rsid w:val="00CE61F3"/>
    <w:rsid w:val="00CE641A"/>
    <w:rsid w:val="00CE6D34"/>
    <w:rsid w:val="00CE705E"/>
    <w:rsid w:val="00CE7411"/>
    <w:rsid w:val="00CF00AE"/>
    <w:rsid w:val="00CF161F"/>
    <w:rsid w:val="00CF1C60"/>
    <w:rsid w:val="00CF2546"/>
    <w:rsid w:val="00CF267D"/>
    <w:rsid w:val="00CF26CB"/>
    <w:rsid w:val="00CF2F45"/>
    <w:rsid w:val="00CF2F79"/>
    <w:rsid w:val="00CF33D5"/>
    <w:rsid w:val="00CF38C6"/>
    <w:rsid w:val="00CF39C7"/>
    <w:rsid w:val="00CF3FD6"/>
    <w:rsid w:val="00CF42D0"/>
    <w:rsid w:val="00CF4B41"/>
    <w:rsid w:val="00CF4C2F"/>
    <w:rsid w:val="00CF5644"/>
    <w:rsid w:val="00CF5EA5"/>
    <w:rsid w:val="00CF6096"/>
    <w:rsid w:val="00CF6263"/>
    <w:rsid w:val="00CF6712"/>
    <w:rsid w:val="00CF701C"/>
    <w:rsid w:val="00CF71C7"/>
    <w:rsid w:val="00D00660"/>
    <w:rsid w:val="00D00FB9"/>
    <w:rsid w:val="00D019D5"/>
    <w:rsid w:val="00D02053"/>
    <w:rsid w:val="00D0259C"/>
    <w:rsid w:val="00D0282C"/>
    <w:rsid w:val="00D0373D"/>
    <w:rsid w:val="00D0405A"/>
    <w:rsid w:val="00D040F1"/>
    <w:rsid w:val="00D04F36"/>
    <w:rsid w:val="00D05104"/>
    <w:rsid w:val="00D0567E"/>
    <w:rsid w:val="00D06221"/>
    <w:rsid w:val="00D06C35"/>
    <w:rsid w:val="00D07375"/>
    <w:rsid w:val="00D074A8"/>
    <w:rsid w:val="00D07E11"/>
    <w:rsid w:val="00D107AE"/>
    <w:rsid w:val="00D10A10"/>
    <w:rsid w:val="00D11BE6"/>
    <w:rsid w:val="00D13F6E"/>
    <w:rsid w:val="00D14062"/>
    <w:rsid w:val="00D1484B"/>
    <w:rsid w:val="00D161AC"/>
    <w:rsid w:val="00D16AB8"/>
    <w:rsid w:val="00D17557"/>
    <w:rsid w:val="00D17E37"/>
    <w:rsid w:val="00D2013A"/>
    <w:rsid w:val="00D20FDA"/>
    <w:rsid w:val="00D212C5"/>
    <w:rsid w:val="00D2177C"/>
    <w:rsid w:val="00D2248D"/>
    <w:rsid w:val="00D2257D"/>
    <w:rsid w:val="00D22CCD"/>
    <w:rsid w:val="00D2318F"/>
    <w:rsid w:val="00D23729"/>
    <w:rsid w:val="00D23F46"/>
    <w:rsid w:val="00D24279"/>
    <w:rsid w:val="00D25559"/>
    <w:rsid w:val="00D2609B"/>
    <w:rsid w:val="00D26F35"/>
    <w:rsid w:val="00D27A20"/>
    <w:rsid w:val="00D30D0B"/>
    <w:rsid w:val="00D30F9F"/>
    <w:rsid w:val="00D316F9"/>
    <w:rsid w:val="00D3291B"/>
    <w:rsid w:val="00D32C0F"/>
    <w:rsid w:val="00D33CB0"/>
    <w:rsid w:val="00D3425F"/>
    <w:rsid w:val="00D3518A"/>
    <w:rsid w:val="00D356AB"/>
    <w:rsid w:val="00D3574D"/>
    <w:rsid w:val="00D35A7E"/>
    <w:rsid w:val="00D368A4"/>
    <w:rsid w:val="00D36B8A"/>
    <w:rsid w:val="00D36D10"/>
    <w:rsid w:val="00D37388"/>
    <w:rsid w:val="00D375A6"/>
    <w:rsid w:val="00D37902"/>
    <w:rsid w:val="00D40093"/>
    <w:rsid w:val="00D40455"/>
    <w:rsid w:val="00D41016"/>
    <w:rsid w:val="00D41137"/>
    <w:rsid w:val="00D41A1F"/>
    <w:rsid w:val="00D4289C"/>
    <w:rsid w:val="00D43729"/>
    <w:rsid w:val="00D43A5B"/>
    <w:rsid w:val="00D44046"/>
    <w:rsid w:val="00D444CA"/>
    <w:rsid w:val="00D4510B"/>
    <w:rsid w:val="00D45811"/>
    <w:rsid w:val="00D46954"/>
    <w:rsid w:val="00D46C41"/>
    <w:rsid w:val="00D46D3A"/>
    <w:rsid w:val="00D46F33"/>
    <w:rsid w:val="00D471CD"/>
    <w:rsid w:val="00D479F3"/>
    <w:rsid w:val="00D507CD"/>
    <w:rsid w:val="00D50A44"/>
    <w:rsid w:val="00D50E05"/>
    <w:rsid w:val="00D512DA"/>
    <w:rsid w:val="00D51B88"/>
    <w:rsid w:val="00D526CB"/>
    <w:rsid w:val="00D53142"/>
    <w:rsid w:val="00D538ED"/>
    <w:rsid w:val="00D53975"/>
    <w:rsid w:val="00D53B37"/>
    <w:rsid w:val="00D53C0D"/>
    <w:rsid w:val="00D53FA7"/>
    <w:rsid w:val="00D53FEB"/>
    <w:rsid w:val="00D5451B"/>
    <w:rsid w:val="00D54806"/>
    <w:rsid w:val="00D54F49"/>
    <w:rsid w:val="00D5513A"/>
    <w:rsid w:val="00D552EF"/>
    <w:rsid w:val="00D55755"/>
    <w:rsid w:val="00D55CF2"/>
    <w:rsid w:val="00D55D70"/>
    <w:rsid w:val="00D55DDC"/>
    <w:rsid w:val="00D5625E"/>
    <w:rsid w:val="00D563A6"/>
    <w:rsid w:val="00D564D3"/>
    <w:rsid w:val="00D56697"/>
    <w:rsid w:val="00D566D8"/>
    <w:rsid w:val="00D5675D"/>
    <w:rsid w:val="00D5695B"/>
    <w:rsid w:val="00D56CDD"/>
    <w:rsid w:val="00D573A1"/>
    <w:rsid w:val="00D5791F"/>
    <w:rsid w:val="00D6008D"/>
    <w:rsid w:val="00D60549"/>
    <w:rsid w:val="00D60AC0"/>
    <w:rsid w:val="00D60B98"/>
    <w:rsid w:val="00D63980"/>
    <w:rsid w:val="00D641A1"/>
    <w:rsid w:val="00D6477A"/>
    <w:rsid w:val="00D64CD7"/>
    <w:rsid w:val="00D64D04"/>
    <w:rsid w:val="00D655AA"/>
    <w:rsid w:val="00D65B5E"/>
    <w:rsid w:val="00D6670F"/>
    <w:rsid w:val="00D66B01"/>
    <w:rsid w:val="00D66C48"/>
    <w:rsid w:val="00D670CD"/>
    <w:rsid w:val="00D672D4"/>
    <w:rsid w:val="00D673A9"/>
    <w:rsid w:val="00D70B8F"/>
    <w:rsid w:val="00D730C8"/>
    <w:rsid w:val="00D7322B"/>
    <w:rsid w:val="00D73BA3"/>
    <w:rsid w:val="00D75AAF"/>
    <w:rsid w:val="00D75D15"/>
    <w:rsid w:val="00D75E1F"/>
    <w:rsid w:val="00D75EA2"/>
    <w:rsid w:val="00D76474"/>
    <w:rsid w:val="00D7670F"/>
    <w:rsid w:val="00D767A2"/>
    <w:rsid w:val="00D76896"/>
    <w:rsid w:val="00D778E3"/>
    <w:rsid w:val="00D779C8"/>
    <w:rsid w:val="00D77A49"/>
    <w:rsid w:val="00D77C88"/>
    <w:rsid w:val="00D80D2A"/>
    <w:rsid w:val="00D81258"/>
    <w:rsid w:val="00D81F50"/>
    <w:rsid w:val="00D81FBC"/>
    <w:rsid w:val="00D820E0"/>
    <w:rsid w:val="00D82888"/>
    <w:rsid w:val="00D82C1E"/>
    <w:rsid w:val="00D83CAD"/>
    <w:rsid w:val="00D846AA"/>
    <w:rsid w:val="00D84821"/>
    <w:rsid w:val="00D8525D"/>
    <w:rsid w:val="00D86156"/>
    <w:rsid w:val="00D8646D"/>
    <w:rsid w:val="00D86B17"/>
    <w:rsid w:val="00D90517"/>
    <w:rsid w:val="00D910EF"/>
    <w:rsid w:val="00D912B0"/>
    <w:rsid w:val="00D92360"/>
    <w:rsid w:val="00D92753"/>
    <w:rsid w:val="00D92932"/>
    <w:rsid w:val="00D92B82"/>
    <w:rsid w:val="00D9320A"/>
    <w:rsid w:val="00D9364E"/>
    <w:rsid w:val="00D938DE"/>
    <w:rsid w:val="00D939BA"/>
    <w:rsid w:val="00D93CF0"/>
    <w:rsid w:val="00D93EB3"/>
    <w:rsid w:val="00D94190"/>
    <w:rsid w:val="00D94261"/>
    <w:rsid w:val="00D9573B"/>
    <w:rsid w:val="00D95B92"/>
    <w:rsid w:val="00D95C52"/>
    <w:rsid w:val="00D95D75"/>
    <w:rsid w:val="00D96EFF"/>
    <w:rsid w:val="00DA09A5"/>
    <w:rsid w:val="00DA0FB2"/>
    <w:rsid w:val="00DA1C4F"/>
    <w:rsid w:val="00DA1E98"/>
    <w:rsid w:val="00DA2747"/>
    <w:rsid w:val="00DA275F"/>
    <w:rsid w:val="00DA35BD"/>
    <w:rsid w:val="00DA4C0E"/>
    <w:rsid w:val="00DA4ECE"/>
    <w:rsid w:val="00DA508F"/>
    <w:rsid w:val="00DA5ACB"/>
    <w:rsid w:val="00DA60C1"/>
    <w:rsid w:val="00DA6C55"/>
    <w:rsid w:val="00DA6D2E"/>
    <w:rsid w:val="00DA6E40"/>
    <w:rsid w:val="00DA7273"/>
    <w:rsid w:val="00DA751A"/>
    <w:rsid w:val="00DA786A"/>
    <w:rsid w:val="00DB0C0F"/>
    <w:rsid w:val="00DB10F6"/>
    <w:rsid w:val="00DB1334"/>
    <w:rsid w:val="00DB18B2"/>
    <w:rsid w:val="00DB217A"/>
    <w:rsid w:val="00DB2966"/>
    <w:rsid w:val="00DB2AAE"/>
    <w:rsid w:val="00DB2AAF"/>
    <w:rsid w:val="00DB2CD6"/>
    <w:rsid w:val="00DB2F95"/>
    <w:rsid w:val="00DB52F8"/>
    <w:rsid w:val="00DB54DA"/>
    <w:rsid w:val="00DB5D50"/>
    <w:rsid w:val="00DB5F83"/>
    <w:rsid w:val="00DB6376"/>
    <w:rsid w:val="00DB714A"/>
    <w:rsid w:val="00DC012C"/>
    <w:rsid w:val="00DC0130"/>
    <w:rsid w:val="00DC08FC"/>
    <w:rsid w:val="00DC16F0"/>
    <w:rsid w:val="00DC192E"/>
    <w:rsid w:val="00DC1B0A"/>
    <w:rsid w:val="00DC243F"/>
    <w:rsid w:val="00DC2465"/>
    <w:rsid w:val="00DC2691"/>
    <w:rsid w:val="00DC3347"/>
    <w:rsid w:val="00DC3F4C"/>
    <w:rsid w:val="00DC4443"/>
    <w:rsid w:val="00DC4A03"/>
    <w:rsid w:val="00DC4B7F"/>
    <w:rsid w:val="00DC503F"/>
    <w:rsid w:val="00DC60AF"/>
    <w:rsid w:val="00DC62A0"/>
    <w:rsid w:val="00DC67E4"/>
    <w:rsid w:val="00DC6AA4"/>
    <w:rsid w:val="00DC6D07"/>
    <w:rsid w:val="00DD04AB"/>
    <w:rsid w:val="00DD05A0"/>
    <w:rsid w:val="00DD0646"/>
    <w:rsid w:val="00DD0AC4"/>
    <w:rsid w:val="00DD0F13"/>
    <w:rsid w:val="00DD1093"/>
    <w:rsid w:val="00DD1E28"/>
    <w:rsid w:val="00DD2D4E"/>
    <w:rsid w:val="00DD2E48"/>
    <w:rsid w:val="00DD3929"/>
    <w:rsid w:val="00DD4444"/>
    <w:rsid w:val="00DD4BF6"/>
    <w:rsid w:val="00DD4F89"/>
    <w:rsid w:val="00DD5412"/>
    <w:rsid w:val="00DD54C2"/>
    <w:rsid w:val="00DD551B"/>
    <w:rsid w:val="00DD58B1"/>
    <w:rsid w:val="00DD5A68"/>
    <w:rsid w:val="00DD5C59"/>
    <w:rsid w:val="00DD618E"/>
    <w:rsid w:val="00DD6592"/>
    <w:rsid w:val="00DD65EF"/>
    <w:rsid w:val="00DD7003"/>
    <w:rsid w:val="00DD7974"/>
    <w:rsid w:val="00DD7A7E"/>
    <w:rsid w:val="00DD7C5A"/>
    <w:rsid w:val="00DD7CCF"/>
    <w:rsid w:val="00DE0254"/>
    <w:rsid w:val="00DE05C0"/>
    <w:rsid w:val="00DE05D5"/>
    <w:rsid w:val="00DE1A20"/>
    <w:rsid w:val="00DE3181"/>
    <w:rsid w:val="00DE3D3F"/>
    <w:rsid w:val="00DE3E35"/>
    <w:rsid w:val="00DE43FC"/>
    <w:rsid w:val="00DE4667"/>
    <w:rsid w:val="00DE4CB7"/>
    <w:rsid w:val="00DE5A8C"/>
    <w:rsid w:val="00DE5E3B"/>
    <w:rsid w:val="00DE6702"/>
    <w:rsid w:val="00DE671A"/>
    <w:rsid w:val="00DE73AC"/>
    <w:rsid w:val="00DE79A4"/>
    <w:rsid w:val="00DF0DEC"/>
    <w:rsid w:val="00DF0F96"/>
    <w:rsid w:val="00DF1808"/>
    <w:rsid w:val="00DF1BF7"/>
    <w:rsid w:val="00DF1E10"/>
    <w:rsid w:val="00DF1EE4"/>
    <w:rsid w:val="00DF27C9"/>
    <w:rsid w:val="00DF2B51"/>
    <w:rsid w:val="00DF2F86"/>
    <w:rsid w:val="00DF3B89"/>
    <w:rsid w:val="00DF4229"/>
    <w:rsid w:val="00DF49E9"/>
    <w:rsid w:val="00DF4FB7"/>
    <w:rsid w:val="00DF5069"/>
    <w:rsid w:val="00DF51E9"/>
    <w:rsid w:val="00DF5BA7"/>
    <w:rsid w:val="00DF5FF5"/>
    <w:rsid w:val="00DF67B0"/>
    <w:rsid w:val="00DF7B0B"/>
    <w:rsid w:val="00E00279"/>
    <w:rsid w:val="00E00C2D"/>
    <w:rsid w:val="00E02079"/>
    <w:rsid w:val="00E02419"/>
    <w:rsid w:val="00E027DF"/>
    <w:rsid w:val="00E0369F"/>
    <w:rsid w:val="00E03C60"/>
    <w:rsid w:val="00E04266"/>
    <w:rsid w:val="00E046DC"/>
    <w:rsid w:val="00E048BA"/>
    <w:rsid w:val="00E0498D"/>
    <w:rsid w:val="00E04B4C"/>
    <w:rsid w:val="00E04BD7"/>
    <w:rsid w:val="00E05482"/>
    <w:rsid w:val="00E06CC2"/>
    <w:rsid w:val="00E06FCC"/>
    <w:rsid w:val="00E07D49"/>
    <w:rsid w:val="00E10062"/>
    <w:rsid w:val="00E1084B"/>
    <w:rsid w:val="00E10B83"/>
    <w:rsid w:val="00E10EA7"/>
    <w:rsid w:val="00E11923"/>
    <w:rsid w:val="00E11DEA"/>
    <w:rsid w:val="00E12631"/>
    <w:rsid w:val="00E12A4F"/>
    <w:rsid w:val="00E12B0D"/>
    <w:rsid w:val="00E14732"/>
    <w:rsid w:val="00E1491D"/>
    <w:rsid w:val="00E14B16"/>
    <w:rsid w:val="00E14BE4"/>
    <w:rsid w:val="00E14CF5"/>
    <w:rsid w:val="00E1568A"/>
    <w:rsid w:val="00E15CB7"/>
    <w:rsid w:val="00E16045"/>
    <w:rsid w:val="00E169B7"/>
    <w:rsid w:val="00E16BA7"/>
    <w:rsid w:val="00E16FB1"/>
    <w:rsid w:val="00E1712A"/>
    <w:rsid w:val="00E174B7"/>
    <w:rsid w:val="00E1769B"/>
    <w:rsid w:val="00E17903"/>
    <w:rsid w:val="00E17A54"/>
    <w:rsid w:val="00E208AE"/>
    <w:rsid w:val="00E20D40"/>
    <w:rsid w:val="00E20E03"/>
    <w:rsid w:val="00E21157"/>
    <w:rsid w:val="00E21D99"/>
    <w:rsid w:val="00E222C6"/>
    <w:rsid w:val="00E23A04"/>
    <w:rsid w:val="00E23B56"/>
    <w:rsid w:val="00E26B04"/>
    <w:rsid w:val="00E27601"/>
    <w:rsid w:val="00E2778B"/>
    <w:rsid w:val="00E27C01"/>
    <w:rsid w:val="00E27F20"/>
    <w:rsid w:val="00E27F5C"/>
    <w:rsid w:val="00E3036B"/>
    <w:rsid w:val="00E30422"/>
    <w:rsid w:val="00E30E76"/>
    <w:rsid w:val="00E313A3"/>
    <w:rsid w:val="00E316E8"/>
    <w:rsid w:val="00E31817"/>
    <w:rsid w:val="00E336CE"/>
    <w:rsid w:val="00E33CBD"/>
    <w:rsid w:val="00E33DCE"/>
    <w:rsid w:val="00E34189"/>
    <w:rsid w:val="00E35249"/>
    <w:rsid w:val="00E35563"/>
    <w:rsid w:val="00E3671F"/>
    <w:rsid w:val="00E36F96"/>
    <w:rsid w:val="00E37415"/>
    <w:rsid w:val="00E37435"/>
    <w:rsid w:val="00E378DF"/>
    <w:rsid w:val="00E37B72"/>
    <w:rsid w:val="00E37F04"/>
    <w:rsid w:val="00E37FF8"/>
    <w:rsid w:val="00E4084F"/>
    <w:rsid w:val="00E40DA8"/>
    <w:rsid w:val="00E4117A"/>
    <w:rsid w:val="00E41711"/>
    <w:rsid w:val="00E42441"/>
    <w:rsid w:val="00E433B9"/>
    <w:rsid w:val="00E43F6C"/>
    <w:rsid w:val="00E440EA"/>
    <w:rsid w:val="00E44476"/>
    <w:rsid w:val="00E445A2"/>
    <w:rsid w:val="00E453FF"/>
    <w:rsid w:val="00E45ECE"/>
    <w:rsid w:val="00E45EF1"/>
    <w:rsid w:val="00E46AB3"/>
    <w:rsid w:val="00E46B8E"/>
    <w:rsid w:val="00E46E0F"/>
    <w:rsid w:val="00E50500"/>
    <w:rsid w:val="00E51266"/>
    <w:rsid w:val="00E5141F"/>
    <w:rsid w:val="00E51479"/>
    <w:rsid w:val="00E522CD"/>
    <w:rsid w:val="00E525FE"/>
    <w:rsid w:val="00E52698"/>
    <w:rsid w:val="00E53791"/>
    <w:rsid w:val="00E537EA"/>
    <w:rsid w:val="00E544A8"/>
    <w:rsid w:val="00E5479C"/>
    <w:rsid w:val="00E54A11"/>
    <w:rsid w:val="00E54BD2"/>
    <w:rsid w:val="00E55386"/>
    <w:rsid w:val="00E56339"/>
    <w:rsid w:val="00E5638F"/>
    <w:rsid w:val="00E564BC"/>
    <w:rsid w:val="00E56B54"/>
    <w:rsid w:val="00E56F2D"/>
    <w:rsid w:val="00E571A9"/>
    <w:rsid w:val="00E602F7"/>
    <w:rsid w:val="00E603EE"/>
    <w:rsid w:val="00E60901"/>
    <w:rsid w:val="00E60984"/>
    <w:rsid w:val="00E60BFC"/>
    <w:rsid w:val="00E60EE1"/>
    <w:rsid w:val="00E620D4"/>
    <w:rsid w:val="00E634E2"/>
    <w:rsid w:val="00E635FF"/>
    <w:rsid w:val="00E63A37"/>
    <w:rsid w:val="00E63CC5"/>
    <w:rsid w:val="00E64F07"/>
    <w:rsid w:val="00E64FD7"/>
    <w:rsid w:val="00E65AF8"/>
    <w:rsid w:val="00E65C61"/>
    <w:rsid w:val="00E668AD"/>
    <w:rsid w:val="00E66A59"/>
    <w:rsid w:val="00E67050"/>
    <w:rsid w:val="00E706B5"/>
    <w:rsid w:val="00E70925"/>
    <w:rsid w:val="00E71B67"/>
    <w:rsid w:val="00E71E84"/>
    <w:rsid w:val="00E721CD"/>
    <w:rsid w:val="00E72527"/>
    <w:rsid w:val="00E72D2D"/>
    <w:rsid w:val="00E72DEB"/>
    <w:rsid w:val="00E732B6"/>
    <w:rsid w:val="00E73508"/>
    <w:rsid w:val="00E73E79"/>
    <w:rsid w:val="00E73F2B"/>
    <w:rsid w:val="00E741D9"/>
    <w:rsid w:val="00E74CD6"/>
    <w:rsid w:val="00E75061"/>
    <w:rsid w:val="00E75B8B"/>
    <w:rsid w:val="00E76502"/>
    <w:rsid w:val="00E76655"/>
    <w:rsid w:val="00E7698A"/>
    <w:rsid w:val="00E76A5C"/>
    <w:rsid w:val="00E76B67"/>
    <w:rsid w:val="00E76EBE"/>
    <w:rsid w:val="00E77436"/>
    <w:rsid w:val="00E77F9F"/>
    <w:rsid w:val="00E80010"/>
    <w:rsid w:val="00E8033D"/>
    <w:rsid w:val="00E80665"/>
    <w:rsid w:val="00E8187E"/>
    <w:rsid w:val="00E81895"/>
    <w:rsid w:val="00E81BAA"/>
    <w:rsid w:val="00E81C50"/>
    <w:rsid w:val="00E81E4F"/>
    <w:rsid w:val="00E81FAB"/>
    <w:rsid w:val="00E82281"/>
    <w:rsid w:val="00E83F04"/>
    <w:rsid w:val="00E84154"/>
    <w:rsid w:val="00E84828"/>
    <w:rsid w:val="00E84F14"/>
    <w:rsid w:val="00E85DEC"/>
    <w:rsid w:val="00E863AD"/>
    <w:rsid w:val="00E864C7"/>
    <w:rsid w:val="00E8717E"/>
    <w:rsid w:val="00E874A8"/>
    <w:rsid w:val="00E87E62"/>
    <w:rsid w:val="00E906CC"/>
    <w:rsid w:val="00E913A9"/>
    <w:rsid w:val="00E916D9"/>
    <w:rsid w:val="00E919D6"/>
    <w:rsid w:val="00E91DE2"/>
    <w:rsid w:val="00E93100"/>
    <w:rsid w:val="00E93419"/>
    <w:rsid w:val="00E93486"/>
    <w:rsid w:val="00E9439B"/>
    <w:rsid w:val="00E95587"/>
    <w:rsid w:val="00E96262"/>
    <w:rsid w:val="00E96DAF"/>
    <w:rsid w:val="00E972C5"/>
    <w:rsid w:val="00E975C8"/>
    <w:rsid w:val="00E97620"/>
    <w:rsid w:val="00EA0126"/>
    <w:rsid w:val="00EA073A"/>
    <w:rsid w:val="00EA0ADE"/>
    <w:rsid w:val="00EA1257"/>
    <w:rsid w:val="00EA1C15"/>
    <w:rsid w:val="00EA20CB"/>
    <w:rsid w:val="00EA2F86"/>
    <w:rsid w:val="00EA3BE4"/>
    <w:rsid w:val="00EA40C7"/>
    <w:rsid w:val="00EA4574"/>
    <w:rsid w:val="00EA49B4"/>
    <w:rsid w:val="00EA4CAB"/>
    <w:rsid w:val="00EA501A"/>
    <w:rsid w:val="00EA51BD"/>
    <w:rsid w:val="00EA55D6"/>
    <w:rsid w:val="00EA5AA0"/>
    <w:rsid w:val="00EA6361"/>
    <w:rsid w:val="00EA6937"/>
    <w:rsid w:val="00EA7026"/>
    <w:rsid w:val="00EA776B"/>
    <w:rsid w:val="00EA7A38"/>
    <w:rsid w:val="00EA7E90"/>
    <w:rsid w:val="00EA7EAE"/>
    <w:rsid w:val="00EB0786"/>
    <w:rsid w:val="00EB0FB1"/>
    <w:rsid w:val="00EB1B08"/>
    <w:rsid w:val="00EB267A"/>
    <w:rsid w:val="00EB2998"/>
    <w:rsid w:val="00EB2A13"/>
    <w:rsid w:val="00EB3477"/>
    <w:rsid w:val="00EB4AAB"/>
    <w:rsid w:val="00EB4B44"/>
    <w:rsid w:val="00EB5641"/>
    <w:rsid w:val="00EB6626"/>
    <w:rsid w:val="00EB686C"/>
    <w:rsid w:val="00EB6D5C"/>
    <w:rsid w:val="00EB7678"/>
    <w:rsid w:val="00EB7A2C"/>
    <w:rsid w:val="00EC0BC2"/>
    <w:rsid w:val="00EC0C51"/>
    <w:rsid w:val="00EC159A"/>
    <w:rsid w:val="00EC17A5"/>
    <w:rsid w:val="00EC1E5F"/>
    <w:rsid w:val="00EC2038"/>
    <w:rsid w:val="00EC2128"/>
    <w:rsid w:val="00EC21C8"/>
    <w:rsid w:val="00EC24DF"/>
    <w:rsid w:val="00EC292A"/>
    <w:rsid w:val="00EC52EE"/>
    <w:rsid w:val="00EC54CD"/>
    <w:rsid w:val="00EC5C69"/>
    <w:rsid w:val="00EC61AC"/>
    <w:rsid w:val="00EC62FC"/>
    <w:rsid w:val="00EC655C"/>
    <w:rsid w:val="00EC6835"/>
    <w:rsid w:val="00EC6AF1"/>
    <w:rsid w:val="00EC6DA7"/>
    <w:rsid w:val="00EC7C5F"/>
    <w:rsid w:val="00EC7F0F"/>
    <w:rsid w:val="00EC7FDD"/>
    <w:rsid w:val="00ED0458"/>
    <w:rsid w:val="00ED222A"/>
    <w:rsid w:val="00ED2366"/>
    <w:rsid w:val="00ED2EDD"/>
    <w:rsid w:val="00ED43FF"/>
    <w:rsid w:val="00ED4D65"/>
    <w:rsid w:val="00ED60D1"/>
    <w:rsid w:val="00ED6937"/>
    <w:rsid w:val="00ED696B"/>
    <w:rsid w:val="00ED6BCB"/>
    <w:rsid w:val="00ED7D45"/>
    <w:rsid w:val="00EE0928"/>
    <w:rsid w:val="00EE0F6D"/>
    <w:rsid w:val="00EE159C"/>
    <w:rsid w:val="00EE1E78"/>
    <w:rsid w:val="00EE2246"/>
    <w:rsid w:val="00EE27E5"/>
    <w:rsid w:val="00EE28DB"/>
    <w:rsid w:val="00EE338D"/>
    <w:rsid w:val="00EE3C74"/>
    <w:rsid w:val="00EE426B"/>
    <w:rsid w:val="00EE5056"/>
    <w:rsid w:val="00EE6274"/>
    <w:rsid w:val="00EE6C90"/>
    <w:rsid w:val="00EF056D"/>
    <w:rsid w:val="00EF0F8E"/>
    <w:rsid w:val="00EF1C9D"/>
    <w:rsid w:val="00EF1D52"/>
    <w:rsid w:val="00EF2377"/>
    <w:rsid w:val="00EF28E1"/>
    <w:rsid w:val="00EF38A3"/>
    <w:rsid w:val="00EF3A74"/>
    <w:rsid w:val="00EF52D1"/>
    <w:rsid w:val="00EF58FD"/>
    <w:rsid w:val="00EF61B3"/>
    <w:rsid w:val="00EF6286"/>
    <w:rsid w:val="00EF6371"/>
    <w:rsid w:val="00EF64C5"/>
    <w:rsid w:val="00EF70B5"/>
    <w:rsid w:val="00EF74C1"/>
    <w:rsid w:val="00EF7615"/>
    <w:rsid w:val="00EF7692"/>
    <w:rsid w:val="00EF7B75"/>
    <w:rsid w:val="00F00143"/>
    <w:rsid w:val="00F00E8E"/>
    <w:rsid w:val="00F02105"/>
    <w:rsid w:val="00F0247D"/>
    <w:rsid w:val="00F02FBA"/>
    <w:rsid w:val="00F03382"/>
    <w:rsid w:val="00F037C5"/>
    <w:rsid w:val="00F03843"/>
    <w:rsid w:val="00F04A3A"/>
    <w:rsid w:val="00F04D15"/>
    <w:rsid w:val="00F0544A"/>
    <w:rsid w:val="00F0608E"/>
    <w:rsid w:val="00F06214"/>
    <w:rsid w:val="00F06D29"/>
    <w:rsid w:val="00F0724E"/>
    <w:rsid w:val="00F07629"/>
    <w:rsid w:val="00F10172"/>
    <w:rsid w:val="00F10294"/>
    <w:rsid w:val="00F10545"/>
    <w:rsid w:val="00F108DF"/>
    <w:rsid w:val="00F109A2"/>
    <w:rsid w:val="00F10F2C"/>
    <w:rsid w:val="00F113DC"/>
    <w:rsid w:val="00F11858"/>
    <w:rsid w:val="00F11C5E"/>
    <w:rsid w:val="00F12E4A"/>
    <w:rsid w:val="00F12FBD"/>
    <w:rsid w:val="00F12FEC"/>
    <w:rsid w:val="00F13162"/>
    <w:rsid w:val="00F132A8"/>
    <w:rsid w:val="00F1363F"/>
    <w:rsid w:val="00F141BA"/>
    <w:rsid w:val="00F144B8"/>
    <w:rsid w:val="00F1484B"/>
    <w:rsid w:val="00F14883"/>
    <w:rsid w:val="00F153C1"/>
    <w:rsid w:val="00F154C9"/>
    <w:rsid w:val="00F154CE"/>
    <w:rsid w:val="00F16430"/>
    <w:rsid w:val="00F178C8"/>
    <w:rsid w:val="00F17C37"/>
    <w:rsid w:val="00F20C41"/>
    <w:rsid w:val="00F21123"/>
    <w:rsid w:val="00F213B3"/>
    <w:rsid w:val="00F21AB9"/>
    <w:rsid w:val="00F21C9E"/>
    <w:rsid w:val="00F227D2"/>
    <w:rsid w:val="00F2285D"/>
    <w:rsid w:val="00F22FED"/>
    <w:rsid w:val="00F236E4"/>
    <w:rsid w:val="00F23B5D"/>
    <w:rsid w:val="00F23BE9"/>
    <w:rsid w:val="00F23C73"/>
    <w:rsid w:val="00F243CB"/>
    <w:rsid w:val="00F24600"/>
    <w:rsid w:val="00F253E9"/>
    <w:rsid w:val="00F25941"/>
    <w:rsid w:val="00F25AB0"/>
    <w:rsid w:val="00F25B07"/>
    <w:rsid w:val="00F273DB"/>
    <w:rsid w:val="00F273DE"/>
    <w:rsid w:val="00F27DBC"/>
    <w:rsid w:val="00F30785"/>
    <w:rsid w:val="00F314D8"/>
    <w:rsid w:val="00F315E0"/>
    <w:rsid w:val="00F31800"/>
    <w:rsid w:val="00F3260A"/>
    <w:rsid w:val="00F32720"/>
    <w:rsid w:val="00F335D9"/>
    <w:rsid w:val="00F33C15"/>
    <w:rsid w:val="00F33D4E"/>
    <w:rsid w:val="00F33DA9"/>
    <w:rsid w:val="00F33E76"/>
    <w:rsid w:val="00F34410"/>
    <w:rsid w:val="00F3476B"/>
    <w:rsid w:val="00F34961"/>
    <w:rsid w:val="00F354EE"/>
    <w:rsid w:val="00F3558C"/>
    <w:rsid w:val="00F35C0F"/>
    <w:rsid w:val="00F35E06"/>
    <w:rsid w:val="00F36CCD"/>
    <w:rsid w:val="00F37677"/>
    <w:rsid w:val="00F37B07"/>
    <w:rsid w:val="00F41551"/>
    <w:rsid w:val="00F42243"/>
    <w:rsid w:val="00F424F8"/>
    <w:rsid w:val="00F4252E"/>
    <w:rsid w:val="00F42B19"/>
    <w:rsid w:val="00F4347F"/>
    <w:rsid w:val="00F43529"/>
    <w:rsid w:val="00F4380A"/>
    <w:rsid w:val="00F43873"/>
    <w:rsid w:val="00F4397F"/>
    <w:rsid w:val="00F43A29"/>
    <w:rsid w:val="00F43A93"/>
    <w:rsid w:val="00F43ACA"/>
    <w:rsid w:val="00F4415E"/>
    <w:rsid w:val="00F447FF"/>
    <w:rsid w:val="00F44B7B"/>
    <w:rsid w:val="00F46562"/>
    <w:rsid w:val="00F46D25"/>
    <w:rsid w:val="00F47C1E"/>
    <w:rsid w:val="00F47EEB"/>
    <w:rsid w:val="00F501E6"/>
    <w:rsid w:val="00F50813"/>
    <w:rsid w:val="00F508F9"/>
    <w:rsid w:val="00F50B3E"/>
    <w:rsid w:val="00F51026"/>
    <w:rsid w:val="00F511BB"/>
    <w:rsid w:val="00F514D1"/>
    <w:rsid w:val="00F5168C"/>
    <w:rsid w:val="00F516B9"/>
    <w:rsid w:val="00F519D9"/>
    <w:rsid w:val="00F523FA"/>
    <w:rsid w:val="00F53773"/>
    <w:rsid w:val="00F54ED2"/>
    <w:rsid w:val="00F5507D"/>
    <w:rsid w:val="00F5514A"/>
    <w:rsid w:val="00F56391"/>
    <w:rsid w:val="00F56B91"/>
    <w:rsid w:val="00F56D06"/>
    <w:rsid w:val="00F57075"/>
    <w:rsid w:val="00F57394"/>
    <w:rsid w:val="00F576FA"/>
    <w:rsid w:val="00F57BE1"/>
    <w:rsid w:val="00F60594"/>
    <w:rsid w:val="00F606DB"/>
    <w:rsid w:val="00F60C3B"/>
    <w:rsid w:val="00F60D75"/>
    <w:rsid w:val="00F617AD"/>
    <w:rsid w:val="00F61E83"/>
    <w:rsid w:val="00F620AB"/>
    <w:rsid w:val="00F64D8E"/>
    <w:rsid w:val="00F65647"/>
    <w:rsid w:val="00F65C5F"/>
    <w:rsid w:val="00F66BAF"/>
    <w:rsid w:val="00F67016"/>
    <w:rsid w:val="00F670CE"/>
    <w:rsid w:val="00F673BE"/>
    <w:rsid w:val="00F67F17"/>
    <w:rsid w:val="00F70A42"/>
    <w:rsid w:val="00F7126B"/>
    <w:rsid w:val="00F714C6"/>
    <w:rsid w:val="00F717F4"/>
    <w:rsid w:val="00F71864"/>
    <w:rsid w:val="00F71A3D"/>
    <w:rsid w:val="00F7377D"/>
    <w:rsid w:val="00F73BDF"/>
    <w:rsid w:val="00F744F6"/>
    <w:rsid w:val="00F74953"/>
    <w:rsid w:val="00F7561A"/>
    <w:rsid w:val="00F7590A"/>
    <w:rsid w:val="00F75A86"/>
    <w:rsid w:val="00F760A8"/>
    <w:rsid w:val="00F7733E"/>
    <w:rsid w:val="00F80DB0"/>
    <w:rsid w:val="00F81463"/>
    <w:rsid w:val="00F81488"/>
    <w:rsid w:val="00F81B39"/>
    <w:rsid w:val="00F81C13"/>
    <w:rsid w:val="00F82A92"/>
    <w:rsid w:val="00F830AB"/>
    <w:rsid w:val="00F8315D"/>
    <w:rsid w:val="00F834B5"/>
    <w:rsid w:val="00F83C7B"/>
    <w:rsid w:val="00F84041"/>
    <w:rsid w:val="00F842B1"/>
    <w:rsid w:val="00F8487E"/>
    <w:rsid w:val="00F851A9"/>
    <w:rsid w:val="00F851CA"/>
    <w:rsid w:val="00F85356"/>
    <w:rsid w:val="00F85C55"/>
    <w:rsid w:val="00F86049"/>
    <w:rsid w:val="00F875B8"/>
    <w:rsid w:val="00F87B7D"/>
    <w:rsid w:val="00F90109"/>
    <w:rsid w:val="00F905E1"/>
    <w:rsid w:val="00F9119E"/>
    <w:rsid w:val="00F914FD"/>
    <w:rsid w:val="00F9196D"/>
    <w:rsid w:val="00F91A10"/>
    <w:rsid w:val="00F91E78"/>
    <w:rsid w:val="00F92002"/>
    <w:rsid w:val="00F925E5"/>
    <w:rsid w:val="00F93642"/>
    <w:rsid w:val="00F9460B"/>
    <w:rsid w:val="00F94979"/>
    <w:rsid w:val="00F94E1A"/>
    <w:rsid w:val="00F9568B"/>
    <w:rsid w:val="00F957DF"/>
    <w:rsid w:val="00F95E4C"/>
    <w:rsid w:val="00F95F43"/>
    <w:rsid w:val="00F97140"/>
    <w:rsid w:val="00F977FD"/>
    <w:rsid w:val="00FA0265"/>
    <w:rsid w:val="00FA03C9"/>
    <w:rsid w:val="00FA0450"/>
    <w:rsid w:val="00FA0C6E"/>
    <w:rsid w:val="00FA13CF"/>
    <w:rsid w:val="00FA1963"/>
    <w:rsid w:val="00FA1B05"/>
    <w:rsid w:val="00FA2630"/>
    <w:rsid w:val="00FA2B73"/>
    <w:rsid w:val="00FA2C56"/>
    <w:rsid w:val="00FA2E34"/>
    <w:rsid w:val="00FA36D1"/>
    <w:rsid w:val="00FA383E"/>
    <w:rsid w:val="00FA3A4B"/>
    <w:rsid w:val="00FA3EC9"/>
    <w:rsid w:val="00FA5A44"/>
    <w:rsid w:val="00FA7E3A"/>
    <w:rsid w:val="00FB0794"/>
    <w:rsid w:val="00FB0834"/>
    <w:rsid w:val="00FB0E30"/>
    <w:rsid w:val="00FB1F2A"/>
    <w:rsid w:val="00FB20DB"/>
    <w:rsid w:val="00FB32F9"/>
    <w:rsid w:val="00FB34A4"/>
    <w:rsid w:val="00FB3B91"/>
    <w:rsid w:val="00FB450C"/>
    <w:rsid w:val="00FB45D9"/>
    <w:rsid w:val="00FB4E5D"/>
    <w:rsid w:val="00FB502D"/>
    <w:rsid w:val="00FB5086"/>
    <w:rsid w:val="00FB55C9"/>
    <w:rsid w:val="00FB57A5"/>
    <w:rsid w:val="00FB5868"/>
    <w:rsid w:val="00FB5CBF"/>
    <w:rsid w:val="00FB6604"/>
    <w:rsid w:val="00FB6D3D"/>
    <w:rsid w:val="00FB6FB5"/>
    <w:rsid w:val="00FC001C"/>
    <w:rsid w:val="00FC0720"/>
    <w:rsid w:val="00FC0D5A"/>
    <w:rsid w:val="00FC1E9E"/>
    <w:rsid w:val="00FC2266"/>
    <w:rsid w:val="00FC344D"/>
    <w:rsid w:val="00FC4D5B"/>
    <w:rsid w:val="00FC5C29"/>
    <w:rsid w:val="00FC5E03"/>
    <w:rsid w:val="00FC6B7E"/>
    <w:rsid w:val="00FC6C0A"/>
    <w:rsid w:val="00FC6CB1"/>
    <w:rsid w:val="00FC7398"/>
    <w:rsid w:val="00FC7434"/>
    <w:rsid w:val="00FC7E06"/>
    <w:rsid w:val="00FC7E7C"/>
    <w:rsid w:val="00FC7FD4"/>
    <w:rsid w:val="00FD087C"/>
    <w:rsid w:val="00FD09CC"/>
    <w:rsid w:val="00FD0DBD"/>
    <w:rsid w:val="00FD0FC5"/>
    <w:rsid w:val="00FD184F"/>
    <w:rsid w:val="00FD2F4A"/>
    <w:rsid w:val="00FD2F63"/>
    <w:rsid w:val="00FD333B"/>
    <w:rsid w:val="00FD3DEA"/>
    <w:rsid w:val="00FD3FD2"/>
    <w:rsid w:val="00FD462B"/>
    <w:rsid w:val="00FD4789"/>
    <w:rsid w:val="00FD4CE9"/>
    <w:rsid w:val="00FD4D54"/>
    <w:rsid w:val="00FD59A7"/>
    <w:rsid w:val="00FD5ED4"/>
    <w:rsid w:val="00FD6218"/>
    <w:rsid w:val="00FD6780"/>
    <w:rsid w:val="00FD6856"/>
    <w:rsid w:val="00FD7316"/>
    <w:rsid w:val="00FD741A"/>
    <w:rsid w:val="00FE0439"/>
    <w:rsid w:val="00FE0E6D"/>
    <w:rsid w:val="00FE0F3A"/>
    <w:rsid w:val="00FE140C"/>
    <w:rsid w:val="00FE14E3"/>
    <w:rsid w:val="00FE1BC8"/>
    <w:rsid w:val="00FE1F36"/>
    <w:rsid w:val="00FE2186"/>
    <w:rsid w:val="00FE229F"/>
    <w:rsid w:val="00FE29AC"/>
    <w:rsid w:val="00FE35F8"/>
    <w:rsid w:val="00FE3936"/>
    <w:rsid w:val="00FE3DBE"/>
    <w:rsid w:val="00FE3EE8"/>
    <w:rsid w:val="00FE413B"/>
    <w:rsid w:val="00FE47B3"/>
    <w:rsid w:val="00FE566B"/>
    <w:rsid w:val="00FE5917"/>
    <w:rsid w:val="00FE656B"/>
    <w:rsid w:val="00FE6BD9"/>
    <w:rsid w:val="00FE6FC1"/>
    <w:rsid w:val="00FF0B78"/>
    <w:rsid w:val="00FF0D5F"/>
    <w:rsid w:val="00FF10AF"/>
    <w:rsid w:val="00FF35A5"/>
    <w:rsid w:val="00FF3BEA"/>
    <w:rsid w:val="00FF3F37"/>
    <w:rsid w:val="00FF4146"/>
    <w:rsid w:val="00FF4A81"/>
    <w:rsid w:val="00FF4BE1"/>
    <w:rsid w:val="00FF56D2"/>
    <w:rsid w:val="00FF5ADF"/>
    <w:rsid w:val="00FF5C17"/>
    <w:rsid w:val="00FF5C1B"/>
    <w:rsid w:val="00FF62C0"/>
    <w:rsid w:val="00FF6307"/>
    <w:rsid w:val="00FF6869"/>
    <w:rsid w:val="00FF68B5"/>
    <w:rsid w:val="00FF690F"/>
    <w:rsid w:val="00FF787E"/>
    <w:rsid w:val="00FF796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C7D"/>
    <w:pPr>
      <w:spacing w:after="200" w:line="276" w:lineRule="auto"/>
    </w:pPr>
    <w:rPr>
      <w:sz w:val="22"/>
      <w:szCs w:val="22"/>
      <w:lang w:val="en-GB" w:eastAsia="en-US"/>
    </w:rPr>
  </w:style>
  <w:style w:type="paragraph" w:styleId="3">
    <w:name w:val="heading 3"/>
    <w:basedOn w:val="a"/>
    <w:next w:val="a"/>
    <w:link w:val="3Char"/>
    <w:uiPriority w:val="9"/>
    <w:unhideWhenUsed/>
    <w:qFormat/>
    <w:rsid w:val="006B42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1E5"/>
    <w:pPr>
      <w:ind w:left="720"/>
    </w:pPr>
  </w:style>
  <w:style w:type="paragraph" w:customStyle="1" w:styleId="Default">
    <w:name w:val="Default"/>
    <w:rsid w:val="001011E5"/>
    <w:pPr>
      <w:autoSpaceDE w:val="0"/>
      <w:autoSpaceDN w:val="0"/>
      <w:adjustRightInd w:val="0"/>
    </w:pPr>
    <w:rPr>
      <w:rFonts w:ascii="Arial" w:hAnsi="Arial" w:cs="Arial"/>
      <w:color w:val="000000"/>
      <w:sz w:val="24"/>
      <w:szCs w:val="24"/>
      <w:lang w:eastAsia="en-US"/>
    </w:rPr>
  </w:style>
  <w:style w:type="paragraph" w:customStyle="1" w:styleId="normaltext">
    <w:name w:val="normaltext"/>
    <w:basedOn w:val="a"/>
    <w:rsid w:val="001011E5"/>
    <w:pPr>
      <w:spacing w:before="100" w:beforeAutospacing="1" w:after="100" w:afterAutospacing="1" w:line="240" w:lineRule="auto"/>
    </w:pPr>
    <w:rPr>
      <w:rFonts w:ascii="Verdana" w:eastAsia="Arial Unicode MS" w:hAnsi="Verdana" w:cs="Arial Unicode MS"/>
      <w:color w:val="000000"/>
      <w:sz w:val="17"/>
      <w:szCs w:val="17"/>
      <w:lang w:val="el-GR" w:eastAsia="el-GR"/>
    </w:rPr>
  </w:style>
  <w:style w:type="paragraph" w:styleId="a4">
    <w:name w:val="Block Text"/>
    <w:basedOn w:val="a"/>
    <w:rsid w:val="001011E5"/>
    <w:pPr>
      <w:spacing w:before="120" w:after="120" w:line="280" w:lineRule="atLeast"/>
      <w:ind w:left="540" w:right="612"/>
      <w:jc w:val="center"/>
    </w:pPr>
    <w:rPr>
      <w:rFonts w:ascii="Arial" w:eastAsia="Times New Roman" w:hAnsi="Arial" w:cs="Arial"/>
      <w:b/>
      <w:bCs/>
      <w:sz w:val="24"/>
      <w:lang w:val="el-GR"/>
    </w:rPr>
  </w:style>
  <w:style w:type="paragraph" w:styleId="a5">
    <w:name w:val="header"/>
    <w:basedOn w:val="a"/>
    <w:link w:val="Char"/>
    <w:uiPriority w:val="99"/>
    <w:unhideWhenUsed/>
    <w:rsid w:val="001011E5"/>
    <w:pPr>
      <w:tabs>
        <w:tab w:val="center" w:pos="4153"/>
        <w:tab w:val="right" w:pos="8306"/>
      </w:tabs>
    </w:pPr>
  </w:style>
  <w:style w:type="character" w:customStyle="1" w:styleId="Char">
    <w:name w:val="Κεφαλίδα Char"/>
    <w:basedOn w:val="a0"/>
    <w:link w:val="a5"/>
    <w:uiPriority w:val="99"/>
    <w:rsid w:val="001011E5"/>
    <w:rPr>
      <w:rFonts w:ascii="Calibri" w:eastAsia="Calibri" w:hAnsi="Calibri" w:cs="Times New Roman"/>
      <w:lang w:val="en-GB"/>
    </w:rPr>
  </w:style>
  <w:style w:type="paragraph" w:styleId="a6">
    <w:name w:val="footer"/>
    <w:basedOn w:val="a"/>
    <w:link w:val="Char0"/>
    <w:uiPriority w:val="99"/>
    <w:unhideWhenUsed/>
    <w:rsid w:val="001011E5"/>
    <w:pPr>
      <w:tabs>
        <w:tab w:val="center" w:pos="4153"/>
        <w:tab w:val="right" w:pos="8306"/>
      </w:tabs>
    </w:pPr>
  </w:style>
  <w:style w:type="character" w:customStyle="1" w:styleId="Char0">
    <w:name w:val="Υποσέλιδο Char"/>
    <w:basedOn w:val="a0"/>
    <w:link w:val="a6"/>
    <w:uiPriority w:val="99"/>
    <w:rsid w:val="001011E5"/>
    <w:rPr>
      <w:rFonts w:ascii="Calibri" w:eastAsia="Calibri" w:hAnsi="Calibri" w:cs="Times New Roman"/>
      <w:lang w:val="en-GB"/>
    </w:rPr>
  </w:style>
  <w:style w:type="paragraph" w:styleId="a7">
    <w:name w:val="Balloon Text"/>
    <w:basedOn w:val="a"/>
    <w:link w:val="Char1"/>
    <w:uiPriority w:val="99"/>
    <w:semiHidden/>
    <w:unhideWhenUsed/>
    <w:rsid w:val="001011E5"/>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1011E5"/>
    <w:rPr>
      <w:rFonts w:ascii="Tahoma" w:eastAsia="Calibri" w:hAnsi="Tahoma" w:cs="Tahoma"/>
      <w:sz w:val="16"/>
      <w:szCs w:val="16"/>
      <w:lang w:val="en-GB"/>
    </w:rPr>
  </w:style>
  <w:style w:type="paragraph" w:customStyle="1" w:styleId="CM10">
    <w:name w:val="CM10"/>
    <w:basedOn w:val="Default"/>
    <w:next w:val="Default"/>
    <w:uiPriority w:val="99"/>
    <w:rsid w:val="001011E5"/>
    <w:pPr>
      <w:widowControl w:val="0"/>
    </w:pPr>
    <w:rPr>
      <w:rFonts w:ascii="Calibri" w:eastAsia="Times New Roman" w:hAnsi="Calibri" w:cs="Times New Roman"/>
      <w:color w:val="auto"/>
      <w:lang w:eastAsia="el-GR"/>
    </w:rPr>
  </w:style>
  <w:style w:type="paragraph" w:customStyle="1" w:styleId="CM3">
    <w:name w:val="CM3"/>
    <w:basedOn w:val="Default"/>
    <w:next w:val="Default"/>
    <w:uiPriority w:val="99"/>
    <w:rsid w:val="001011E5"/>
    <w:pPr>
      <w:widowControl w:val="0"/>
      <w:spacing w:line="280" w:lineRule="atLeast"/>
    </w:pPr>
    <w:rPr>
      <w:rFonts w:ascii="Calibri" w:eastAsia="Times New Roman" w:hAnsi="Calibri" w:cs="Times New Roman"/>
      <w:color w:val="auto"/>
      <w:lang w:eastAsia="el-GR"/>
    </w:rPr>
  </w:style>
  <w:style w:type="paragraph" w:customStyle="1" w:styleId="CM1">
    <w:name w:val="CM1"/>
    <w:basedOn w:val="Default"/>
    <w:next w:val="Default"/>
    <w:uiPriority w:val="99"/>
    <w:rsid w:val="001011E5"/>
    <w:pPr>
      <w:widowControl w:val="0"/>
    </w:pPr>
    <w:rPr>
      <w:rFonts w:ascii="Calibri" w:eastAsia="Times New Roman" w:hAnsi="Calibri" w:cs="Times New Roman"/>
      <w:color w:val="auto"/>
      <w:lang w:eastAsia="el-GR"/>
    </w:rPr>
  </w:style>
  <w:style w:type="paragraph" w:customStyle="1" w:styleId="CM9">
    <w:name w:val="CM9"/>
    <w:basedOn w:val="Default"/>
    <w:next w:val="Default"/>
    <w:uiPriority w:val="99"/>
    <w:rsid w:val="001011E5"/>
    <w:pPr>
      <w:widowControl w:val="0"/>
    </w:pPr>
    <w:rPr>
      <w:rFonts w:ascii="Calibri" w:eastAsia="Times New Roman" w:hAnsi="Calibri" w:cs="Times New Roman"/>
      <w:color w:val="auto"/>
      <w:lang w:eastAsia="el-GR"/>
    </w:rPr>
  </w:style>
  <w:style w:type="paragraph" w:styleId="a8">
    <w:name w:val="footnote text"/>
    <w:basedOn w:val="a"/>
    <w:link w:val="Char2"/>
    <w:uiPriority w:val="99"/>
    <w:semiHidden/>
    <w:unhideWhenUsed/>
    <w:rsid w:val="00F108DF"/>
    <w:pPr>
      <w:spacing w:after="0" w:line="240" w:lineRule="auto"/>
    </w:pPr>
    <w:rPr>
      <w:sz w:val="20"/>
      <w:szCs w:val="20"/>
    </w:rPr>
  </w:style>
  <w:style w:type="character" w:customStyle="1" w:styleId="Char2">
    <w:name w:val="Κείμενο υποσημείωσης Char"/>
    <w:basedOn w:val="a0"/>
    <w:link w:val="a8"/>
    <w:uiPriority w:val="99"/>
    <w:semiHidden/>
    <w:rsid w:val="00F108DF"/>
    <w:rPr>
      <w:lang w:val="en-GB" w:eastAsia="en-US"/>
    </w:rPr>
  </w:style>
  <w:style w:type="character" w:styleId="a9">
    <w:name w:val="footnote reference"/>
    <w:basedOn w:val="a0"/>
    <w:uiPriority w:val="99"/>
    <w:semiHidden/>
    <w:unhideWhenUsed/>
    <w:rsid w:val="00F108DF"/>
    <w:rPr>
      <w:vertAlign w:val="superscript"/>
    </w:rPr>
  </w:style>
  <w:style w:type="table" w:styleId="aa">
    <w:name w:val="Table Grid"/>
    <w:basedOn w:val="a1"/>
    <w:uiPriority w:val="59"/>
    <w:rsid w:val="001B06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Web">
    <w:name w:val="Normal (Web)"/>
    <w:basedOn w:val="a"/>
    <w:uiPriority w:val="99"/>
    <w:semiHidden/>
    <w:unhideWhenUsed/>
    <w:rsid w:val="00E67050"/>
    <w:pPr>
      <w:spacing w:before="100" w:beforeAutospacing="1" w:after="100" w:afterAutospacing="1" w:line="240" w:lineRule="auto"/>
    </w:pPr>
    <w:rPr>
      <w:rFonts w:ascii="Times New Roman" w:eastAsia="Times New Roman" w:hAnsi="Times New Roman"/>
      <w:sz w:val="24"/>
      <w:szCs w:val="24"/>
      <w:lang w:val="el-GR" w:eastAsia="el-GR"/>
    </w:rPr>
  </w:style>
  <w:style w:type="paragraph" w:styleId="ab">
    <w:name w:val="Plain Text"/>
    <w:basedOn w:val="a"/>
    <w:link w:val="Char3"/>
    <w:uiPriority w:val="99"/>
    <w:unhideWhenUsed/>
    <w:rsid w:val="00E208AE"/>
    <w:pPr>
      <w:spacing w:after="0" w:line="240" w:lineRule="auto"/>
    </w:pPr>
    <w:rPr>
      <w:rFonts w:ascii="Consolas" w:hAnsi="Consolas"/>
      <w:sz w:val="21"/>
      <w:szCs w:val="21"/>
    </w:rPr>
  </w:style>
  <w:style w:type="character" w:customStyle="1" w:styleId="Char3">
    <w:name w:val="Απλό κείμενο Char"/>
    <w:basedOn w:val="a0"/>
    <w:link w:val="ab"/>
    <w:uiPriority w:val="99"/>
    <w:rsid w:val="00E208AE"/>
    <w:rPr>
      <w:rFonts w:ascii="Consolas" w:hAnsi="Consolas"/>
      <w:sz w:val="21"/>
      <w:szCs w:val="21"/>
      <w:lang w:val="en-GB"/>
    </w:rPr>
  </w:style>
  <w:style w:type="character" w:customStyle="1" w:styleId="3Char">
    <w:name w:val="Επικεφαλίδα 3 Char"/>
    <w:basedOn w:val="a0"/>
    <w:link w:val="3"/>
    <w:uiPriority w:val="9"/>
    <w:rsid w:val="006B4244"/>
    <w:rPr>
      <w:rFonts w:asciiTheme="majorHAnsi" w:eastAsiaTheme="majorEastAsia" w:hAnsiTheme="majorHAnsi" w:cstheme="majorBidi"/>
      <w:b/>
      <w:bCs/>
      <w:color w:val="4F81BD" w:themeColor="accent1"/>
      <w:sz w:val="22"/>
      <w:szCs w:val="22"/>
      <w:lang w:val="en-GB" w:eastAsia="en-US"/>
    </w:rPr>
  </w:style>
  <w:style w:type="paragraph" w:styleId="ac">
    <w:name w:val="Revision"/>
    <w:hidden/>
    <w:uiPriority w:val="99"/>
    <w:semiHidden/>
    <w:rsid w:val="000346AE"/>
    <w:rPr>
      <w:sz w:val="22"/>
      <w:szCs w:val="22"/>
      <w:lang w:val="en-GB" w:eastAsia="en-US"/>
    </w:rPr>
  </w:style>
  <w:style w:type="paragraph" w:styleId="ad">
    <w:name w:val="endnote text"/>
    <w:basedOn w:val="a"/>
    <w:link w:val="Char4"/>
    <w:uiPriority w:val="99"/>
    <w:semiHidden/>
    <w:unhideWhenUsed/>
    <w:rsid w:val="00E77436"/>
    <w:pPr>
      <w:spacing w:after="0" w:line="240" w:lineRule="auto"/>
    </w:pPr>
    <w:rPr>
      <w:sz w:val="20"/>
      <w:szCs w:val="20"/>
    </w:rPr>
  </w:style>
  <w:style w:type="character" w:customStyle="1" w:styleId="Char4">
    <w:name w:val="Κείμενο σημείωσης τέλους Char"/>
    <w:basedOn w:val="a0"/>
    <w:link w:val="ad"/>
    <w:uiPriority w:val="99"/>
    <w:semiHidden/>
    <w:rsid w:val="00E77436"/>
    <w:rPr>
      <w:lang w:val="en-GB" w:eastAsia="en-US"/>
    </w:rPr>
  </w:style>
  <w:style w:type="character" w:styleId="ae">
    <w:name w:val="endnote reference"/>
    <w:basedOn w:val="a0"/>
    <w:uiPriority w:val="99"/>
    <w:semiHidden/>
    <w:unhideWhenUsed/>
    <w:rsid w:val="00E77436"/>
    <w:rPr>
      <w:vertAlign w:val="superscript"/>
    </w:rPr>
  </w:style>
</w:styles>
</file>

<file path=word/webSettings.xml><?xml version="1.0" encoding="utf-8"?>
<w:webSettings xmlns:r="http://schemas.openxmlformats.org/officeDocument/2006/relationships" xmlns:w="http://schemas.openxmlformats.org/wordprocessingml/2006/main">
  <w:divs>
    <w:div w:id="419644991">
      <w:bodyDiv w:val="1"/>
      <w:marLeft w:val="0"/>
      <w:marRight w:val="0"/>
      <w:marTop w:val="0"/>
      <w:marBottom w:val="0"/>
      <w:divBdr>
        <w:top w:val="none" w:sz="0" w:space="0" w:color="auto"/>
        <w:left w:val="none" w:sz="0" w:space="0" w:color="auto"/>
        <w:bottom w:val="none" w:sz="0" w:space="0" w:color="auto"/>
        <w:right w:val="none" w:sz="0" w:space="0" w:color="auto"/>
      </w:divBdr>
    </w:div>
    <w:div w:id="693581953">
      <w:bodyDiv w:val="1"/>
      <w:marLeft w:val="0"/>
      <w:marRight w:val="0"/>
      <w:marTop w:val="0"/>
      <w:marBottom w:val="0"/>
      <w:divBdr>
        <w:top w:val="none" w:sz="0" w:space="0" w:color="auto"/>
        <w:left w:val="none" w:sz="0" w:space="0" w:color="auto"/>
        <w:bottom w:val="none" w:sz="0" w:space="0" w:color="auto"/>
        <w:right w:val="none" w:sz="0" w:space="0" w:color="auto"/>
      </w:divBdr>
    </w:div>
    <w:div w:id="872812455">
      <w:bodyDiv w:val="1"/>
      <w:marLeft w:val="0"/>
      <w:marRight w:val="0"/>
      <w:marTop w:val="0"/>
      <w:marBottom w:val="0"/>
      <w:divBdr>
        <w:top w:val="none" w:sz="0" w:space="0" w:color="auto"/>
        <w:left w:val="none" w:sz="0" w:space="0" w:color="auto"/>
        <w:bottom w:val="none" w:sz="0" w:space="0" w:color="auto"/>
        <w:right w:val="none" w:sz="0" w:space="0" w:color="auto"/>
      </w:divBdr>
    </w:div>
    <w:div w:id="962350205">
      <w:bodyDiv w:val="1"/>
      <w:marLeft w:val="0"/>
      <w:marRight w:val="0"/>
      <w:marTop w:val="0"/>
      <w:marBottom w:val="0"/>
      <w:divBdr>
        <w:top w:val="none" w:sz="0" w:space="0" w:color="auto"/>
        <w:left w:val="none" w:sz="0" w:space="0" w:color="auto"/>
        <w:bottom w:val="none" w:sz="0" w:space="0" w:color="auto"/>
        <w:right w:val="none" w:sz="0" w:space="0" w:color="auto"/>
      </w:divBdr>
    </w:div>
    <w:div w:id="1146630683">
      <w:bodyDiv w:val="1"/>
      <w:marLeft w:val="0"/>
      <w:marRight w:val="0"/>
      <w:marTop w:val="0"/>
      <w:marBottom w:val="0"/>
      <w:divBdr>
        <w:top w:val="none" w:sz="0" w:space="0" w:color="auto"/>
        <w:left w:val="none" w:sz="0" w:space="0" w:color="auto"/>
        <w:bottom w:val="none" w:sz="0" w:space="0" w:color="auto"/>
        <w:right w:val="none" w:sz="0" w:space="0" w:color="auto"/>
      </w:divBdr>
    </w:div>
    <w:div w:id="1260674491">
      <w:bodyDiv w:val="1"/>
      <w:marLeft w:val="0"/>
      <w:marRight w:val="0"/>
      <w:marTop w:val="0"/>
      <w:marBottom w:val="0"/>
      <w:divBdr>
        <w:top w:val="none" w:sz="0" w:space="0" w:color="auto"/>
        <w:left w:val="none" w:sz="0" w:space="0" w:color="auto"/>
        <w:bottom w:val="none" w:sz="0" w:space="0" w:color="auto"/>
        <w:right w:val="none" w:sz="0" w:space="0" w:color="auto"/>
      </w:divBdr>
    </w:div>
    <w:div w:id="1314287457">
      <w:bodyDiv w:val="1"/>
      <w:marLeft w:val="0"/>
      <w:marRight w:val="0"/>
      <w:marTop w:val="0"/>
      <w:marBottom w:val="0"/>
      <w:divBdr>
        <w:top w:val="none" w:sz="0" w:space="0" w:color="auto"/>
        <w:left w:val="none" w:sz="0" w:space="0" w:color="auto"/>
        <w:bottom w:val="none" w:sz="0" w:space="0" w:color="auto"/>
        <w:right w:val="none" w:sz="0" w:space="0" w:color="auto"/>
      </w:divBdr>
    </w:div>
    <w:div w:id="1554805055">
      <w:bodyDiv w:val="1"/>
      <w:marLeft w:val="0"/>
      <w:marRight w:val="0"/>
      <w:marTop w:val="0"/>
      <w:marBottom w:val="0"/>
      <w:divBdr>
        <w:top w:val="none" w:sz="0" w:space="0" w:color="auto"/>
        <w:left w:val="none" w:sz="0" w:space="0" w:color="auto"/>
        <w:bottom w:val="none" w:sz="0" w:space="0" w:color="auto"/>
        <w:right w:val="none" w:sz="0" w:space="0" w:color="auto"/>
      </w:divBdr>
    </w:div>
    <w:div w:id="16971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3630B-F12E-4501-AA05-D5552586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3143</Words>
  <Characters>16977</Characters>
  <Application>Microsoft Office Word</Application>
  <DocSecurity>0</DocSecurity>
  <Lines>141</Lines>
  <Paragraphs>40</Paragraphs>
  <ScaleCrop>false</ScaleCrop>
  <LinksUpToDate>false</LinksUpToDate>
  <CharactersWithSpaces>20080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2017-03-30T15:01:00Z</dcterms:created>
  <dcterms:modified xsi:type="dcterms:W3CDTF">2017-03-30T15:01:00Z</dcterms:modified>
</cp:coreProperties>
</file>