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C03BD" w14:textId="77777777" w:rsidR="00F15C3F" w:rsidRPr="00F54820" w:rsidRDefault="00F15C3F" w:rsidP="00F15C3F">
      <w:pPr>
        <w:spacing w:after="120"/>
        <w:jc w:val="center"/>
        <w:rPr>
          <w:rFonts w:cstheme="minorHAnsi"/>
          <w:b/>
          <w:bCs/>
          <w:sz w:val="48"/>
          <w:szCs w:val="48"/>
          <w:lang w:val="el-GR"/>
        </w:rPr>
      </w:pPr>
      <w:r w:rsidRPr="00F54820">
        <w:rPr>
          <w:rFonts w:cstheme="minorHAnsi"/>
          <w:b/>
          <w:bCs/>
          <w:sz w:val="48"/>
          <w:szCs w:val="48"/>
          <w:lang w:val="el-GR"/>
        </w:rPr>
        <w:t>Δελτίο Τύπου</w:t>
      </w:r>
    </w:p>
    <w:p w14:paraId="7BF1BB03" w14:textId="243E212C" w:rsidR="00F15C3F" w:rsidRPr="00F54820" w:rsidRDefault="00F15C3F" w:rsidP="00F15C3F">
      <w:pPr>
        <w:spacing w:after="120"/>
        <w:jc w:val="center"/>
        <w:rPr>
          <w:rFonts w:cstheme="minorHAnsi"/>
          <w:sz w:val="28"/>
          <w:szCs w:val="28"/>
          <w:lang w:val="el-GR"/>
        </w:rPr>
      </w:pPr>
      <w:r w:rsidRPr="00F54820">
        <w:rPr>
          <w:rFonts w:cstheme="minorHAnsi"/>
          <w:b/>
          <w:bCs/>
          <w:sz w:val="28"/>
          <w:szCs w:val="28"/>
          <w:lang w:val="el-GR"/>
        </w:rPr>
        <w:t>Με πολλαπλασιαστή</w:t>
      </w:r>
      <w:r w:rsidR="00DE3B79" w:rsidRPr="00DE3B79">
        <w:rPr>
          <w:rFonts w:cstheme="minorHAnsi"/>
          <w:b/>
          <w:bCs/>
          <w:sz w:val="28"/>
          <w:szCs w:val="28"/>
          <w:lang w:val="el-GR"/>
        </w:rPr>
        <w:t xml:space="preserve"> </w:t>
      </w:r>
      <w:proofErr w:type="spellStart"/>
      <w:r w:rsidR="00DE3B79">
        <w:rPr>
          <w:rFonts w:cstheme="minorHAnsi"/>
          <w:b/>
          <w:bCs/>
          <w:sz w:val="28"/>
          <w:szCs w:val="28"/>
          <w:lang w:val="el-GR"/>
        </w:rPr>
        <w:t>μόχλευσης</w:t>
      </w:r>
      <w:proofErr w:type="spellEnd"/>
      <w:r w:rsidRPr="00F54820">
        <w:rPr>
          <w:rFonts w:cstheme="minorHAnsi"/>
          <w:b/>
          <w:bCs/>
          <w:sz w:val="28"/>
          <w:szCs w:val="28"/>
          <w:lang w:val="el-GR"/>
        </w:rPr>
        <w:t xml:space="preserve"> 6,65</w:t>
      </w:r>
      <w:r w:rsidR="00BC29EA" w:rsidRPr="00F54820">
        <w:rPr>
          <w:rFonts w:cstheme="minorHAnsi"/>
          <w:b/>
          <w:bCs/>
          <w:sz w:val="28"/>
          <w:szCs w:val="28"/>
        </w:rPr>
        <w:t>x</w:t>
      </w:r>
      <w:r w:rsidRPr="00F54820">
        <w:rPr>
          <w:rFonts w:cstheme="minorHAnsi"/>
          <w:b/>
          <w:bCs/>
          <w:sz w:val="28"/>
          <w:szCs w:val="28"/>
          <w:lang w:val="el-GR"/>
        </w:rPr>
        <w:t xml:space="preserve">, στα 3,8 δισ. ευρώ η συνεισφορά </w:t>
      </w:r>
      <w:r w:rsidR="00DE3B79">
        <w:rPr>
          <w:rFonts w:cstheme="minorHAnsi"/>
          <w:b/>
          <w:bCs/>
          <w:sz w:val="28"/>
          <w:szCs w:val="28"/>
          <w:lang w:val="el-GR"/>
        </w:rPr>
        <w:t xml:space="preserve">του οικοσυστήματος </w:t>
      </w:r>
      <w:r w:rsidRPr="00F54820">
        <w:rPr>
          <w:rFonts w:cstheme="minorHAnsi"/>
          <w:b/>
          <w:bCs/>
          <w:sz w:val="28"/>
          <w:szCs w:val="28"/>
          <w:lang w:val="el-GR"/>
        </w:rPr>
        <w:t xml:space="preserve">της </w:t>
      </w:r>
      <w:proofErr w:type="spellStart"/>
      <w:r w:rsidRPr="00F54820">
        <w:rPr>
          <w:rFonts w:cstheme="minorHAnsi"/>
          <w:b/>
          <w:bCs/>
          <w:sz w:val="28"/>
          <w:szCs w:val="28"/>
          <w:lang w:val="el-GR"/>
        </w:rPr>
        <w:t>ΕΑΤΕ</w:t>
      </w:r>
      <w:proofErr w:type="spellEnd"/>
      <w:r w:rsidRPr="00F54820">
        <w:rPr>
          <w:rFonts w:cstheme="minorHAnsi"/>
          <w:b/>
          <w:bCs/>
          <w:sz w:val="28"/>
          <w:szCs w:val="28"/>
          <w:lang w:val="el-GR"/>
        </w:rPr>
        <w:t xml:space="preserve"> στην ελληνική οικονομία</w:t>
      </w:r>
    </w:p>
    <w:p w14:paraId="03A05E1A" w14:textId="77777777" w:rsidR="00F15C3F" w:rsidRPr="00F54820" w:rsidRDefault="00F15C3F" w:rsidP="00F15C3F">
      <w:pPr>
        <w:spacing w:after="120"/>
        <w:jc w:val="center"/>
        <w:rPr>
          <w:rFonts w:cstheme="minorHAnsi"/>
          <w:b/>
          <w:bCs/>
          <w:sz w:val="24"/>
          <w:szCs w:val="24"/>
          <w:lang w:val="el-GR"/>
        </w:rPr>
      </w:pPr>
      <w:r w:rsidRPr="00F54820">
        <w:rPr>
          <w:rFonts w:cstheme="minorHAnsi"/>
          <w:b/>
          <w:bCs/>
          <w:sz w:val="24"/>
          <w:szCs w:val="24"/>
          <w:lang w:val="el-GR"/>
        </w:rPr>
        <w:t>Μελέτη εκτίμησης του οικονομικού και κοινωνικού αντικτύπου του οικοσυστήματος της Ε</w:t>
      </w:r>
      <w:r w:rsidRPr="00F54820">
        <w:rPr>
          <w:rFonts w:cstheme="minorHAnsi"/>
          <w:b/>
          <w:bCs/>
          <w:lang w:val="el-GR"/>
        </w:rPr>
        <w:t>λληνικής Αναπτυξιακής Τράπεζας Επενδύσεων</w:t>
      </w:r>
      <w:r w:rsidRPr="00F54820">
        <w:rPr>
          <w:rFonts w:cstheme="minorHAnsi"/>
          <w:b/>
          <w:bCs/>
          <w:sz w:val="24"/>
          <w:szCs w:val="24"/>
          <w:lang w:val="el-GR"/>
        </w:rPr>
        <w:t xml:space="preserve">, </w:t>
      </w:r>
      <w:r w:rsidRPr="00F54820">
        <w:rPr>
          <w:rFonts w:cstheme="minorHAnsi"/>
          <w:b/>
          <w:bCs/>
          <w:lang w:val="el-GR"/>
        </w:rPr>
        <w:t>την περίοδο 2020-24, που εκπόνησε η</w:t>
      </w:r>
      <w:r w:rsidRPr="00F54820">
        <w:rPr>
          <w:rFonts w:cstheme="minorHAnsi"/>
          <w:b/>
          <w:bCs/>
          <w:sz w:val="24"/>
          <w:szCs w:val="24"/>
          <w:lang w:val="el-GR"/>
        </w:rPr>
        <w:t xml:space="preserve"> Deloitte</w:t>
      </w:r>
    </w:p>
    <w:p w14:paraId="3A46B03C" w14:textId="77777777" w:rsidR="00F15C3F" w:rsidRPr="00F54820" w:rsidRDefault="00F15C3F" w:rsidP="00F15C3F">
      <w:pPr>
        <w:spacing w:after="120"/>
        <w:jc w:val="both"/>
        <w:rPr>
          <w:rFonts w:cstheme="minorHAnsi"/>
          <w:lang w:val="el-GR"/>
        </w:rPr>
      </w:pPr>
    </w:p>
    <w:p w14:paraId="44E3CEC1" w14:textId="77777777" w:rsidR="00F15C3F" w:rsidRPr="00F54820" w:rsidRDefault="00F15C3F" w:rsidP="00F15C3F">
      <w:pPr>
        <w:spacing w:after="120"/>
        <w:jc w:val="both"/>
        <w:rPr>
          <w:rFonts w:cstheme="minorHAnsi"/>
          <w:lang w:val="el-GR"/>
        </w:rPr>
      </w:pPr>
      <w:r w:rsidRPr="00F54820">
        <w:rPr>
          <w:rFonts w:cstheme="minorHAnsi"/>
          <w:b/>
          <w:bCs/>
          <w:lang w:val="el-GR"/>
        </w:rPr>
        <w:t xml:space="preserve">Αθήνα, 10η Μαρτίου 2025 </w:t>
      </w:r>
      <w:r w:rsidRPr="00F54820">
        <w:rPr>
          <w:rFonts w:cstheme="minorHAnsi"/>
          <w:lang w:val="el-GR"/>
        </w:rPr>
        <w:t xml:space="preserve">– Το ιδιαίτερα σημαντικό αποτύπωμα της Ελληνικής Αναπτυξιακής Τράπεζας Επενδύσεων (ΕΑΤΕ, πρώην ΤΑΝΕΟ) στην εθνική οικονομία και την κοινωνία κατά την περίοδο 2020 – 2024 κατέγραψε μελέτη που εκπόνησε η </w:t>
      </w:r>
      <w:r w:rsidRPr="00F54820">
        <w:rPr>
          <w:rFonts w:cstheme="minorHAnsi"/>
        </w:rPr>
        <w:t>Deloitte</w:t>
      </w:r>
      <w:r w:rsidRPr="00F54820">
        <w:rPr>
          <w:rFonts w:cstheme="minorHAnsi"/>
          <w:lang w:val="el-GR"/>
        </w:rPr>
        <w:t xml:space="preserve"> Ελλάδος για λογαριασμό της ΕΑΤΕ.  </w:t>
      </w:r>
    </w:p>
    <w:p w14:paraId="727F9D99" w14:textId="77777777" w:rsidR="00F15C3F" w:rsidRPr="00F54820" w:rsidRDefault="00F15C3F" w:rsidP="00F15C3F">
      <w:pPr>
        <w:spacing w:after="120"/>
        <w:jc w:val="both"/>
        <w:rPr>
          <w:rFonts w:cstheme="minorHAnsi"/>
          <w:lang w:val="el-GR"/>
        </w:rPr>
      </w:pPr>
      <w:r w:rsidRPr="00F54820">
        <w:rPr>
          <w:rFonts w:cstheme="minorHAnsi"/>
          <w:lang w:val="el-GR"/>
        </w:rPr>
        <w:t xml:space="preserve">Η μελέτη, παρουσιάστηκε σήμερα σε ειδική εκδήλωση στο Μουσείο Μπενάκη, με τη συμμετοχή του </w:t>
      </w:r>
      <w:r w:rsidRPr="00F54820">
        <w:rPr>
          <w:rFonts w:cstheme="minorHAnsi"/>
          <w:b/>
          <w:bCs/>
          <w:iCs/>
          <w:lang w:val="el-GR"/>
        </w:rPr>
        <w:t>Αναπληρωτή</w:t>
      </w:r>
      <w:r w:rsidRPr="00F54820">
        <w:rPr>
          <w:rFonts w:cstheme="minorHAnsi"/>
          <w:iCs/>
          <w:lang w:val="el-GR"/>
        </w:rPr>
        <w:t xml:space="preserve"> </w:t>
      </w:r>
      <w:r w:rsidRPr="00F54820">
        <w:rPr>
          <w:rFonts w:cstheme="minorHAnsi"/>
          <w:b/>
          <w:bCs/>
          <w:iCs/>
          <w:lang w:val="el-GR"/>
        </w:rPr>
        <w:t>Υπουργού Εθνικής Οικονομίας και Οικονομικών Νίκου Παπαθανάση</w:t>
      </w:r>
      <w:r w:rsidRPr="00F54820">
        <w:rPr>
          <w:rFonts w:cstheme="minorHAnsi"/>
          <w:lang w:val="el-GR"/>
        </w:rPr>
        <w:t xml:space="preserve">. Είχε ως στόχο την </w:t>
      </w:r>
      <w:r w:rsidRPr="00F54820">
        <w:rPr>
          <w:rFonts w:cstheme="minorHAnsi"/>
          <w:b/>
          <w:bCs/>
          <w:lang w:val="el-GR"/>
        </w:rPr>
        <w:t>ποσοτική</w:t>
      </w:r>
      <w:r w:rsidRPr="00F54820">
        <w:rPr>
          <w:rFonts w:cstheme="minorHAnsi"/>
          <w:lang w:val="el-GR"/>
        </w:rPr>
        <w:t xml:space="preserve"> και </w:t>
      </w:r>
      <w:r w:rsidRPr="00F54820">
        <w:rPr>
          <w:rFonts w:cstheme="minorHAnsi"/>
          <w:b/>
          <w:bCs/>
          <w:lang w:val="el-GR"/>
        </w:rPr>
        <w:t>ποιοτική αξιολόγηση</w:t>
      </w:r>
      <w:r w:rsidRPr="00F54820">
        <w:rPr>
          <w:rFonts w:cstheme="minorHAnsi"/>
          <w:lang w:val="el-GR"/>
        </w:rPr>
        <w:t xml:space="preserve"> του </w:t>
      </w:r>
      <w:r w:rsidRPr="00F54820">
        <w:rPr>
          <w:rFonts w:cstheme="minorHAnsi"/>
          <w:b/>
          <w:bCs/>
          <w:lang w:val="el-GR"/>
        </w:rPr>
        <w:t>επενδυτικού</w:t>
      </w:r>
      <w:r w:rsidRPr="00F54820">
        <w:rPr>
          <w:rFonts w:cstheme="minorHAnsi"/>
          <w:lang w:val="el-GR"/>
        </w:rPr>
        <w:t xml:space="preserve"> </w:t>
      </w:r>
      <w:r w:rsidRPr="00F54820">
        <w:rPr>
          <w:rFonts w:cstheme="minorHAnsi"/>
          <w:b/>
          <w:bCs/>
          <w:lang w:val="el-GR"/>
        </w:rPr>
        <w:t xml:space="preserve">οικοσυστήματος κεφαλαίων επιχειρηματικών συμμετοχών </w:t>
      </w:r>
      <w:r w:rsidRPr="00F54820">
        <w:rPr>
          <w:rFonts w:cstheme="minorHAnsi"/>
          <w:lang w:val="el-GR"/>
        </w:rPr>
        <w:t xml:space="preserve">που υποστηρίζει η ΕΑΤΕ, αναδεικνύοντας τη συμβολή της στην επίτευξη μακροπρόθεσμης εθνικής οικονομικής ανάπτυξης μέσω στρατηγικά κατανεμημένων επενδύσεων σε ποικίλους τομείς της οικονομίας. Στη μελέτη αποτυπώνεται ο </w:t>
      </w:r>
      <w:r w:rsidRPr="00F54820">
        <w:rPr>
          <w:rFonts w:cstheme="minorHAnsi"/>
          <w:b/>
          <w:bCs/>
          <w:lang w:val="el-GR"/>
        </w:rPr>
        <w:t>οικονομικός</w:t>
      </w:r>
      <w:r w:rsidRPr="00F54820">
        <w:rPr>
          <w:rFonts w:cstheme="minorHAnsi"/>
          <w:lang w:val="el-GR"/>
        </w:rPr>
        <w:t xml:space="preserve"> και </w:t>
      </w:r>
      <w:r w:rsidRPr="00F54820">
        <w:rPr>
          <w:rFonts w:cstheme="minorHAnsi"/>
          <w:b/>
          <w:bCs/>
          <w:lang w:val="el-GR"/>
        </w:rPr>
        <w:t>κοινωνικός</w:t>
      </w:r>
      <w:r w:rsidRPr="00F54820">
        <w:rPr>
          <w:rFonts w:cstheme="minorHAnsi"/>
          <w:lang w:val="el-GR"/>
        </w:rPr>
        <w:t xml:space="preserve"> </w:t>
      </w:r>
      <w:r w:rsidRPr="00F54820">
        <w:rPr>
          <w:rFonts w:cstheme="minorHAnsi"/>
          <w:b/>
          <w:bCs/>
          <w:lang w:val="el-GR"/>
        </w:rPr>
        <w:t>αντίκτυπος των επενδύσεων</w:t>
      </w:r>
      <w:r w:rsidRPr="00F54820">
        <w:rPr>
          <w:rFonts w:cstheme="minorHAnsi"/>
          <w:lang w:val="el-GR"/>
        </w:rPr>
        <w:t xml:space="preserve"> που πραγματοποιήθηκαν μέσω του χαρτοφυλακίου των κεφαλαίων επιχειρηματικών συμμετοχών (</w:t>
      </w:r>
      <w:r w:rsidRPr="00F54820">
        <w:rPr>
          <w:rFonts w:cstheme="minorHAnsi"/>
        </w:rPr>
        <w:t>Venture</w:t>
      </w:r>
      <w:r w:rsidRPr="00F54820">
        <w:rPr>
          <w:rFonts w:cstheme="minorHAnsi"/>
          <w:lang w:val="el-GR"/>
        </w:rPr>
        <w:t xml:space="preserve"> </w:t>
      </w:r>
      <w:r w:rsidRPr="00F54820">
        <w:rPr>
          <w:rFonts w:cstheme="minorHAnsi"/>
        </w:rPr>
        <w:t>Capital</w:t>
      </w:r>
      <w:r w:rsidRPr="00F54820">
        <w:rPr>
          <w:rFonts w:cstheme="minorHAnsi"/>
          <w:lang w:val="el-GR"/>
        </w:rPr>
        <w:t xml:space="preserve"> – </w:t>
      </w:r>
      <w:r w:rsidRPr="00F54820">
        <w:rPr>
          <w:rFonts w:cstheme="minorHAnsi"/>
        </w:rPr>
        <w:t>VC</w:t>
      </w:r>
      <w:r w:rsidRPr="00F54820">
        <w:rPr>
          <w:rFonts w:cstheme="minorHAnsi"/>
          <w:lang w:val="el-GR"/>
        </w:rPr>
        <w:t xml:space="preserve"> και </w:t>
      </w:r>
      <w:r w:rsidRPr="00F54820">
        <w:rPr>
          <w:rFonts w:cstheme="minorHAnsi"/>
        </w:rPr>
        <w:t>Private</w:t>
      </w:r>
      <w:r w:rsidRPr="00F54820">
        <w:rPr>
          <w:rFonts w:cstheme="minorHAnsi"/>
          <w:lang w:val="el-GR"/>
        </w:rPr>
        <w:t xml:space="preserve"> </w:t>
      </w:r>
      <w:r w:rsidRPr="00F54820">
        <w:rPr>
          <w:rFonts w:cstheme="minorHAnsi"/>
        </w:rPr>
        <w:t>Equity</w:t>
      </w:r>
      <w:r w:rsidRPr="00F54820">
        <w:rPr>
          <w:rFonts w:cstheme="minorHAnsi"/>
          <w:b/>
          <w:bCs/>
          <w:lang w:val="el-GR"/>
        </w:rPr>
        <w:t xml:space="preserve"> </w:t>
      </w:r>
      <w:r w:rsidRPr="00F54820">
        <w:rPr>
          <w:rFonts w:cstheme="minorHAnsi"/>
          <w:lang w:val="el-GR"/>
        </w:rPr>
        <w:t xml:space="preserve">– </w:t>
      </w:r>
      <w:r w:rsidRPr="00F54820">
        <w:rPr>
          <w:rFonts w:cstheme="minorHAnsi"/>
        </w:rPr>
        <w:t>PE</w:t>
      </w:r>
      <w:r w:rsidRPr="00F54820">
        <w:rPr>
          <w:rFonts w:cstheme="minorHAnsi"/>
          <w:lang w:val="el-GR"/>
        </w:rPr>
        <w:t xml:space="preserve">), στα οποία συμμετέχει η ΕΑΤΕ και έγινε πρωτογενής έρευνα. </w:t>
      </w:r>
    </w:p>
    <w:p w14:paraId="24CDEE78" w14:textId="77777777" w:rsidR="00F15C3F" w:rsidRPr="00F54820" w:rsidRDefault="00F15C3F" w:rsidP="00F15C3F">
      <w:pPr>
        <w:spacing w:after="120"/>
        <w:jc w:val="both"/>
        <w:rPr>
          <w:rFonts w:cstheme="minorHAnsi"/>
          <w:lang w:val="el-GR"/>
        </w:rPr>
      </w:pPr>
    </w:p>
    <w:p w14:paraId="0B423D0D" w14:textId="77777777" w:rsidR="00F15C3F" w:rsidRPr="00F54820" w:rsidRDefault="00F15C3F" w:rsidP="00F15C3F">
      <w:pPr>
        <w:spacing w:after="120"/>
        <w:jc w:val="both"/>
        <w:rPr>
          <w:rFonts w:cstheme="minorHAnsi"/>
          <w:b/>
          <w:bCs/>
          <w:color w:val="5B9BD5" w:themeColor="accent5"/>
          <w:sz w:val="24"/>
          <w:szCs w:val="24"/>
          <w:lang w:val="el-GR"/>
        </w:rPr>
      </w:pPr>
      <w:r w:rsidRPr="00F54820">
        <w:rPr>
          <w:rFonts w:cstheme="minorHAnsi"/>
          <w:b/>
          <w:bCs/>
          <w:color w:val="5B9BD5" w:themeColor="accent5"/>
          <w:sz w:val="24"/>
          <w:szCs w:val="24"/>
          <w:lang w:val="el-GR"/>
        </w:rPr>
        <w:t>Αποτελέσματα μελέτης αντικτύπου</w:t>
      </w:r>
    </w:p>
    <w:p w14:paraId="072CCBD5" w14:textId="77777777" w:rsidR="00F15C3F" w:rsidRPr="00F54820" w:rsidRDefault="00F15C3F" w:rsidP="00F15C3F">
      <w:pPr>
        <w:spacing w:after="120"/>
        <w:jc w:val="both"/>
        <w:rPr>
          <w:rFonts w:cstheme="minorHAnsi"/>
          <w:lang w:val="el-GR"/>
        </w:rPr>
      </w:pPr>
      <w:r w:rsidRPr="00F54820">
        <w:rPr>
          <w:rFonts w:cstheme="minorHAnsi"/>
          <w:lang w:val="el-GR"/>
        </w:rPr>
        <w:t xml:space="preserve">Στο τέλος του 2024, τα </w:t>
      </w:r>
      <w:r w:rsidRPr="00F54820">
        <w:rPr>
          <w:rFonts w:cstheme="minorHAnsi"/>
          <w:b/>
          <w:bCs/>
          <w:lang w:val="el-GR"/>
        </w:rPr>
        <w:t>υπό διαχείριση κεφάλαια της ΕΑΤΕ</w:t>
      </w:r>
      <w:r w:rsidRPr="00F54820">
        <w:rPr>
          <w:rFonts w:cstheme="minorHAnsi"/>
          <w:lang w:val="el-GR"/>
        </w:rPr>
        <w:t xml:space="preserve"> ανέρχονταν σε </w:t>
      </w:r>
      <w:r w:rsidRPr="00F54820">
        <w:rPr>
          <w:rFonts w:cstheme="minorHAnsi"/>
          <w:b/>
          <w:bCs/>
          <w:lang w:val="el-GR"/>
        </w:rPr>
        <w:t>€2,1 δισ.</w:t>
      </w:r>
      <w:r w:rsidRPr="00F54820">
        <w:rPr>
          <w:rFonts w:cstheme="minorHAnsi"/>
          <w:lang w:val="el-GR"/>
        </w:rPr>
        <w:t xml:space="preserve">, τα οποία κατανέμονται σε </w:t>
      </w:r>
      <w:r w:rsidRPr="00F54820">
        <w:rPr>
          <w:rFonts w:cstheme="minorHAnsi"/>
          <w:b/>
          <w:bCs/>
          <w:lang w:val="el-GR"/>
        </w:rPr>
        <w:t>10 χρηματοδοτικά προγράμματα</w:t>
      </w:r>
      <w:r w:rsidRPr="00F54820">
        <w:rPr>
          <w:rFonts w:cstheme="minorHAnsi"/>
          <w:lang w:val="el-GR"/>
        </w:rPr>
        <w:t xml:space="preserve">. Οι «ανοιχτές προσκλήσεις» της ΕΑΤΕ συνέβαλαν στη δημιουργία ενός δυναμικού επενδυτικού οικοσυστήματος με την καταλυτική συμμετοχή της. Έτσι, το </w:t>
      </w:r>
      <w:r w:rsidRPr="00F54820">
        <w:rPr>
          <w:rFonts w:cstheme="minorHAnsi"/>
          <w:b/>
          <w:bCs/>
          <w:lang w:val="el-GR"/>
        </w:rPr>
        <w:t xml:space="preserve">χαρτοφυλάκιο των </w:t>
      </w:r>
      <w:r w:rsidRPr="00F54820">
        <w:rPr>
          <w:rFonts w:cstheme="minorHAnsi"/>
          <w:b/>
          <w:bCs/>
        </w:rPr>
        <w:t>funds</w:t>
      </w:r>
      <w:r w:rsidRPr="00F54820">
        <w:rPr>
          <w:rFonts w:cstheme="minorHAnsi"/>
          <w:b/>
          <w:bCs/>
          <w:lang w:val="el-GR"/>
        </w:rPr>
        <w:t xml:space="preserve"> της ΕΑΤΕ</w:t>
      </w:r>
      <w:r w:rsidRPr="00F54820">
        <w:rPr>
          <w:rFonts w:cstheme="minorHAnsi"/>
          <w:lang w:val="el-GR"/>
        </w:rPr>
        <w:t xml:space="preserve"> αριθμούσε </w:t>
      </w:r>
      <w:r w:rsidRPr="00F54820">
        <w:rPr>
          <w:rFonts w:cstheme="minorHAnsi"/>
          <w:b/>
          <w:bCs/>
          <w:lang w:val="el-GR"/>
        </w:rPr>
        <w:t xml:space="preserve">30 </w:t>
      </w:r>
      <w:r w:rsidRPr="00F54820">
        <w:rPr>
          <w:rFonts w:cstheme="minorHAnsi"/>
          <w:b/>
          <w:bCs/>
        </w:rPr>
        <w:t>VCs</w:t>
      </w:r>
      <w:r w:rsidRPr="00F54820">
        <w:rPr>
          <w:rFonts w:cstheme="minorHAnsi"/>
          <w:b/>
          <w:bCs/>
          <w:lang w:val="el-GR"/>
        </w:rPr>
        <w:t>/</w:t>
      </w:r>
      <w:r w:rsidRPr="00F54820">
        <w:rPr>
          <w:rFonts w:cstheme="minorHAnsi"/>
          <w:b/>
          <w:bCs/>
        </w:rPr>
        <w:t>PEs</w:t>
      </w:r>
      <w:r w:rsidRPr="00F54820" w:rsidDel="0099727E">
        <w:rPr>
          <w:rFonts w:cstheme="minorHAnsi"/>
          <w:b/>
          <w:bCs/>
          <w:lang w:val="el-GR"/>
        </w:rPr>
        <w:t xml:space="preserve"> </w:t>
      </w:r>
      <w:r w:rsidRPr="00F54820">
        <w:rPr>
          <w:rFonts w:cstheme="minorHAnsi"/>
          <w:b/>
          <w:bCs/>
          <w:lang w:val="el-GR"/>
        </w:rPr>
        <w:t xml:space="preserve">με υπό διαχείριση κεφάλαια </w:t>
      </w:r>
      <w:r w:rsidRPr="00F54820">
        <w:rPr>
          <w:rFonts w:cstheme="minorHAnsi"/>
          <w:lang w:val="el-GR"/>
        </w:rPr>
        <w:t xml:space="preserve">άνω των </w:t>
      </w:r>
      <w:bookmarkStart w:id="0" w:name="_Hlk192279378"/>
      <w:r w:rsidRPr="00F54820">
        <w:rPr>
          <w:rFonts w:cstheme="minorHAnsi"/>
          <w:b/>
          <w:bCs/>
          <w:lang w:val="el-GR"/>
        </w:rPr>
        <w:t>€1,7 δισ.</w:t>
      </w:r>
      <w:bookmarkEnd w:id="0"/>
      <w:r w:rsidRPr="00F54820">
        <w:rPr>
          <w:rFonts w:cstheme="minorHAnsi"/>
          <w:lang w:val="el-GR"/>
        </w:rPr>
        <w:t>, τα οποία είχαν</w:t>
      </w:r>
      <w:r w:rsidRPr="00F54820">
        <w:rPr>
          <w:rFonts w:cstheme="minorHAnsi"/>
          <w:b/>
          <w:bCs/>
          <w:lang w:val="el-GR"/>
        </w:rPr>
        <w:t xml:space="preserve"> πραγματοποιήσει επενδύσεις άνω των €360 εκατ. </w:t>
      </w:r>
      <w:r w:rsidRPr="00F54820">
        <w:rPr>
          <w:rFonts w:cstheme="minorHAnsi"/>
          <w:lang w:val="el-GR"/>
        </w:rPr>
        <w:t xml:space="preserve">σε περισσότερες από </w:t>
      </w:r>
      <w:r w:rsidRPr="00F54820">
        <w:rPr>
          <w:rFonts w:cstheme="minorHAnsi"/>
          <w:b/>
          <w:bCs/>
          <w:lang w:val="el-GR"/>
        </w:rPr>
        <w:t xml:space="preserve">110 εταιρείες. </w:t>
      </w:r>
      <w:r w:rsidRPr="00F54820">
        <w:rPr>
          <w:rFonts w:cstheme="minorHAnsi"/>
          <w:lang w:val="el-GR"/>
        </w:rPr>
        <w:t xml:space="preserve">Επίσης, είναι σημαντικό ότι περίπου το </w:t>
      </w:r>
      <w:r w:rsidRPr="00F54820">
        <w:rPr>
          <w:rFonts w:cstheme="minorHAnsi"/>
          <w:b/>
          <w:bCs/>
          <w:lang w:val="el-GR"/>
        </w:rPr>
        <w:t>1/3 των συνολικών κεφαλαίων</w:t>
      </w:r>
      <w:r w:rsidRPr="00F54820">
        <w:rPr>
          <w:rFonts w:cstheme="minorHAnsi"/>
          <w:lang w:val="el-GR"/>
        </w:rPr>
        <w:t xml:space="preserve"> αναφέρεται σε </w:t>
      </w:r>
      <w:r w:rsidRPr="00F54820">
        <w:rPr>
          <w:rFonts w:cstheme="minorHAnsi"/>
          <w:b/>
          <w:bCs/>
          <w:lang w:val="el-GR"/>
        </w:rPr>
        <w:t>προγράμματα με εστίαση</w:t>
      </w:r>
      <w:r w:rsidRPr="00F54820">
        <w:rPr>
          <w:rFonts w:cstheme="minorHAnsi"/>
          <w:lang w:val="el-GR"/>
        </w:rPr>
        <w:t xml:space="preserve"> στην </w:t>
      </w:r>
      <w:r w:rsidRPr="00F54820">
        <w:rPr>
          <w:rFonts w:cstheme="minorHAnsi"/>
          <w:b/>
          <w:bCs/>
          <w:lang w:val="el-GR"/>
        </w:rPr>
        <w:t>ψηφιακή</w:t>
      </w:r>
      <w:r w:rsidRPr="00F54820">
        <w:rPr>
          <w:rFonts w:cstheme="minorHAnsi"/>
          <w:lang w:val="el-GR"/>
        </w:rPr>
        <w:t xml:space="preserve"> και </w:t>
      </w:r>
      <w:r w:rsidRPr="00F54820">
        <w:rPr>
          <w:rFonts w:cstheme="minorHAnsi"/>
          <w:b/>
          <w:bCs/>
          <w:lang w:val="el-GR"/>
        </w:rPr>
        <w:t>πράσινη</w:t>
      </w:r>
      <w:r w:rsidRPr="00F54820">
        <w:rPr>
          <w:rFonts w:cstheme="minorHAnsi"/>
          <w:lang w:val="el-GR"/>
        </w:rPr>
        <w:t xml:space="preserve"> </w:t>
      </w:r>
      <w:r w:rsidRPr="00F54820">
        <w:rPr>
          <w:rFonts w:cstheme="minorHAnsi"/>
          <w:b/>
          <w:bCs/>
          <w:lang w:val="el-GR"/>
        </w:rPr>
        <w:t>μετάβαση</w:t>
      </w:r>
      <w:r w:rsidRPr="00F54820">
        <w:rPr>
          <w:rFonts w:cstheme="minorHAnsi"/>
          <w:lang w:val="el-GR"/>
        </w:rPr>
        <w:t>.</w:t>
      </w:r>
    </w:p>
    <w:p w14:paraId="5C944F04" w14:textId="77777777" w:rsidR="00F15C3F" w:rsidRPr="00F54820" w:rsidRDefault="00F15C3F" w:rsidP="00F15C3F">
      <w:pPr>
        <w:spacing w:after="120"/>
        <w:jc w:val="both"/>
        <w:rPr>
          <w:rFonts w:cstheme="minorHAnsi"/>
          <w:lang w:val="el-GR"/>
        </w:rPr>
      </w:pPr>
      <w:r w:rsidRPr="00F54820">
        <w:rPr>
          <w:rFonts w:cstheme="minorHAnsi"/>
          <w:lang w:val="el-GR"/>
        </w:rPr>
        <w:t>Η σημαντική επίδραση της ΕΑΤΕ στο ευρύτερο επενδυτικό, οικονομικό και κοινωνικό οικοσύστημα καθίσταται έκδηλη μέσω του πολλαπλασιαστικού οφέλους της συμβολής της. Ειδικότερα:</w:t>
      </w:r>
    </w:p>
    <w:p w14:paraId="40A845D6" w14:textId="77777777" w:rsidR="00F15C3F" w:rsidRPr="00F54820" w:rsidRDefault="00F15C3F" w:rsidP="00F15C3F">
      <w:pPr>
        <w:pStyle w:val="a9"/>
        <w:numPr>
          <w:ilvl w:val="0"/>
          <w:numId w:val="1"/>
        </w:numPr>
        <w:spacing w:after="120"/>
        <w:jc w:val="both"/>
        <w:rPr>
          <w:rFonts w:cstheme="minorHAnsi"/>
          <w:b/>
          <w:bCs/>
          <w:sz w:val="22"/>
          <w:szCs w:val="22"/>
          <w:lang w:val="el-GR"/>
        </w:rPr>
      </w:pPr>
      <w:r w:rsidRPr="00F54820">
        <w:rPr>
          <w:rFonts w:cstheme="minorHAnsi"/>
          <w:b/>
          <w:bCs/>
          <w:sz w:val="22"/>
          <w:szCs w:val="22"/>
          <w:lang w:val="el-GR"/>
        </w:rPr>
        <w:t>Για κάθε €1</w:t>
      </w:r>
      <w:r w:rsidRPr="00F54820">
        <w:rPr>
          <w:rFonts w:cstheme="minorHAnsi"/>
          <w:sz w:val="22"/>
          <w:szCs w:val="22"/>
          <w:lang w:val="el-GR"/>
        </w:rPr>
        <w:t xml:space="preserve"> που επενδύεται αρχικά </w:t>
      </w:r>
      <w:r w:rsidRPr="00F54820">
        <w:rPr>
          <w:rFonts w:cstheme="minorHAnsi"/>
          <w:b/>
          <w:bCs/>
          <w:sz w:val="22"/>
          <w:szCs w:val="22"/>
          <w:lang w:val="el-GR"/>
        </w:rPr>
        <w:t xml:space="preserve">στα VC/PE </w:t>
      </w:r>
      <w:r w:rsidRPr="00F54820">
        <w:rPr>
          <w:rFonts w:cstheme="minorHAnsi"/>
          <w:b/>
          <w:bCs/>
          <w:sz w:val="22"/>
          <w:szCs w:val="22"/>
        </w:rPr>
        <w:t>funds</w:t>
      </w:r>
      <w:r w:rsidRPr="00F54820">
        <w:rPr>
          <w:rFonts w:cstheme="minorHAnsi"/>
          <w:b/>
          <w:bCs/>
          <w:sz w:val="22"/>
          <w:szCs w:val="22"/>
          <w:lang w:val="el-GR"/>
        </w:rPr>
        <w:t xml:space="preserve"> </w:t>
      </w:r>
      <w:r w:rsidRPr="00F54820">
        <w:rPr>
          <w:rFonts w:cstheme="minorHAnsi"/>
          <w:sz w:val="22"/>
          <w:szCs w:val="22"/>
          <w:lang w:val="el-GR"/>
        </w:rPr>
        <w:t xml:space="preserve">από την ΕΑΤΕ, </w:t>
      </w:r>
      <w:r w:rsidRPr="00F54820">
        <w:rPr>
          <w:rFonts w:cstheme="minorHAnsi"/>
          <w:b/>
          <w:bCs/>
          <w:sz w:val="22"/>
          <w:szCs w:val="22"/>
          <w:lang w:val="el-GR"/>
        </w:rPr>
        <w:t>έχουν κινητοποιηθεί επιπλέον €1,23</w:t>
      </w:r>
      <w:r w:rsidRPr="00F54820">
        <w:rPr>
          <w:rFonts w:cstheme="minorHAnsi"/>
          <w:lang w:val="el-GR"/>
        </w:rPr>
        <w:t xml:space="preserve"> </w:t>
      </w:r>
      <w:r w:rsidRPr="00F54820">
        <w:rPr>
          <w:rFonts w:cstheme="minorHAnsi"/>
          <w:b/>
          <w:bCs/>
          <w:sz w:val="22"/>
          <w:szCs w:val="22"/>
          <w:lang w:val="el-GR"/>
        </w:rPr>
        <w:t>από ιδιώτες ή άλλους θεσμικούς επενδυτές</w:t>
      </w:r>
      <w:r w:rsidRPr="00F54820">
        <w:rPr>
          <w:rFonts w:cstheme="minorHAnsi"/>
          <w:sz w:val="22"/>
          <w:szCs w:val="22"/>
          <w:lang w:val="el-GR"/>
        </w:rPr>
        <w:t xml:space="preserve">, ενώ </w:t>
      </w:r>
      <w:r w:rsidRPr="00F54820">
        <w:rPr>
          <w:rFonts w:cstheme="minorHAnsi"/>
          <w:b/>
          <w:bCs/>
          <w:sz w:val="22"/>
          <w:szCs w:val="22"/>
          <w:lang w:val="el-GR"/>
        </w:rPr>
        <w:t xml:space="preserve">οι εταιρείες χαρτοφυλακίου στις οποίες επενδύουν τα </w:t>
      </w:r>
      <w:r w:rsidRPr="00F54820">
        <w:rPr>
          <w:rFonts w:cstheme="minorHAnsi"/>
          <w:b/>
          <w:bCs/>
          <w:sz w:val="22"/>
          <w:szCs w:val="22"/>
        </w:rPr>
        <w:t>funds</w:t>
      </w:r>
      <w:r w:rsidRPr="00F54820">
        <w:rPr>
          <w:rFonts w:cstheme="minorHAnsi"/>
          <w:b/>
          <w:bCs/>
          <w:sz w:val="22"/>
          <w:szCs w:val="22"/>
          <w:lang w:val="el-GR"/>
        </w:rPr>
        <w:t xml:space="preserve"> μοχλεύουν συνολικά €6,65.</w:t>
      </w:r>
    </w:p>
    <w:p w14:paraId="128C067A" w14:textId="77777777" w:rsidR="00F15C3F" w:rsidRPr="00F54820" w:rsidRDefault="00F15C3F" w:rsidP="00F15C3F">
      <w:pPr>
        <w:pStyle w:val="a9"/>
        <w:numPr>
          <w:ilvl w:val="0"/>
          <w:numId w:val="1"/>
        </w:numPr>
        <w:spacing w:after="120"/>
        <w:jc w:val="both"/>
        <w:rPr>
          <w:rFonts w:cstheme="minorHAnsi"/>
          <w:b/>
          <w:bCs/>
          <w:sz w:val="22"/>
          <w:szCs w:val="22"/>
          <w:lang w:val="el-GR"/>
        </w:rPr>
      </w:pPr>
      <w:r w:rsidRPr="00F54820">
        <w:rPr>
          <w:rFonts w:cstheme="minorHAnsi"/>
          <w:sz w:val="22"/>
          <w:szCs w:val="22"/>
          <w:lang w:val="el-GR"/>
        </w:rPr>
        <w:t xml:space="preserve">Επιπροσθέτως, </w:t>
      </w:r>
      <w:r w:rsidRPr="00F54820">
        <w:rPr>
          <w:rFonts w:cstheme="minorHAnsi"/>
          <w:b/>
          <w:bCs/>
          <w:sz w:val="22"/>
          <w:szCs w:val="22"/>
          <w:lang w:val="el-GR"/>
        </w:rPr>
        <w:t>κάθε €1 που επενδύεται αρχικά</w:t>
      </w:r>
      <w:r w:rsidRPr="00F54820">
        <w:rPr>
          <w:rFonts w:cstheme="minorHAnsi"/>
          <w:sz w:val="22"/>
          <w:szCs w:val="22"/>
          <w:lang w:val="el-GR"/>
        </w:rPr>
        <w:t xml:space="preserve"> από την ΕΑΤΕ, συμβάλλει σε </w:t>
      </w:r>
      <w:r w:rsidRPr="00F54820">
        <w:rPr>
          <w:rFonts w:cstheme="minorHAnsi"/>
          <w:b/>
          <w:bCs/>
          <w:sz w:val="22"/>
          <w:szCs w:val="22"/>
          <w:lang w:val="el-GR"/>
        </w:rPr>
        <w:t>συνολική οικονομική δραστηριότητα</w:t>
      </w:r>
      <w:r w:rsidRPr="00F54820">
        <w:rPr>
          <w:rFonts w:cstheme="minorHAnsi"/>
          <w:sz w:val="22"/>
          <w:szCs w:val="22"/>
          <w:lang w:val="el-GR"/>
        </w:rPr>
        <w:t xml:space="preserve"> </w:t>
      </w:r>
      <w:r w:rsidRPr="00F54820">
        <w:rPr>
          <w:rFonts w:cstheme="minorHAnsi"/>
          <w:b/>
          <w:bCs/>
          <w:sz w:val="22"/>
          <w:szCs w:val="22"/>
          <w:lang w:val="el-GR"/>
        </w:rPr>
        <w:t>ύψους €23,21.</w:t>
      </w:r>
    </w:p>
    <w:p w14:paraId="20E120BB" w14:textId="1BF5EA2C" w:rsidR="00F15C3F" w:rsidRPr="00F54820" w:rsidRDefault="00F15C3F" w:rsidP="00F15C3F">
      <w:pPr>
        <w:pStyle w:val="a9"/>
        <w:numPr>
          <w:ilvl w:val="0"/>
          <w:numId w:val="1"/>
        </w:numPr>
        <w:spacing w:after="120"/>
        <w:jc w:val="both"/>
        <w:rPr>
          <w:rFonts w:cstheme="minorHAnsi"/>
          <w:sz w:val="22"/>
          <w:szCs w:val="22"/>
          <w:lang w:val="el-GR"/>
        </w:rPr>
      </w:pPr>
      <w:r w:rsidRPr="00F54820">
        <w:rPr>
          <w:rFonts w:cstheme="minorHAnsi"/>
          <w:sz w:val="22"/>
          <w:szCs w:val="22"/>
          <w:lang w:val="el-GR"/>
        </w:rPr>
        <w:t xml:space="preserve">Σε απόλυτους όρους, καταγράφεται ότι, κατά την περίοδο </w:t>
      </w:r>
      <w:r w:rsidRPr="00F54820">
        <w:rPr>
          <w:rFonts w:cstheme="minorHAnsi"/>
          <w:b/>
          <w:bCs/>
          <w:sz w:val="22"/>
          <w:szCs w:val="22"/>
          <w:lang w:val="el-GR"/>
        </w:rPr>
        <w:t xml:space="preserve">2020-2024, </w:t>
      </w:r>
      <w:r w:rsidRPr="00F54820">
        <w:rPr>
          <w:rFonts w:cstheme="minorHAnsi"/>
          <w:sz w:val="22"/>
          <w:szCs w:val="22"/>
          <w:lang w:val="el-GR"/>
        </w:rPr>
        <w:t xml:space="preserve">το </w:t>
      </w:r>
      <w:r w:rsidRPr="00F54820">
        <w:rPr>
          <w:rFonts w:cstheme="minorHAnsi"/>
          <w:b/>
          <w:bCs/>
          <w:sz w:val="22"/>
          <w:szCs w:val="22"/>
          <w:lang w:val="el-GR"/>
        </w:rPr>
        <w:t>οικοσύστημα της ΕΑΤΕ</w:t>
      </w:r>
      <w:r w:rsidRPr="00F54820">
        <w:rPr>
          <w:rFonts w:cstheme="minorHAnsi"/>
          <w:sz w:val="22"/>
          <w:szCs w:val="22"/>
          <w:lang w:val="el-GR"/>
        </w:rPr>
        <w:t xml:space="preserve"> συνέβαλε σε </w:t>
      </w:r>
      <w:r w:rsidRPr="00F54820">
        <w:rPr>
          <w:rFonts w:cstheme="minorHAnsi"/>
          <w:b/>
          <w:bCs/>
          <w:sz w:val="22"/>
          <w:szCs w:val="22"/>
          <w:lang w:val="el-GR"/>
        </w:rPr>
        <w:t>συνολική οικονομική δραστηριότητα ύψους</w:t>
      </w:r>
      <w:r w:rsidRPr="00F54820">
        <w:rPr>
          <w:rFonts w:cstheme="minorHAnsi"/>
          <w:sz w:val="22"/>
          <w:szCs w:val="22"/>
          <w:lang w:val="el-GR"/>
        </w:rPr>
        <w:t xml:space="preserve"> </w:t>
      </w:r>
      <w:r w:rsidRPr="00F54820">
        <w:rPr>
          <w:rFonts w:cstheme="minorHAnsi"/>
          <w:b/>
          <w:bCs/>
          <w:sz w:val="22"/>
          <w:szCs w:val="22"/>
          <w:lang w:val="el-GR"/>
        </w:rPr>
        <w:t>€3,8 δισ.</w:t>
      </w:r>
    </w:p>
    <w:p w14:paraId="77B1786D" w14:textId="77777777" w:rsidR="00F15C3F" w:rsidRPr="00F54820" w:rsidRDefault="00F15C3F" w:rsidP="00F15C3F">
      <w:pPr>
        <w:pStyle w:val="a9"/>
        <w:numPr>
          <w:ilvl w:val="0"/>
          <w:numId w:val="1"/>
        </w:numPr>
        <w:spacing w:after="120"/>
        <w:jc w:val="both"/>
        <w:rPr>
          <w:rFonts w:cstheme="minorHAnsi"/>
          <w:sz w:val="22"/>
          <w:szCs w:val="22"/>
          <w:lang w:val="el-GR"/>
        </w:rPr>
      </w:pPr>
      <w:r w:rsidRPr="00F54820">
        <w:rPr>
          <w:rFonts w:cstheme="minorHAnsi"/>
          <w:b/>
          <w:bCs/>
          <w:sz w:val="22"/>
          <w:szCs w:val="22"/>
          <w:lang w:val="el-GR"/>
        </w:rPr>
        <w:t>Σε όρους απασχόλησης</w:t>
      </w:r>
      <w:r w:rsidRPr="00F54820">
        <w:rPr>
          <w:rFonts w:cstheme="minorHAnsi"/>
          <w:sz w:val="22"/>
          <w:szCs w:val="22"/>
          <w:lang w:val="el-GR"/>
        </w:rPr>
        <w:t xml:space="preserve">, μετρήθηκε ότι το 2024 συντηρούνται </w:t>
      </w:r>
      <w:r w:rsidRPr="00F54820">
        <w:rPr>
          <w:rFonts w:cstheme="minorHAnsi"/>
          <w:b/>
          <w:bCs/>
          <w:sz w:val="22"/>
          <w:szCs w:val="22"/>
          <w:lang w:val="el-GR"/>
        </w:rPr>
        <w:t>άμεσα και έμμεσα</w:t>
      </w:r>
      <w:r w:rsidRPr="00F54820">
        <w:rPr>
          <w:rFonts w:cstheme="minorHAnsi"/>
          <w:sz w:val="22"/>
          <w:szCs w:val="22"/>
          <w:lang w:val="el-GR"/>
        </w:rPr>
        <w:t xml:space="preserve"> στην αλυσίδα αξίας του οικοσυστήματος ~</w:t>
      </w:r>
      <w:r w:rsidRPr="00F54820">
        <w:rPr>
          <w:rFonts w:cstheme="minorHAnsi"/>
          <w:b/>
          <w:bCs/>
          <w:sz w:val="22"/>
          <w:szCs w:val="22"/>
          <w:lang w:val="el-GR"/>
        </w:rPr>
        <w:t>50.000 θέσεις εργασίας</w:t>
      </w:r>
      <w:r w:rsidRPr="00F54820">
        <w:rPr>
          <w:rFonts w:cstheme="minorHAnsi"/>
          <w:sz w:val="22"/>
          <w:szCs w:val="22"/>
          <w:lang w:val="el-GR"/>
        </w:rPr>
        <w:t xml:space="preserve"> (ισοδύναμα πλήρους απασχόλησης).</w:t>
      </w:r>
    </w:p>
    <w:p w14:paraId="574C840C" w14:textId="0E3D7B99" w:rsidR="00F15C3F" w:rsidRPr="00F54820" w:rsidRDefault="00F15C3F" w:rsidP="00F15C3F">
      <w:pPr>
        <w:spacing w:after="120"/>
        <w:jc w:val="both"/>
        <w:rPr>
          <w:rFonts w:cstheme="minorHAnsi"/>
          <w:lang w:val="el-GR"/>
        </w:rPr>
      </w:pPr>
      <w:r w:rsidRPr="00F54820">
        <w:rPr>
          <w:rFonts w:cstheme="minorHAnsi"/>
          <w:lang w:val="el-GR"/>
        </w:rPr>
        <w:lastRenderedPageBreak/>
        <w:t xml:space="preserve">Αναφορικά με τη μελέτη, ο </w:t>
      </w:r>
      <w:r w:rsidRPr="00F54820">
        <w:rPr>
          <w:rFonts w:cstheme="minorHAnsi"/>
          <w:b/>
          <w:lang w:val="el-GR"/>
        </w:rPr>
        <w:t xml:space="preserve">κ. </w:t>
      </w:r>
      <w:r w:rsidRPr="00F54820">
        <w:rPr>
          <w:rFonts w:cstheme="minorHAnsi"/>
          <w:b/>
          <w:bCs/>
          <w:iCs/>
          <w:lang w:val="el-GR"/>
        </w:rPr>
        <w:t>Κωστής Χατζηδάκης</w:t>
      </w:r>
      <w:r w:rsidRPr="00F54820">
        <w:rPr>
          <w:rFonts w:cstheme="minorHAnsi"/>
          <w:iCs/>
          <w:lang w:val="el-GR"/>
        </w:rPr>
        <w:t xml:space="preserve">, </w:t>
      </w:r>
      <w:r w:rsidRPr="00F54820">
        <w:rPr>
          <w:rFonts w:cstheme="minorHAnsi"/>
          <w:b/>
          <w:bCs/>
          <w:iCs/>
          <w:lang w:val="el-GR"/>
        </w:rPr>
        <w:t>Υπουργός Εθνικής Οικονομίας και Οικονομικών</w:t>
      </w:r>
      <w:r w:rsidRPr="00F54820">
        <w:rPr>
          <w:rFonts w:cstheme="minorHAnsi"/>
          <w:iCs/>
          <w:lang w:val="el-GR"/>
        </w:rPr>
        <w:t>, σε μήνυμά του ανέφερε:</w:t>
      </w:r>
      <w:r w:rsidRPr="00F54820">
        <w:rPr>
          <w:rFonts w:cstheme="minorHAnsi"/>
          <w:i/>
          <w:iCs/>
          <w:lang w:val="el-GR"/>
        </w:rPr>
        <w:t xml:space="preserve"> «Η Ελληνική Αναπτυξιακή Τράπεζα Επενδύσεων (ΕΑΤΕ, τ. ΤΑΝΕΟ) διαδραματίζει κομβικό ρόλο στη χρηματοδότηση της καινοτομίας και της επιχειρηματικότητας, συμβάλλοντας ενεργά στη μακροπρόθεσμη οικονομική ανάπτυξη της χώρας. Με περισσότερα από 2 δισ. ευρώ διαθέσιμα επενδυτικά κεφάλαια και ισχυρές διεθνείς συνεργασίες, η ΕΑΤΕ αποτελεί έναν ισχυρό μηχανισμό </w:t>
      </w:r>
      <w:proofErr w:type="spellStart"/>
      <w:r w:rsidRPr="00F54820">
        <w:rPr>
          <w:rFonts w:cstheme="minorHAnsi"/>
          <w:i/>
          <w:iCs/>
          <w:lang w:val="el-GR"/>
        </w:rPr>
        <w:t>μόχλευσης</w:t>
      </w:r>
      <w:proofErr w:type="spellEnd"/>
      <w:r w:rsidRPr="00F54820">
        <w:rPr>
          <w:rFonts w:cstheme="minorHAnsi"/>
          <w:i/>
          <w:iCs/>
          <w:lang w:val="el-GR"/>
        </w:rPr>
        <w:t xml:space="preserve"> κεφαλαίων για την ενίσχυση της ανταγωνιστικότητας της ελληνικής οικονομίας. Τα αποτελέσματα της μελέτης που έκανε η Deloitte αναδεικνύουν τη στρατηγική σημασία της ΕΑΤΕ και των κεφαλαίων επιχειρηματικών συμμετοχών. Η κυβέρνηση παραμένει προσηλωμένη στη δημιουργία ενός φιλικού επενδυτικού περιβάλλοντος, αξιοποιώντας στο έπακρο τις δυνατότητες της ΕΑΤΕ και του ευρύτερου οικοσυστήματος </w:t>
      </w:r>
      <w:proofErr w:type="spellStart"/>
      <w:r w:rsidRPr="00F54820">
        <w:rPr>
          <w:rFonts w:cstheme="minorHAnsi"/>
          <w:i/>
          <w:iCs/>
          <w:lang w:val="el-GR"/>
        </w:rPr>
        <w:t>Venture</w:t>
      </w:r>
      <w:proofErr w:type="spellEnd"/>
      <w:r w:rsidRPr="00F54820">
        <w:rPr>
          <w:rFonts w:cstheme="minorHAnsi"/>
          <w:i/>
          <w:iCs/>
          <w:lang w:val="el-GR"/>
        </w:rPr>
        <w:t xml:space="preserve"> Capital και </w:t>
      </w:r>
      <w:proofErr w:type="spellStart"/>
      <w:r w:rsidRPr="00F54820">
        <w:rPr>
          <w:rFonts w:cstheme="minorHAnsi"/>
          <w:i/>
          <w:iCs/>
          <w:lang w:val="el-GR"/>
        </w:rPr>
        <w:t>Private</w:t>
      </w:r>
      <w:proofErr w:type="spellEnd"/>
      <w:r w:rsidRPr="00F54820">
        <w:rPr>
          <w:rFonts w:cstheme="minorHAnsi"/>
          <w:i/>
          <w:iCs/>
          <w:lang w:val="el-GR"/>
        </w:rPr>
        <w:t xml:space="preserve"> </w:t>
      </w:r>
      <w:proofErr w:type="spellStart"/>
      <w:r w:rsidRPr="00F54820">
        <w:rPr>
          <w:rFonts w:cstheme="minorHAnsi"/>
          <w:i/>
          <w:iCs/>
          <w:lang w:val="el-GR"/>
        </w:rPr>
        <w:t>Equity</w:t>
      </w:r>
      <w:proofErr w:type="spellEnd"/>
      <w:r w:rsidRPr="00F54820">
        <w:rPr>
          <w:rFonts w:cstheme="minorHAnsi"/>
          <w:i/>
          <w:iCs/>
          <w:lang w:val="el-GR"/>
        </w:rPr>
        <w:t>, προκειμένου να επιτύχουμε ισχυρή, ανθεκτική και διατηρήσιμη οικονομική ανάπτυξη. Η επιτυχής πορεία της ΕΑΤΕ αντανακλά τη δυναμική και τα σημαντικά επιτεύγματα της Ελληνικής οικονομίας.»</w:t>
      </w:r>
    </w:p>
    <w:p w14:paraId="35A42AB7" w14:textId="77777777" w:rsidR="000A4CAC" w:rsidRPr="00F54820" w:rsidRDefault="000A4CAC" w:rsidP="00F15C3F">
      <w:pPr>
        <w:spacing w:after="120"/>
        <w:jc w:val="both"/>
        <w:rPr>
          <w:rFonts w:cstheme="minorHAnsi"/>
          <w:iCs/>
          <w:lang w:val="el-GR"/>
        </w:rPr>
      </w:pPr>
    </w:p>
    <w:p w14:paraId="06EC13F5" w14:textId="35E9274E" w:rsidR="000A4CAC" w:rsidRPr="0056505F" w:rsidRDefault="00B02C1E" w:rsidP="0056505F">
      <w:pPr>
        <w:spacing w:after="120"/>
        <w:jc w:val="both"/>
        <w:rPr>
          <w:rFonts w:cstheme="minorHAnsi"/>
          <w:iCs/>
          <w:lang w:val="el-GR"/>
        </w:rPr>
      </w:pPr>
      <w:r>
        <w:rPr>
          <w:rFonts w:cstheme="minorHAnsi"/>
          <w:iCs/>
          <w:lang w:val="el-GR"/>
        </w:rPr>
        <w:t>Ο</w:t>
      </w:r>
      <w:r w:rsidR="00D65570" w:rsidRPr="00F54820">
        <w:rPr>
          <w:rFonts w:cstheme="minorHAnsi"/>
          <w:b/>
          <w:bCs/>
          <w:iCs/>
          <w:lang w:val="el-GR"/>
        </w:rPr>
        <w:t xml:space="preserve"> </w:t>
      </w:r>
      <w:r w:rsidR="00153760" w:rsidRPr="00F54820">
        <w:rPr>
          <w:rFonts w:cstheme="minorHAnsi"/>
          <w:b/>
          <w:bCs/>
          <w:iCs/>
          <w:lang w:val="el-GR"/>
        </w:rPr>
        <w:t>Αναπληρωτής</w:t>
      </w:r>
      <w:r w:rsidR="00153760" w:rsidRPr="00F54820">
        <w:rPr>
          <w:rFonts w:cstheme="minorHAnsi"/>
          <w:iCs/>
          <w:lang w:val="el-GR"/>
        </w:rPr>
        <w:t xml:space="preserve"> </w:t>
      </w:r>
      <w:r w:rsidR="00153760" w:rsidRPr="00F54820">
        <w:rPr>
          <w:rFonts w:cstheme="minorHAnsi"/>
          <w:b/>
          <w:bCs/>
          <w:iCs/>
          <w:lang w:val="el-GR"/>
        </w:rPr>
        <w:t>Υπουργός Εθνικής Οικονομίας και Οικονομικών</w:t>
      </w:r>
      <w:r w:rsidR="00153760" w:rsidRPr="00F54820">
        <w:rPr>
          <w:rFonts w:cstheme="minorHAnsi"/>
          <w:iCs/>
          <w:lang w:val="el-GR"/>
        </w:rPr>
        <w:t xml:space="preserve">, </w:t>
      </w:r>
      <w:r w:rsidR="00F15C3F" w:rsidRPr="00F54820">
        <w:rPr>
          <w:rFonts w:cstheme="minorHAnsi"/>
          <w:b/>
          <w:bCs/>
          <w:iCs/>
          <w:lang w:val="el-GR"/>
        </w:rPr>
        <w:t>κ. Νίκος Παπαθανάσης</w:t>
      </w:r>
      <w:r w:rsidR="00F15C3F" w:rsidRPr="00F54820">
        <w:rPr>
          <w:rFonts w:cstheme="minorHAnsi"/>
          <w:iCs/>
          <w:lang w:val="el-GR"/>
        </w:rPr>
        <w:t xml:space="preserve">, </w:t>
      </w:r>
      <w:r>
        <w:rPr>
          <w:rFonts w:cstheme="minorHAnsi"/>
          <w:iCs/>
          <w:lang w:val="el-GR"/>
        </w:rPr>
        <w:t>κ</w:t>
      </w:r>
      <w:r w:rsidR="00D65570" w:rsidRPr="00F54820">
        <w:rPr>
          <w:rFonts w:cstheme="minorHAnsi"/>
          <w:iCs/>
          <w:lang w:val="el-GR"/>
        </w:rPr>
        <w:t xml:space="preserve">ατά την ομιλία του </w:t>
      </w:r>
      <w:r w:rsidR="00D65570">
        <w:rPr>
          <w:rFonts w:cstheme="minorHAnsi"/>
          <w:iCs/>
          <w:lang w:val="el-GR"/>
        </w:rPr>
        <w:t>τόνισε</w:t>
      </w:r>
      <w:r w:rsidR="00F15C3F" w:rsidRPr="00F54820">
        <w:rPr>
          <w:rFonts w:cstheme="minorHAnsi"/>
          <w:iCs/>
          <w:lang w:val="el-GR"/>
        </w:rPr>
        <w:t>:</w:t>
      </w:r>
      <w:r w:rsidR="00F15C3F" w:rsidRPr="00F54820">
        <w:rPr>
          <w:rFonts w:cstheme="minorHAnsi"/>
          <w:i/>
          <w:iCs/>
          <w:lang w:val="el-GR"/>
        </w:rPr>
        <w:t xml:space="preserve"> </w:t>
      </w:r>
      <w:r w:rsidR="00F15C3F" w:rsidRPr="006F4984">
        <w:rPr>
          <w:rFonts w:cstheme="minorHAnsi"/>
          <w:i/>
          <w:iCs/>
          <w:lang w:val="el-GR"/>
        </w:rPr>
        <w:t>«</w:t>
      </w:r>
      <w:r w:rsidR="0056505F" w:rsidRPr="006F4984">
        <w:rPr>
          <w:rFonts w:cstheme="minorHAnsi"/>
          <w:i/>
          <w:iCs/>
          <w:lang w:val="el-GR"/>
        </w:rPr>
        <w:t xml:space="preserve">Η στήριξη των μικρομεσαίων επιχειρήσεων αποτελεί προτεραιότητα των κυβερνήσεων του Κυριάκου Μητσοτάκη. Έμπρακτη απόδειξη αποτελεί το γεγονός ότι το σύνολο των κονδυλίων του ΕΣΠΑ 2021-2027, μεγάλο μέρος αυτών που εξασφαλίσαμε μέσα από το Ταμείο Ανάκαμψης, αλλά και πόροι από το Αναπτυξιακό Πρόγραμμα Δημοσίων Επενδύσεων -ύψους 15,2 δις. ευρώ μόνο για το 2025- έχουν ως παραλήπτες </w:t>
      </w:r>
      <w:proofErr w:type="spellStart"/>
      <w:r w:rsidR="0056505F" w:rsidRPr="006F4984">
        <w:rPr>
          <w:rFonts w:cstheme="minorHAnsi"/>
          <w:i/>
          <w:iCs/>
          <w:lang w:val="el-GR"/>
        </w:rPr>
        <w:t>ΜμΕ</w:t>
      </w:r>
      <w:proofErr w:type="spellEnd"/>
      <w:r w:rsidR="0056505F" w:rsidRPr="006F4984">
        <w:rPr>
          <w:rFonts w:cstheme="minorHAnsi"/>
          <w:i/>
          <w:iCs/>
          <w:lang w:val="el-GR"/>
        </w:rPr>
        <w:t xml:space="preserve"> στο σύνολο της Επικράτειας. Αυτή η  στρατηγική επιλογή υλοποιείται μέσα από τα χρηματοδοτικά και επενδυτικά εργαλεία που έχουμε στη διάθεσή μας, ανάμεσά τους και </w:t>
      </w:r>
      <w:r w:rsidR="00851884" w:rsidRPr="006F4984">
        <w:rPr>
          <w:rFonts w:cstheme="minorHAnsi"/>
          <w:i/>
          <w:iCs/>
          <w:lang w:val="el-GR"/>
        </w:rPr>
        <w:t xml:space="preserve">αυτά που διαχειρίζεται </w:t>
      </w:r>
      <w:r w:rsidR="0056505F" w:rsidRPr="006F4984">
        <w:rPr>
          <w:rFonts w:cstheme="minorHAnsi"/>
          <w:i/>
          <w:iCs/>
          <w:lang w:val="el-GR"/>
        </w:rPr>
        <w:t xml:space="preserve">η Ελληνική Αναπτυξιακή Τράπεζα Επενδύσεων. Θα ήθελα να υπογραμμίσω ότι το  οικοσύστημα των </w:t>
      </w:r>
      <w:proofErr w:type="spellStart"/>
      <w:r w:rsidR="0056505F" w:rsidRPr="006F4984">
        <w:rPr>
          <w:rFonts w:cstheme="minorHAnsi"/>
          <w:i/>
          <w:iCs/>
          <w:lang w:val="el-GR"/>
        </w:rPr>
        <w:t>Venture</w:t>
      </w:r>
      <w:proofErr w:type="spellEnd"/>
      <w:r w:rsidR="0056505F" w:rsidRPr="006F4984">
        <w:rPr>
          <w:rFonts w:cstheme="minorHAnsi"/>
          <w:i/>
          <w:iCs/>
          <w:lang w:val="el-GR"/>
        </w:rPr>
        <w:t xml:space="preserve"> Capital &amp; </w:t>
      </w:r>
      <w:proofErr w:type="spellStart"/>
      <w:r w:rsidR="0056505F" w:rsidRPr="006F4984">
        <w:rPr>
          <w:rFonts w:cstheme="minorHAnsi"/>
          <w:i/>
          <w:iCs/>
          <w:lang w:val="el-GR"/>
        </w:rPr>
        <w:t>Private</w:t>
      </w:r>
      <w:proofErr w:type="spellEnd"/>
      <w:r w:rsidR="0056505F" w:rsidRPr="006F4984">
        <w:rPr>
          <w:rFonts w:cstheme="minorHAnsi"/>
          <w:i/>
          <w:iCs/>
          <w:lang w:val="el-GR"/>
        </w:rPr>
        <w:t xml:space="preserve"> </w:t>
      </w:r>
      <w:proofErr w:type="spellStart"/>
      <w:r w:rsidR="0056505F" w:rsidRPr="006F4984">
        <w:rPr>
          <w:rFonts w:cstheme="minorHAnsi"/>
          <w:i/>
          <w:iCs/>
          <w:lang w:val="el-GR"/>
        </w:rPr>
        <w:t>Equity</w:t>
      </w:r>
      <w:proofErr w:type="spellEnd"/>
      <w:r w:rsidR="0056505F" w:rsidRPr="006F4984">
        <w:rPr>
          <w:rFonts w:cstheme="minorHAnsi"/>
          <w:i/>
          <w:iCs/>
          <w:lang w:val="el-GR"/>
        </w:rPr>
        <w:t xml:space="preserve"> </w:t>
      </w:r>
      <w:proofErr w:type="spellStart"/>
      <w:r w:rsidR="0056505F" w:rsidRPr="006F4984">
        <w:rPr>
          <w:rFonts w:cstheme="minorHAnsi"/>
          <w:i/>
          <w:iCs/>
          <w:lang w:val="el-GR"/>
        </w:rPr>
        <w:t>fund</w:t>
      </w:r>
      <w:proofErr w:type="spellEnd"/>
      <w:r w:rsidR="0056505F" w:rsidRPr="006F4984">
        <w:rPr>
          <w:rFonts w:cstheme="minorHAnsi"/>
          <w:i/>
          <w:iCs/>
          <w:lang w:val="el-GR"/>
        </w:rPr>
        <w:t xml:space="preserve"> της </w:t>
      </w:r>
      <w:proofErr w:type="spellStart"/>
      <w:r w:rsidR="0056505F" w:rsidRPr="006F4984">
        <w:rPr>
          <w:rFonts w:cstheme="minorHAnsi"/>
          <w:i/>
          <w:iCs/>
          <w:lang w:val="el-GR"/>
        </w:rPr>
        <w:t>ΕΑΤΕ</w:t>
      </w:r>
      <w:proofErr w:type="spellEnd"/>
      <w:r w:rsidR="0056505F" w:rsidRPr="006F4984">
        <w:rPr>
          <w:rFonts w:cstheme="minorHAnsi"/>
          <w:i/>
          <w:iCs/>
          <w:lang w:val="el-GR"/>
        </w:rPr>
        <w:t xml:space="preserve"> δεν παρέχει απλώς επενδυτικά κεφάλαια, αλλά δημιουργεί ευκαιρίες δικτύωσης, στρατηγικής καθοδήγησης και τεχνογνωσίας, επιτρέποντας στις μικρομεσαίες επιχειρήσεις να ανταγωνιστούν σε διεθνές επίπεδο. Η μελέτη ανάλυσης του οικονομικού και κοινωνικού αντικτύπου αυτού του οικοσυστήματος, τεκμηριώνει τον σημαντικό ρόλο της  ΕΑΤΕ στο επενδυτικό οικοσύστημα, καθώς διασφαλίζει τη βέλτιστη μόχλευση των κεφαλαίων που επενδύονται με ισχυρούς πολλαπλασιαστές σε τομείς-κλειδιά, ενισχύοντας τη μετάβαση προς μια πιο καινοτόμο οικονομία.</w:t>
      </w:r>
      <w:r w:rsidR="00D202FC" w:rsidRPr="006F4984">
        <w:rPr>
          <w:rFonts w:cstheme="minorHAnsi"/>
          <w:i/>
          <w:iCs/>
          <w:lang w:val="el-GR"/>
        </w:rPr>
        <w:t xml:space="preserve"> </w:t>
      </w:r>
      <w:r w:rsidR="0056505F" w:rsidRPr="006F4984">
        <w:rPr>
          <w:rFonts w:cstheme="minorHAnsi"/>
          <w:i/>
          <w:iCs/>
          <w:lang w:val="el-GR"/>
        </w:rPr>
        <w:t xml:space="preserve">Με αποφασιστικότητα και αποτελεσματικότητα επιταχύνουμε τις δράσεις που δημιουργούν προστιθέμενη αξία στην επιχειρηματικότητα, ενισχύουν τη δυναμική της βιώσιμης ανάπτυξης, δημιουργούν νέες και καλύτερα αμειβόμενες θέσεις εργασίας για όλους τους συμπολίτες </w:t>
      </w:r>
      <w:r w:rsidR="00D202FC" w:rsidRPr="006F4984">
        <w:rPr>
          <w:rFonts w:cstheme="minorHAnsi"/>
          <w:i/>
          <w:iCs/>
          <w:lang w:val="el-GR"/>
        </w:rPr>
        <w:t>μας.</w:t>
      </w:r>
      <w:r w:rsidR="006F4984" w:rsidRPr="006F4984">
        <w:rPr>
          <w:rFonts w:cstheme="minorHAnsi"/>
          <w:i/>
          <w:iCs/>
          <w:lang w:val="el-GR"/>
        </w:rPr>
        <w:t>»</w:t>
      </w:r>
    </w:p>
    <w:p w14:paraId="2B116CD3" w14:textId="77777777" w:rsidR="009058D6" w:rsidRDefault="009058D6" w:rsidP="0056505F">
      <w:pPr>
        <w:jc w:val="both"/>
        <w:rPr>
          <w:rFonts w:cstheme="minorHAnsi"/>
          <w:lang w:val="el-GR"/>
        </w:rPr>
      </w:pPr>
    </w:p>
    <w:p w14:paraId="72792B76" w14:textId="46C5BDDC" w:rsidR="003D04E3" w:rsidRPr="00F54820" w:rsidRDefault="003D04E3" w:rsidP="0056505F">
      <w:pPr>
        <w:jc w:val="both"/>
        <w:rPr>
          <w:rFonts w:cstheme="minorHAnsi"/>
          <w:lang w:val="el-GR"/>
        </w:rPr>
      </w:pPr>
      <w:r w:rsidRPr="00F54820">
        <w:rPr>
          <w:rFonts w:cstheme="minorHAnsi"/>
          <w:lang w:val="el-GR"/>
        </w:rPr>
        <w:t xml:space="preserve">Ο </w:t>
      </w:r>
      <w:r w:rsidRPr="00F54820">
        <w:rPr>
          <w:rFonts w:cstheme="minorHAnsi"/>
          <w:b/>
          <w:bCs/>
          <w:lang w:val="el-GR"/>
        </w:rPr>
        <w:t xml:space="preserve">Πρόεδρος </w:t>
      </w:r>
      <w:r w:rsidRPr="00F54820">
        <w:rPr>
          <w:rFonts w:cstheme="minorHAnsi"/>
          <w:lang w:val="el-GR"/>
        </w:rPr>
        <w:t xml:space="preserve">της </w:t>
      </w:r>
      <w:r w:rsidRPr="00694D11">
        <w:rPr>
          <w:rFonts w:cstheme="minorHAnsi"/>
          <w:b/>
          <w:bCs/>
          <w:lang w:val="el-GR"/>
        </w:rPr>
        <w:t>ΕΑΤΕ</w:t>
      </w:r>
      <w:r w:rsidRPr="00F54820">
        <w:rPr>
          <w:rFonts w:cstheme="minorHAnsi"/>
          <w:lang w:val="el-GR"/>
        </w:rPr>
        <w:t xml:space="preserve"> </w:t>
      </w:r>
      <w:r w:rsidRPr="00F54820">
        <w:rPr>
          <w:rFonts w:cstheme="minorHAnsi"/>
          <w:b/>
          <w:bCs/>
          <w:lang w:val="el-GR"/>
        </w:rPr>
        <w:t>κ. Χάρης Λαμπρόπουλος</w:t>
      </w:r>
      <w:r w:rsidRPr="00F54820">
        <w:rPr>
          <w:rFonts w:cstheme="minorHAnsi"/>
          <w:lang w:val="el-GR"/>
        </w:rPr>
        <w:t xml:space="preserve"> και η </w:t>
      </w:r>
      <w:r w:rsidRPr="00F54820">
        <w:rPr>
          <w:rFonts w:cstheme="minorHAnsi"/>
          <w:b/>
          <w:bCs/>
          <w:lang w:val="el-GR"/>
        </w:rPr>
        <w:t>Διευθύνουσα Σύμβουλος</w:t>
      </w:r>
      <w:r w:rsidRPr="00F54820">
        <w:rPr>
          <w:rFonts w:cstheme="minorHAnsi"/>
          <w:lang w:val="el-GR"/>
        </w:rPr>
        <w:t xml:space="preserve"> </w:t>
      </w:r>
      <w:r w:rsidRPr="00F54820">
        <w:rPr>
          <w:rFonts w:cstheme="minorHAnsi"/>
          <w:b/>
          <w:bCs/>
          <w:lang w:val="el-GR"/>
        </w:rPr>
        <w:t>κα. Αντιγόνη Λυμπεροπούλου</w:t>
      </w:r>
      <w:r w:rsidRPr="00F54820">
        <w:rPr>
          <w:rFonts w:cstheme="minorHAnsi"/>
          <w:lang w:val="el-GR"/>
        </w:rPr>
        <w:t xml:space="preserve">, ανέφεραν από την πλευρά τους: </w:t>
      </w:r>
      <w:r w:rsidRPr="00427AB0">
        <w:rPr>
          <w:rFonts w:cstheme="minorHAnsi"/>
          <w:i/>
          <w:iCs/>
          <w:lang w:val="el-GR"/>
        </w:rPr>
        <w:t>«Η Ελληνική Αναπτυξιακή Τράπεζα Επενδύσεων (πρώην ΤΑΝΕΟ) γιορτάζει φέτος 25 χρόνια παρουσίας και στρατηγικών παρεμβάσεων στην ελληνική επενδυτική αγορά. Τα στοιχεία της μελέτης τεκμηριώνουν το αποτέλεσμα της συστηματικής δουλειάς που γίνεται, με αποτέλεσμα η ΕΑΤΕ να συμβάλλει καθοριστικά στη διαμόρφωση ενός ισχυρού και εξωστρεφούς οικοσυστήματος, στηρίζοντας την ανάπτυξη και την καινοτομία, λειτουργώντας ως ο αξιόπιστος θεσμικός συνεπενδυτής και καταλύτης που ενισχύει την εμπιστοσύνη και προσελκύει διεθνή κεφάλαια. Θέλ</w:t>
      </w:r>
      <w:r w:rsidR="00DA411A">
        <w:rPr>
          <w:rFonts w:cstheme="minorHAnsi"/>
          <w:i/>
          <w:iCs/>
          <w:lang w:val="el-GR"/>
        </w:rPr>
        <w:t>ου</w:t>
      </w:r>
      <w:r w:rsidRPr="00427AB0">
        <w:rPr>
          <w:rFonts w:cstheme="minorHAnsi"/>
          <w:i/>
          <w:iCs/>
          <w:lang w:val="el-GR"/>
        </w:rPr>
        <w:t xml:space="preserve">με να εκφράσουμε τις θερμές μας ευχαριστίες προς όλους τους </w:t>
      </w:r>
      <w:r w:rsidRPr="00427AB0">
        <w:rPr>
          <w:rFonts w:cstheme="minorHAnsi"/>
          <w:i/>
          <w:iCs/>
        </w:rPr>
        <w:t>stakeholders</w:t>
      </w:r>
      <w:r w:rsidRPr="00427AB0">
        <w:rPr>
          <w:rFonts w:cstheme="minorHAnsi"/>
          <w:i/>
          <w:iCs/>
          <w:lang w:val="el-GR"/>
        </w:rPr>
        <w:t xml:space="preserve"> του οικοσυστήματος – τα επενδυτικά ταμεία (</w:t>
      </w:r>
      <w:r w:rsidRPr="00427AB0">
        <w:rPr>
          <w:rFonts w:cstheme="minorHAnsi"/>
          <w:i/>
          <w:iCs/>
        </w:rPr>
        <w:t>VC</w:t>
      </w:r>
      <w:r w:rsidRPr="00427AB0">
        <w:rPr>
          <w:rFonts w:cstheme="minorHAnsi"/>
          <w:i/>
          <w:iCs/>
          <w:lang w:val="el-GR"/>
        </w:rPr>
        <w:t>/</w:t>
      </w:r>
      <w:r w:rsidRPr="00427AB0">
        <w:rPr>
          <w:rFonts w:cstheme="minorHAnsi"/>
          <w:i/>
          <w:iCs/>
        </w:rPr>
        <w:t>PE</w:t>
      </w:r>
      <w:r w:rsidRPr="00427AB0">
        <w:rPr>
          <w:rFonts w:cstheme="minorHAnsi"/>
          <w:i/>
          <w:iCs/>
          <w:lang w:val="el-GR"/>
        </w:rPr>
        <w:t xml:space="preserve">), τις νεοφυείς και μικρομεσαίες επιχειρήσεις, τους διεθνείς, θεσμικούς και ιδιώτες επενδυτές – καθώς και προς το Υπουργείο Εθνικής Οικονομίας και Οικονομικών για την αμέριστη υποστήριξή τους. Η εμπιστοσύνη τους είναι η κινητήριος δύναμη πίσω από την ανάπτυξη της ΕΑΤΕ και την εδραίωσή της ως βασικού επενδυτικού πυλώνα της ελληνικής οικονομίας. Η νέα γενιά επιχειρηματιών είναι έτοιμη να καινοτομήσει, το ελληνικό ταλέντο αναγνωρίζεται </w:t>
      </w:r>
      <w:r w:rsidRPr="00427AB0">
        <w:rPr>
          <w:rFonts w:cstheme="minorHAnsi"/>
          <w:i/>
          <w:iCs/>
          <w:lang w:val="el-GR"/>
        </w:rPr>
        <w:lastRenderedPageBreak/>
        <w:t>διεθνώς και η χώρα προσελκύει επενδυτές που βλέπουν τις ευκαιρίες της ελληνικής αγοράς. Η ΕΑΤΕ,  με νέες διεθνείς συνεργασίες, διεύρυνση των επενδυτικών της σχημάτων και τη στόχευση σε τομείς υψηλής προστιθέμενης αξίας, θα συνεχίσει να ενισχύει περαιτέρω το αποτύπωμά της, επενδύοντας σε ένα βιώσιμο μέλλον για την εθνική οικονομία και την επιχειρηματική ανάπτυξη.»</w:t>
      </w:r>
    </w:p>
    <w:p w14:paraId="233223A6" w14:textId="77777777" w:rsidR="00F15C3F" w:rsidRPr="00F54820" w:rsidRDefault="00F15C3F" w:rsidP="00F15C3F">
      <w:pPr>
        <w:spacing w:after="120"/>
        <w:jc w:val="both"/>
        <w:rPr>
          <w:rFonts w:cstheme="minorHAnsi"/>
          <w:iCs/>
          <w:lang w:val="el-GR"/>
        </w:rPr>
      </w:pPr>
    </w:p>
    <w:p w14:paraId="558E678D" w14:textId="166ACCFA" w:rsidR="00F15C3F" w:rsidRPr="00F54820" w:rsidRDefault="00F15C3F" w:rsidP="00F15C3F">
      <w:pPr>
        <w:spacing w:after="120"/>
        <w:jc w:val="both"/>
        <w:rPr>
          <w:rFonts w:eastAsia="Calibri Light" w:cstheme="minorHAnsi"/>
          <w:i/>
          <w:iCs/>
          <w:lang w:val="el-GR"/>
        </w:rPr>
      </w:pPr>
      <w:r w:rsidRPr="00F54820">
        <w:rPr>
          <w:rFonts w:eastAsia="Calibri Light" w:cstheme="minorHAnsi"/>
          <w:lang w:val="el-GR"/>
        </w:rPr>
        <w:t xml:space="preserve">Τέλος, εκ μέρους της </w:t>
      </w:r>
      <w:r w:rsidRPr="00F54820">
        <w:rPr>
          <w:rFonts w:eastAsia="Calibri Light" w:cstheme="minorHAnsi"/>
          <w:b/>
          <w:bCs/>
          <w:lang w:val="el-GR"/>
        </w:rPr>
        <w:t>Deloitte</w:t>
      </w:r>
      <w:r w:rsidRPr="00F54820">
        <w:rPr>
          <w:rFonts w:eastAsia="Calibri Light" w:cstheme="minorHAnsi"/>
          <w:lang w:val="el-GR"/>
        </w:rPr>
        <w:t xml:space="preserve">, ο </w:t>
      </w:r>
      <w:r w:rsidRPr="00F54820">
        <w:rPr>
          <w:rFonts w:eastAsia="Calibri Light" w:cstheme="minorHAnsi"/>
          <w:b/>
          <w:bCs/>
          <w:lang w:val="el-GR"/>
        </w:rPr>
        <w:t xml:space="preserve">κ. Σωτήρης </w:t>
      </w:r>
      <w:proofErr w:type="spellStart"/>
      <w:r w:rsidRPr="00F54820">
        <w:rPr>
          <w:rFonts w:eastAsia="Calibri Light" w:cstheme="minorHAnsi"/>
          <w:b/>
          <w:bCs/>
          <w:lang w:val="el-GR"/>
        </w:rPr>
        <w:t>Μπατζιάς</w:t>
      </w:r>
      <w:proofErr w:type="spellEnd"/>
      <w:r w:rsidRPr="00F54820">
        <w:rPr>
          <w:rFonts w:eastAsia="Calibri Light" w:cstheme="minorHAnsi"/>
          <w:b/>
          <w:bCs/>
          <w:lang w:val="el-GR"/>
        </w:rPr>
        <w:t xml:space="preserve">, </w:t>
      </w:r>
      <w:proofErr w:type="spellStart"/>
      <w:r w:rsidRPr="00F54820">
        <w:rPr>
          <w:rFonts w:eastAsia="Calibri Light" w:cstheme="minorHAnsi"/>
          <w:b/>
          <w:bCs/>
          <w:lang w:val="el-GR"/>
        </w:rPr>
        <w:t>Partner</w:t>
      </w:r>
      <w:proofErr w:type="spellEnd"/>
      <w:r w:rsidRPr="00F54820">
        <w:rPr>
          <w:rFonts w:eastAsia="Calibri Light" w:cstheme="minorHAnsi"/>
          <w:b/>
          <w:bCs/>
          <w:lang w:val="el-GR"/>
        </w:rPr>
        <w:t xml:space="preserve">, </w:t>
      </w:r>
      <w:r w:rsidRPr="00F54820">
        <w:rPr>
          <w:rFonts w:eastAsia="Calibri Light" w:cstheme="minorHAnsi"/>
          <w:b/>
          <w:bCs/>
        </w:rPr>
        <w:t>Strategy</w:t>
      </w:r>
      <w:r w:rsidRPr="00F54820">
        <w:rPr>
          <w:rFonts w:eastAsia="Calibri Light" w:cstheme="minorHAnsi"/>
          <w:b/>
          <w:bCs/>
          <w:lang w:val="el-GR"/>
        </w:rPr>
        <w:t xml:space="preserve"> &amp; </w:t>
      </w:r>
      <w:r w:rsidRPr="00F54820">
        <w:rPr>
          <w:rFonts w:eastAsia="Calibri Light" w:cstheme="minorHAnsi"/>
          <w:b/>
          <w:bCs/>
        </w:rPr>
        <w:t>Transactions</w:t>
      </w:r>
      <w:r w:rsidRPr="00F54820">
        <w:rPr>
          <w:rFonts w:eastAsia="Calibri Light" w:cstheme="minorHAnsi"/>
          <w:lang w:val="el-GR"/>
        </w:rPr>
        <w:t>, ανέφερε: «</w:t>
      </w:r>
      <w:r w:rsidRPr="00F54820">
        <w:rPr>
          <w:rFonts w:eastAsia="Calibri Light" w:cstheme="minorHAnsi"/>
          <w:i/>
          <w:iCs/>
          <w:lang w:val="el-GR"/>
        </w:rPr>
        <w:t>Είναι ιδιαίτερη χαρά μας που συνεργαστήκαμε με την ΕΑΤΕ - έναν τόσο σημαντικό φορέα του ελληνικού επενδυτικού οικοσυστήματος - για την εκπόνηση της εν λόγω μελέτης αντικτύπου. Τα αποτελέσματα αναδεικνύουν ότι η Ελληνική Αναπτυξιακή Τράπεζα Επενδύσεων συμβάλλει καθοριστικά στην ανάπτυξη και ανθεκτικότητα της ελληνικής οικονομίας μέσω στοχευμένων επενδύσεων σε καινοτόμους και στρατηγικούς τομείς, αλλά και της συνεχούς ενίσχυσης του οικοσυστήματος κεφαλαίων επιχειρηματικών συμμετοχών (VC και PE). Παράλληλα, διαδραματίζει ενεργό ρόλο στη διαμόρφωση ενός ευνοϊκού επενδυτικού περιβάλλοντος και την προσέλκυση ξένων άμεσων επενδύσεων (FDI). Ως Deloitte, είμαστε αισιόδοξοι ότι το επιχειρηματικό οικοσύστημα της Ελλάδας θα συνεχίσει να ενισχύεται με τη συμβολή και της ΕΑΤΕ, με σημαντικό ρόλο στην ευρύτερη ανάπτυξη και ανταγωνιστικότητα της ελληνικής οικονομίας</w:t>
      </w:r>
      <w:r w:rsidR="000A4CAC" w:rsidRPr="00F54820">
        <w:rPr>
          <w:rFonts w:eastAsia="Calibri Light" w:cstheme="minorHAnsi"/>
          <w:i/>
          <w:iCs/>
          <w:lang w:val="el-GR"/>
        </w:rPr>
        <w:t>.</w:t>
      </w:r>
      <w:r w:rsidRPr="00F54820">
        <w:rPr>
          <w:rFonts w:eastAsia="Calibri Light" w:cstheme="minorHAnsi"/>
          <w:i/>
          <w:iCs/>
          <w:lang w:val="el-GR"/>
        </w:rPr>
        <w:t>»</w:t>
      </w:r>
    </w:p>
    <w:p w14:paraId="53277AAB" w14:textId="77777777" w:rsidR="00F15C3F" w:rsidRDefault="00F15C3F" w:rsidP="00F15C3F">
      <w:pPr>
        <w:spacing w:after="120"/>
        <w:jc w:val="both"/>
        <w:rPr>
          <w:rFonts w:cstheme="minorHAnsi"/>
          <w:iCs/>
          <w:strike/>
          <w:lang w:val="el-GR"/>
        </w:rPr>
      </w:pPr>
    </w:p>
    <w:p w14:paraId="370847D7" w14:textId="77777777" w:rsidR="00D10E0F" w:rsidRPr="00D10E0F" w:rsidRDefault="00D10E0F" w:rsidP="00F15C3F">
      <w:pPr>
        <w:spacing w:after="120"/>
        <w:jc w:val="both"/>
        <w:rPr>
          <w:rFonts w:cstheme="minorHAnsi"/>
          <w:iCs/>
          <w:strike/>
          <w:lang w:val="el-GR"/>
        </w:rPr>
      </w:pPr>
    </w:p>
    <w:p w14:paraId="21B13F5F" w14:textId="77777777" w:rsidR="00F15C3F" w:rsidRPr="00F54820" w:rsidRDefault="00F15C3F" w:rsidP="00F15C3F">
      <w:pPr>
        <w:spacing w:after="120"/>
        <w:jc w:val="both"/>
        <w:rPr>
          <w:rFonts w:cstheme="minorHAnsi"/>
          <w:b/>
          <w:bCs/>
          <w:color w:val="5B9BD5" w:themeColor="accent5"/>
          <w:sz w:val="24"/>
          <w:szCs w:val="24"/>
          <w:lang w:val="el-GR"/>
        </w:rPr>
      </w:pPr>
      <w:r w:rsidRPr="00F54820">
        <w:rPr>
          <w:rFonts w:cstheme="minorHAnsi"/>
          <w:b/>
          <w:bCs/>
          <w:color w:val="5B9BD5" w:themeColor="accent5"/>
          <w:sz w:val="24"/>
          <w:szCs w:val="24"/>
          <w:lang w:val="el-GR"/>
        </w:rPr>
        <w:t>Μεθοδολογία και περίμετρος μελέτης</w:t>
      </w:r>
    </w:p>
    <w:p w14:paraId="27D8E1AD" w14:textId="5220975F" w:rsidR="00F15C3F" w:rsidRPr="00F54820" w:rsidRDefault="009D424F" w:rsidP="00F15C3F">
      <w:pPr>
        <w:spacing w:after="120"/>
        <w:jc w:val="both"/>
        <w:rPr>
          <w:rFonts w:cstheme="minorHAnsi"/>
          <w:lang w:val="el-GR"/>
        </w:rPr>
      </w:pPr>
      <w:r w:rsidRPr="00F54820">
        <w:rPr>
          <w:rFonts w:cstheme="minorHAnsi"/>
          <w:noProof/>
        </w:rPr>
        <w:drawing>
          <wp:anchor distT="0" distB="0" distL="114300" distR="114300" simplePos="0" relativeHeight="251659264" behindDoc="1" locked="0" layoutInCell="1" allowOverlap="1" wp14:anchorId="0E14B683" wp14:editId="475BF911">
            <wp:simplePos x="0" y="0"/>
            <wp:positionH relativeFrom="column">
              <wp:posOffset>19050</wp:posOffset>
            </wp:positionH>
            <wp:positionV relativeFrom="paragraph">
              <wp:posOffset>392430</wp:posOffset>
            </wp:positionV>
            <wp:extent cx="1991559" cy="679450"/>
            <wp:effectExtent l="0" t="0" r="8890" b="6350"/>
            <wp:wrapTight wrapText="bothSides">
              <wp:wrapPolygon edited="0">
                <wp:start x="0" y="0"/>
                <wp:lineTo x="0" y="21196"/>
                <wp:lineTo x="21490" y="21196"/>
                <wp:lineTo x="21490" y="0"/>
                <wp:lineTo x="0" y="0"/>
              </wp:wrapPolygon>
            </wp:wrapTight>
            <wp:docPr id="854705475" name="Picture 854705475"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705475" name="Picture 854705475" descr="A close up of a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1559"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F15C3F" w:rsidRPr="00F54820">
        <w:rPr>
          <w:rFonts w:cstheme="minorHAnsi"/>
          <w:lang w:val="el-GR"/>
        </w:rPr>
        <w:t xml:space="preserve">Η μελέτη βασίζεται σε εμπεριστατωμένη και διεθνώς αναγνωρισμένη μεθοδολογία που περιλαμβάνει την </w:t>
      </w:r>
      <w:r w:rsidR="00F15C3F" w:rsidRPr="00F54820">
        <w:rPr>
          <w:rFonts w:cstheme="minorHAnsi"/>
          <w:b/>
          <w:bCs/>
          <w:lang w:val="el-GR"/>
        </w:rPr>
        <w:t>αποτίμηση</w:t>
      </w:r>
      <w:r w:rsidR="00F15C3F" w:rsidRPr="00F54820">
        <w:rPr>
          <w:rFonts w:cstheme="minorHAnsi"/>
          <w:lang w:val="el-GR"/>
        </w:rPr>
        <w:t xml:space="preserve"> </w:t>
      </w:r>
      <w:r w:rsidR="00F15C3F" w:rsidRPr="00F54820">
        <w:rPr>
          <w:rFonts w:cstheme="minorHAnsi"/>
          <w:b/>
          <w:bCs/>
          <w:lang w:val="el-GR"/>
        </w:rPr>
        <w:t>των άμεσων</w:t>
      </w:r>
      <w:r w:rsidR="00F15C3F" w:rsidRPr="00F54820">
        <w:rPr>
          <w:rFonts w:cstheme="minorHAnsi"/>
          <w:lang w:val="el-GR"/>
        </w:rPr>
        <w:t xml:space="preserve">, </w:t>
      </w:r>
      <w:r w:rsidR="00F15C3F" w:rsidRPr="00F54820">
        <w:rPr>
          <w:rFonts w:cstheme="minorHAnsi"/>
          <w:b/>
          <w:bCs/>
          <w:lang w:val="el-GR"/>
        </w:rPr>
        <w:t>έμμεσων</w:t>
      </w:r>
      <w:r w:rsidR="00F15C3F" w:rsidRPr="00F54820">
        <w:rPr>
          <w:rFonts w:cstheme="minorHAnsi"/>
          <w:lang w:val="el-GR"/>
        </w:rPr>
        <w:t xml:space="preserve"> και </w:t>
      </w:r>
      <w:r w:rsidR="00F15C3F" w:rsidRPr="00F54820">
        <w:rPr>
          <w:rFonts w:cstheme="minorHAnsi"/>
          <w:b/>
          <w:bCs/>
          <w:lang w:val="el-GR"/>
        </w:rPr>
        <w:t xml:space="preserve">επαγόμενων οικονομικών επιπτώσεων </w:t>
      </w:r>
      <w:r w:rsidR="00F15C3F" w:rsidRPr="00F54820">
        <w:rPr>
          <w:rFonts w:cstheme="minorHAnsi"/>
          <w:lang w:val="el-GR"/>
        </w:rPr>
        <w:t>που</w:t>
      </w:r>
      <w:r w:rsidR="00F15C3F" w:rsidRPr="00F54820">
        <w:rPr>
          <w:rFonts w:cstheme="minorHAnsi"/>
          <w:b/>
          <w:bCs/>
          <w:lang w:val="el-GR"/>
        </w:rPr>
        <w:t xml:space="preserve"> προκύπτουν ως αποτέλεσμα</w:t>
      </w:r>
      <w:r w:rsidR="00F15C3F" w:rsidRPr="00F54820">
        <w:rPr>
          <w:rFonts w:cstheme="minorHAnsi"/>
          <w:lang w:val="el-GR"/>
        </w:rPr>
        <w:t xml:space="preserve"> </w:t>
      </w:r>
      <w:r w:rsidR="00F15C3F" w:rsidRPr="00F54820">
        <w:rPr>
          <w:rFonts w:cstheme="minorHAnsi"/>
          <w:b/>
          <w:bCs/>
          <w:lang w:val="el-GR"/>
        </w:rPr>
        <w:t>διαδοχικών "κυμάτων" οικονομικής δραστηριότητας</w:t>
      </w:r>
      <w:r w:rsidR="00F15C3F" w:rsidRPr="00F54820">
        <w:rPr>
          <w:rFonts w:cstheme="minorHAnsi"/>
          <w:lang w:val="el-GR"/>
        </w:rPr>
        <w:t xml:space="preserve"> που διατηρούνται σε </w:t>
      </w:r>
      <w:r w:rsidR="00F15C3F" w:rsidRPr="00F54820">
        <w:rPr>
          <w:rFonts w:cstheme="minorHAnsi"/>
          <w:b/>
          <w:bCs/>
          <w:lang w:val="el-GR"/>
        </w:rPr>
        <w:t xml:space="preserve">όλο το οικοσύστημα της </w:t>
      </w:r>
      <w:proofErr w:type="spellStart"/>
      <w:r w:rsidR="00F15C3F" w:rsidRPr="00F54820">
        <w:rPr>
          <w:rFonts w:cstheme="minorHAnsi"/>
          <w:b/>
          <w:bCs/>
          <w:lang w:val="el-GR"/>
        </w:rPr>
        <w:t>ΕΑΤΕ</w:t>
      </w:r>
      <w:proofErr w:type="spellEnd"/>
      <w:r w:rsidR="00F15C3F" w:rsidRPr="00F54820">
        <w:rPr>
          <w:rFonts w:cstheme="minorHAnsi"/>
          <w:lang w:val="el-GR"/>
        </w:rPr>
        <w:t xml:space="preserve">, ήτοι του </w:t>
      </w:r>
      <w:r w:rsidR="00F15C3F" w:rsidRPr="00F54820">
        <w:rPr>
          <w:rFonts w:cstheme="minorHAnsi"/>
          <w:b/>
          <w:bCs/>
          <w:lang w:val="el-GR"/>
        </w:rPr>
        <w:t xml:space="preserve">δικτύου των </w:t>
      </w:r>
      <w:proofErr w:type="spellStart"/>
      <w:r w:rsidR="00F15C3F" w:rsidRPr="00F54820">
        <w:rPr>
          <w:rFonts w:cstheme="minorHAnsi"/>
          <w:b/>
          <w:bCs/>
          <w:lang w:val="el-GR"/>
        </w:rPr>
        <w:t>VC</w:t>
      </w:r>
      <w:proofErr w:type="spellEnd"/>
      <w:r w:rsidR="00F15C3F" w:rsidRPr="00F54820">
        <w:rPr>
          <w:rFonts w:cstheme="minorHAnsi"/>
          <w:b/>
          <w:bCs/>
          <w:lang w:val="el-GR"/>
        </w:rPr>
        <w:t>/</w:t>
      </w:r>
      <w:proofErr w:type="spellStart"/>
      <w:r w:rsidR="00F15C3F" w:rsidRPr="00F54820">
        <w:rPr>
          <w:rFonts w:cstheme="minorHAnsi"/>
          <w:b/>
          <w:bCs/>
          <w:lang w:val="el-GR"/>
        </w:rPr>
        <w:t>PE</w:t>
      </w:r>
      <w:proofErr w:type="spellEnd"/>
      <w:r w:rsidR="00F15C3F" w:rsidRPr="00F54820">
        <w:rPr>
          <w:rFonts w:cstheme="minorHAnsi"/>
          <w:lang w:val="el-GR"/>
        </w:rPr>
        <w:t xml:space="preserve">, των </w:t>
      </w:r>
      <w:r w:rsidR="00F15C3F" w:rsidRPr="00F54820">
        <w:rPr>
          <w:rFonts w:cstheme="minorHAnsi"/>
          <w:b/>
          <w:bCs/>
          <w:lang w:val="el-GR"/>
        </w:rPr>
        <w:t>εταιρειών χαρτοφυλακίου</w:t>
      </w:r>
      <w:r w:rsidR="00F15C3F" w:rsidRPr="00F54820">
        <w:rPr>
          <w:rFonts w:cstheme="minorHAnsi"/>
          <w:lang w:val="el-GR"/>
        </w:rPr>
        <w:t xml:space="preserve"> (</w:t>
      </w:r>
      <w:r w:rsidR="00F15C3F" w:rsidRPr="00F54820">
        <w:rPr>
          <w:rFonts w:cstheme="minorHAnsi"/>
          <w:b/>
          <w:bCs/>
        </w:rPr>
        <w:t>p</w:t>
      </w:r>
      <w:proofErr w:type="spellStart"/>
      <w:r w:rsidR="00F15C3F" w:rsidRPr="00F54820">
        <w:rPr>
          <w:rFonts w:cstheme="minorHAnsi"/>
          <w:b/>
          <w:bCs/>
          <w:lang w:val="el-GR"/>
        </w:rPr>
        <w:t>ortfolio</w:t>
      </w:r>
      <w:proofErr w:type="spellEnd"/>
      <w:r w:rsidR="00F15C3F" w:rsidRPr="00F54820">
        <w:rPr>
          <w:rFonts w:cstheme="minorHAnsi"/>
          <w:b/>
          <w:bCs/>
          <w:lang w:val="el-GR"/>
        </w:rPr>
        <w:t xml:space="preserve"> </w:t>
      </w:r>
      <w:r w:rsidR="00F15C3F" w:rsidRPr="00F54820">
        <w:rPr>
          <w:rFonts w:cstheme="minorHAnsi"/>
          <w:b/>
          <w:bCs/>
        </w:rPr>
        <w:t>c</w:t>
      </w:r>
      <w:proofErr w:type="spellStart"/>
      <w:r w:rsidR="00F15C3F" w:rsidRPr="00F54820">
        <w:rPr>
          <w:rFonts w:cstheme="minorHAnsi"/>
          <w:b/>
          <w:bCs/>
          <w:lang w:val="el-GR"/>
        </w:rPr>
        <w:t>ompanies</w:t>
      </w:r>
      <w:proofErr w:type="spellEnd"/>
      <w:r w:rsidR="00F15C3F" w:rsidRPr="00F54820">
        <w:rPr>
          <w:rFonts w:cstheme="minorHAnsi"/>
          <w:lang w:val="el-GR"/>
        </w:rPr>
        <w:t xml:space="preserve">) </w:t>
      </w:r>
      <w:r w:rsidR="00F15C3F" w:rsidRPr="00F54820">
        <w:rPr>
          <w:rFonts w:cstheme="minorHAnsi"/>
          <w:b/>
          <w:bCs/>
          <w:lang w:val="el-GR"/>
        </w:rPr>
        <w:t>- αποδεκτών των επενδυτικών κεφαλαίων</w:t>
      </w:r>
      <w:r w:rsidR="00F15C3F" w:rsidRPr="00F54820">
        <w:rPr>
          <w:rFonts w:cstheme="minorHAnsi"/>
          <w:lang w:val="el-GR"/>
        </w:rPr>
        <w:t xml:space="preserve">, της ίδιας της </w:t>
      </w:r>
      <w:proofErr w:type="spellStart"/>
      <w:r w:rsidR="00F15C3F" w:rsidRPr="00F54820">
        <w:rPr>
          <w:rFonts w:cstheme="minorHAnsi"/>
          <w:lang w:val="el-GR"/>
        </w:rPr>
        <w:t>ΕΑΤΕ</w:t>
      </w:r>
      <w:proofErr w:type="spellEnd"/>
      <w:r w:rsidR="00F15C3F" w:rsidRPr="00F54820">
        <w:rPr>
          <w:rFonts w:cstheme="minorHAnsi"/>
          <w:lang w:val="el-GR"/>
        </w:rPr>
        <w:t xml:space="preserve">, καθώς και των συναφών αλυσίδων αξίας των συμμετεχόντων στο οικοσύστημα αλλά και των απασχολούμενων αυτών. </w:t>
      </w:r>
    </w:p>
    <w:p w14:paraId="46566C3C" w14:textId="698190C7" w:rsidR="00F15C3F" w:rsidRPr="00F54820" w:rsidRDefault="00F15C3F" w:rsidP="00F15C3F">
      <w:pPr>
        <w:spacing w:after="120"/>
        <w:jc w:val="both"/>
        <w:rPr>
          <w:rFonts w:cstheme="minorHAnsi"/>
          <w:lang w:val="el-GR"/>
        </w:rPr>
      </w:pPr>
      <w:r w:rsidRPr="00F54820">
        <w:rPr>
          <w:rFonts w:cstheme="minorHAnsi"/>
          <w:lang w:val="el-GR"/>
        </w:rPr>
        <w:t xml:space="preserve">Είναι σημαντικό να τονιστεί ότι </w:t>
      </w:r>
      <w:r w:rsidRPr="00F54820">
        <w:rPr>
          <w:rFonts w:cstheme="minorHAnsi"/>
          <w:b/>
          <w:bCs/>
          <w:lang w:val="el-GR"/>
        </w:rPr>
        <w:t>για τη συλλογή των δεδομένων</w:t>
      </w:r>
      <w:r w:rsidRPr="00F54820">
        <w:rPr>
          <w:rFonts w:cstheme="minorHAnsi"/>
          <w:lang w:val="el-GR"/>
        </w:rPr>
        <w:t xml:space="preserve"> που αφορούν στην οικονομική δραστηριότητα των VC/PE και των εταιρειών χαρτοφυλακίου </w:t>
      </w:r>
      <w:r w:rsidRPr="00F54820">
        <w:rPr>
          <w:rFonts w:cstheme="minorHAnsi"/>
          <w:b/>
          <w:bCs/>
          <w:lang w:val="el-GR"/>
        </w:rPr>
        <w:t>διενεργήθηκε πρωτογενής έρευνα</w:t>
      </w:r>
      <w:r w:rsidRPr="00F54820">
        <w:rPr>
          <w:rFonts w:cstheme="minorHAnsi"/>
          <w:lang w:val="el-GR"/>
        </w:rPr>
        <w:t>.</w:t>
      </w:r>
    </w:p>
    <w:p w14:paraId="5AC99DF4" w14:textId="0BC65110" w:rsidR="008218E2" w:rsidRPr="00F54820" w:rsidRDefault="008218E2" w:rsidP="00F15C3F">
      <w:pPr>
        <w:spacing w:after="120"/>
        <w:jc w:val="both"/>
        <w:rPr>
          <w:rFonts w:cstheme="minorHAnsi"/>
          <w:lang w:val="el-GR"/>
        </w:rPr>
      </w:pPr>
    </w:p>
    <w:p w14:paraId="4B336A49" w14:textId="77777777" w:rsidR="00F15C3F" w:rsidRPr="00F54820" w:rsidRDefault="00F15C3F" w:rsidP="00F15C3F">
      <w:pPr>
        <w:spacing w:after="120"/>
        <w:jc w:val="both"/>
        <w:rPr>
          <w:rFonts w:cstheme="minorHAnsi"/>
          <w:lang w:val="el-GR"/>
        </w:rPr>
      </w:pPr>
      <w:r w:rsidRPr="00F54820">
        <w:rPr>
          <w:rFonts w:cstheme="minorHAnsi"/>
          <w:lang w:val="el-GR"/>
        </w:rPr>
        <w:t xml:space="preserve">Σημειώνεται ότι </w:t>
      </w:r>
      <w:r w:rsidRPr="00F54820">
        <w:rPr>
          <w:rFonts w:cstheme="minorHAnsi"/>
          <w:b/>
          <w:bCs/>
          <w:lang w:val="el-GR"/>
        </w:rPr>
        <w:t xml:space="preserve">τα τελευταία χρόνια, εναλλακτικές </w:t>
      </w:r>
      <w:r w:rsidRPr="00F54820">
        <w:rPr>
          <w:rFonts w:cstheme="minorHAnsi"/>
          <w:lang w:val="el-GR"/>
        </w:rPr>
        <w:t xml:space="preserve">πηγές χρηματοδότησης όπως </w:t>
      </w:r>
      <w:r w:rsidRPr="00F54820">
        <w:rPr>
          <w:rFonts w:cstheme="minorHAnsi"/>
          <w:b/>
          <w:bCs/>
          <w:lang w:val="el-GR"/>
        </w:rPr>
        <w:t xml:space="preserve">τα κεφάλαια επιχειρηματικών συμμετοχών τα οποία με την υποστήριξη και της ΕΑΤΕ έχουν ενεργοποιηθεί στη χώρα μας, </w:t>
      </w:r>
      <w:r w:rsidRPr="00F54820">
        <w:rPr>
          <w:rFonts w:cstheme="minorHAnsi"/>
          <w:lang w:val="el-GR"/>
        </w:rPr>
        <w:t xml:space="preserve">έχουν αποκτήσει εξέχουσα θέση, ιδίως για τις νεοφυείς επιχειρήσεις και τις ταχέως αναπτυσσόμενες επιχειρήσεις, καθώς προσφέρουν όχι μόνο οικονομική υποστήριξη, αλλά </w:t>
      </w:r>
      <w:r w:rsidRPr="00F54820">
        <w:rPr>
          <w:rFonts w:cstheme="minorHAnsi"/>
          <w:b/>
          <w:bCs/>
          <w:lang w:val="el-GR"/>
        </w:rPr>
        <w:t>και στρατηγική καθοδήγηση</w:t>
      </w:r>
      <w:r w:rsidRPr="00F54820">
        <w:rPr>
          <w:rFonts w:cstheme="minorHAnsi"/>
          <w:lang w:val="el-GR"/>
        </w:rPr>
        <w:t xml:space="preserve">, </w:t>
      </w:r>
      <w:r w:rsidRPr="00F54820">
        <w:rPr>
          <w:rFonts w:cstheme="minorHAnsi"/>
          <w:b/>
          <w:bCs/>
          <w:lang w:val="el-GR"/>
        </w:rPr>
        <w:t>διαμοιρασμό</w:t>
      </w:r>
      <w:r w:rsidRPr="00F54820">
        <w:rPr>
          <w:rFonts w:cstheme="minorHAnsi"/>
          <w:lang w:val="el-GR"/>
        </w:rPr>
        <w:t xml:space="preserve"> </w:t>
      </w:r>
      <w:r w:rsidRPr="00F54820">
        <w:rPr>
          <w:rFonts w:cstheme="minorHAnsi"/>
          <w:b/>
          <w:bCs/>
          <w:lang w:val="el-GR"/>
        </w:rPr>
        <w:t xml:space="preserve">τεχνογνωσίας </w:t>
      </w:r>
      <w:r w:rsidRPr="00F54820">
        <w:rPr>
          <w:rFonts w:cstheme="minorHAnsi"/>
          <w:lang w:val="el-GR"/>
        </w:rPr>
        <w:t xml:space="preserve">και </w:t>
      </w:r>
      <w:r w:rsidRPr="00F54820">
        <w:rPr>
          <w:rFonts w:cstheme="minorHAnsi"/>
          <w:b/>
          <w:bCs/>
          <w:lang w:val="el-GR"/>
        </w:rPr>
        <w:t>ευκαιρίες δικτύωσης</w:t>
      </w:r>
      <w:r w:rsidRPr="00F54820">
        <w:rPr>
          <w:rFonts w:cstheme="minorHAnsi"/>
          <w:lang w:val="el-GR"/>
        </w:rPr>
        <w:t>, καθιστώντας τα ελκυστικές επιλογές για επιχειρήσεις που επιθυμούν να επεκταθούν γρήγορα και να ανταγωνιστούν σε εξαιρετικά ανταγωνιστικές αγορές.</w:t>
      </w:r>
    </w:p>
    <w:p w14:paraId="4E2FB172" w14:textId="0AB14EBF" w:rsidR="00126272" w:rsidRPr="00F54820" w:rsidRDefault="00126272" w:rsidP="008E73FD">
      <w:pPr>
        <w:spacing w:after="120" w:line="240" w:lineRule="auto"/>
        <w:rPr>
          <w:rFonts w:cstheme="minorHAnsi"/>
          <w:lang w:val="el-GR"/>
        </w:rPr>
      </w:pPr>
    </w:p>
    <w:sectPr w:rsidR="00126272" w:rsidRPr="00F54820" w:rsidSect="00450769">
      <w:headerReference w:type="default" r:id="rId9"/>
      <w:footerReference w:type="default" r:id="rId10"/>
      <w:pgSz w:w="12240" w:h="15840"/>
      <w:pgMar w:top="1440" w:right="1080" w:bottom="1440" w:left="1080" w:header="850"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B9279" w14:textId="77777777" w:rsidR="00A74553" w:rsidRDefault="00A74553">
      <w:pPr>
        <w:spacing w:after="0" w:line="240" w:lineRule="auto"/>
      </w:pPr>
      <w:r>
        <w:separator/>
      </w:r>
    </w:p>
  </w:endnote>
  <w:endnote w:type="continuationSeparator" w:id="0">
    <w:p w14:paraId="6FA95717" w14:textId="77777777" w:rsidR="00A74553" w:rsidRDefault="00A74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285001"/>
      <w:docPartObj>
        <w:docPartGallery w:val="Page Numbers (Bottom of Page)"/>
        <w:docPartUnique/>
      </w:docPartObj>
    </w:sdtPr>
    <w:sdtEndPr>
      <w:rPr>
        <w:noProof/>
      </w:rPr>
    </w:sdtEndPr>
    <w:sdtContent>
      <w:p w14:paraId="4ACA0A57" w14:textId="7E54AB73" w:rsidR="005E5333" w:rsidRDefault="004059B9" w:rsidP="004059B9">
        <w:pPr>
          <w:pStyle w:val="a4"/>
          <w:tabs>
            <w:tab w:val="clear" w:pos="9360"/>
          </w:tabs>
          <w:ind w:left="-1418" w:right="-1413"/>
          <w:jc w:val="center"/>
        </w:pPr>
        <w:r>
          <w:rPr>
            <w:noProof/>
            <w:lang w:val="el-GR" w:eastAsia="el-GR"/>
          </w:rPr>
          <w:drawing>
            <wp:inline distT="0" distB="0" distL="0" distR="0" wp14:anchorId="11425C8F" wp14:editId="60F9C594">
              <wp:extent cx="7717301" cy="502254"/>
              <wp:effectExtent l="0" t="0" r="0" b="0"/>
              <wp:docPr id="26" name="Εικόνα 16" descr="C:\Users\User\Desktop\MAGIQ-DOORZ\EATE\2020-08\GR\EATE_202008_e-Letterhead(Footer)GR-FIN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esktop\MAGIQ-DOORZ\EATE\2020-08\GR\EATE_202008_e-Letterhead(Footer)GR-FINAL-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0190" cy="546047"/>
                      </a:xfrm>
                      <a:prstGeom prst="rect">
                        <a:avLst/>
                      </a:prstGeom>
                      <a:noFill/>
                      <a:ln>
                        <a:noFill/>
                      </a:ln>
                    </pic:spPr>
                  </pic:pic>
                </a:graphicData>
              </a:graphic>
            </wp:inline>
          </w:drawing>
        </w:r>
      </w:p>
    </w:sdtContent>
  </w:sdt>
  <w:p w14:paraId="43FB7C01" w14:textId="77777777" w:rsidR="005E5333" w:rsidRDefault="005E533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6E8E0" w14:textId="77777777" w:rsidR="00A74553" w:rsidRDefault="00A74553">
      <w:pPr>
        <w:spacing w:after="0" w:line="240" w:lineRule="auto"/>
      </w:pPr>
      <w:r>
        <w:separator/>
      </w:r>
    </w:p>
  </w:footnote>
  <w:footnote w:type="continuationSeparator" w:id="0">
    <w:p w14:paraId="5139ED36" w14:textId="77777777" w:rsidR="00A74553" w:rsidRDefault="00A74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528C9" w14:textId="77777777" w:rsidR="005E5333" w:rsidRDefault="005E5333">
    <w:pPr>
      <w:pStyle w:val="a3"/>
    </w:pPr>
    <w:r>
      <w:rPr>
        <w:noProof/>
      </w:rPr>
      <w:drawing>
        <wp:anchor distT="0" distB="0" distL="114300" distR="114300" simplePos="0" relativeHeight="251659264" behindDoc="0" locked="0" layoutInCell="1" allowOverlap="0" wp14:anchorId="5FBE6D47" wp14:editId="27731E6D">
          <wp:simplePos x="0" y="0"/>
          <wp:positionH relativeFrom="margin">
            <wp:posOffset>-1037590</wp:posOffset>
          </wp:positionH>
          <wp:positionV relativeFrom="page">
            <wp:align>top</wp:align>
          </wp:positionV>
          <wp:extent cx="8565515" cy="1266825"/>
          <wp:effectExtent l="0" t="0" r="6985" b="0"/>
          <wp:wrapTopAndBottom/>
          <wp:docPr id="25" name="Picture 25"/>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8565515" cy="1266825"/>
                  </a:xfrm>
                  <a:prstGeom prst="rect">
                    <a:avLst/>
                  </a:prstGeom>
                </pic:spPr>
              </pic:pic>
            </a:graphicData>
          </a:graphic>
        </wp:anchor>
      </w:drawing>
    </w:r>
  </w:p>
  <w:p w14:paraId="1A4A8F8C" w14:textId="77777777" w:rsidR="005E5333" w:rsidRDefault="005E533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37173D"/>
    <w:multiLevelType w:val="hybridMultilevel"/>
    <w:tmpl w:val="6DE20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744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2033"/>
    <w:rsid w:val="000073CF"/>
    <w:rsid w:val="000107A9"/>
    <w:rsid w:val="00013A90"/>
    <w:rsid w:val="000704B5"/>
    <w:rsid w:val="00077F69"/>
    <w:rsid w:val="000A4CAC"/>
    <w:rsid w:val="000B0C6C"/>
    <w:rsid w:val="00101AC6"/>
    <w:rsid w:val="00114785"/>
    <w:rsid w:val="00125E93"/>
    <w:rsid w:val="00126272"/>
    <w:rsid w:val="00153760"/>
    <w:rsid w:val="00155E09"/>
    <w:rsid w:val="00160BC3"/>
    <w:rsid w:val="00164710"/>
    <w:rsid w:val="00170CBB"/>
    <w:rsid w:val="001852CF"/>
    <w:rsid w:val="001B268E"/>
    <w:rsid w:val="001B3847"/>
    <w:rsid w:val="001F68F6"/>
    <w:rsid w:val="00216A8E"/>
    <w:rsid w:val="00294BC6"/>
    <w:rsid w:val="002A7AC2"/>
    <w:rsid w:val="002C4409"/>
    <w:rsid w:val="002D0957"/>
    <w:rsid w:val="002F6991"/>
    <w:rsid w:val="00300B88"/>
    <w:rsid w:val="00302AEF"/>
    <w:rsid w:val="00307078"/>
    <w:rsid w:val="00323FC1"/>
    <w:rsid w:val="00361B4F"/>
    <w:rsid w:val="003B6E18"/>
    <w:rsid w:val="003D04E3"/>
    <w:rsid w:val="003E0853"/>
    <w:rsid w:val="004059B9"/>
    <w:rsid w:val="00427AB0"/>
    <w:rsid w:val="0044225C"/>
    <w:rsid w:val="00450769"/>
    <w:rsid w:val="004571C9"/>
    <w:rsid w:val="00463C1A"/>
    <w:rsid w:val="004719B0"/>
    <w:rsid w:val="0047551F"/>
    <w:rsid w:val="00491817"/>
    <w:rsid w:val="004C7849"/>
    <w:rsid w:val="004D09C6"/>
    <w:rsid w:val="004E0B2F"/>
    <w:rsid w:val="004E3BDB"/>
    <w:rsid w:val="005108DC"/>
    <w:rsid w:val="00516775"/>
    <w:rsid w:val="005313BC"/>
    <w:rsid w:val="00563B49"/>
    <w:rsid w:val="0056505F"/>
    <w:rsid w:val="00582DBC"/>
    <w:rsid w:val="00596EAB"/>
    <w:rsid w:val="005A08A5"/>
    <w:rsid w:val="005A1D1A"/>
    <w:rsid w:val="005A6D69"/>
    <w:rsid w:val="005B6D94"/>
    <w:rsid w:val="005C2B06"/>
    <w:rsid w:val="005D2660"/>
    <w:rsid w:val="005E344D"/>
    <w:rsid w:val="005E5333"/>
    <w:rsid w:val="00615388"/>
    <w:rsid w:val="0063249F"/>
    <w:rsid w:val="00665688"/>
    <w:rsid w:val="00694D11"/>
    <w:rsid w:val="00695196"/>
    <w:rsid w:val="006A236A"/>
    <w:rsid w:val="006B0F32"/>
    <w:rsid w:val="006B3452"/>
    <w:rsid w:val="006F3459"/>
    <w:rsid w:val="006F4984"/>
    <w:rsid w:val="006F5AEA"/>
    <w:rsid w:val="00700C72"/>
    <w:rsid w:val="007229CA"/>
    <w:rsid w:val="0073207F"/>
    <w:rsid w:val="0075005E"/>
    <w:rsid w:val="007530D1"/>
    <w:rsid w:val="007800BB"/>
    <w:rsid w:val="007927FC"/>
    <w:rsid w:val="007D3C7F"/>
    <w:rsid w:val="008218E2"/>
    <w:rsid w:val="00851884"/>
    <w:rsid w:val="008706CD"/>
    <w:rsid w:val="00885BEA"/>
    <w:rsid w:val="008B2D71"/>
    <w:rsid w:val="008E6BC5"/>
    <w:rsid w:val="008E73FD"/>
    <w:rsid w:val="008F04CF"/>
    <w:rsid w:val="008F7783"/>
    <w:rsid w:val="0090093A"/>
    <w:rsid w:val="009058D6"/>
    <w:rsid w:val="009160BF"/>
    <w:rsid w:val="0092602B"/>
    <w:rsid w:val="0093258C"/>
    <w:rsid w:val="00950F59"/>
    <w:rsid w:val="009755ED"/>
    <w:rsid w:val="00976885"/>
    <w:rsid w:val="00992EBD"/>
    <w:rsid w:val="00996FA3"/>
    <w:rsid w:val="0099779B"/>
    <w:rsid w:val="009B0345"/>
    <w:rsid w:val="009D413F"/>
    <w:rsid w:val="009D424F"/>
    <w:rsid w:val="009E4C79"/>
    <w:rsid w:val="00A25436"/>
    <w:rsid w:val="00A52761"/>
    <w:rsid w:val="00A5300C"/>
    <w:rsid w:val="00A74553"/>
    <w:rsid w:val="00A86A5A"/>
    <w:rsid w:val="00AB1C62"/>
    <w:rsid w:val="00B02C1E"/>
    <w:rsid w:val="00B26B81"/>
    <w:rsid w:val="00B40614"/>
    <w:rsid w:val="00B56B5C"/>
    <w:rsid w:val="00B67B2B"/>
    <w:rsid w:val="00B8090A"/>
    <w:rsid w:val="00B851B4"/>
    <w:rsid w:val="00BA217B"/>
    <w:rsid w:val="00BA7F1D"/>
    <w:rsid w:val="00BC29EA"/>
    <w:rsid w:val="00BC68E6"/>
    <w:rsid w:val="00BC6AAD"/>
    <w:rsid w:val="00C00A25"/>
    <w:rsid w:val="00C54A7A"/>
    <w:rsid w:val="00C82F24"/>
    <w:rsid w:val="00C92033"/>
    <w:rsid w:val="00CB3533"/>
    <w:rsid w:val="00CC131B"/>
    <w:rsid w:val="00CC3956"/>
    <w:rsid w:val="00CC479E"/>
    <w:rsid w:val="00CD5124"/>
    <w:rsid w:val="00D10E0F"/>
    <w:rsid w:val="00D13321"/>
    <w:rsid w:val="00D202FC"/>
    <w:rsid w:val="00D25E5E"/>
    <w:rsid w:val="00D3765A"/>
    <w:rsid w:val="00D65570"/>
    <w:rsid w:val="00DA2D1F"/>
    <w:rsid w:val="00DA411A"/>
    <w:rsid w:val="00DD4A23"/>
    <w:rsid w:val="00DD752D"/>
    <w:rsid w:val="00DE3B79"/>
    <w:rsid w:val="00DE74C7"/>
    <w:rsid w:val="00E60C60"/>
    <w:rsid w:val="00E7419A"/>
    <w:rsid w:val="00EA3385"/>
    <w:rsid w:val="00ED43DC"/>
    <w:rsid w:val="00EF7132"/>
    <w:rsid w:val="00F0070F"/>
    <w:rsid w:val="00F03B45"/>
    <w:rsid w:val="00F05B2E"/>
    <w:rsid w:val="00F126DE"/>
    <w:rsid w:val="00F15C3F"/>
    <w:rsid w:val="00F440C9"/>
    <w:rsid w:val="00F54820"/>
    <w:rsid w:val="00F761B2"/>
    <w:rsid w:val="00F8212A"/>
    <w:rsid w:val="00F85C22"/>
    <w:rsid w:val="00FA3741"/>
    <w:rsid w:val="00FB5317"/>
    <w:rsid w:val="00FC1692"/>
    <w:rsid w:val="00FC5F8F"/>
    <w:rsid w:val="00FD5C7C"/>
    <w:rsid w:val="00FE250D"/>
    <w:rsid w:val="00FE3A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C7555"/>
  <w15:docId w15:val="{609CA565-DA47-4B39-8A46-D5970FF3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6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2033"/>
    <w:pPr>
      <w:tabs>
        <w:tab w:val="center" w:pos="4680"/>
        <w:tab w:val="right" w:pos="9360"/>
      </w:tabs>
      <w:spacing w:after="0" w:line="240" w:lineRule="auto"/>
    </w:pPr>
    <w:rPr>
      <w:rFonts w:ascii="Calibri" w:eastAsia="Calibri" w:hAnsi="Calibri" w:cs="Times New Roman"/>
    </w:rPr>
  </w:style>
  <w:style w:type="character" w:customStyle="1" w:styleId="Char">
    <w:name w:val="Κεφαλίδα Char"/>
    <w:basedOn w:val="a0"/>
    <w:link w:val="a3"/>
    <w:uiPriority w:val="99"/>
    <w:rsid w:val="00C92033"/>
    <w:rPr>
      <w:rFonts w:ascii="Calibri" w:eastAsia="Calibri" w:hAnsi="Calibri" w:cs="Times New Roman"/>
    </w:rPr>
  </w:style>
  <w:style w:type="paragraph" w:styleId="a4">
    <w:name w:val="footer"/>
    <w:basedOn w:val="a"/>
    <w:link w:val="Char0"/>
    <w:uiPriority w:val="99"/>
    <w:unhideWhenUsed/>
    <w:rsid w:val="00C92033"/>
    <w:pPr>
      <w:tabs>
        <w:tab w:val="center" w:pos="4680"/>
        <w:tab w:val="right" w:pos="9360"/>
      </w:tabs>
      <w:spacing w:after="0" w:line="240" w:lineRule="auto"/>
    </w:pPr>
    <w:rPr>
      <w:rFonts w:ascii="Calibri" w:eastAsia="Calibri" w:hAnsi="Calibri" w:cs="Times New Roman"/>
    </w:rPr>
  </w:style>
  <w:style w:type="character" w:customStyle="1" w:styleId="Char0">
    <w:name w:val="Υποσέλιδο Char"/>
    <w:basedOn w:val="a0"/>
    <w:link w:val="a4"/>
    <w:uiPriority w:val="99"/>
    <w:rsid w:val="00C92033"/>
    <w:rPr>
      <w:rFonts w:ascii="Calibri" w:eastAsia="Calibri" w:hAnsi="Calibri" w:cs="Times New Roman"/>
    </w:rPr>
  </w:style>
  <w:style w:type="paragraph" w:styleId="a5">
    <w:name w:val="Balloon Text"/>
    <w:basedOn w:val="a"/>
    <w:link w:val="Char1"/>
    <w:uiPriority w:val="99"/>
    <w:semiHidden/>
    <w:unhideWhenUsed/>
    <w:rsid w:val="00160BC3"/>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160BC3"/>
    <w:rPr>
      <w:rFonts w:ascii="Segoe UI" w:hAnsi="Segoe UI" w:cs="Segoe UI"/>
      <w:sz w:val="18"/>
      <w:szCs w:val="18"/>
    </w:rPr>
  </w:style>
  <w:style w:type="character" w:styleId="a6">
    <w:name w:val="annotation reference"/>
    <w:basedOn w:val="a0"/>
    <w:uiPriority w:val="99"/>
    <w:semiHidden/>
    <w:unhideWhenUsed/>
    <w:rsid w:val="00170CBB"/>
    <w:rPr>
      <w:sz w:val="16"/>
      <w:szCs w:val="16"/>
    </w:rPr>
  </w:style>
  <w:style w:type="paragraph" w:styleId="a7">
    <w:name w:val="annotation text"/>
    <w:basedOn w:val="a"/>
    <w:link w:val="Char2"/>
    <w:uiPriority w:val="99"/>
    <w:semiHidden/>
    <w:unhideWhenUsed/>
    <w:rsid w:val="00170CBB"/>
    <w:pPr>
      <w:spacing w:line="240" w:lineRule="auto"/>
    </w:pPr>
    <w:rPr>
      <w:sz w:val="20"/>
      <w:szCs w:val="20"/>
    </w:rPr>
  </w:style>
  <w:style w:type="character" w:customStyle="1" w:styleId="Char2">
    <w:name w:val="Κείμενο σχολίου Char"/>
    <w:basedOn w:val="a0"/>
    <w:link w:val="a7"/>
    <w:uiPriority w:val="99"/>
    <w:semiHidden/>
    <w:rsid w:val="00170CBB"/>
    <w:rPr>
      <w:sz w:val="20"/>
      <w:szCs w:val="20"/>
    </w:rPr>
  </w:style>
  <w:style w:type="paragraph" w:styleId="a8">
    <w:name w:val="annotation subject"/>
    <w:basedOn w:val="a7"/>
    <w:next w:val="a7"/>
    <w:link w:val="Char3"/>
    <w:uiPriority w:val="99"/>
    <w:semiHidden/>
    <w:unhideWhenUsed/>
    <w:rsid w:val="00170CBB"/>
    <w:rPr>
      <w:b/>
      <w:bCs/>
    </w:rPr>
  </w:style>
  <w:style w:type="character" w:customStyle="1" w:styleId="Char3">
    <w:name w:val="Θέμα σχολίου Char"/>
    <w:basedOn w:val="Char2"/>
    <w:link w:val="a8"/>
    <w:uiPriority w:val="99"/>
    <w:semiHidden/>
    <w:rsid w:val="00170CBB"/>
    <w:rPr>
      <w:b/>
      <w:bCs/>
      <w:sz w:val="20"/>
      <w:szCs w:val="20"/>
    </w:rPr>
  </w:style>
  <w:style w:type="paragraph" w:customStyle="1" w:styleId="Body">
    <w:name w:val="Body"/>
    <w:rsid w:val="008F778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paragraph" w:customStyle="1" w:styleId="Default">
    <w:name w:val="Default"/>
    <w:rsid w:val="008F778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paragraph" w:styleId="a9">
    <w:name w:val="List Paragraph"/>
    <w:basedOn w:val="a"/>
    <w:uiPriority w:val="34"/>
    <w:qFormat/>
    <w:rsid w:val="00F15C3F"/>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69666-29BB-4133-A07E-4B22BB653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1464</Words>
  <Characters>7909</Characters>
  <Application>Microsoft Office Word</Application>
  <DocSecurity>0</DocSecurity>
  <Lines>65</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N.Kanellopoulos - C.Zerva &amp; Associates Law Firm</dc:creator>
  <cp:lastModifiedBy>Panagiotis Kakolyris</cp:lastModifiedBy>
  <cp:revision>51</cp:revision>
  <cp:lastPrinted>2020-10-22T03:57:00Z</cp:lastPrinted>
  <dcterms:created xsi:type="dcterms:W3CDTF">2020-11-05T15:33:00Z</dcterms:created>
  <dcterms:modified xsi:type="dcterms:W3CDTF">2025-03-10T11:08:00Z</dcterms:modified>
</cp:coreProperties>
</file>