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42" w:rsidRPr="00F50813" w:rsidRDefault="001B6ED7" w:rsidP="004929D8">
      <w:pPr>
        <w:spacing w:after="160" w:line="200" w:lineRule="atLeast"/>
        <w:jc w:val="both"/>
        <w:rPr>
          <w:rFonts w:ascii="Segoe UI" w:hAnsi="Segoe UI" w:cs="Segoe UI"/>
          <w:b/>
          <w:lang w:val="en-US"/>
        </w:rPr>
      </w:pPr>
      <w:r w:rsidRPr="001B6ED7">
        <w:rPr>
          <w:rFonts w:ascii="Segoe UI" w:hAnsi="Segoe UI" w:cs="Segoe UI"/>
          <w:b/>
          <w:noProof/>
          <w:lang w:val="el-GR"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2.5pt;margin-top:-9.2pt;width:420.15pt;height:73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" fillcolor="#d8d8d8 [2732]" stroked="f">
            <v:textbox>
              <w:txbxContent>
                <w:p w:rsidR="00907637" w:rsidRPr="00BF459E" w:rsidRDefault="00907637" w:rsidP="00BF459E">
                  <w:pPr>
                    <w:spacing w:before="120" w:after="0" w:line="240" w:lineRule="auto"/>
                    <w:jc w:val="center"/>
                    <w:rPr>
                      <w:rFonts w:ascii="Segoe UI" w:hAnsi="Segoe UI" w:cs="Segoe UI"/>
                      <w:b/>
                      <w:sz w:val="32"/>
                      <w:szCs w:val="26"/>
                      <w:lang w:val="el-GR"/>
                    </w:rPr>
                  </w:pPr>
                  <w:r w:rsidRPr="00BF459E">
                    <w:rPr>
                      <w:rFonts w:ascii="Segoe UI" w:hAnsi="Segoe UI" w:cs="Segoe UI"/>
                      <w:b/>
                      <w:sz w:val="32"/>
                      <w:szCs w:val="26"/>
                      <w:lang w:val="el-GR"/>
                    </w:rPr>
                    <w:t>ΔΕΛΤΙΟ ΤΥΠΟΥ</w:t>
                  </w:r>
                </w:p>
                <w:p w:rsidR="00907637" w:rsidRPr="00BF459E" w:rsidRDefault="00907637" w:rsidP="00BF459E">
                  <w:pPr>
                    <w:spacing w:before="120" w:after="0" w:line="240" w:lineRule="auto"/>
                    <w:jc w:val="center"/>
                    <w:rPr>
                      <w:rFonts w:ascii="Segoe UI" w:hAnsi="Segoe UI" w:cs="Segoe UI"/>
                      <w:b/>
                      <w:sz w:val="24"/>
                      <w:szCs w:val="30"/>
                      <w:lang w:val="el-GR"/>
                    </w:rPr>
                  </w:pPr>
                  <w:r w:rsidRPr="00BF459E">
                    <w:rPr>
                      <w:rFonts w:ascii="Segoe UI" w:hAnsi="Segoe UI" w:cs="Segoe UI"/>
                      <w:b/>
                      <w:sz w:val="24"/>
                      <w:szCs w:val="30"/>
                      <w:lang w:val="el-GR"/>
                    </w:rPr>
                    <w:t>Αποτελέσματα Ομίλου ΕΤΕ: Β’ Τρίμηνο 2016</w:t>
                  </w:r>
                </w:p>
                <w:p w:rsidR="00907637" w:rsidRPr="007605C4" w:rsidRDefault="00907637" w:rsidP="00BF459E">
                  <w:pPr>
                    <w:spacing w:before="120" w:after="0" w:line="240" w:lineRule="auto"/>
                    <w:jc w:val="center"/>
                    <w:rPr>
                      <w:rFonts w:ascii="Segoe UI" w:hAnsi="Segoe UI" w:cs="Segoe UI"/>
                      <w:b/>
                      <w:sz w:val="2"/>
                      <w:szCs w:val="2"/>
                      <w:lang w:val="el-GR"/>
                    </w:rPr>
                  </w:pPr>
                </w:p>
                <w:p w:rsidR="00907637" w:rsidRPr="005B3106" w:rsidRDefault="00907637" w:rsidP="00BF459E">
                  <w:pPr>
                    <w:spacing w:before="120" w:after="0" w:line="240" w:lineRule="auto"/>
                    <w:rPr>
                      <w:rFonts w:ascii="Segoe UI" w:hAnsi="Segoe UI" w:cs="Segoe UI"/>
                      <w:b/>
                      <w:sz w:val="2"/>
                      <w:szCs w:val="2"/>
                      <w:lang w:val="el-GR"/>
                    </w:rPr>
                  </w:pPr>
                </w:p>
                <w:p w:rsidR="00907637" w:rsidRPr="00E46E0F" w:rsidRDefault="00885F17" w:rsidP="00E46E0F">
                  <w:pPr>
                    <w:pStyle w:val="a3"/>
                    <w:numPr>
                      <w:ilvl w:val="0"/>
                      <w:numId w:val="12"/>
                    </w:numPr>
                    <w:spacing w:before="120" w:after="0"/>
                    <w:rPr>
                      <w:rFonts w:ascii="Segoe UI" w:hAnsi="Segoe UI" w:cs="Segoe UI"/>
                      <w:b/>
                      <w:sz w:val="18"/>
                      <w:szCs w:val="15"/>
                      <w:lang w:val="el-GR"/>
                    </w:rPr>
                  </w:pPr>
                  <w:r w:rsidRPr="00E46E0F">
                    <w:rPr>
                      <w:rFonts w:ascii="Segoe UI" w:hAnsi="Segoe UI" w:cs="Segoe UI"/>
                      <w:b/>
                      <w:sz w:val="18"/>
                      <w:szCs w:val="15"/>
                      <w:lang w:val="el-GR"/>
                    </w:rPr>
                    <w:t>Σημαντική</w:t>
                  </w:r>
                  <w:r w:rsidR="00907637" w:rsidRPr="00E46E0F">
                    <w:rPr>
                      <w:rFonts w:ascii="Segoe UI" w:hAnsi="Segoe UI" w:cs="Segoe UI"/>
                      <w:b/>
                      <w:sz w:val="18"/>
                      <w:szCs w:val="15"/>
                      <w:lang w:val="el-GR"/>
                    </w:rPr>
                    <w:t xml:space="preserve"> μείωση της </w:t>
                  </w:r>
                  <w:r w:rsidR="00A81C73">
                    <w:rPr>
                      <w:rFonts w:ascii="Segoe UI" w:hAnsi="Segoe UI" w:cs="Segoe UI"/>
                      <w:b/>
                      <w:sz w:val="18"/>
                      <w:szCs w:val="15"/>
                      <w:lang w:val="el-GR"/>
                    </w:rPr>
                    <w:t xml:space="preserve">χρηματοδότησης </w:t>
                  </w:r>
                  <w:r w:rsidR="00BF459E" w:rsidRPr="00E46E0F">
                    <w:rPr>
                      <w:rFonts w:ascii="Segoe UI" w:hAnsi="Segoe UI" w:cs="Segoe UI"/>
                      <w:b/>
                      <w:sz w:val="18"/>
                      <w:szCs w:val="15"/>
                      <w:lang w:val="el-GR"/>
                    </w:rPr>
                    <w:t xml:space="preserve">από το μηχανισμό </w:t>
                  </w:r>
                  <w:r w:rsidR="00907637" w:rsidRPr="00E46E0F">
                    <w:rPr>
                      <w:rFonts w:ascii="Segoe UI" w:hAnsi="Segoe UI" w:cs="Segoe UI"/>
                      <w:b/>
                      <w:sz w:val="18"/>
                      <w:szCs w:val="15"/>
                      <w:lang w:val="el-GR"/>
                    </w:rPr>
                    <w:t xml:space="preserve">ELA και εξάλειψη της </w:t>
                  </w:r>
                  <w:r w:rsidR="00A81C73">
                    <w:rPr>
                      <w:rFonts w:ascii="Segoe UI" w:hAnsi="Segoe UI" w:cs="Segoe UI"/>
                      <w:b/>
                      <w:sz w:val="18"/>
                      <w:szCs w:val="15"/>
                      <w:lang w:val="el-GR"/>
                    </w:rPr>
                    <w:t>εξάρτησης</w:t>
                  </w:r>
                  <w:r w:rsidR="00BC4FF8">
                    <w:rPr>
                      <w:rFonts w:ascii="Segoe UI" w:hAnsi="Segoe UI" w:cs="Segoe UI"/>
                      <w:b/>
                      <w:sz w:val="18"/>
                      <w:szCs w:val="15"/>
                      <w:lang w:val="el-GR"/>
                    </w:rPr>
                    <w:t>από τον</w:t>
                  </w:r>
                  <w:r w:rsidR="00907637" w:rsidRPr="00E46E0F">
                    <w:rPr>
                      <w:rFonts w:ascii="Segoe UI" w:hAnsi="Segoe UI" w:cs="Segoe UI"/>
                      <w:b/>
                      <w:sz w:val="18"/>
                      <w:szCs w:val="15"/>
                      <w:lang w:val="el-GR"/>
                    </w:rPr>
                    <w:t xml:space="preserve">Πυλώνα </w:t>
                  </w:r>
                  <w:r w:rsidR="00BF459E" w:rsidRPr="00E46E0F">
                    <w:rPr>
                      <w:rFonts w:ascii="Segoe UI" w:hAnsi="Segoe UI" w:cs="Segoe UI"/>
                      <w:b/>
                      <w:sz w:val="18"/>
                      <w:szCs w:val="15"/>
                      <w:lang w:val="el-GR"/>
                    </w:rPr>
                    <w:t>ΙΙ &amp; ΙΙΙ</w:t>
                  </w:r>
                </w:p>
                <w:p w:rsidR="00E46E0F" w:rsidRPr="00E46E0F" w:rsidRDefault="00907637" w:rsidP="00A70B0D">
                  <w:pPr>
                    <w:pStyle w:val="a3"/>
                    <w:numPr>
                      <w:ilvl w:val="0"/>
                      <w:numId w:val="4"/>
                    </w:numPr>
                    <w:spacing w:before="120" w:after="0" w:line="240" w:lineRule="auto"/>
                    <w:rPr>
                      <w:rFonts w:ascii="Segoe UI" w:hAnsi="Segoe UI" w:cs="Segoe UI"/>
                      <w:sz w:val="18"/>
                      <w:szCs w:val="15"/>
                      <w:lang w:val="el-GR"/>
                    </w:rPr>
                  </w:pPr>
                  <w:r w:rsidRPr="00E46E0F">
                    <w:rPr>
                      <w:rFonts w:ascii="Segoe UI" w:hAnsi="Segoe UI" w:cs="Segoe UI"/>
                      <w:sz w:val="18"/>
                      <w:szCs w:val="15"/>
                      <w:lang w:val="el-GR"/>
                    </w:rPr>
                    <w:t xml:space="preserve">Η ΕΤΕ </w:t>
                  </w:r>
                  <w:r w:rsidR="00534D6E" w:rsidRPr="00E46E0F">
                    <w:rPr>
                      <w:rFonts w:ascii="Segoe UI" w:hAnsi="Segoe UI" w:cs="Segoe UI"/>
                      <w:sz w:val="18"/>
                      <w:szCs w:val="15"/>
                      <w:lang w:val="el-GR"/>
                    </w:rPr>
                    <w:t>αξιοποίησε</w:t>
                  </w:r>
                  <w:r w:rsidRPr="00E46E0F">
                    <w:rPr>
                      <w:rFonts w:ascii="Segoe UI" w:hAnsi="Segoe UI" w:cs="Segoe UI"/>
                      <w:sz w:val="18"/>
                      <w:szCs w:val="15"/>
                      <w:lang w:val="el-GR"/>
                    </w:rPr>
                    <w:t xml:space="preserve"> τη ρευστότητα ύψους περίπου €3,6 δισ. από την πώληση της Finansbank για </w:t>
                  </w:r>
                  <w:r w:rsidR="00534D6E" w:rsidRPr="00E46E0F">
                    <w:rPr>
                      <w:rFonts w:ascii="Segoe UI" w:hAnsi="Segoe UI" w:cs="Segoe UI"/>
                      <w:sz w:val="18"/>
                      <w:szCs w:val="15"/>
                      <w:lang w:val="el-GR"/>
                    </w:rPr>
                    <w:t>να</w:t>
                  </w:r>
                  <w:r w:rsidR="00A70B0D">
                    <w:rPr>
                      <w:rFonts w:ascii="Segoe UI" w:hAnsi="Segoe UI" w:cs="Segoe UI"/>
                      <w:sz w:val="18"/>
                      <w:szCs w:val="15"/>
                      <w:lang w:val="el-GR"/>
                    </w:rPr>
                    <w:t xml:space="preserve">εξαλείψει τη χρήση των ομολόγων του </w:t>
                  </w:r>
                  <w:r w:rsidRPr="00E46E0F">
                    <w:rPr>
                      <w:rFonts w:ascii="Segoe UI" w:hAnsi="Segoe UI" w:cs="Segoe UI"/>
                      <w:sz w:val="18"/>
                      <w:szCs w:val="15"/>
                      <w:lang w:val="el-GR"/>
                    </w:rPr>
                    <w:t xml:space="preserve">Πυλώνα ΙΙ. Η </w:t>
                  </w:r>
                  <w:r w:rsidR="004E47B2">
                    <w:rPr>
                      <w:rFonts w:ascii="Segoe UI" w:hAnsi="Segoe UI" w:cs="Segoe UI"/>
                      <w:sz w:val="18"/>
                      <w:szCs w:val="15"/>
                      <w:lang w:val="el-GR"/>
                    </w:rPr>
                    <w:t>εξάλειψη της χρήσης</w:t>
                  </w:r>
                  <w:r w:rsidR="005F3B4F">
                    <w:rPr>
                      <w:rFonts w:ascii="Segoe UI" w:hAnsi="Segoe UI" w:cs="Segoe UI"/>
                      <w:sz w:val="18"/>
                      <w:szCs w:val="15"/>
                      <w:lang w:val="el-GR"/>
                    </w:rPr>
                    <w:t>του</w:t>
                  </w:r>
                  <w:r w:rsidRPr="00E46E0F">
                    <w:rPr>
                      <w:rFonts w:ascii="Segoe UI" w:hAnsi="Segoe UI" w:cs="Segoe UI"/>
                      <w:sz w:val="18"/>
                      <w:szCs w:val="15"/>
                      <w:lang w:val="el-GR"/>
                    </w:rPr>
                    <w:t xml:space="preserve"> Πυλώνα ΙΙ &amp; ΙΙΙ </w:t>
                  </w:r>
                  <w:r w:rsidR="004E47B2">
                    <w:rPr>
                      <w:rFonts w:ascii="Segoe UI" w:hAnsi="Segoe UI" w:cs="Segoe UI"/>
                      <w:sz w:val="18"/>
                      <w:szCs w:val="15"/>
                      <w:lang w:val="el-GR"/>
                    </w:rPr>
                    <w:t xml:space="preserve">συνεπάγεται </w:t>
                  </w:r>
                  <w:r w:rsidRPr="00E46E0F">
                    <w:rPr>
                      <w:rFonts w:ascii="Segoe UI" w:hAnsi="Segoe UI" w:cs="Segoe UI"/>
                      <w:sz w:val="18"/>
                      <w:szCs w:val="15"/>
                      <w:lang w:val="el-GR"/>
                    </w:rPr>
                    <w:t xml:space="preserve">μείωση του κόστους </w:t>
                  </w:r>
                  <w:r w:rsidR="00A70B0D" w:rsidRPr="00A70B0D">
                    <w:rPr>
                      <w:rFonts w:ascii="Segoe UI" w:hAnsi="Segoe UI" w:cs="Segoe UI"/>
                      <w:sz w:val="18"/>
                      <w:szCs w:val="15"/>
                      <w:lang w:val="el-GR"/>
                    </w:rPr>
                    <w:t xml:space="preserve">άντλησης ρευστότητας για την Τράπεζα </w:t>
                  </w:r>
                  <w:r w:rsidRPr="00E46E0F">
                    <w:rPr>
                      <w:rFonts w:ascii="Segoe UI" w:hAnsi="Segoe UI" w:cs="Segoe UI"/>
                      <w:sz w:val="18"/>
                      <w:szCs w:val="15"/>
                      <w:lang w:val="el-GR"/>
                    </w:rPr>
                    <w:t xml:space="preserve">περίπου </w:t>
                  </w:r>
                  <w:r w:rsidR="00A70B0D" w:rsidRPr="00E46E0F">
                    <w:rPr>
                      <w:rFonts w:ascii="Segoe UI" w:hAnsi="Segoe UI" w:cs="Segoe UI"/>
                      <w:sz w:val="18"/>
                      <w:szCs w:val="15"/>
                      <w:lang w:val="el-GR"/>
                    </w:rPr>
                    <w:t xml:space="preserve">κατά </w:t>
                  </w:r>
                  <w:r w:rsidRPr="00E46E0F">
                    <w:rPr>
                      <w:rFonts w:ascii="Segoe UI" w:hAnsi="Segoe UI" w:cs="Segoe UI"/>
                      <w:sz w:val="18"/>
                      <w:szCs w:val="15"/>
                      <w:lang w:val="el-GR"/>
                    </w:rPr>
                    <w:t xml:space="preserve">€200 εκατ. ετησίως </w:t>
                  </w:r>
                </w:p>
                <w:p w:rsidR="00685A28" w:rsidRPr="00E46E0F" w:rsidRDefault="00907637" w:rsidP="004E47B2">
                  <w:pPr>
                    <w:pStyle w:val="a3"/>
                    <w:numPr>
                      <w:ilvl w:val="0"/>
                      <w:numId w:val="4"/>
                    </w:numPr>
                    <w:spacing w:before="120" w:after="0" w:line="240" w:lineRule="auto"/>
                    <w:rPr>
                      <w:rFonts w:ascii="Segoe UI" w:hAnsi="Segoe UI" w:cs="Segoe UI"/>
                      <w:sz w:val="18"/>
                      <w:szCs w:val="15"/>
                      <w:lang w:val="el-GR"/>
                    </w:rPr>
                  </w:pPr>
                  <w:r w:rsidRPr="00E46E0F">
                    <w:rPr>
                      <w:rFonts w:ascii="Segoe UI" w:hAnsi="Segoe UI" w:cs="Segoe UI"/>
                      <w:sz w:val="18"/>
                      <w:szCs w:val="15"/>
                      <w:lang w:val="el-GR"/>
                    </w:rPr>
                    <w:t xml:space="preserve">Η χρηματοδότηση από το Ευρωσύστημα μειώθηκε </w:t>
                  </w:r>
                  <w:r w:rsidR="00BF459E" w:rsidRPr="00E46E0F">
                    <w:rPr>
                      <w:rFonts w:ascii="Segoe UI" w:hAnsi="Segoe UI" w:cs="Segoe UI"/>
                      <w:sz w:val="18"/>
                      <w:szCs w:val="15"/>
                      <w:lang w:val="el-GR"/>
                    </w:rPr>
                    <w:t xml:space="preserve">σημαντικά </w:t>
                  </w:r>
                  <w:r w:rsidRPr="00E46E0F">
                    <w:rPr>
                      <w:rFonts w:ascii="Segoe UI" w:hAnsi="Segoe UI" w:cs="Segoe UI"/>
                      <w:sz w:val="18"/>
                      <w:szCs w:val="15"/>
                      <w:lang w:val="el-GR"/>
                    </w:rPr>
                    <w:t>σε €</w:t>
                  </w:r>
                  <w:r w:rsidR="00950AFD" w:rsidRPr="00E46E0F">
                    <w:rPr>
                      <w:rFonts w:ascii="Segoe UI" w:hAnsi="Segoe UI" w:cs="Segoe UI"/>
                      <w:sz w:val="18"/>
                      <w:szCs w:val="15"/>
                      <w:lang w:val="el-GR"/>
                    </w:rPr>
                    <w:t>13</w:t>
                  </w:r>
                  <w:r w:rsidRPr="00E46E0F">
                    <w:rPr>
                      <w:rFonts w:ascii="Segoe UI" w:hAnsi="Segoe UI" w:cs="Segoe UI"/>
                      <w:sz w:val="18"/>
                      <w:szCs w:val="15"/>
                      <w:lang w:val="el-GR"/>
                    </w:rPr>
                    <w:t>,2 δισ. τον Αύγουστο</w:t>
                  </w:r>
                  <w:r w:rsidRPr="00E46E0F">
                    <w:rPr>
                      <w:rFonts w:ascii="Segoe UI" w:hAnsi="Segoe UI" w:cs="Segoe UI"/>
                      <w:sz w:val="18"/>
                      <w:szCs w:val="15"/>
                      <w:vertAlign w:val="superscript"/>
                      <w:lang w:val="el-GR"/>
                    </w:rPr>
                    <w:t>1</w:t>
                  </w:r>
                  <w:r w:rsidRPr="00E46E0F">
                    <w:rPr>
                      <w:rFonts w:ascii="Segoe UI" w:hAnsi="Segoe UI" w:cs="Segoe UI"/>
                      <w:sz w:val="18"/>
                      <w:szCs w:val="15"/>
                      <w:lang w:val="el-GR"/>
                    </w:rPr>
                    <w:t xml:space="preserve"> από €22,8 δισ. στο τέλος του Α' τριμήνου 2016. </w:t>
                  </w:r>
                  <w:r w:rsidR="004E47B2">
                    <w:rPr>
                      <w:rFonts w:ascii="Segoe UI" w:hAnsi="Segoe UI" w:cs="Segoe UI"/>
                      <w:sz w:val="18"/>
                      <w:szCs w:val="15"/>
                      <w:lang w:val="el-GR"/>
                    </w:rPr>
                    <w:t>Ειδικότερα, η</w:t>
                  </w:r>
                  <w:r w:rsidR="001052E6">
                    <w:rPr>
                      <w:rFonts w:ascii="Segoe UI" w:hAnsi="Segoe UI" w:cs="Segoe UI"/>
                      <w:sz w:val="18"/>
                      <w:szCs w:val="15"/>
                      <w:lang w:val="el-GR"/>
                    </w:rPr>
                    <w:t xml:space="preserve">χρηματοδότηση </w:t>
                  </w:r>
                  <w:r w:rsidR="004E47B2">
                    <w:rPr>
                      <w:rFonts w:ascii="Segoe UI" w:hAnsi="Segoe UI" w:cs="Segoe UI"/>
                      <w:sz w:val="18"/>
                      <w:szCs w:val="15"/>
                      <w:lang w:val="el-GR"/>
                    </w:rPr>
                    <w:t>μέσω</w:t>
                  </w:r>
                  <w:r w:rsidRPr="00E46E0F">
                    <w:rPr>
                      <w:rFonts w:ascii="Segoe UI" w:hAnsi="Segoe UI" w:cs="Segoe UI"/>
                      <w:sz w:val="18"/>
                      <w:szCs w:val="15"/>
                      <w:lang w:val="el-GR"/>
                    </w:rPr>
                    <w:t xml:space="preserve">ΕLAμειώθηκε </w:t>
                  </w:r>
                  <w:r w:rsidR="00950AFD" w:rsidRPr="00E46E0F">
                    <w:rPr>
                      <w:rFonts w:ascii="Segoe UI" w:hAnsi="Segoe UI" w:cs="Segoe UI"/>
                      <w:sz w:val="18"/>
                      <w:szCs w:val="15"/>
                      <w:lang w:val="el-GR"/>
                    </w:rPr>
                    <w:t>κατά</w:t>
                  </w:r>
                  <w:r w:rsidRPr="00E46E0F">
                    <w:rPr>
                      <w:rFonts w:ascii="Segoe UI" w:hAnsi="Segoe UI" w:cs="Segoe UI"/>
                      <w:sz w:val="18"/>
                      <w:szCs w:val="15"/>
                      <w:lang w:val="el-GR"/>
                    </w:rPr>
                    <w:t xml:space="preserve"> €</w:t>
                  </w:r>
                  <w:r w:rsidR="00950AFD" w:rsidRPr="00E46E0F">
                    <w:rPr>
                      <w:rFonts w:ascii="Segoe UI" w:hAnsi="Segoe UI" w:cs="Segoe UI"/>
                      <w:sz w:val="18"/>
                      <w:szCs w:val="15"/>
                      <w:lang w:val="el-GR"/>
                    </w:rPr>
                    <w:t>6</w:t>
                  </w:r>
                  <w:r w:rsidRPr="00E46E0F">
                    <w:rPr>
                      <w:rFonts w:ascii="Segoe UI" w:hAnsi="Segoe UI" w:cs="Segoe UI"/>
                      <w:sz w:val="18"/>
                      <w:szCs w:val="15"/>
                      <w:lang w:val="el-GR"/>
                    </w:rPr>
                    <w:t xml:space="preserve"> δισ. </w:t>
                  </w:r>
                  <w:r w:rsidR="0099315B" w:rsidRPr="00E46E0F">
                    <w:rPr>
                      <w:rFonts w:ascii="Segoe UI" w:hAnsi="Segoe UI" w:cs="Segoe UI"/>
                      <w:sz w:val="18"/>
                      <w:szCs w:val="15"/>
                      <w:lang w:val="el-GR"/>
                    </w:rPr>
                    <w:t xml:space="preserve">σε σχέση με το </w:t>
                  </w:r>
                  <w:r w:rsidR="00BF459E" w:rsidRPr="00E46E0F">
                    <w:rPr>
                      <w:rFonts w:ascii="Segoe UI" w:hAnsi="Segoe UI" w:cs="Segoe UI"/>
                      <w:sz w:val="18"/>
                      <w:szCs w:val="15"/>
                      <w:lang w:val="el-GR"/>
                    </w:rPr>
                    <w:t xml:space="preserve">τέλος του </w:t>
                  </w:r>
                  <w:r w:rsidR="0099315B" w:rsidRPr="00E46E0F">
                    <w:rPr>
                      <w:rFonts w:ascii="Segoe UI" w:hAnsi="Segoe UI" w:cs="Segoe UI"/>
                      <w:sz w:val="18"/>
                      <w:szCs w:val="15"/>
                      <w:lang w:val="el-GR"/>
                    </w:rPr>
                    <w:t>Α’ τρ</w:t>
                  </w:r>
                  <w:r w:rsidR="00BF459E" w:rsidRPr="00E46E0F">
                    <w:rPr>
                      <w:rFonts w:ascii="Segoe UI" w:hAnsi="Segoe UI" w:cs="Segoe UI"/>
                      <w:sz w:val="18"/>
                      <w:szCs w:val="15"/>
                      <w:lang w:val="el-GR"/>
                    </w:rPr>
                    <w:t xml:space="preserve">ιμήνου </w:t>
                  </w:r>
                  <w:r w:rsidR="0099315B" w:rsidRPr="00E46E0F">
                    <w:rPr>
                      <w:rFonts w:ascii="Segoe UI" w:hAnsi="Segoe UI" w:cs="Segoe UI"/>
                      <w:sz w:val="18"/>
                      <w:szCs w:val="15"/>
                      <w:lang w:val="el-GR"/>
                    </w:rPr>
                    <w:t>2016</w:t>
                  </w:r>
                  <w:r w:rsidR="00685A28" w:rsidRPr="00E46E0F">
                    <w:rPr>
                      <w:rFonts w:ascii="Segoe UI" w:hAnsi="Segoe UI" w:cs="Segoe UI"/>
                      <w:sz w:val="18"/>
                      <w:szCs w:val="15"/>
                      <w:lang w:val="el-GR"/>
                    </w:rPr>
                    <w:t xml:space="preserve"> και διαμορφώθηκε </w:t>
                  </w:r>
                  <w:r w:rsidR="00950AFD" w:rsidRPr="00E46E0F">
                    <w:rPr>
                      <w:rFonts w:ascii="Segoe UI" w:hAnsi="Segoe UI" w:cs="Segoe UI"/>
                      <w:sz w:val="18"/>
                      <w:szCs w:val="15"/>
                      <w:lang w:val="el-GR"/>
                    </w:rPr>
                    <w:t>σε €5,0</w:t>
                  </w:r>
                  <w:r w:rsidRPr="00E46E0F">
                    <w:rPr>
                      <w:rFonts w:ascii="Segoe UI" w:hAnsi="Segoe UI" w:cs="Segoe UI"/>
                      <w:sz w:val="18"/>
                      <w:szCs w:val="15"/>
                      <w:lang w:val="el-GR"/>
                    </w:rPr>
                    <w:t xml:space="preserve"> δισ.</w:t>
                  </w:r>
                  <w:r w:rsidR="004E47B2">
                    <w:rPr>
                      <w:rFonts w:ascii="Segoe UI" w:hAnsi="Segoe UI" w:cs="Segoe UI"/>
                      <w:sz w:val="18"/>
                      <w:szCs w:val="15"/>
                      <w:lang w:val="el-GR"/>
                    </w:rPr>
                    <w:t xml:space="preserve"> Η ΕΤΕ παραμένει η τράπεζα με τη</w:t>
                  </w:r>
                  <w:r w:rsidR="004E47B2" w:rsidRPr="004E47B2">
                    <w:rPr>
                      <w:rFonts w:ascii="Segoe UI" w:hAnsi="Segoe UI" w:cs="Segoe UI"/>
                      <w:sz w:val="18"/>
                      <w:szCs w:val="15"/>
                      <w:lang w:val="el-GR"/>
                    </w:rPr>
                    <w:t xml:space="preserve"> χαμηλότερη εξάρτηση από τον έκτακτο μηχανισμό ELA στην Ελλάδα </w:t>
                  </w:r>
                  <w:r w:rsidRPr="00E46E0F">
                    <w:rPr>
                      <w:rFonts w:ascii="Segoe UI" w:hAnsi="Segoe UI" w:cs="Segoe UI"/>
                      <w:sz w:val="18"/>
                      <w:szCs w:val="15"/>
                      <w:vertAlign w:val="superscript"/>
                      <w:lang w:val="el-GR"/>
                    </w:rPr>
                    <w:t>2</w:t>
                  </w:r>
                </w:p>
                <w:p w:rsidR="00CE17E2" w:rsidRDefault="00CE17E2" w:rsidP="00CE17E2">
                  <w:pPr>
                    <w:pStyle w:val="a3"/>
                    <w:numPr>
                      <w:ilvl w:val="0"/>
                      <w:numId w:val="4"/>
                    </w:numPr>
                    <w:spacing w:before="120" w:after="0" w:line="240" w:lineRule="auto"/>
                    <w:rPr>
                      <w:rFonts w:ascii="Segoe UI" w:hAnsi="Segoe UI" w:cs="Segoe UI"/>
                      <w:sz w:val="18"/>
                      <w:szCs w:val="15"/>
                      <w:lang w:val="el-GR"/>
                    </w:rPr>
                  </w:pPr>
                  <w:r w:rsidRPr="00CE17E2">
                    <w:rPr>
                      <w:rFonts w:ascii="Segoe UI" w:hAnsi="Segoe UI" w:cs="Segoe UI"/>
                      <w:sz w:val="18"/>
                      <w:szCs w:val="15"/>
                      <w:lang w:val="el-GR"/>
                    </w:rPr>
                    <w:t xml:space="preserve">Η ΕΤΕ έχει δυνατότητα άντλησης επιπλέον ρευστότητας </w:t>
                  </w:r>
                  <w:r>
                    <w:rPr>
                      <w:rFonts w:ascii="Segoe UI" w:hAnsi="Segoe UI" w:cs="Segoe UI"/>
                      <w:sz w:val="18"/>
                      <w:szCs w:val="15"/>
                      <w:lang w:val="el-GR"/>
                    </w:rPr>
                    <w:t xml:space="preserve">από το Ευρωσύστημα </w:t>
                  </w:r>
                  <w:r w:rsidRPr="00CE17E2">
                    <w:rPr>
                      <w:rFonts w:ascii="Segoe UI" w:hAnsi="Segoe UI" w:cs="Segoe UI"/>
                      <w:sz w:val="18"/>
                      <w:szCs w:val="15"/>
                      <w:lang w:val="el-GR"/>
                    </w:rPr>
                    <w:t>έως και €9,8 δισ.</w:t>
                  </w:r>
                  <w:r w:rsidRPr="00CE17E2">
                    <w:rPr>
                      <w:rFonts w:ascii="Segoe UI" w:hAnsi="Segoe UI" w:cs="Segoe UI"/>
                      <w:sz w:val="18"/>
                      <w:szCs w:val="15"/>
                      <w:vertAlign w:val="superscript"/>
                      <w:lang w:val="el-GR"/>
                    </w:rPr>
                    <w:t>1</w:t>
                  </w:r>
                </w:p>
                <w:p w:rsidR="00907637" w:rsidRPr="00BF459E" w:rsidRDefault="00907637" w:rsidP="00CE17E2">
                  <w:pPr>
                    <w:pStyle w:val="a3"/>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 xml:space="preserve">Ο δείκτης Δανείων προς Καταθέσεις διατηρείται σε </w:t>
                  </w:r>
                  <w:r w:rsidR="00D77A49">
                    <w:rPr>
                      <w:rFonts w:ascii="Segoe UI" w:hAnsi="Segoe UI" w:cs="Segoe UI"/>
                      <w:sz w:val="18"/>
                      <w:szCs w:val="15"/>
                      <w:lang w:val="el-GR"/>
                    </w:rPr>
                    <w:t xml:space="preserve">ποσοστό της τάξεως του </w:t>
                  </w:r>
                  <w:r w:rsidRPr="00BF459E">
                    <w:rPr>
                      <w:rFonts w:ascii="Segoe UI" w:hAnsi="Segoe UI" w:cs="Segoe UI"/>
                      <w:sz w:val="18"/>
                      <w:szCs w:val="15"/>
                      <w:lang w:val="el-GR"/>
                    </w:rPr>
                    <w:t>91% τόσο στην Ελλάδα</w:t>
                  </w:r>
                  <w:r w:rsidR="005041EF" w:rsidRPr="00BF459E">
                    <w:rPr>
                      <w:rFonts w:ascii="Segoe UI" w:hAnsi="Segoe UI" w:cs="Segoe UI"/>
                      <w:sz w:val="18"/>
                      <w:szCs w:val="15"/>
                      <w:lang w:val="el-GR"/>
                    </w:rPr>
                    <w:t xml:space="preserve"> όσο </w:t>
                  </w:r>
                  <w:r w:rsidRPr="00BF459E">
                    <w:rPr>
                      <w:rFonts w:ascii="Segoe UI" w:hAnsi="Segoe UI" w:cs="Segoe UI"/>
                      <w:sz w:val="18"/>
                      <w:szCs w:val="15"/>
                      <w:lang w:val="el-GR"/>
                    </w:rPr>
                    <w:t xml:space="preserve">και σε επίπεδο Ομίλου </w:t>
                  </w:r>
                </w:p>
                <w:p w:rsidR="00907637" w:rsidRPr="00E46E0F" w:rsidRDefault="00F9568B" w:rsidP="00836FBB">
                  <w:pPr>
                    <w:pStyle w:val="a3"/>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n-US"/>
                    </w:rPr>
                    <w:t>O</w:t>
                  </w:r>
                  <w:r w:rsidR="00907637" w:rsidRPr="00E46E0F">
                    <w:rPr>
                      <w:rFonts w:ascii="Segoe UI" w:hAnsi="Segoe UI" w:cs="Segoe UI"/>
                      <w:sz w:val="18"/>
                      <w:szCs w:val="15"/>
                      <w:lang w:val="el-GR"/>
                    </w:rPr>
                    <w:t xml:space="preserve">ι καταθέσεις στην Ελλάδα </w:t>
                  </w:r>
                  <w:r>
                    <w:rPr>
                      <w:rFonts w:ascii="Segoe UI" w:hAnsi="Segoe UI" w:cs="Segoe UI"/>
                      <w:sz w:val="18"/>
                      <w:szCs w:val="15"/>
                      <w:lang w:val="el-GR"/>
                    </w:rPr>
                    <w:t>παρέμειναν σχεδόν αμετάβλητες το Β’ τρίμηνο του 2016</w:t>
                  </w:r>
                  <w:r w:rsidR="00836FBB">
                    <w:rPr>
                      <w:rFonts w:ascii="Segoe UI" w:hAnsi="Segoe UI" w:cs="Segoe UI"/>
                      <w:sz w:val="18"/>
                      <w:szCs w:val="15"/>
                      <w:lang w:val="el-GR"/>
                    </w:rPr>
                    <w:t xml:space="preserve">, </w:t>
                  </w:r>
                  <w:r w:rsidR="00836FBB" w:rsidRPr="00836FBB">
                    <w:rPr>
                      <w:rFonts w:ascii="Segoe UI" w:hAnsi="Segoe UI" w:cs="Segoe UI"/>
                      <w:sz w:val="18"/>
                      <w:szCs w:val="15"/>
                      <w:lang w:val="el-GR"/>
                    </w:rPr>
                    <w:t>ενώ κατά τον Ιούλιο και Αύγουστο οι εισροές καταθέσεων ανέρχονται σε €300 εκατ.</w:t>
                  </w:r>
                </w:p>
                <w:p w:rsidR="00685A28" w:rsidRPr="007605C4" w:rsidRDefault="00685A28" w:rsidP="00BF459E">
                  <w:pPr>
                    <w:pStyle w:val="a3"/>
                    <w:spacing w:before="120" w:after="0" w:line="240" w:lineRule="auto"/>
                    <w:ind w:left="357"/>
                    <w:rPr>
                      <w:rFonts w:ascii="Segoe UI" w:hAnsi="Segoe UI" w:cs="Segoe UI"/>
                      <w:sz w:val="12"/>
                      <w:szCs w:val="12"/>
                      <w:lang w:val="el-GR"/>
                    </w:rPr>
                  </w:pPr>
                </w:p>
                <w:p w:rsidR="00907637" w:rsidRPr="00E46E0F" w:rsidRDefault="00B70777" w:rsidP="00E46E0F">
                  <w:pPr>
                    <w:pStyle w:val="a3"/>
                    <w:numPr>
                      <w:ilvl w:val="0"/>
                      <w:numId w:val="12"/>
                    </w:numPr>
                    <w:spacing w:before="120" w:after="0"/>
                    <w:rPr>
                      <w:rFonts w:ascii="Segoe UI" w:hAnsi="Segoe UI" w:cs="Segoe UI"/>
                      <w:b/>
                      <w:sz w:val="12"/>
                      <w:szCs w:val="10"/>
                      <w:lang w:val="el-GR"/>
                    </w:rPr>
                  </w:pPr>
                  <w:r>
                    <w:rPr>
                      <w:rFonts w:ascii="Segoe UI" w:hAnsi="Segoe UI" w:cs="Segoe UI"/>
                      <w:b/>
                      <w:sz w:val="18"/>
                      <w:szCs w:val="15"/>
                      <w:lang w:val="el-GR"/>
                    </w:rPr>
                    <w:t>Το ύψος των Μ</w:t>
                  </w:r>
                  <w:r w:rsidR="005221C9" w:rsidRPr="00E46E0F">
                    <w:rPr>
                      <w:rFonts w:ascii="Segoe UI" w:hAnsi="Segoe UI" w:cs="Segoe UI"/>
                      <w:b/>
                      <w:sz w:val="18"/>
                      <w:szCs w:val="15"/>
                      <w:lang w:val="el-GR"/>
                    </w:rPr>
                    <w:t xml:space="preserve">η </w:t>
                  </w:r>
                  <w:r>
                    <w:rPr>
                      <w:rFonts w:ascii="Segoe UI" w:hAnsi="Segoe UI" w:cs="Segoe UI"/>
                      <w:b/>
                      <w:sz w:val="18"/>
                      <w:szCs w:val="15"/>
                      <w:lang w:val="el-GR"/>
                    </w:rPr>
                    <w:t>Ε</w:t>
                  </w:r>
                  <w:r w:rsidR="005221C9" w:rsidRPr="00E46E0F">
                    <w:rPr>
                      <w:rFonts w:ascii="Segoe UI" w:hAnsi="Segoe UI" w:cs="Segoe UI"/>
                      <w:b/>
                      <w:sz w:val="18"/>
                      <w:szCs w:val="15"/>
                      <w:lang w:val="el-GR"/>
                    </w:rPr>
                    <w:t xml:space="preserve">ξυπηρετούμενων </w:t>
                  </w:r>
                  <w:r>
                    <w:rPr>
                      <w:rFonts w:ascii="Segoe UI" w:hAnsi="Segoe UI" w:cs="Segoe UI"/>
                      <w:b/>
                      <w:sz w:val="18"/>
                      <w:szCs w:val="15"/>
                      <w:lang w:val="el-GR"/>
                    </w:rPr>
                    <w:t>Α</w:t>
                  </w:r>
                  <w:r w:rsidR="005221C9" w:rsidRPr="00E46E0F">
                    <w:rPr>
                      <w:rFonts w:ascii="Segoe UI" w:hAnsi="Segoe UI" w:cs="Segoe UI"/>
                      <w:b/>
                      <w:sz w:val="18"/>
                      <w:szCs w:val="15"/>
                      <w:lang w:val="el-GR"/>
                    </w:rPr>
                    <w:t>νοιγμάτων (</w:t>
                  </w:r>
                  <w:r w:rsidR="005221C9" w:rsidRPr="00E46E0F">
                    <w:rPr>
                      <w:rFonts w:ascii="Segoe UI" w:hAnsi="Segoe UI" w:cs="Segoe UI"/>
                      <w:b/>
                      <w:sz w:val="18"/>
                      <w:szCs w:val="15"/>
                      <w:lang w:val="en-US"/>
                    </w:rPr>
                    <w:t>NPEs</w:t>
                  </w:r>
                  <w:r w:rsidR="00202CD2">
                    <w:rPr>
                      <w:rFonts w:ascii="Segoe UI" w:hAnsi="Segoe UI" w:cs="Segoe UI"/>
                      <w:b/>
                      <w:sz w:val="18"/>
                      <w:szCs w:val="15"/>
                      <w:lang w:val="el-GR"/>
                    </w:rPr>
                    <w:t>) μειώνεται για πρώτη φορά</w:t>
                  </w:r>
                </w:p>
                <w:p w:rsidR="005221C9" w:rsidRPr="00BF459E" w:rsidRDefault="005221C9" w:rsidP="00734139">
                  <w:pPr>
                    <w:pStyle w:val="a3"/>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 xml:space="preserve">Τα </w:t>
                  </w:r>
                  <w:r w:rsidR="00B70777">
                    <w:rPr>
                      <w:rFonts w:ascii="Segoe UI" w:hAnsi="Segoe UI" w:cs="Segoe UI"/>
                      <w:sz w:val="18"/>
                      <w:szCs w:val="15"/>
                      <w:lang w:val="el-GR"/>
                    </w:rPr>
                    <w:t>Μ</w:t>
                  </w:r>
                  <w:r w:rsidRPr="00BF459E">
                    <w:rPr>
                      <w:rFonts w:ascii="Segoe UI" w:hAnsi="Segoe UI" w:cs="Segoe UI"/>
                      <w:sz w:val="18"/>
                      <w:szCs w:val="15"/>
                      <w:lang w:val="el-GR"/>
                    </w:rPr>
                    <w:t xml:space="preserve">η </w:t>
                  </w:r>
                  <w:r w:rsidR="00B70777">
                    <w:rPr>
                      <w:rFonts w:ascii="Segoe UI" w:hAnsi="Segoe UI" w:cs="Segoe UI"/>
                      <w:sz w:val="18"/>
                      <w:szCs w:val="15"/>
                      <w:lang w:val="el-GR"/>
                    </w:rPr>
                    <w:t>Ε</w:t>
                  </w:r>
                  <w:r w:rsidRPr="00BF459E">
                    <w:rPr>
                      <w:rFonts w:ascii="Segoe UI" w:hAnsi="Segoe UI" w:cs="Segoe UI"/>
                      <w:sz w:val="18"/>
                      <w:szCs w:val="15"/>
                      <w:lang w:val="el-GR"/>
                    </w:rPr>
                    <w:t xml:space="preserve">ξυπηρετούμενα </w:t>
                  </w:r>
                  <w:r w:rsidR="00B70777">
                    <w:rPr>
                      <w:rFonts w:ascii="Segoe UI" w:hAnsi="Segoe UI" w:cs="Segoe UI"/>
                      <w:sz w:val="18"/>
                      <w:szCs w:val="15"/>
                      <w:lang w:val="el-GR"/>
                    </w:rPr>
                    <w:t>Α</w:t>
                  </w:r>
                  <w:r w:rsidRPr="00BF459E">
                    <w:rPr>
                      <w:rFonts w:ascii="Segoe UI" w:hAnsi="Segoe UI" w:cs="Segoe UI"/>
                      <w:sz w:val="18"/>
                      <w:szCs w:val="15"/>
                      <w:lang w:val="el-GR"/>
                    </w:rPr>
                    <w:t xml:space="preserve">νοίγματα μειώνονται για πρώτη φορά (-€0,9 δισ. σε τριμηνιαία βάση), </w:t>
                  </w:r>
                  <w:r w:rsidR="00734139" w:rsidRPr="00734139">
                    <w:rPr>
                      <w:rFonts w:ascii="Segoe UI" w:hAnsi="Segoe UI" w:cs="Segoe UI"/>
                      <w:sz w:val="18"/>
                      <w:szCs w:val="15"/>
                      <w:lang w:val="el-GR"/>
                    </w:rPr>
                    <w:t>αντικατοπτρίζοντας τη μειωμένη τάση δημιουργίας νέων επισφαλειών, τις επιτυχημένες αναδιαρθρώσεις καθώς και τις διαγραφές δανείων</w:t>
                  </w:r>
                </w:p>
                <w:p w:rsidR="005221C9" w:rsidRPr="00BF459E" w:rsidRDefault="005221C9" w:rsidP="00BF459E">
                  <w:pPr>
                    <w:pStyle w:val="a3"/>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 xml:space="preserve">Ο δείκτης </w:t>
                  </w:r>
                  <w:r w:rsidR="00561FD2">
                    <w:rPr>
                      <w:rFonts w:ascii="Segoe UI" w:hAnsi="Segoe UI" w:cs="Segoe UI"/>
                      <w:sz w:val="18"/>
                      <w:szCs w:val="15"/>
                      <w:lang w:val="el-GR"/>
                    </w:rPr>
                    <w:t>Μ</w:t>
                  </w:r>
                  <w:r w:rsidRPr="00BF459E">
                    <w:rPr>
                      <w:rFonts w:ascii="Segoe UI" w:hAnsi="Segoe UI" w:cs="Segoe UI"/>
                      <w:sz w:val="18"/>
                      <w:szCs w:val="15"/>
                      <w:lang w:val="el-GR"/>
                    </w:rPr>
                    <w:t xml:space="preserve">η </w:t>
                  </w:r>
                  <w:r w:rsidR="00561FD2">
                    <w:rPr>
                      <w:rFonts w:ascii="Segoe UI" w:hAnsi="Segoe UI" w:cs="Segoe UI"/>
                      <w:sz w:val="18"/>
                      <w:szCs w:val="15"/>
                      <w:lang w:val="el-GR"/>
                    </w:rPr>
                    <w:t>Ε</w:t>
                  </w:r>
                  <w:r w:rsidRPr="00BF459E">
                    <w:rPr>
                      <w:rFonts w:ascii="Segoe UI" w:hAnsi="Segoe UI" w:cs="Segoe UI"/>
                      <w:sz w:val="18"/>
                      <w:szCs w:val="15"/>
                      <w:lang w:val="el-GR"/>
                    </w:rPr>
                    <w:t xml:space="preserve">ξυπηρετούμενων </w:t>
                  </w:r>
                  <w:r w:rsidR="00561FD2">
                    <w:rPr>
                      <w:rFonts w:ascii="Segoe UI" w:hAnsi="Segoe UI" w:cs="Segoe UI"/>
                      <w:sz w:val="18"/>
                      <w:szCs w:val="15"/>
                      <w:lang w:val="el-GR"/>
                    </w:rPr>
                    <w:t>Α</w:t>
                  </w:r>
                  <w:r w:rsidRPr="00BF459E">
                    <w:rPr>
                      <w:rFonts w:ascii="Segoe UI" w:hAnsi="Segoe UI" w:cs="Segoe UI"/>
                      <w:sz w:val="18"/>
                      <w:szCs w:val="15"/>
                      <w:lang w:val="el-GR"/>
                    </w:rPr>
                    <w:t xml:space="preserve">νοιγμάτων </w:t>
                  </w:r>
                  <w:r w:rsidR="00FF0B78">
                    <w:rPr>
                      <w:rFonts w:ascii="Segoe UI" w:hAnsi="Segoe UI" w:cs="Segoe UI"/>
                      <w:sz w:val="18"/>
                      <w:szCs w:val="15"/>
                      <w:lang w:val="el-GR"/>
                    </w:rPr>
                    <w:t xml:space="preserve">στην Ελλάδα </w:t>
                  </w:r>
                  <w:r w:rsidR="005749C2">
                    <w:rPr>
                      <w:rFonts w:ascii="Segoe UI" w:hAnsi="Segoe UI" w:cs="Segoe UI"/>
                      <w:sz w:val="18"/>
                      <w:szCs w:val="15"/>
                      <w:lang w:val="el-GR"/>
                    </w:rPr>
                    <w:t xml:space="preserve">υποχώρησε σε </w:t>
                  </w:r>
                  <w:r w:rsidRPr="00BF459E">
                    <w:rPr>
                      <w:rFonts w:ascii="Segoe UI" w:hAnsi="Segoe UI" w:cs="Segoe UI"/>
                      <w:sz w:val="18"/>
                      <w:szCs w:val="15"/>
                      <w:lang w:val="el-GR"/>
                    </w:rPr>
                    <w:t xml:space="preserve">47,9% από 49,6% το Α΄ τρίμηνο του 2016, με το ποσοστό κάλυψης </w:t>
                  </w:r>
                  <w:r w:rsidR="005749C2">
                    <w:rPr>
                      <w:rFonts w:ascii="Segoe UI" w:hAnsi="Segoe UI" w:cs="Segoe UI"/>
                      <w:sz w:val="18"/>
                      <w:szCs w:val="15"/>
                      <w:lang w:val="el-GR"/>
                    </w:rPr>
                    <w:t xml:space="preserve">από </w:t>
                  </w:r>
                  <w:r w:rsidR="00B26A8B">
                    <w:rPr>
                      <w:rFonts w:ascii="Segoe UI" w:hAnsi="Segoe UI" w:cs="Segoe UI"/>
                      <w:sz w:val="18"/>
                      <w:szCs w:val="15"/>
                      <w:lang w:val="el-GR"/>
                    </w:rPr>
                    <w:t xml:space="preserve">σωρευμένες </w:t>
                  </w:r>
                  <w:r w:rsidR="005749C2">
                    <w:rPr>
                      <w:rFonts w:ascii="Segoe UI" w:hAnsi="Segoe UI" w:cs="Segoe UI"/>
                      <w:sz w:val="18"/>
                      <w:szCs w:val="15"/>
                      <w:lang w:val="el-GR"/>
                    </w:rPr>
                    <w:t xml:space="preserve">προβλέψεις να </w:t>
                  </w:r>
                  <w:r w:rsidR="00FF0B78">
                    <w:rPr>
                      <w:rFonts w:ascii="Segoe UI" w:hAnsi="Segoe UI" w:cs="Segoe UI"/>
                      <w:sz w:val="18"/>
                      <w:szCs w:val="15"/>
                      <w:lang w:val="el-GR"/>
                    </w:rPr>
                    <w:t xml:space="preserve">αυξάνεται </w:t>
                  </w:r>
                  <w:r w:rsidR="00396495">
                    <w:rPr>
                      <w:rFonts w:ascii="Segoe UI" w:hAnsi="Segoe UI" w:cs="Segoe UI"/>
                      <w:sz w:val="18"/>
                      <w:szCs w:val="15"/>
                      <w:lang w:val="el-GR"/>
                    </w:rPr>
                    <w:t>περαιτέρω</w:t>
                  </w:r>
                  <w:r w:rsidR="005749C2">
                    <w:rPr>
                      <w:rFonts w:ascii="Segoe UI" w:hAnsi="Segoe UI" w:cs="Segoe UI"/>
                      <w:sz w:val="18"/>
                      <w:szCs w:val="15"/>
                      <w:lang w:val="el-GR"/>
                    </w:rPr>
                    <w:t xml:space="preserve"> σε </w:t>
                  </w:r>
                  <w:r w:rsidRPr="00BF459E">
                    <w:rPr>
                      <w:rFonts w:ascii="Segoe UI" w:hAnsi="Segoe UI" w:cs="Segoe UI"/>
                      <w:sz w:val="18"/>
                      <w:szCs w:val="15"/>
                      <w:lang w:val="el-GR"/>
                    </w:rPr>
                    <w:t xml:space="preserve">55% (+140 μ.β. σε τριμηνιαία βάση), </w:t>
                  </w:r>
                  <w:r w:rsidR="00AE0AE7">
                    <w:rPr>
                      <w:rFonts w:ascii="Segoe UI" w:hAnsi="Segoe UI" w:cs="Segoe UI"/>
                      <w:sz w:val="18"/>
                      <w:szCs w:val="15"/>
                      <w:lang w:val="el-GR"/>
                    </w:rPr>
                    <w:t xml:space="preserve">παραμένοντας το </w:t>
                  </w:r>
                  <w:r w:rsidRPr="00BF459E">
                    <w:rPr>
                      <w:rFonts w:ascii="Segoe UI" w:hAnsi="Segoe UI" w:cs="Segoe UI"/>
                      <w:sz w:val="18"/>
                      <w:szCs w:val="15"/>
                      <w:lang w:val="el-GR"/>
                    </w:rPr>
                    <w:t>υψηλότερ</w:t>
                  </w:r>
                  <w:r w:rsidR="00AE0AE7">
                    <w:rPr>
                      <w:rFonts w:ascii="Segoe UI" w:hAnsi="Segoe UI" w:cs="Segoe UI"/>
                      <w:sz w:val="18"/>
                      <w:szCs w:val="15"/>
                      <w:lang w:val="el-GR"/>
                    </w:rPr>
                    <w:t>ο</w:t>
                  </w:r>
                  <w:r w:rsidRPr="00BF459E">
                    <w:rPr>
                      <w:rFonts w:ascii="Segoe UI" w:hAnsi="Segoe UI" w:cs="Segoe UI"/>
                      <w:sz w:val="18"/>
                      <w:szCs w:val="15"/>
                      <w:lang w:val="el-GR"/>
                    </w:rPr>
                    <w:t xml:space="preserve"> του κλάδου</w:t>
                  </w:r>
                  <w:r w:rsidRPr="00BF459E">
                    <w:rPr>
                      <w:rFonts w:ascii="Segoe UI" w:hAnsi="Segoe UI" w:cs="Segoe UI"/>
                      <w:sz w:val="18"/>
                      <w:szCs w:val="15"/>
                      <w:vertAlign w:val="superscript"/>
                      <w:lang w:val="el-GR"/>
                    </w:rPr>
                    <w:t>2</w:t>
                  </w:r>
                </w:p>
                <w:p w:rsidR="00907637" w:rsidRPr="00E46E0F" w:rsidRDefault="00907637" w:rsidP="007C6AFC">
                  <w:pPr>
                    <w:pStyle w:val="a3"/>
                    <w:numPr>
                      <w:ilvl w:val="0"/>
                      <w:numId w:val="4"/>
                    </w:numPr>
                    <w:spacing w:before="120" w:after="0" w:line="240" w:lineRule="auto"/>
                    <w:rPr>
                      <w:rFonts w:ascii="Segoe UI" w:hAnsi="Segoe UI" w:cs="Segoe UI"/>
                      <w:sz w:val="18"/>
                      <w:szCs w:val="15"/>
                      <w:lang w:val="el-GR"/>
                    </w:rPr>
                  </w:pPr>
                  <w:r w:rsidRPr="00E46E0F">
                    <w:rPr>
                      <w:rFonts w:ascii="Segoe UI" w:hAnsi="Segoe UI" w:cs="Segoe UI"/>
                      <w:sz w:val="18"/>
                      <w:szCs w:val="15"/>
                      <w:lang w:val="el-GR"/>
                    </w:rPr>
                    <w:t xml:space="preserve">Η δημιουργία νέων δανείων σε καθυστέρηση άνω των 90 ημερών στην Ελλάδα </w:t>
                  </w:r>
                  <w:r w:rsidR="00D26F35" w:rsidRPr="00E46E0F">
                    <w:rPr>
                      <w:rFonts w:ascii="Segoe UI" w:hAnsi="Segoe UI" w:cs="Segoe UI"/>
                      <w:sz w:val="18"/>
                      <w:szCs w:val="15"/>
                      <w:lang w:val="el-GR"/>
                    </w:rPr>
                    <w:t xml:space="preserve">υποχώρησε σημαντικά </w:t>
                  </w:r>
                  <w:r w:rsidRPr="00E46E0F">
                    <w:rPr>
                      <w:rFonts w:ascii="Segoe UI" w:hAnsi="Segoe UI" w:cs="Segoe UI"/>
                      <w:sz w:val="18"/>
                      <w:szCs w:val="15"/>
                      <w:lang w:val="el-GR"/>
                    </w:rPr>
                    <w:t xml:space="preserve">σε μόλις €2 εκατ. </w:t>
                  </w:r>
                  <w:r w:rsidR="00D26F35" w:rsidRPr="00E46E0F">
                    <w:rPr>
                      <w:rFonts w:ascii="Segoe UI" w:hAnsi="Segoe UI" w:cs="Segoe UI"/>
                      <w:sz w:val="18"/>
                      <w:szCs w:val="15"/>
                      <w:lang w:val="el-GR"/>
                    </w:rPr>
                    <w:t xml:space="preserve">έναντι αύξησης ύψους €127 εκατ. </w:t>
                  </w:r>
                  <w:r w:rsidRPr="00E46E0F">
                    <w:rPr>
                      <w:rFonts w:ascii="Segoe UI" w:hAnsi="Segoe UI" w:cs="Segoe UI"/>
                      <w:sz w:val="18"/>
                      <w:szCs w:val="15"/>
                      <w:lang w:val="el-GR"/>
                    </w:rPr>
                    <w:t xml:space="preserve">το Α΄ τρίμηνο του 2016, </w:t>
                  </w:r>
                  <w:r w:rsidR="007C6AFC" w:rsidRPr="007C6AFC">
                    <w:rPr>
                      <w:rFonts w:ascii="Segoe UI" w:hAnsi="Segoe UI" w:cs="Segoe UI"/>
                      <w:sz w:val="18"/>
                      <w:szCs w:val="15"/>
                      <w:lang w:val="el-GR"/>
                    </w:rPr>
                    <w:t>κυρίως λόγω της σημαντικής μείωσης των νέων επισφαλειών στο επιχειρηματικό χαρτοφυλάκιο, οι οποίες διαμορφώθηκαν σε €81 εκατ. το Β’ τρίμηνο από €249 εκατ. το προηγούμενο τρίμηνο του 2016</w:t>
                  </w:r>
                </w:p>
                <w:p w:rsidR="00907637" w:rsidRPr="00BF459E" w:rsidRDefault="00972506" w:rsidP="00BF459E">
                  <w:pPr>
                    <w:pStyle w:val="a3"/>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Η</w:t>
                  </w:r>
                  <w:r w:rsidR="00907637" w:rsidRPr="00BF459E">
                    <w:rPr>
                      <w:rFonts w:ascii="Segoe UI" w:hAnsi="Segoe UI" w:cs="Segoe UI"/>
                      <w:sz w:val="18"/>
                      <w:szCs w:val="15"/>
                      <w:lang w:val="el-GR"/>
                    </w:rPr>
                    <w:t xml:space="preserve"> δημιουργία νέων δανείων </w:t>
                  </w:r>
                  <w:r>
                    <w:rPr>
                      <w:rFonts w:ascii="Segoe UI" w:hAnsi="Segoe UI" w:cs="Segoe UI"/>
                      <w:sz w:val="18"/>
                      <w:szCs w:val="15"/>
                      <w:lang w:val="el-GR"/>
                    </w:rPr>
                    <w:t>λ</w:t>
                  </w:r>
                  <w:r w:rsidRPr="00BF459E">
                    <w:rPr>
                      <w:rFonts w:ascii="Segoe UI" w:hAnsi="Segoe UI" w:cs="Segoe UI"/>
                      <w:sz w:val="18"/>
                      <w:szCs w:val="15"/>
                      <w:lang w:val="el-GR"/>
                    </w:rPr>
                    <w:t>ιανική</w:t>
                  </w:r>
                  <w:r>
                    <w:rPr>
                      <w:rFonts w:ascii="Segoe UI" w:hAnsi="Segoe UI" w:cs="Segoe UI"/>
                      <w:sz w:val="18"/>
                      <w:szCs w:val="15"/>
                      <w:lang w:val="el-GR"/>
                    </w:rPr>
                    <w:t>ς</w:t>
                  </w:r>
                  <w:r w:rsidRPr="00154F32">
                    <w:rPr>
                      <w:rFonts w:ascii="Segoe UI" w:hAnsi="Segoe UI" w:cs="Segoe UI"/>
                      <w:sz w:val="18"/>
                      <w:szCs w:val="15"/>
                      <w:lang w:val="el-GR"/>
                    </w:rPr>
                    <w:t xml:space="preserve">τραπεζικής </w:t>
                  </w:r>
                  <w:r w:rsidR="00907637" w:rsidRPr="00154F32">
                    <w:rPr>
                      <w:rFonts w:ascii="Segoe UI" w:hAnsi="Segoe UI" w:cs="Segoe UI"/>
                      <w:sz w:val="18"/>
                      <w:szCs w:val="15"/>
                      <w:lang w:val="el-GR"/>
                    </w:rPr>
                    <w:t xml:space="preserve">σε καθυστέρηση άνω των 90 ημερών </w:t>
                  </w:r>
                  <w:r w:rsidRPr="00154F32">
                    <w:rPr>
                      <w:rFonts w:ascii="Segoe UI" w:hAnsi="Segoe UI" w:cs="Segoe UI"/>
                      <w:sz w:val="18"/>
                      <w:szCs w:val="15"/>
                      <w:lang w:val="el-GR"/>
                    </w:rPr>
                    <w:t xml:space="preserve">στην Ελλάδα </w:t>
                  </w:r>
                  <w:r w:rsidR="00907637" w:rsidRPr="00154F32">
                    <w:rPr>
                      <w:rFonts w:ascii="Segoe UI" w:hAnsi="Segoe UI" w:cs="Segoe UI"/>
                      <w:sz w:val="18"/>
                      <w:szCs w:val="15"/>
                      <w:lang w:val="el-GR"/>
                    </w:rPr>
                    <w:t xml:space="preserve">παρέμεινε σε αρνητικά επίπεδα (-€98 εκατ.),κυρίως λόγω </w:t>
                  </w:r>
                  <w:r w:rsidRPr="00154F32">
                    <w:rPr>
                      <w:rFonts w:ascii="Segoe UI" w:hAnsi="Segoe UI" w:cs="Segoe UI"/>
                      <w:sz w:val="18"/>
                      <w:szCs w:val="15"/>
                      <w:lang w:val="el-GR"/>
                    </w:rPr>
                    <w:t xml:space="preserve">της μείωσης </w:t>
                  </w:r>
                  <w:r w:rsidR="00154F32" w:rsidRPr="00154F32">
                    <w:rPr>
                      <w:rFonts w:ascii="Segoe UI" w:hAnsi="Segoe UI" w:cs="Segoe UI"/>
                      <w:sz w:val="18"/>
                      <w:szCs w:val="15"/>
                      <w:lang w:val="el-GR"/>
                    </w:rPr>
                    <w:t>επισφαλειών σε δάνεια που έχουν αναδιαρθρωθεί</w:t>
                  </w:r>
                  <w:r w:rsidR="00C30185" w:rsidRPr="00154F32">
                    <w:rPr>
                      <w:rFonts w:ascii="Segoe UI" w:hAnsi="Segoe UI" w:cs="Segoe UI"/>
                      <w:sz w:val="18"/>
                      <w:szCs w:val="15"/>
                      <w:lang w:val="el-GR"/>
                    </w:rPr>
                    <w:t>. Ο</w:t>
                  </w:r>
                  <w:r w:rsidR="008D6B16" w:rsidRPr="00154F32">
                    <w:rPr>
                      <w:rFonts w:ascii="Segoe UI" w:hAnsi="Segoe UI" w:cs="Segoe UI"/>
                      <w:sz w:val="18"/>
                      <w:szCs w:val="15"/>
                      <w:lang w:val="el-GR"/>
                    </w:rPr>
                    <w:t xml:space="preserve"> σχηματισμό</w:t>
                  </w:r>
                  <w:r w:rsidR="00C30185" w:rsidRPr="00154F32">
                    <w:rPr>
                      <w:rFonts w:ascii="Segoe UI" w:hAnsi="Segoe UI" w:cs="Segoe UI"/>
                      <w:sz w:val="18"/>
                      <w:szCs w:val="15"/>
                      <w:lang w:val="el-GR"/>
                    </w:rPr>
                    <w:t>ς</w:t>
                  </w:r>
                  <w:r w:rsidR="008D6B16">
                    <w:rPr>
                      <w:rFonts w:ascii="Segoe UI" w:hAnsi="Segoe UI" w:cs="Segoe UI"/>
                      <w:sz w:val="18"/>
                      <w:szCs w:val="15"/>
                      <w:lang w:val="el-GR"/>
                    </w:rPr>
                    <w:t xml:space="preserve"> νέων καθυστερήσεων</w:t>
                  </w:r>
                  <w:r w:rsidR="00C30185">
                    <w:rPr>
                      <w:rFonts w:ascii="Segoe UI" w:hAnsi="Segoe UI" w:cs="Segoe UI"/>
                      <w:sz w:val="18"/>
                      <w:szCs w:val="15"/>
                      <w:lang w:val="el-GR"/>
                    </w:rPr>
                    <w:t xml:space="preserve"> σε όλες τις επιμέρους κατηγορίες </w:t>
                  </w:r>
                  <w:r w:rsidR="00517D3E">
                    <w:rPr>
                      <w:rFonts w:ascii="Segoe UI" w:hAnsi="Segoe UI" w:cs="Segoe UI"/>
                      <w:sz w:val="18"/>
                      <w:szCs w:val="15"/>
                      <w:lang w:val="el-GR"/>
                    </w:rPr>
                    <w:t>λ</w:t>
                  </w:r>
                  <w:r w:rsidR="00C30185">
                    <w:rPr>
                      <w:rFonts w:ascii="Segoe UI" w:hAnsi="Segoe UI" w:cs="Segoe UI"/>
                      <w:sz w:val="18"/>
                      <w:szCs w:val="15"/>
                      <w:lang w:val="el-GR"/>
                    </w:rPr>
                    <w:t>ιανικής τραπεζικής, συμπεριλαμβανομένων και των μικρών επιχειρήσεων, ήταν αρνητικός</w:t>
                  </w:r>
                </w:p>
                <w:p w:rsidR="00907637" w:rsidRPr="00BF459E" w:rsidRDefault="00907637" w:rsidP="00BF459E">
                  <w:pPr>
                    <w:pStyle w:val="a3"/>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Ο δείκτης δανείων σε καθυστέρηση άνω των 90 ημερών μειώθηκε κατά 30 μ.β. σε σχέση με το προηγούμενο τρίμηνο</w:t>
                  </w:r>
                  <w:r w:rsidR="00311F0B">
                    <w:rPr>
                      <w:rFonts w:ascii="Segoe UI" w:hAnsi="Segoe UI" w:cs="Segoe UI"/>
                      <w:sz w:val="18"/>
                      <w:szCs w:val="15"/>
                      <w:lang w:val="el-GR"/>
                    </w:rPr>
                    <w:t xml:space="preserve"> και διαμορφώθηκε </w:t>
                  </w:r>
                  <w:r w:rsidRPr="00BF459E">
                    <w:rPr>
                      <w:rFonts w:ascii="Segoe UI" w:hAnsi="Segoe UI" w:cs="Segoe UI"/>
                      <w:sz w:val="18"/>
                      <w:szCs w:val="15"/>
                      <w:lang w:val="el-GR"/>
                    </w:rPr>
                    <w:t xml:space="preserve">σε 34,4% </w:t>
                  </w:r>
                  <w:r w:rsidR="00CF161F">
                    <w:rPr>
                      <w:rFonts w:ascii="Segoe UI" w:hAnsi="Segoe UI" w:cs="Segoe UI"/>
                      <w:sz w:val="18"/>
                      <w:szCs w:val="15"/>
                      <w:lang w:val="el-GR"/>
                    </w:rPr>
                    <w:t xml:space="preserve">στην Ελλάδα </w:t>
                  </w:r>
                  <w:r w:rsidRPr="00BF459E">
                    <w:rPr>
                      <w:rFonts w:ascii="Segoe UI" w:hAnsi="Segoe UI" w:cs="Segoe UI"/>
                      <w:sz w:val="18"/>
                      <w:szCs w:val="15"/>
                      <w:lang w:val="el-GR"/>
                    </w:rPr>
                    <w:t xml:space="preserve">(33,3% σε επίπεδο Ομίλου). Ο δείκτης κάλυψης δανείων σε καθυστέρηση άνω των 90 ημερών </w:t>
                  </w:r>
                  <w:r w:rsidR="00CF161F">
                    <w:rPr>
                      <w:rFonts w:ascii="Segoe UI" w:hAnsi="Segoe UI" w:cs="Segoe UI"/>
                      <w:sz w:val="18"/>
                      <w:szCs w:val="15"/>
                      <w:lang w:val="el-GR"/>
                    </w:rPr>
                    <w:t>από σωρευμένες προβλέψεις ενισχύθηκε περαιτέρω</w:t>
                  </w:r>
                  <w:r w:rsidR="00311F0B">
                    <w:rPr>
                      <w:rFonts w:ascii="Segoe UI" w:hAnsi="Segoe UI" w:cs="Segoe UI"/>
                      <w:sz w:val="18"/>
                      <w:szCs w:val="15"/>
                      <w:lang w:val="el-GR"/>
                    </w:rPr>
                    <w:t>, ανερχόμενος</w:t>
                  </w:r>
                  <w:r w:rsidR="00CF161F">
                    <w:rPr>
                      <w:rFonts w:ascii="Segoe UI" w:hAnsi="Segoe UI" w:cs="Segoe UI"/>
                      <w:sz w:val="18"/>
                      <w:szCs w:val="15"/>
                      <w:lang w:val="el-GR"/>
                    </w:rPr>
                    <w:t xml:space="preserve"> σε </w:t>
                  </w:r>
                  <w:r w:rsidRPr="00BF459E">
                    <w:rPr>
                      <w:rFonts w:ascii="Segoe UI" w:hAnsi="Segoe UI" w:cs="Segoe UI"/>
                      <w:sz w:val="18"/>
                      <w:szCs w:val="15"/>
                      <w:lang w:val="el-GR"/>
                    </w:rPr>
                    <w:t xml:space="preserve">77% </w:t>
                  </w:r>
                  <w:r w:rsidR="00C63101">
                    <w:rPr>
                      <w:rFonts w:ascii="Segoe UI" w:hAnsi="Segoe UI" w:cs="Segoe UI"/>
                      <w:sz w:val="18"/>
                      <w:szCs w:val="15"/>
                      <w:lang w:val="el-GR"/>
                    </w:rPr>
                    <w:t xml:space="preserve">στην Ελλάδα </w:t>
                  </w:r>
                  <w:r w:rsidRPr="00BF459E">
                    <w:rPr>
                      <w:rFonts w:ascii="Segoe UI" w:hAnsi="Segoe UI" w:cs="Segoe UI"/>
                      <w:sz w:val="18"/>
                      <w:szCs w:val="15"/>
                      <w:lang w:val="el-GR"/>
                    </w:rPr>
                    <w:t>(75% σε επίπεδο Ομίλου), στα υψηλότερα επίπεδα του κλάδου</w:t>
                  </w:r>
                  <w:r w:rsidRPr="00BF459E">
                    <w:rPr>
                      <w:rFonts w:ascii="Segoe UI" w:hAnsi="Segoe UI" w:cs="Segoe UI"/>
                      <w:sz w:val="18"/>
                      <w:szCs w:val="15"/>
                      <w:vertAlign w:val="superscript"/>
                      <w:lang w:val="el-GR"/>
                    </w:rPr>
                    <w:t>2</w:t>
                  </w:r>
                </w:p>
                <w:p w:rsidR="00907637" w:rsidRDefault="00907637" w:rsidP="00BF459E">
                  <w:pPr>
                    <w:pStyle w:val="a3"/>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 xml:space="preserve">Το κόστος </w:t>
                  </w:r>
                  <w:r w:rsidR="0071156B">
                    <w:rPr>
                      <w:rFonts w:ascii="Segoe UI" w:hAnsi="Segoe UI" w:cs="Segoe UI"/>
                      <w:sz w:val="18"/>
                      <w:szCs w:val="15"/>
                      <w:lang w:val="el-GR"/>
                    </w:rPr>
                    <w:t xml:space="preserve">πιστωτικού </w:t>
                  </w:r>
                  <w:r w:rsidRPr="00BF459E">
                    <w:rPr>
                      <w:rFonts w:ascii="Segoe UI" w:hAnsi="Segoe UI" w:cs="Segoe UI"/>
                      <w:sz w:val="18"/>
                      <w:szCs w:val="15"/>
                      <w:lang w:val="el-GR"/>
                    </w:rPr>
                    <w:t xml:space="preserve">κινδύνου (CoR) </w:t>
                  </w:r>
                  <w:r w:rsidR="00C63101">
                    <w:rPr>
                      <w:rFonts w:ascii="Segoe UI" w:hAnsi="Segoe UI" w:cs="Segoe UI"/>
                      <w:sz w:val="18"/>
                      <w:szCs w:val="15"/>
                      <w:lang w:val="el-GR"/>
                    </w:rPr>
                    <w:t xml:space="preserve">διαμορφώθηκε </w:t>
                  </w:r>
                  <w:r w:rsidRPr="00BF459E">
                    <w:rPr>
                      <w:rFonts w:ascii="Segoe UI" w:hAnsi="Segoe UI" w:cs="Segoe UI"/>
                      <w:sz w:val="18"/>
                      <w:szCs w:val="15"/>
                      <w:lang w:val="el-GR"/>
                    </w:rPr>
                    <w:t xml:space="preserve">σε 197 μ.β. </w:t>
                  </w:r>
                  <w:r w:rsidR="00C63101" w:rsidRPr="00BF459E">
                    <w:rPr>
                      <w:rFonts w:ascii="Segoe UI" w:hAnsi="Segoe UI" w:cs="Segoe UI"/>
                      <w:sz w:val="18"/>
                      <w:szCs w:val="15"/>
                      <w:lang w:val="el-GR"/>
                    </w:rPr>
                    <w:t xml:space="preserve">στο Α΄ εξάμηνο του 2016 </w:t>
                  </w:r>
                  <w:r w:rsidRPr="00BF459E">
                    <w:rPr>
                      <w:rFonts w:ascii="Segoe UI" w:hAnsi="Segoe UI" w:cs="Segoe UI"/>
                      <w:sz w:val="18"/>
                      <w:szCs w:val="15"/>
                      <w:lang w:val="el-GR"/>
                    </w:rPr>
                    <w:t>στην Ελλά</w:t>
                  </w:r>
                  <w:r w:rsidR="008D552F">
                    <w:rPr>
                      <w:rFonts w:ascii="Segoe UI" w:hAnsi="Segoe UI" w:cs="Segoe UI"/>
                      <w:sz w:val="18"/>
                      <w:szCs w:val="15"/>
                      <w:lang w:val="el-GR"/>
                    </w:rPr>
                    <w:t>δα (189 μ.β. σε επίπεδο Ομίλου)</w:t>
                  </w:r>
                </w:p>
                <w:p w:rsidR="007C565C" w:rsidRPr="00BF459E" w:rsidRDefault="007C565C" w:rsidP="007C565C">
                  <w:pPr>
                    <w:pStyle w:val="a3"/>
                    <w:spacing w:before="120" w:after="0" w:line="240" w:lineRule="auto"/>
                    <w:ind w:left="786"/>
                    <w:rPr>
                      <w:rFonts w:ascii="Segoe UI" w:hAnsi="Segoe UI" w:cs="Segoe UI"/>
                      <w:sz w:val="18"/>
                      <w:szCs w:val="15"/>
                      <w:lang w:val="el-GR"/>
                    </w:rPr>
                  </w:pPr>
                </w:p>
                <w:p w:rsidR="007C565C" w:rsidRPr="00EE1E78" w:rsidRDefault="007C565C" w:rsidP="007C565C">
                  <w:pPr>
                    <w:pStyle w:val="a3"/>
                    <w:spacing w:after="0" w:line="240" w:lineRule="auto"/>
                    <w:ind w:left="360"/>
                    <w:jc w:val="right"/>
                    <w:rPr>
                      <w:rFonts w:ascii="Segoe UI" w:hAnsi="Segoe UI" w:cs="Segoe UI"/>
                      <w:sz w:val="16"/>
                      <w:szCs w:val="12"/>
                      <w:lang w:val="el-GR"/>
                    </w:rPr>
                  </w:pPr>
                  <w:r w:rsidRPr="00EE1E78">
                    <w:rPr>
                      <w:rFonts w:ascii="Segoe UI" w:hAnsi="Segoe UI" w:cs="Segoe UI"/>
                      <w:sz w:val="16"/>
                      <w:szCs w:val="12"/>
                      <w:lang w:val="el-GR"/>
                    </w:rPr>
                    <w:t>Αθήνα, 31 Αυγούστου 2016</w:t>
                  </w:r>
                </w:p>
                <w:p w:rsidR="00DE05C0" w:rsidRPr="00DE05C0" w:rsidRDefault="00907637" w:rsidP="00BF459E">
                  <w:pPr>
                    <w:pStyle w:val="a3"/>
                    <w:spacing w:before="120" w:after="0" w:line="240" w:lineRule="auto"/>
                    <w:ind w:left="0"/>
                    <w:rPr>
                      <w:rFonts w:ascii="Segoe UI" w:hAnsi="Segoe UI" w:cs="Segoe UI"/>
                      <w:sz w:val="12"/>
                      <w:szCs w:val="12"/>
                      <w:lang w:val="el-GR"/>
                    </w:rPr>
                  </w:pPr>
                  <w:r w:rsidRPr="00DE05C0">
                    <w:rPr>
                      <w:rFonts w:ascii="Segoe UI" w:hAnsi="Segoe UI" w:cs="Segoe UI"/>
                      <w:sz w:val="12"/>
                      <w:szCs w:val="12"/>
                      <w:vertAlign w:val="superscript"/>
                      <w:lang w:val="el-GR"/>
                    </w:rPr>
                    <w:t>1</w:t>
                  </w:r>
                  <w:r w:rsidRPr="00DE05C0">
                    <w:rPr>
                      <w:rFonts w:ascii="Segoe UI" w:hAnsi="Segoe UI" w:cs="Segoe UI"/>
                      <w:sz w:val="12"/>
                      <w:szCs w:val="12"/>
                      <w:lang w:val="el-GR"/>
                    </w:rPr>
                    <w:t xml:space="preserve">Στοιχεία με ημερομηνία </w:t>
                  </w:r>
                  <w:r w:rsidR="004E5F3A" w:rsidRPr="00DE05C0">
                    <w:rPr>
                      <w:rFonts w:ascii="Segoe UI" w:hAnsi="Segoe UI" w:cs="Segoe UI"/>
                      <w:sz w:val="12"/>
                      <w:szCs w:val="12"/>
                      <w:lang w:val="el-GR"/>
                    </w:rPr>
                    <w:t>26</w:t>
                  </w:r>
                  <w:r w:rsidRPr="00DE05C0">
                    <w:rPr>
                      <w:rFonts w:ascii="Segoe UI" w:hAnsi="Segoe UI" w:cs="Segoe UI"/>
                      <w:sz w:val="12"/>
                      <w:szCs w:val="12"/>
                      <w:lang w:val="el-GR"/>
                    </w:rPr>
                    <w:t xml:space="preserve"> Αυγούστου 2016</w:t>
                  </w:r>
                </w:p>
                <w:p w:rsidR="00907637" w:rsidRPr="00DE05C0" w:rsidRDefault="00907637" w:rsidP="00BF459E">
                  <w:pPr>
                    <w:pStyle w:val="a3"/>
                    <w:spacing w:before="120" w:after="0" w:line="240" w:lineRule="auto"/>
                    <w:ind w:left="0"/>
                    <w:rPr>
                      <w:rFonts w:ascii="Segoe UI" w:hAnsi="Segoe UI" w:cs="Segoe UI"/>
                      <w:sz w:val="12"/>
                      <w:szCs w:val="12"/>
                      <w:lang w:val="el-GR"/>
                    </w:rPr>
                  </w:pPr>
                  <w:r w:rsidRPr="00DE05C0">
                    <w:rPr>
                      <w:rFonts w:ascii="Segoe UI" w:hAnsi="Segoe UI" w:cs="Segoe UI"/>
                      <w:sz w:val="12"/>
                      <w:szCs w:val="12"/>
                      <w:vertAlign w:val="superscript"/>
                      <w:lang w:val="el-GR"/>
                    </w:rPr>
                    <w:t>2</w:t>
                  </w:r>
                  <w:r w:rsidRPr="00DE05C0">
                    <w:rPr>
                      <w:rFonts w:ascii="Segoe UI" w:hAnsi="Segoe UI" w:cs="Segoe UI"/>
                      <w:sz w:val="12"/>
                      <w:szCs w:val="12"/>
                      <w:lang w:val="el-GR"/>
                    </w:rPr>
                    <w:t xml:space="preserve"> Η σύγκριση με τις λοιπές εγχώριες συστημικές τράπεζες βασίζεται σε στοιχεία που έχουν δημοσιευθεί μέχρι 30 Αυγούστου, 2016</w:t>
                  </w:r>
                </w:p>
                <w:p w:rsidR="00907637" w:rsidRPr="002C2ABB" w:rsidRDefault="00907637" w:rsidP="00BF459E">
                  <w:pPr>
                    <w:pStyle w:val="a3"/>
                    <w:spacing w:before="120" w:after="0" w:line="240" w:lineRule="auto"/>
                    <w:ind w:left="360"/>
                    <w:jc w:val="right"/>
                    <w:rPr>
                      <w:rFonts w:ascii="Segoe UI" w:hAnsi="Segoe UI" w:cs="Segoe UI"/>
                      <w:sz w:val="2"/>
                      <w:szCs w:val="2"/>
                      <w:lang w:val="el-GR"/>
                    </w:rPr>
                  </w:pPr>
                </w:p>
              </w:txbxContent>
            </v:textbox>
          </v:shape>
        </w:pict>
      </w: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A202A0" w:rsidRPr="00F50813" w:rsidRDefault="00B17525" w:rsidP="004929D8">
      <w:pPr>
        <w:spacing w:after="160"/>
        <w:jc w:val="both"/>
        <w:rPr>
          <w:rFonts w:ascii="Segoe UI" w:hAnsi="Segoe UI" w:cs="Segoe UI"/>
          <w:i/>
          <w:lang w:eastAsia="en-GB"/>
        </w:rPr>
      </w:pPr>
      <w:r w:rsidRPr="00F50813">
        <w:rPr>
          <w:rFonts w:ascii="Segoe UI" w:hAnsi="Segoe UI" w:cs="Segoe UI"/>
          <w:i/>
          <w:lang w:eastAsia="en-GB"/>
        </w:rPr>
        <w:t xml:space="preserve">With the Bank’s strong position and the dynamics of its forward course </w:t>
      </w:r>
      <w:r w:rsidR="00411B8F" w:rsidRPr="00F50813">
        <w:rPr>
          <w:rFonts w:ascii="Segoe UI" w:hAnsi="Segoe UI" w:cs="Segoe UI"/>
          <w:i/>
          <w:lang w:eastAsia="en-GB"/>
        </w:rPr>
        <w:t xml:space="preserve">now </w:t>
      </w:r>
      <w:r w:rsidRPr="00F50813">
        <w:rPr>
          <w:rFonts w:ascii="Segoe UI" w:hAnsi="Segoe UI" w:cs="Segoe UI"/>
          <w:i/>
          <w:lang w:eastAsia="en-GB"/>
        </w:rPr>
        <w:t>verified</w:t>
      </w:r>
      <w:r w:rsidR="005E24C3" w:rsidRPr="00F50813">
        <w:rPr>
          <w:rFonts w:ascii="Segoe UI" w:hAnsi="Segoe UI" w:cs="Segoe UI"/>
          <w:i/>
          <w:lang w:eastAsia="en-GB"/>
        </w:rPr>
        <w:t xml:space="preserve"> by the </w:t>
      </w:r>
    </w:p>
    <w:p w:rsidR="005E24C3" w:rsidRPr="00F50813" w:rsidRDefault="005E24C3" w:rsidP="004929D8">
      <w:pPr>
        <w:spacing w:after="160" w:line="240" w:lineRule="auto"/>
        <w:jc w:val="both"/>
        <w:rPr>
          <w:rFonts w:ascii="Segoe UI" w:hAnsi="Segoe UI" w:cs="Segoe UI"/>
          <w:i/>
          <w:iCs/>
          <w:lang w:val="en-US"/>
        </w:rPr>
      </w:pPr>
    </w:p>
    <w:p w:rsidR="00B70DD7" w:rsidRPr="00F50813" w:rsidRDefault="00B70DD7" w:rsidP="004929D8">
      <w:pPr>
        <w:spacing w:after="160" w:line="240" w:lineRule="auto"/>
        <w:jc w:val="both"/>
        <w:rPr>
          <w:rFonts w:ascii="Segoe UI" w:hAnsi="Segoe UI" w:cs="Segoe UI"/>
          <w:lang w:val="en-US"/>
        </w:rPr>
      </w:pPr>
      <w:r w:rsidRPr="00F50813">
        <w:rPr>
          <w:rFonts w:ascii="Segoe UI" w:hAnsi="Segoe UI" w:cs="Segoe UI"/>
          <w:lang w:val="en-US"/>
        </w:rPr>
        <w:br w:type="page"/>
      </w:r>
    </w:p>
    <w:p w:rsidR="00901454" w:rsidRPr="00F50813" w:rsidRDefault="001B6ED7" w:rsidP="004929D8">
      <w:pPr>
        <w:spacing w:after="160"/>
        <w:jc w:val="both"/>
        <w:rPr>
          <w:rFonts w:ascii="Segoe UI" w:hAnsi="Segoe UI" w:cs="Segoe UI"/>
          <w:i/>
          <w:iCs/>
          <w:lang w:val="en-US"/>
        </w:rPr>
      </w:pPr>
      <w:r w:rsidRPr="001B6ED7">
        <w:rPr>
          <w:rFonts w:ascii="Segoe UI" w:hAnsi="Segoe UI" w:cs="Segoe UI"/>
          <w:b/>
          <w:noProof/>
          <w:lang w:val="el-GR" w:eastAsia="el-GR"/>
        </w:rPr>
        <w:lastRenderedPageBreak/>
        <w:pict>
          <v:shape id="_x0000_s1027" type="#_x0000_t202" style="position:absolute;left:0;text-align:left;margin-left:-2.5pt;margin-top:-9.2pt;width:420.15pt;height:726.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" fillcolor="#d9d9d9" stroked="f">
            <v:textbox>
              <w:txbxContent>
                <w:p w:rsidR="00BF459E" w:rsidRPr="00E46E0F" w:rsidRDefault="00BF459E" w:rsidP="00E33DCE">
                  <w:pPr>
                    <w:pStyle w:val="a3"/>
                    <w:numPr>
                      <w:ilvl w:val="0"/>
                      <w:numId w:val="10"/>
                    </w:numPr>
                    <w:spacing w:before="120" w:after="0"/>
                    <w:rPr>
                      <w:rFonts w:ascii="Segoe UI" w:hAnsi="Segoe UI" w:cs="Segoe UI"/>
                      <w:b/>
                      <w:sz w:val="18"/>
                      <w:szCs w:val="15"/>
                      <w:lang w:val="el-GR"/>
                    </w:rPr>
                  </w:pPr>
                  <w:r w:rsidRPr="00E46E0F">
                    <w:rPr>
                      <w:rFonts w:ascii="Segoe UI" w:hAnsi="Segoe UI" w:cs="Segoe UI"/>
                      <w:b/>
                      <w:sz w:val="18"/>
                      <w:szCs w:val="15"/>
                      <w:lang w:val="el-GR"/>
                    </w:rPr>
                    <w:t xml:space="preserve">Η μείωση του κόστους χρηματοδότησης αυξάνει τα οργανικά κέρδη προ προβλέψεων στην Ελλάδα κατά 10% σε τριμηνιαία βάση. </w:t>
                  </w:r>
                  <w:r w:rsidR="0074665A">
                    <w:rPr>
                      <w:rFonts w:ascii="Segoe UI" w:hAnsi="Segoe UI" w:cs="Segoe UI"/>
                      <w:b/>
                      <w:sz w:val="18"/>
                      <w:szCs w:val="15"/>
                      <w:lang w:val="el-GR"/>
                    </w:rPr>
                    <w:t xml:space="preserve">Οριακή κερδοφορία </w:t>
                  </w:r>
                  <w:r w:rsidRPr="00E46E0F">
                    <w:rPr>
                      <w:rFonts w:ascii="Segoe UI" w:hAnsi="Segoe UI" w:cs="Segoe UI"/>
                      <w:b/>
                      <w:sz w:val="18"/>
                      <w:szCs w:val="15"/>
                      <w:lang w:val="el-GR"/>
                    </w:rPr>
                    <w:t xml:space="preserve">κατά το Α΄ εξάμηνο του 2016 σε επίπεδο Ομίλου </w:t>
                  </w:r>
                </w:p>
                <w:p w:rsidR="00BF459E" w:rsidRPr="006D79FD" w:rsidRDefault="00BF459E" w:rsidP="00E33DCE">
                  <w:pPr>
                    <w:pStyle w:val="a3"/>
                    <w:numPr>
                      <w:ilvl w:val="1"/>
                      <w:numId w:val="4"/>
                    </w:numPr>
                    <w:spacing w:before="120" w:after="0" w:line="240" w:lineRule="auto"/>
                    <w:rPr>
                      <w:rFonts w:ascii="Segoe UI" w:hAnsi="Segoe UI" w:cs="Segoe UI"/>
                      <w:sz w:val="18"/>
                      <w:szCs w:val="15"/>
                      <w:lang w:val="el-GR"/>
                    </w:rPr>
                  </w:pPr>
                  <w:r w:rsidRPr="006D79FD">
                    <w:rPr>
                      <w:rFonts w:ascii="Segoe UI" w:hAnsi="Segoe UI" w:cs="Segoe UI"/>
                      <w:sz w:val="18"/>
                      <w:szCs w:val="15"/>
                      <w:lang w:val="el-GR"/>
                    </w:rPr>
                    <w:t>Τα οργανικά κέρδη προ προβλέψεων στην Ελλάδα ανήλθαν σε €207 εκατ. το Β΄ τρίμηνο (+10% σε τριμηνιαία βάση), αντανακλώντας τη βελτίωση των οργανικών εσόδων (+6% σε τριμηνιαία βάση).Το καθαρό επιτοκιακό περιθώριο</w:t>
                  </w:r>
                  <w:r w:rsidR="00B46A35">
                    <w:rPr>
                      <w:rFonts w:ascii="Segoe UI" w:hAnsi="Segoe UI" w:cs="Segoe UI"/>
                      <w:sz w:val="18"/>
                      <w:szCs w:val="15"/>
                      <w:lang w:val="el-GR"/>
                    </w:rPr>
                    <w:t xml:space="preserve"> ενισχύθηκε </w:t>
                  </w:r>
                  <w:r w:rsidRPr="006D79FD">
                    <w:rPr>
                      <w:rFonts w:ascii="Segoe UI" w:hAnsi="Segoe UI" w:cs="Segoe UI"/>
                      <w:sz w:val="18"/>
                      <w:szCs w:val="15"/>
                      <w:lang w:val="el-GR"/>
                    </w:rPr>
                    <w:t xml:space="preserve">κατά 6 μ.β. σε σχέση με το προηγούμενο τρίμηνο </w:t>
                  </w:r>
                  <w:r w:rsidR="00B46A35">
                    <w:rPr>
                      <w:rFonts w:ascii="Segoe UI" w:hAnsi="Segoe UI" w:cs="Segoe UI"/>
                      <w:sz w:val="18"/>
                      <w:szCs w:val="15"/>
                      <w:lang w:val="el-GR"/>
                    </w:rPr>
                    <w:t xml:space="preserve">και διαμορφώθηκε σε </w:t>
                  </w:r>
                  <w:r w:rsidRPr="006D79FD">
                    <w:rPr>
                      <w:rFonts w:ascii="Segoe UI" w:hAnsi="Segoe UI" w:cs="Segoe UI"/>
                      <w:sz w:val="18"/>
                      <w:szCs w:val="15"/>
                      <w:lang w:val="el-GR"/>
                    </w:rPr>
                    <w:t xml:space="preserve">274 μ.β. </w:t>
                  </w:r>
                  <w:r w:rsidR="00B46A35">
                    <w:rPr>
                      <w:rFonts w:ascii="Segoe UI" w:hAnsi="Segoe UI" w:cs="Segoe UI"/>
                      <w:sz w:val="18"/>
                      <w:szCs w:val="15"/>
                      <w:lang w:val="el-GR"/>
                    </w:rPr>
                    <w:t>στην Ελλάδα</w:t>
                  </w:r>
                  <w:r w:rsidRPr="006D79FD">
                    <w:rPr>
                      <w:rFonts w:ascii="Segoe UI" w:hAnsi="Segoe UI" w:cs="Segoe UI"/>
                      <w:sz w:val="18"/>
                      <w:szCs w:val="15"/>
                      <w:lang w:val="el-GR"/>
                    </w:rPr>
                    <w:t>(285 μ.β. σε επίπεδο Ομίλου)</w:t>
                  </w:r>
                </w:p>
                <w:p w:rsidR="00BF459E" w:rsidRPr="006D79FD" w:rsidRDefault="00BF459E" w:rsidP="00E33DCE">
                  <w:pPr>
                    <w:pStyle w:val="a3"/>
                    <w:numPr>
                      <w:ilvl w:val="1"/>
                      <w:numId w:val="4"/>
                    </w:numPr>
                    <w:spacing w:before="120" w:after="0" w:line="240" w:lineRule="auto"/>
                    <w:rPr>
                      <w:rFonts w:ascii="Segoe UI" w:hAnsi="Segoe UI" w:cs="Segoe UI"/>
                      <w:sz w:val="18"/>
                      <w:szCs w:val="15"/>
                      <w:lang w:val="el-GR"/>
                    </w:rPr>
                  </w:pPr>
                  <w:r w:rsidRPr="006D79FD">
                    <w:rPr>
                      <w:rFonts w:ascii="Segoe UI" w:hAnsi="Segoe UI" w:cs="Segoe UI"/>
                      <w:sz w:val="18"/>
                      <w:szCs w:val="15"/>
                      <w:lang w:val="el-GR"/>
                    </w:rPr>
                    <w:t xml:space="preserve">Τα καθαρά έσοδα </w:t>
                  </w:r>
                  <w:r w:rsidR="00F92002">
                    <w:rPr>
                      <w:rFonts w:ascii="Segoe UI" w:hAnsi="Segoe UI" w:cs="Segoe UI"/>
                      <w:sz w:val="18"/>
                      <w:szCs w:val="15"/>
                      <w:lang w:val="el-GR"/>
                    </w:rPr>
                    <w:t xml:space="preserve">από τόκους στην Ελλάδα </w:t>
                  </w:r>
                  <w:r w:rsidR="00FE6FC1">
                    <w:rPr>
                      <w:rFonts w:ascii="Segoe UI" w:hAnsi="Segoe UI" w:cs="Segoe UI"/>
                      <w:sz w:val="18"/>
                      <w:szCs w:val="15"/>
                      <w:lang w:val="el-GR"/>
                    </w:rPr>
                    <w:t xml:space="preserve">επηρεάζονται θετικά </w:t>
                  </w:r>
                  <w:r w:rsidRPr="006D79FD">
                    <w:rPr>
                      <w:rFonts w:ascii="Segoe UI" w:hAnsi="Segoe UI" w:cs="Segoe UI"/>
                      <w:sz w:val="18"/>
                      <w:szCs w:val="15"/>
                      <w:lang w:val="el-GR"/>
                    </w:rPr>
                    <w:t xml:space="preserve">από τη συνεχιζόμενη ανατιμολόγηση </w:t>
                  </w:r>
                  <w:r w:rsidR="00181F1A">
                    <w:rPr>
                      <w:rFonts w:ascii="Segoe UI" w:hAnsi="Segoe UI" w:cs="Segoe UI"/>
                      <w:sz w:val="18"/>
                      <w:szCs w:val="15"/>
                      <w:lang w:val="el-GR"/>
                    </w:rPr>
                    <w:t xml:space="preserve">του κόστους των </w:t>
                  </w:r>
                  <w:r w:rsidRPr="006D79FD">
                    <w:rPr>
                      <w:rFonts w:ascii="Segoe UI" w:hAnsi="Segoe UI" w:cs="Segoe UI"/>
                      <w:sz w:val="18"/>
                      <w:szCs w:val="15"/>
                      <w:lang w:val="el-GR"/>
                    </w:rPr>
                    <w:t>προθεσμιακών καταθέσεων (-22μ.β. σε τριμηνιαία βάση)</w:t>
                  </w:r>
                  <w:r w:rsidR="00F92002">
                    <w:rPr>
                      <w:rFonts w:ascii="Segoe UI" w:hAnsi="Segoe UI" w:cs="Segoe UI"/>
                      <w:sz w:val="18"/>
                      <w:szCs w:val="15"/>
                      <w:lang w:val="el-GR"/>
                    </w:rPr>
                    <w:t xml:space="preserve">, </w:t>
                  </w:r>
                  <w:r w:rsidRPr="006D79FD">
                    <w:rPr>
                      <w:rFonts w:ascii="Segoe UI" w:hAnsi="Segoe UI" w:cs="Segoe UI"/>
                      <w:sz w:val="18"/>
                      <w:szCs w:val="15"/>
                      <w:lang w:val="el-GR"/>
                    </w:rPr>
                    <w:t xml:space="preserve">την περαιτέρω </w:t>
                  </w:r>
                  <w:r w:rsidR="0074665A">
                    <w:rPr>
                      <w:rFonts w:ascii="Segoe UI" w:hAnsi="Segoe UI" w:cs="Segoe UI"/>
                      <w:sz w:val="18"/>
                      <w:szCs w:val="15"/>
                      <w:lang w:val="el-GR"/>
                    </w:rPr>
                    <w:t>αποκλιμάκωση</w:t>
                  </w:r>
                  <w:r w:rsidRPr="006D79FD">
                    <w:rPr>
                      <w:rFonts w:ascii="Segoe UI" w:hAnsi="Segoe UI" w:cs="Segoe UI"/>
                      <w:sz w:val="18"/>
                      <w:szCs w:val="15"/>
                      <w:lang w:val="el-GR"/>
                    </w:rPr>
                    <w:t xml:space="preserve"> της </w:t>
                  </w:r>
                  <w:r w:rsidR="008C3EDE">
                    <w:rPr>
                      <w:rFonts w:ascii="Segoe UI" w:hAnsi="Segoe UI" w:cs="Segoe UI"/>
                      <w:sz w:val="18"/>
                      <w:szCs w:val="15"/>
                      <w:lang w:val="el-GR"/>
                    </w:rPr>
                    <w:t>χρηματοδότησης</w:t>
                  </w:r>
                  <w:r w:rsidRPr="006D79FD">
                    <w:rPr>
                      <w:rFonts w:ascii="Segoe UI" w:hAnsi="Segoe UI" w:cs="Segoe UI"/>
                      <w:sz w:val="18"/>
                      <w:szCs w:val="15"/>
                      <w:lang w:val="el-GR"/>
                    </w:rPr>
                    <w:t xml:space="preserve"> από το μηχανισμό ELA (-€4,9 δισ. σε τριμηνιαία βάση) </w:t>
                  </w:r>
                  <w:r w:rsidR="00F92002">
                    <w:rPr>
                      <w:rFonts w:ascii="Segoe UI" w:hAnsi="Segoe UI" w:cs="Segoe UI"/>
                      <w:sz w:val="18"/>
                      <w:szCs w:val="15"/>
                      <w:lang w:val="el-GR"/>
                    </w:rPr>
                    <w:t xml:space="preserve">και </w:t>
                  </w:r>
                  <w:r w:rsidR="008C3EDE">
                    <w:rPr>
                      <w:rFonts w:ascii="Segoe UI" w:hAnsi="Segoe UI" w:cs="Segoe UI"/>
                      <w:sz w:val="18"/>
                      <w:szCs w:val="15"/>
                      <w:lang w:val="el-GR"/>
                    </w:rPr>
                    <w:t>τη</w:t>
                  </w:r>
                  <w:r w:rsidR="0074665A">
                    <w:rPr>
                      <w:rFonts w:ascii="Segoe UI" w:hAnsi="Segoe UI" w:cs="Segoe UI"/>
                      <w:sz w:val="18"/>
                      <w:szCs w:val="15"/>
                      <w:lang w:val="el-GR"/>
                    </w:rPr>
                    <w:t xml:space="preserve"> μείωση της χρήσης </w:t>
                  </w:r>
                  <w:r w:rsidRPr="006D79FD">
                    <w:rPr>
                      <w:rFonts w:ascii="Segoe UI" w:hAnsi="Segoe UI" w:cs="Segoe UI"/>
                      <w:sz w:val="18"/>
                      <w:szCs w:val="15"/>
                      <w:lang w:val="el-GR"/>
                    </w:rPr>
                    <w:t xml:space="preserve">ομολόγων </w:t>
                  </w:r>
                  <w:r w:rsidR="0074665A">
                    <w:rPr>
                      <w:rFonts w:ascii="Segoe UI" w:hAnsi="Segoe UI" w:cs="Segoe UI"/>
                      <w:sz w:val="18"/>
                      <w:szCs w:val="15"/>
                      <w:lang w:val="el-GR"/>
                    </w:rPr>
                    <w:t xml:space="preserve">του </w:t>
                  </w:r>
                  <w:r w:rsidRPr="006D79FD">
                    <w:rPr>
                      <w:rFonts w:ascii="Segoe UI" w:hAnsi="Segoe UI" w:cs="Segoe UI"/>
                      <w:sz w:val="18"/>
                      <w:szCs w:val="15"/>
                      <w:lang w:val="el-GR"/>
                    </w:rPr>
                    <w:t xml:space="preserve">Πυλώνα </w:t>
                  </w:r>
                  <w:r w:rsidRPr="006D79FD">
                    <w:rPr>
                      <w:rFonts w:ascii="Segoe UI" w:hAnsi="Segoe UI" w:cs="Segoe UI"/>
                      <w:sz w:val="18"/>
                      <w:szCs w:val="15"/>
                      <w:lang w:val="en-US"/>
                    </w:rPr>
                    <w:t>II</w:t>
                  </w:r>
                  <w:r w:rsidRPr="006D79FD">
                    <w:rPr>
                      <w:rFonts w:ascii="Segoe UI" w:hAnsi="Segoe UI" w:cs="Segoe UI"/>
                      <w:sz w:val="18"/>
                      <w:szCs w:val="15"/>
                      <w:lang w:val="el-GR"/>
                    </w:rPr>
                    <w:t xml:space="preserve"> (</w:t>
                  </w:r>
                  <w:r w:rsidR="00730B3C">
                    <w:rPr>
                      <w:rFonts w:ascii="Segoe UI" w:hAnsi="Segoe UI" w:cs="Segoe UI"/>
                      <w:sz w:val="18"/>
                      <w:szCs w:val="15"/>
                      <w:lang w:val="el-GR"/>
                    </w:rPr>
                    <w:t>εξάλειψη της</w:t>
                  </w:r>
                  <w:r w:rsidR="00B050D8">
                    <w:rPr>
                      <w:rFonts w:ascii="Segoe UI" w:hAnsi="Segoe UI" w:cs="Segoe UI"/>
                      <w:sz w:val="18"/>
                      <w:szCs w:val="15"/>
                      <w:lang w:val="el-GR"/>
                    </w:rPr>
                    <w:t>εξάρτησης</w:t>
                  </w:r>
                  <w:r w:rsidRPr="006D79FD">
                    <w:rPr>
                      <w:rFonts w:ascii="Segoe UI" w:hAnsi="Segoe UI" w:cs="Segoe UI"/>
                      <w:sz w:val="18"/>
                      <w:szCs w:val="15"/>
                      <w:lang w:val="el-GR"/>
                    </w:rPr>
                    <w:t xml:space="preserve"> από το</w:t>
                  </w:r>
                  <w:r w:rsidR="00F92002">
                    <w:rPr>
                      <w:rFonts w:ascii="Segoe UI" w:hAnsi="Segoe UI" w:cs="Segoe UI"/>
                      <w:sz w:val="18"/>
                      <w:szCs w:val="15"/>
                      <w:lang w:val="el-GR"/>
                    </w:rPr>
                    <w:t xml:space="preserve">ν Ιούλιο </w:t>
                  </w:r>
                  <w:r w:rsidRPr="006D79FD">
                    <w:rPr>
                      <w:rFonts w:ascii="Segoe UI" w:hAnsi="Segoe UI" w:cs="Segoe UI"/>
                      <w:sz w:val="18"/>
                      <w:szCs w:val="15"/>
                      <w:lang w:val="el-GR"/>
                    </w:rPr>
                    <w:t>του 2016)</w:t>
                  </w:r>
                </w:p>
                <w:p w:rsidR="00BF459E" w:rsidRPr="006D79FD" w:rsidRDefault="002D42DB" w:rsidP="00230486">
                  <w:pPr>
                    <w:pStyle w:val="a3"/>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Στην Ελλάδα, </w:t>
                  </w:r>
                  <w:r w:rsidR="00BF459E" w:rsidRPr="006D79FD">
                    <w:rPr>
                      <w:rFonts w:ascii="Segoe UI" w:hAnsi="Segoe UI" w:cs="Segoe UI"/>
                      <w:sz w:val="18"/>
                      <w:szCs w:val="15"/>
                      <w:lang w:val="el-GR"/>
                    </w:rPr>
                    <w:t>οι λειτουργικές δαπάνες μειώθηκαν κατά 3% σε ετήσια βάση</w:t>
                  </w:r>
                  <w:r w:rsidRPr="006D79FD">
                    <w:rPr>
                      <w:rFonts w:ascii="Segoe UI" w:hAnsi="Segoe UI" w:cs="Segoe UI"/>
                      <w:sz w:val="18"/>
                      <w:szCs w:val="15"/>
                      <w:lang w:val="el-GR"/>
                    </w:rPr>
                    <w:t>το Α΄ εξάμηνο του 2016</w:t>
                  </w:r>
                  <w:r w:rsidR="00BF459E" w:rsidRPr="006D79FD">
                    <w:rPr>
                      <w:rFonts w:ascii="Segoe UI" w:hAnsi="Segoe UI" w:cs="Segoe UI"/>
                      <w:sz w:val="18"/>
                      <w:szCs w:val="15"/>
                      <w:lang w:val="el-GR"/>
                    </w:rPr>
                    <w:t>, συντελώντας στη</w:t>
                  </w:r>
                  <w:r w:rsidR="00093803">
                    <w:rPr>
                      <w:rFonts w:ascii="Segoe UI" w:hAnsi="Segoe UI" w:cs="Segoe UI"/>
                      <w:sz w:val="18"/>
                      <w:szCs w:val="15"/>
                      <w:lang w:val="el-GR"/>
                    </w:rPr>
                    <w:t>βελτίωση</w:t>
                  </w:r>
                  <w:r w:rsidR="00BF459E" w:rsidRPr="006D79FD">
                    <w:rPr>
                      <w:rFonts w:ascii="Segoe UI" w:hAnsi="Segoe UI" w:cs="Segoe UI"/>
                      <w:sz w:val="18"/>
                      <w:szCs w:val="15"/>
                      <w:lang w:val="el-GR"/>
                    </w:rPr>
                    <w:t xml:space="preserve">του δείκτη Κόστους προς Οργανικά έσοδα. Οι δαπάνες προσωπικού μειώθηκαν κατά 3% σε ετήσια βάση και αναμένεται να περισταλούν περαιτέρω </w:t>
                  </w:r>
                  <w:r w:rsidR="00C55D4A">
                    <w:rPr>
                      <w:rFonts w:ascii="Segoe UI" w:hAnsi="Segoe UI" w:cs="Segoe UI"/>
                      <w:sz w:val="18"/>
                      <w:szCs w:val="15"/>
                      <w:lang w:val="el-GR"/>
                    </w:rPr>
                    <w:t>μέσω</w:t>
                  </w:r>
                  <w:r w:rsidR="00230486">
                    <w:rPr>
                      <w:rFonts w:ascii="Segoe UI" w:hAnsi="Segoe UI" w:cs="Segoe UI"/>
                      <w:sz w:val="18"/>
                      <w:szCs w:val="15"/>
                      <w:lang w:val="el-GR"/>
                    </w:rPr>
                    <w:t xml:space="preserve"> της υλοποίησης του σχεδιαζόμενου</w:t>
                  </w:r>
                  <w:r w:rsidR="00230486" w:rsidRPr="00230486">
                    <w:rPr>
                      <w:rFonts w:ascii="Segoe UI" w:hAnsi="Segoe UI" w:cs="Segoe UI"/>
                      <w:sz w:val="18"/>
                      <w:szCs w:val="15"/>
                      <w:lang w:val="el-GR"/>
                    </w:rPr>
                    <w:t>Προγράμματος Εθελουσίας Εξόδου Προσωπικού</w:t>
                  </w:r>
                </w:p>
                <w:p w:rsidR="00BF459E" w:rsidRPr="006D79FD" w:rsidRDefault="00E33DCE" w:rsidP="00E33DCE">
                  <w:pPr>
                    <w:pStyle w:val="a3"/>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Σ</w:t>
                  </w:r>
                  <w:r w:rsidRPr="006D79FD">
                    <w:rPr>
                      <w:rFonts w:ascii="Segoe UI" w:hAnsi="Segoe UI" w:cs="Segoe UI"/>
                      <w:sz w:val="18"/>
                      <w:szCs w:val="15"/>
                      <w:lang w:val="el-GR"/>
                    </w:rPr>
                    <w:t>ε επίπεδο Ομίλου</w:t>
                  </w:r>
                  <w:r>
                    <w:rPr>
                      <w:rFonts w:ascii="Segoe UI" w:hAnsi="Segoe UI" w:cs="Segoe UI"/>
                      <w:sz w:val="18"/>
                      <w:szCs w:val="15"/>
                      <w:lang w:val="el-GR"/>
                    </w:rPr>
                    <w:t>, τ</w:t>
                  </w:r>
                  <w:r w:rsidR="00BF459E" w:rsidRPr="006D79FD">
                    <w:rPr>
                      <w:rFonts w:ascii="Segoe UI" w:hAnsi="Segoe UI" w:cs="Segoe UI"/>
                      <w:sz w:val="18"/>
                      <w:szCs w:val="15"/>
                      <w:lang w:val="el-GR"/>
                    </w:rPr>
                    <w:t xml:space="preserve">α κέρδη μετά από φόρους από συνεχιζόμενες δραστηριότητες είναι οριακά θετικά (€3 εκατ.) το Α΄ εξάμηνο του 2016, αντανακλώντας τόσο την ανάκαμψη των εγχώριων δραστηριοτήτων, όσο και την κερδοφορία στη ΝΑ Ευρώπη (κέρδη μετά από φόρους ύψους €53 εκατ. το Α’ εξάμηνο του 2016) </w:t>
                  </w:r>
                </w:p>
                <w:p w:rsidR="00BF459E" w:rsidRPr="00E33DCE" w:rsidRDefault="00BF459E" w:rsidP="00E33DCE">
                  <w:pPr>
                    <w:pStyle w:val="a3"/>
                    <w:spacing w:before="120" w:after="0" w:line="240" w:lineRule="auto"/>
                    <w:ind w:left="357"/>
                    <w:rPr>
                      <w:rFonts w:ascii="Segoe UI" w:hAnsi="Segoe UI" w:cs="Segoe UI"/>
                      <w:sz w:val="6"/>
                      <w:szCs w:val="6"/>
                      <w:lang w:val="el-GR"/>
                    </w:rPr>
                  </w:pPr>
                </w:p>
                <w:p w:rsidR="00BF459E" w:rsidRPr="00E46E0F" w:rsidRDefault="00BF459E" w:rsidP="00E33DCE">
                  <w:pPr>
                    <w:pStyle w:val="a3"/>
                    <w:numPr>
                      <w:ilvl w:val="0"/>
                      <w:numId w:val="10"/>
                    </w:numPr>
                    <w:spacing w:before="120" w:after="0" w:line="240" w:lineRule="auto"/>
                    <w:rPr>
                      <w:rFonts w:ascii="Segoe UI" w:hAnsi="Segoe UI" w:cs="Segoe UI"/>
                      <w:b/>
                      <w:sz w:val="18"/>
                      <w:szCs w:val="15"/>
                      <w:lang w:val="el-GR"/>
                    </w:rPr>
                  </w:pPr>
                  <w:r w:rsidRPr="00E46E0F">
                    <w:rPr>
                      <w:rFonts w:ascii="Segoe UI" w:hAnsi="Segoe UI" w:cs="Segoe UI"/>
                      <w:b/>
                      <w:sz w:val="18"/>
                      <w:szCs w:val="15"/>
                      <w:lang w:val="el-GR"/>
                    </w:rPr>
                    <w:t xml:space="preserve">Δείκτης CET 1 στο 16,8% </w:t>
                  </w:r>
                </w:p>
                <w:p w:rsidR="00BF459E" w:rsidRPr="006D79FD" w:rsidRDefault="00BF459E" w:rsidP="00E33DCE">
                  <w:pPr>
                    <w:pStyle w:val="a3"/>
                    <w:numPr>
                      <w:ilvl w:val="1"/>
                      <w:numId w:val="2"/>
                    </w:numPr>
                    <w:spacing w:before="120" w:after="0" w:line="240" w:lineRule="auto"/>
                    <w:rPr>
                      <w:rFonts w:ascii="Segoe UI" w:hAnsi="Segoe UI" w:cs="Segoe UI"/>
                      <w:sz w:val="18"/>
                      <w:szCs w:val="15"/>
                      <w:lang w:val="el-GR"/>
                    </w:rPr>
                  </w:pPr>
                  <w:r w:rsidRPr="006D79FD">
                    <w:rPr>
                      <w:rFonts w:ascii="Segoe UI" w:hAnsi="Segoe UI" w:cs="Segoe UI"/>
                      <w:sz w:val="18"/>
                      <w:szCs w:val="15"/>
                      <w:lang w:val="el-GR"/>
                    </w:rPr>
                    <w:t>Ο δείκτης CET 1 ανέρχεται σε 16,8%, εξαιρουμένων των υπ</w:t>
                  </w:r>
                  <w:r w:rsidR="002A79FB">
                    <w:rPr>
                      <w:rFonts w:ascii="Segoe UI" w:hAnsi="Segoe UI" w:cs="Segoe UI"/>
                      <w:sz w:val="18"/>
                      <w:szCs w:val="15"/>
                      <w:lang w:val="el-GR"/>
                    </w:rPr>
                    <w:t>ό</w:t>
                  </w:r>
                  <w:r w:rsidRPr="006D79FD">
                    <w:rPr>
                      <w:rFonts w:ascii="Segoe UI" w:hAnsi="Segoe UI" w:cs="Segoe UI"/>
                      <w:sz w:val="18"/>
                      <w:szCs w:val="15"/>
                      <w:lang w:val="el-GR"/>
                    </w:rPr>
                    <w:t xml:space="preserve"> αίρεση μετατρέψιμων ομολογιών (CoCos) και λαμβάνοντας υπόψη τις υπ</w:t>
                  </w:r>
                  <w:r w:rsidR="002A79FB">
                    <w:rPr>
                      <w:rFonts w:ascii="Segoe UI" w:hAnsi="Segoe UI" w:cs="Segoe UI"/>
                      <w:sz w:val="18"/>
                      <w:szCs w:val="15"/>
                      <w:lang w:val="el-GR"/>
                    </w:rPr>
                    <w:t>ό</w:t>
                  </w:r>
                  <w:r w:rsidRPr="006D79FD">
                    <w:rPr>
                      <w:rFonts w:ascii="Segoe UI" w:hAnsi="Segoe UI" w:cs="Segoe UI"/>
                      <w:sz w:val="18"/>
                      <w:szCs w:val="15"/>
                      <w:lang w:val="el-GR"/>
                    </w:rPr>
                    <w:t xml:space="preserve"> ολοκλήρωση αποεπενδύσεις από την ΑΣΤΗΡ ΠΑΛΑΣ και την NBGI. Αν συνυπολογιστούν τα CoCo</w:t>
                  </w:r>
                  <w:r w:rsidRPr="006D79FD">
                    <w:rPr>
                      <w:rFonts w:ascii="Segoe UI" w:hAnsi="Segoe UI" w:cs="Segoe UI"/>
                      <w:sz w:val="18"/>
                      <w:szCs w:val="15"/>
                      <w:lang w:val="en-US"/>
                    </w:rPr>
                    <w:t>s</w:t>
                  </w:r>
                  <w:r w:rsidRPr="006D79FD">
                    <w:rPr>
                      <w:rFonts w:ascii="Segoe UI" w:hAnsi="Segoe UI" w:cs="Segoe UI"/>
                      <w:sz w:val="18"/>
                      <w:szCs w:val="15"/>
                      <w:lang w:val="el-GR"/>
                    </w:rPr>
                    <w:t>, ο δείκτης ανέρχεται σε 22,</w:t>
                  </w:r>
                  <w:r w:rsidRPr="00E46E0F">
                    <w:rPr>
                      <w:rFonts w:ascii="Segoe UI" w:hAnsi="Segoe UI" w:cs="Segoe UI"/>
                      <w:sz w:val="18"/>
                      <w:szCs w:val="15"/>
                      <w:lang w:val="el-GR"/>
                    </w:rPr>
                    <w:t>1</w:t>
                  </w:r>
                  <w:r w:rsidRPr="006D79FD">
                    <w:rPr>
                      <w:rFonts w:ascii="Segoe UI" w:hAnsi="Segoe UI" w:cs="Segoe UI"/>
                      <w:sz w:val="18"/>
                      <w:szCs w:val="15"/>
                      <w:lang w:val="el-GR"/>
                    </w:rPr>
                    <w:t>%</w:t>
                  </w:r>
                </w:p>
                <w:p w:rsidR="00BF459E" w:rsidRPr="006D79FD" w:rsidRDefault="00BF459E" w:rsidP="00E46E0F">
                  <w:pPr>
                    <w:pStyle w:val="a3"/>
                    <w:numPr>
                      <w:ilvl w:val="1"/>
                      <w:numId w:val="2"/>
                    </w:numPr>
                    <w:spacing w:before="120" w:after="0" w:line="240" w:lineRule="auto"/>
                    <w:rPr>
                      <w:rFonts w:ascii="Segoe UI" w:hAnsi="Segoe UI" w:cs="Segoe UI"/>
                      <w:sz w:val="18"/>
                      <w:szCs w:val="15"/>
                      <w:lang w:val="el-GR"/>
                    </w:rPr>
                  </w:pPr>
                  <w:r w:rsidRPr="006D79FD">
                    <w:rPr>
                      <w:rFonts w:ascii="Segoe UI" w:hAnsi="Segoe UI" w:cs="Segoe UI"/>
                      <w:sz w:val="18"/>
                      <w:szCs w:val="15"/>
                      <w:lang w:val="el-GR"/>
                    </w:rPr>
                    <w:t>Με πλήρη εφαρμογή της Βασιλείας ΙΙΙ και εξαιρουμένων των CoCos, o δείκτης CET 1 ανέρχεται σε 16,2%</w:t>
                  </w:r>
                  <w:r w:rsidR="00F43529" w:rsidRPr="00F43529">
                    <w:rPr>
                      <w:rFonts w:ascii="Segoe UI" w:hAnsi="Segoe UI" w:cs="Segoe UI"/>
                      <w:sz w:val="18"/>
                      <w:szCs w:val="15"/>
                      <w:lang w:val="el-GR"/>
                    </w:rPr>
                    <w:t xml:space="preserve">. </w:t>
                  </w:r>
                  <w:r w:rsidR="00F43529" w:rsidRPr="006D79FD">
                    <w:rPr>
                      <w:rFonts w:ascii="Segoe UI" w:hAnsi="Segoe UI" w:cs="Segoe UI"/>
                      <w:sz w:val="18"/>
                      <w:szCs w:val="15"/>
                      <w:lang w:val="el-GR"/>
                    </w:rPr>
                    <w:t>Αν συνυπολογιστούν τα CoCo</w:t>
                  </w:r>
                  <w:r w:rsidR="00F43529" w:rsidRPr="006D79FD">
                    <w:rPr>
                      <w:rFonts w:ascii="Segoe UI" w:hAnsi="Segoe UI" w:cs="Segoe UI"/>
                      <w:sz w:val="18"/>
                      <w:szCs w:val="15"/>
                      <w:lang w:val="en-US"/>
                    </w:rPr>
                    <w:t>s</w:t>
                  </w:r>
                  <w:r w:rsidR="00F43529" w:rsidRPr="006D79FD">
                    <w:rPr>
                      <w:rFonts w:ascii="Segoe UI" w:hAnsi="Segoe UI" w:cs="Segoe UI"/>
                      <w:sz w:val="18"/>
                      <w:szCs w:val="15"/>
                      <w:lang w:val="el-GR"/>
                    </w:rPr>
                    <w:t xml:space="preserve">, ο </w:t>
                  </w:r>
                  <w:r w:rsidR="00F43529">
                    <w:rPr>
                      <w:rFonts w:ascii="Segoe UI" w:hAnsi="Segoe UI" w:cs="Segoe UI"/>
                      <w:sz w:val="18"/>
                      <w:szCs w:val="15"/>
                      <w:lang w:val="el-GR"/>
                    </w:rPr>
                    <w:t xml:space="preserve">εν λόγω </w:t>
                  </w:r>
                  <w:r w:rsidR="00F43529" w:rsidRPr="006D79FD">
                    <w:rPr>
                      <w:rFonts w:ascii="Segoe UI" w:hAnsi="Segoe UI" w:cs="Segoe UI"/>
                      <w:sz w:val="18"/>
                      <w:szCs w:val="15"/>
                      <w:lang w:val="el-GR"/>
                    </w:rPr>
                    <w:t>δείκτης ανέρχεται σε 2</w:t>
                  </w:r>
                  <w:r w:rsidR="00F43529">
                    <w:rPr>
                      <w:rFonts w:ascii="Segoe UI" w:hAnsi="Segoe UI" w:cs="Segoe UI"/>
                      <w:sz w:val="18"/>
                      <w:szCs w:val="15"/>
                      <w:lang w:val="el-GR"/>
                    </w:rPr>
                    <w:t>1,6</w:t>
                  </w:r>
                  <w:r w:rsidR="00F43529" w:rsidRPr="006D79FD">
                    <w:rPr>
                      <w:rFonts w:ascii="Segoe UI" w:hAnsi="Segoe UI" w:cs="Segoe UI"/>
                      <w:sz w:val="18"/>
                      <w:szCs w:val="15"/>
                      <w:lang w:val="el-GR"/>
                    </w:rPr>
                    <w:t>%</w:t>
                  </w:r>
                </w:p>
                <w:p w:rsidR="00BF459E" w:rsidRPr="00B77C05" w:rsidRDefault="00BF459E" w:rsidP="00BF459E">
                  <w:pPr>
                    <w:pStyle w:val="a3"/>
                    <w:spacing w:before="120" w:after="0" w:line="240" w:lineRule="auto"/>
                    <w:ind w:left="360"/>
                    <w:rPr>
                      <w:rFonts w:ascii="Segoe UI" w:hAnsi="Segoe UI" w:cs="Segoe UI"/>
                      <w:sz w:val="2"/>
                      <w:szCs w:val="2"/>
                      <w:lang w:val="el-GR"/>
                    </w:rPr>
                  </w:pPr>
                </w:p>
                <w:p w:rsidR="00BF459E" w:rsidRPr="00EE1E78" w:rsidRDefault="00BF459E" w:rsidP="00BF459E">
                  <w:pPr>
                    <w:pStyle w:val="a3"/>
                    <w:spacing w:after="0" w:line="240" w:lineRule="auto"/>
                    <w:ind w:left="360"/>
                    <w:jc w:val="right"/>
                    <w:rPr>
                      <w:rFonts w:ascii="Segoe UI" w:hAnsi="Segoe UI" w:cs="Segoe UI"/>
                      <w:sz w:val="16"/>
                      <w:szCs w:val="12"/>
                      <w:lang w:val="el-GR"/>
                    </w:rPr>
                  </w:pPr>
                  <w:r w:rsidRPr="00EE1E78">
                    <w:rPr>
                      <w:rFonts w:ascii="Segoe UI" w:hAnsi="Segoe UI" w:cs="Segoe UI"/>
                      <w:sz w:val="16"/>
                      <w:szCs w:val="12"/>
                      <w:lang w:val="el-GR"/>
                    </w:rPr>
                    <w:t>Αθήνα, 31 Αυγούστου 2016</w:t>
                  </w:r>
                </w:p>
                <w:p w:rsidR="00BF459E" w:rsidRPr="00EE1E78" w:rsidRDefault="00BF459E" w:rsidP="00BF459E">
                  <w:pPr>
                    <w:pStyle w:val="a3"/>
                    <w:tabs>
                      <w:tab w:val="left" w:pos="993"/>
                    </w:tabs>
                    <w:spacing w:after="0" w:line="240" w:lineRule="auto"/>
                    <w:ind w:left="0"/>
                    <w:rPr>
                      <w:rFonts w:ascii="Segoe UI" w:hAnsi="Segoe UI" w:cs="Segoe UI"/>
                      <w:sz w:val="8"/>
                      <w:szCs w:val="4"/>
                      <w:vertAlign w:val="superscript"/>
                      <w:lang w:val="el-GR"/>
                    </w:rPr>
                  </w:pPr>
                </w:p>
                <w:p w:rsidR="00BF459E" w:rsidRPr="00EE1E78" w:rsidRDefault="00BF459E" w:rsidP="00BF459E">
                  <w:pPr>
                    <w:pStyle w:val="a3"/>
                    <w:spacing w:before="120" w:after="0" w:line="240" w:lineRule="auto"/>
                    <w:ind w:left="360"/>
                    <w:jc w:val="right"/>
                    <w:rPr>
                      <w:rFonts w:ascii="Segoe UI" w:hAnsi="Segoe UI" w:cs="Segoe UI"/>
                      <w:sz w:val="6"/>
                      <w:szCs w:val="2"/>
                      <w:lang w:val="el-GR"/>
                    </w:rPr>
                  </w:pPr>
                </w:p>
              </w:txbxContent>
            </v:textbox>
          </v:shape>
        </w:pict>
      </w:r>
    </w:p>
    <w:p w:rsidR="00BF459E" w:rsidRPr="00BF459E" w:rsidRDefault="00BF459E">
      <w:pPr>
        <w:spacing w:after="0" w:line="240" w:lineRule="auto"/>
        <w:rPr>
          <w:rFonts w:asciiTheme="minorHAnsi" w:hAnsiTheme="minorHAnsi" w:cs="Segoe UI"/>
          <w:i/>
          <w:iCs/>
          <w:sz w:val="24"/>
          <w:lang w:val="en-US"/>
        </w:rPr>
      </w:pPr>
      <w:r w:rsidRPr="00BF459E">
        <w:rPr>
          <w:rFonts w:asciiTheme="minorHAnsi" w:hAnsiTheme="minorHAnsi" w:cs="Segoe UI"/>
          <w:i/>
          <w:iCs/>
          <w:sz w:val="24"/>
          <w:lang w:val="en-US"/>
        </w:rPr>
        <w:br w:type="page"/>
      </w:r>
    </w:p>
    <w:p w:rsidR="00FE1BC8" w:rsidRPr="0007762E" w:rsidRDefault="00BB414B" w:rsidP="005500AB">
      <w:pPr>
        <w:spacing w:after="160" w:line="240" w:lineRule="auto"/>
        <w:jc w:val="both"/>
        <w:rPr>
          <w:rFonts w:asciiTheme="minorHAnsi" w:hAnsiTheme="minorHAnsi" w:cs="Segoe UI"/>
          <w:i/>
          <w:iCs/>
          <w:sz w:val="24"/>
          <w:lang w:val="el-GR"/>
        </w:rPr>
      </w:pPr>
      <w:r w:rsidRPr="0007762E">
        <w:rPr>
          <w:rFonts w:asciiTheme="minorHAnsi" w:hAnsiTheme="minorHAnsi" w:cs="Segoe UI"/>
          <w:i/>
          <w:iCs/>
          <w:sz w:val="24"/>
          <w:lang w:val="el-GR"/>
        </w:rPr>
        <w:lastRenderedPageBreak/>
        <w:t xml:space="preserve">Το </w:t>
      </w:r>
      <w:r w:rsidR="00FE1BC8" w:rsidRPr="0007762E">
        <w:rPr>
          <w:rFonts w:asciiTheme="minorHAnsi" w:hAnsiTheme="minorHAnsi" w:cs="Segoe UI"/>
          <w:i/>
          <w:iCs/>
          <w:sz w:val="24"/>
          <w:lang w:val="el-GR"/>
        </w:rPr>
        <w:t xml:space="preserve">δεύτερο τρίμηνο της χρονιάς </w:t>
      </w:r>
      <w:r w:rsidR="0007762E">
        <w:rPr>
          <w:rFonts w:asciiTheme="minorHAnsi" w:hAnsiTheme="minorHAnsi" w:cs="Segoe UI"/>
          <w:i/>
          <w:iCs/>
          <w:sz w:val="24"/>
          <w:lang w:val="el-GR"/>
        </w:rPr>
        <w:t>σηματοδοτήθηκε</w:t>
      </w:r>
      <w:r w:rsidR="00FE1BC8" w:rsidRPr="0007762E">
        <w:rPr>
          <w:rFonts w:asciiTheme="minorHAnsi" w:hAnsiTheme="minorHAnsi" w:cs="Segoe UI"/>
          <w:i/>
          <w:iCs/>
          <w:sz w:val="24"/>
          <w:lang w:val="el-GR"/>
        </w:rPr>
        <w:t xml:space="preserve">από την ολοκλήρωση της αξιολόγησης </w:t>
      </w:r>
      <w:r w:rsidR="00C22214" w:rsidRPr="0007762E">
        <w:rPr>
          <w:rFonts w:asciiTheme="minorHAnsi" w:hAnsiTheme="minorHAnsi" w:cs="Segoe UI"/>
          <w:i/>
          <w:iCs/>
          <w:sz w:val="24"/>
          <w:lang w:val="el-GR"/>
        </w:rPr>
        <w:t>του Προγράμματος</w:t>
      </w:r>
      <w:r w:rsidR="00FC1E9E">
        <w:rPr>
          <w:rFonts w:asciiTheme="minorHAnsi" w:hAnsiTheme="minorHAnsi" w:cs="Segoe UI"/>
          <w:i/>
          <w:iCs/>
          <w:sz w:val="24"/>
          <w:lang w:val="el-GR"/>
        </w:rPr>
        <w:t xml:space="preserve"> και την επακόλουθη επαναφορά </w:t>
      </w:r>
      <w:r w:rsidR="00FC1E9E" w:rsidRPr="00FC1E9E">
        <w:rPr>
          <w:rFonts w:asciiTheme="minorHAnsi" w:hAnsiTheme="minorHAnsi" w:cs="Segoe UI"/>
          <w:i/>
          <w:iCs/>
          <w:sz w:val="24"/>
          <w:lang w:val="el-GR"/>
        </w:rPr>
        <w:t xml:space="preserve">της κατ' εξαίρεση αποδοχής ελληνικών ομολόγων </w:t>
      </w:r>
      <w:r w:rsidR="005500AB" w:rsidRPr="005500AB">
        <w:rPr>
          <w:rFonts w:asciiTheme="minorHAnsi" w:hAnsiTheme="minorHAnsi" w:cs="Segoe UI"/>
          <w:i/>
          <w:iCs/>
          <w:sz w:val="24"/>
          <w:lang w:val="el-GR"/>
        </w:rPr>
        <w:t xml:space="preserve">και Εντόκων Γραμματίων του Ελληνικού ∆ημοσίου </w:t>
      </w:r>
      <w:r w:rsidR="00FC1E9E" w:rsidRPr="00FC1E9E">
        <w:rPr>
          <w:rFonts w:asciiTheme="minorHAnsi" w:hAnsiTheme="minorHAnsi" w:cs="Segoe UI"/>
          <w:i/>
          <w:iCs/>
          <w:sz w:val="24"/>
          <w:lang w:val="el-GR"/>
        </w:rPr>
        <w:t xml:space="preserve">ως </w:t>
      </w:r>
      <w:r w:rsidR="005500AB">
        <w:rPr>
          <w:rFonts w:asciiTheme="minorHAnsi" w:hAnsiTheme="minorHAnsi" w:cs="Segoe UI"/>
          <w:i/>
          <w:iCs/>
          <w:sz w:val="24"/>
          <w:lang w:val="el-GR"/>
        </w:rPr>
        <w:t xml:space="preserve">αποδεκτών ενεχύρων </w:t>
      </w:r>
      <w:r w:rsidR="00FC1E9E" w:rsidRPr="00FC1E9E">
        <w:rPr>
          <w:rFonts w:asciiTheme="minorHAnsi" w:hAnsiTheme="minorHAnsi" w:cs="Segoe UI"/>
          <w:i/>
          <w:iCs/>
          <w:sz w:val="24"/>
          <w:lang w:val="el-GR"/>
        </w:rPr>
        <w:t>στις πράξεις κύριας αναχρηματοδότησης</w:t>
      </w:r>
      <w:r w:rsidR="00FC1E9E">
        <w:rPr>
          <w:rFonts w:asciiTheme="minorHAnsi" w:hAnsiTheme="minorHAnsi" w:cs="Segoe UI"/>
          <w:i/>
          <w:iCs/>
          <w:sz w:val="24"/>
          <w:lang w:val="el-GR"/>
        </w:rPr>
        <w:t xml:space="preserve"> από την Ευρωπαϊκή Κεντρική Τράπεζα (ΕΚΤ), καθώς</w:t>
      </w:r>
      <w:r w:rsidR="00FE1BC8" w:rsidRPr="0007762E">
        <w:rPr>
          <w:rFonts w:asciiTheme="minorHAnsi" w:hAnsiTheme="minorHAnsi" w:cs="Segoe UI"/>
          <w:i/>
          <w:iCs/>
          <w:sz w:val="24"/>
          <w:lang w:val="el-GR"/>
        </w:rPr>
        <w:t xml:space="preserve">και </w:t>
      </w:r>
      <w:r w:rsidR="00FC1E9E">
        <w:rPr>
          <w:rFonts w:asciiTheme="minorHAnsi" w:hAnsiTheme="minorHAnsi" w:cs="Segoe UI"/>
          <w:i/>
          <w:iCs/>
          <w:sz w:val="24"/>
          <w:lang w:val="el-GR"/>
        </w:rPr>
        <w:t xml:space="preserve">από </w:t>
      </w:r>
      <w:r w:rsidR="00FE1BC8" w:rsidRPr="0007762E">
        <w:rPr>
          <w:rFonts w:asciiTheme="minorHAnsi" w:hAnsiTheme="minorHAnsi" w:cs="Segoe UI"/>
          <w:i/>
          <w:iCs/>
          <w:sz w:val="24"/>
          <w:lang w:val="el-GR"/>
        </w:rPr>
        <w:t>τ</w:t>
      </w:r>
      <w:r w:rsidRPr="0007762E">
        <w:rPr>
          <w:rFonts w:asciiTheme="minorHAnsi" w:hAnsiTheme="minorHAnsi" w:cs="Segoe UI"/>
          <w:i/>
          <w:iCs/>
          <w:sz w:val="24"/>
          <w:lang w:val="el-GR"/>
        </w:rPr>
        <w:t xml:space="preserve">ην </w:t>
      </w:r>
      <w:r w:rsidR="005D2337">
        <w:rPr>
          <w:rFonts w:asciiTheme="minorHAnsi" w:hAnsiTheme="minorHAnsi" w:cs="Segoe UI"/>
          <w:i/>
          <w:iCs/>
          <w:sz w:val="24"/>
          <w:lang w:val="el-GR"/>
        </w:rPr>
        <w:t>πώληση</w:t>
      </w:r>
      <w:r w:rsidR="003C42A6">
        <w:rPr>
          <w:rFonts w:asciiTheme="minorHAnsi" w:hAnsiTheme="minorHAnsi" w:cs="Segoe UI"/>
          <w:i/>
          <w:iCs/>
          <w:sz w:val="24"/>
          <w:lang w:val="el-GR"/>
        </w:rPr>
        <w:t>τη</w:t>
      </w:r>
      <w:r w:rsidR="005D2337">
        <w:rPr>
          <w:rFonts w:asciiTheme="minorHAnsi" w:hAnsiTheme="minorHAnsi" w:cs="Segoe UI"/>
          <w:i/>
          <w:iCs/>
          <w:sz w:val="24"/>
          <w:lang w:val="el-GR"/>
        </w:rPr>
        <w:t>ς</w:t>
      </w:r>
      <w:r w:rsidRPr="0007762E">
        <w:rPr>
          <w:rFonts w:asciiTheme="minorHAnsi" w:hAnsiTheme="minorHAnsi" w:cs="Segoe UI"/>
          <w:i/>
          <w:iCs/>
          <w:sz w:val="24"/>
          <w:lang w:val="el-GR"/>
        </w:rPr>
        <w:t xml:space="preserve"> Finansbank</w:t>
      </w:r>
      <w:r w:rsidR="00FE1BC8" w:rsidRPr="0007762E">
        <w:rPr>
          <w:rFonts w:asciiTheme="minorHAnsi" w:hAnsiTheme="minorHAnsi" w:cs="Segoe UI"/>
          <w:i/>
          <w:iCs/>
          <w:sz w:val="24"/>
          <w:lang w:val="el-GR"/>
        </w:rPr>
        <w:t xml:space="preserve"> στην </w:t>
      </w:r>
      <w:r w:rsidR="00FE1BC8" w:rsidRPr="0007762E">
        <w:rPr>
          <w:rFonts w:asciiTheme="minorHAnsi" w:hAnsiTheme="minorHAnsi" w:cs="Segoe UI"/>
          <w:i/>
          <w:iCs/>
          <w:sz w:val="24"/>
          <w:lang w:val="en-US"/>
        </w:rPr>
        <w:t>QatarNationalBank</w:t>
      </w:r>
      <w:r w:rsidRPr="0007762E">
        <w:rPr>
          <w:rFonts w:asciiTheme="minorHAnsi" w:hAnsiTheme="minorHAnsi" w:cs="Segoe UI"/>
          <w:i/>
          <w:iCs/>
          <w:sz w:val="24"/>
          <w:lang w:val="el-GR"/>
        </w:rPr>
        <w:t xml:space="preserve">, </w:t>
      </w:r>
      <w:r w:rsidR="00FE1BC8" w:rsidRPr="0007762E">
        <w:rPr>
          <w:rFonts w:asciiTheme="minorHAnsi" w:hAnsiTheme="minorHAnsi" w:cs="Segoe UI"/>
          <w:i/>
          <w:iCs/>
          <w:sz w:val="24"/>
          <w:lang w:val="el-GR"/>
        </w:rPr>
        <w:t xml:space="preserve">σύμφωνα με τις δεσμεύσεις μας στην Ευρωπαϊκή Επιτροπή Ανταγωνισμού. Η πώληση ενίσχυσε τη ρευστότητα της ΕΤΕ κατά € 3,6 </w:t>
      </w:r>
      <w:r w:rsidR="008C3EDE">
        <w:rPr>
          <w:rFonts w:asciiTheme="minorHAnsi" w:hAnsiTheme="minorHAnsi" w:cs="Segoe UI"/>
          <w:i/>
          <w:iCs/>
          <w:sz w:val="24"/>
          <w:lang w:val="el-GR"/>
        </w:rPr>
        <w:t>δισ</w:t>
      </w:r>
      <w:r w:rsidR="00FE1BC8" w:rsidRPr="0007762E">
        <w:rPr>
          <w:rFonts w:asciiTheme="minorHAnsi" w:hAnsiTheme="minorHAnsi" w:cs="Segoe UI"/>
          <w:i/>
          <w:iCs/>
          <w:sz w:val="24"/>
          <w:lang w:val="el-GR"/>
        </w:rPr>
        <w:t xml:space="preserve">., </w:t>
      </w:r>
      <w:r w:rsidR="00C22214" w:rsidRPr="0007762E">
        <w:rPr>
          <w:rFonts w:asciiTheme="minorHAnsi" w:hAnsiTheme="minorHAnsi" w:cs="Segoe UI"/>
          <w:i/>
          <w:iCs/>
          <w:sz w:val="24"/>
          <w:lang w:val="el-GR"/>
        </w:rPr>
        <w:t xml:space="preserve">τα </w:t>
      </w:r>
      <w:r w:rsidR="00FE1BC8" w:rsidRPr="0007762E">
        <w:rPr>
          <w:rFonts w:asciiTheme="minorHAnsi" w:hAnsiTheme="minorHAnsi" w:cs="Segoe UI"/>
          <w:i/>
          <w:iCs/>
          <w:sz w:val="24"/>
          <w:lang w:val="el-GR"/>
        </w:rPr>
        <w:t>οποί</w:t>
      </w:r>
      <w:r w:rsidR="00C22214" w:rsidRPr="0007762E">
        <w:rPr>
          <w:rFonts w:asciiTheme="minorHAnsi" w:hAnsiTheme="minorHAnsi" w:cs="Segoe UI"/>
          <w:i/>
          <w:iCs/>
          <w:sz w:val="24"/>
          <w:lang w:val="el-GR"/>
        </w:rPr>
        <w:t>α</w:t>
      </w:r>
      <w:r w:rsidR="00FE1BC8" w:rsidRPr="0007762E">
        <w:rPr>
          <w:rFonts w:asciiTheme="minorHAnsi" w:hAnsiTheme="minorHAnsi" w:cs="Segoe UI"/>
          <w:i/>
          <w:iCs/>
          <w:sz w:val="24"/>
          <w:lang w:val="el-GR"/>
        </w:rPr>
        <w:t xml:space="preserve"> αξιοποιήθηκ</w:t>
      </w:r>
      <w:r w:rsidR="00C22214" w:rsidRPr="0007762E">
        <w:rPr>
          <w:rFonts w:asciiTheme="minorHAnsi" w:hAnsiTheme="minorHAnsi" w:cs="Segoe UI"/>
          <w:i/>
          <w:iCs/>
          <w:sz w:val="24"/>
          <w:lang w:val="el-GR"/>
        </w:rPr>
        <w:t>αν</w:t>
      </w:r>
      <w:r w:rsidR="00FE1BC8" w:rsidRPr="0007762E">
        <w:rPr>
          <w:rFonts w:asciiTheme="minorHAnsi" w:hAnsiTheme="minorHAnsi" w:cs="Segoe UI"/>
          <w:i/>
          <w:iCs/>
          <w:sz w:val="24"/>
          <w:lang w:val="el-GR"/>
        </w:rPr>
        <w:t xml:space="preserve"> για τη μείωση της χρηματοδότησης από το μηχανισμό </w:t>
      </w:r>
      <w:r w:rsidR="00FE1BC8" w:rsidRPr="0007762E">
        <w:rPr>
          <w:rFonts w:asciiTheme="minorHAnsi" w:hAnsiTheme="minorHAnsi" w:cs="Segoe UI"/>
          <w:i/>
          <w:iCs/>
          <w:sz w:val="24"/>
          <w:lang w:val="en-US"/>
        </w:rPr>
        <w:t>ELA</w:t>
      </w:r>
      <w:r w:rsidR="008C3EDE">
        <w:rPr>
          <w:rFonts w:asciiTheme="minorHAnsi" w:hAnsiTheme="minorHAnsi" w:cs="Segoe UI"/>
          <w:i/>
          <w:iCs/>
          <w:sz w:val="24"/>
          <w:lang w:val="el-GR"/>
        </w:rPr>
        <w:t>και</w:t>
      </w:r>
      <w:r w:rsidR="00FE1BC8" w:rsidRPr="0007762E">
        <w:rPr>
          <w:rFonts w:asciiTheme="minorHAnsi" w:hAnsiTheme="minorHAnsi" w:cs="Segoe UI"/>
          <w:i/>
          <w:iCs/>
          <w:sz w:val="24"/>
          <w:lang w:val="el-GR"/>
        </w:rPr>
        <w:t xml:space="preserve"> τη</w:t>
      </w:r>
      <w:r w:rsidR="008C3EDE">
        <w:rPr>
          <w:rFonts w:asciiTheme="minorHAnsi" w:hAnsiTheme="minorHAnsi" w:cs="Segoe UI"/>
          <w:i/>
          <w:iCs/>
          <w:sz w:val="24"/>
          <w:lang w:val="el-GR"/>
        </w:rPr>
        <w:t>ν</w:t>
      </w:r>
      <w:r w:rsidR="00396495">
        <w:rPr>
          <w:rFonts w:asciiTheme="minorHAnsi" w:hAnsiTheme="minorHAnsi" w:cs="Segoe UI"/>
          <w:i/>
          <w:iCs/>
          <w:sz w:val="24"/>
          <w:lang w:val="el-GR"/>
        </w:rPr>
        <w:t>εξάλειψη</w:t>
      </w:r>
      <w:bookmarkStart w:id="0" w:name="_GoBack"/>
      <w:bookmarkEnd w:id="0"/>
      <w:r w:rsidR="00FE1BC8" w:rsidRPr="0007762E">
        <w:rPr>
          <w:rFonts w:asciiTheme="minorHAnsi" w:hAnsiTheme="minorHAnsi" w:cs="Segoe UI"/>
          <w:i/>
          <w:iCs/>
          <w:sz w:val="24"/>
          <w:lang w:val="el-GR"/>
        </w:rPr>
        <w:t xml:space="preserve"> των ομολόγων Πυλώνα ΙΙ. </w:t>
      </w:r>
      <w:r w:rsidR="00CF00AE" w:rsidRPr="0007762E">
        <w:rPr>
          <w:rFonts w:asciiTheme="minorHAnsi" w:hAnsiTheme="minorHAnsi" w:cs="Segoe UI"/>
          <w:i/>
          <w:iCs/>
          <w:sz w:val="24"/>
          <w:lang w:val="el-GR"/>
        </w:rPr>
        <w:t>Ως</w:t>
      </w:r>
      <w:r w:rsidR="00FE1BC8" w:rsidRPr="0007762E">
        <w:rPr>
          <w:rFonts w:asciiTheme="minorHAnsi" w:hAnsiTheme="minorHAnsi" w:cs="Segoe UI"/>
          <w:i/>
          <w:iCs/>
          <w:sz w:val="24"/>
          <w:lang w:val="el-GR"/>
        </w:rPr>
        <w:t xml:space="preserve"> αποτέλεσμα, η Τράπεζα διατηρεί μακράν τη χαμηλότερη έκθεση </w:t>
      </w:r>
      <w:r w:rsidR="00FE1BC8" w:rsidRPr="0007762E">
        <w:rPr>
          <w:rFonts w:asciiTheme="minorHAnsi" w:hAnsiTheme="minorHAnsi" w:cs="Segoe UI"/>
          <w:i/>
          <w:iCs/>
          <w:sz w:val="24"/>
          <w:lang w:val="en-US"/>
        </w:rPr>
        <w:t>ELA</w:t>
      </w:r>
      <w:r w:rsidR="00FE1BC8" w:rsidRPr="0007762E">
        <w:rPr>
          <w:rFonts w:asciiTheme="minorHAnsi" w:hAnsiTheme="minorHAnsi" w:cs="Segoe UI"/>
          <w:i/>
          <w:iCs/>
          <w:sz w:val="24"/>
          <w:lang w:val="el-GR"/>
        </w:rPr>
        <w:t xml:space="preserve"> στον κλάδο, ανερχόμενη σε μόλις €5 δισ., γεγον</w:t>
      </w:r>
      <w:r w:rsidR="00CF00AE" w:rsidRPr="0007762E">
        <w:rPr>
          <w:rFonts w:asciiTheme="minorHAnsi" w:hAnsiTheme="minorHAnsi" w:cs="Segoe UI"/>
          <w:i/>
          <w:iCs/>
          <w:sz w:val="24"/>
          <w:lang w:val="el-GR"/>
        </w:rPr>
        <w:t xml:space="preserve">ός </w:t>
      </w:r>
      <w:r w:rsidR="00FE1BC8" w:rsidRPr="0007762E">
        <w:rPr>
          <w:rFonts w:asciiTheme="minorHAnsi" w:hAnsiTheme="minorHAnsi" w:cs="Segoe UI"/>
          <w:i/>
          <w:iCs/>
          <w:sz w:val="24"/>
          <w:lang w:val="el-GR"/>
        </w:rPr>
        <w:t xml:space="preserve">το οποίο </w:t>
      </w:r>
      <w:r w:rsidR="00CF00AE" w:rsidRPr="0007762E">
        <w:rPr>
          <w:rFonts w:asciiTheme="minorHAnsi" w:hAnsiTheme="minorHAnsi" w:cs="Segoe UI"/>
          <w:i/>
          <w:iCs/>
          <w:sz w:val="24"/>
          <w:lang w:val="el-GR"/>
        </w:rPr>
        <w:t xml:space="preserve">υπογραμμίζει το συγκριτικό </w:t>
      </w:r>
      <w:r w:rsidR="00FE1BC8" w:rsidRPr="0007762E">
        <w:rPr>
          <w:rFonts w:asciiTheme="minorHAnsi" w:hAnsiTheme="minorHAnsi" w:cs="Segoe UI"/>
          <w:i/>
          <w:iCs/>
          <w:sz w:val="24"/>
          <w:lang w:val="el-GR"/>
        </w:rPr>
        <w:t xml:space="preserve">χρηματοδοτικό πλεονέκτημα </w:t>
      </w:r>
      <w:r w:rsidR="00CF00AE" w:rsidRPr="0007762E">
        <w:rPr>
          <w:rFonts w:asciiTheme="minorHAnsi" w:hAnsiTheme="minorHAnsi" w:cs="Segoe UI"/>
          <w:i/>
          <w:iCs/>
          <w:sz w:val="24"/>
          <w:lang w:val="el-GR"/>
        </w:rPr>
        <w:t xml:space="preserve">της ΕΤΕ </w:t>
      </w:r>
      <w:r w:rsidR="00FE1BC8" w:rsidRPr="0007762E">
        <w:rPr>
          <w:rFonts w:asciiTheme="minorHAnsi" w:hAnsiTheme="minorHAnsi" w:cs="Segoe UI"/>
          <w:i/>
          <w:iCs/>
          <w:sz w:val="24"/>
          <w:lang w:val="el-GR"/>
        </w:rPr>
        <w:t>ενόψει της ανάκαμψης της εγχώριας οικονομίας</w:t>
      </w:r>
      <w:r w:rsidR="00C22214" w:rsidRPr="0007762E">
        <w:rPr>
          <w:rFonts w:asciiTheme="minorHAnsi" w:hAnsiTheme="minorHAnsi" w:cs="Segoe UI"/>
          <w:i/>
          <w:iCs/>
          <w:sz w:val="24"/>
          <w:lang w:val="el-GR"/>
        </w:rPr>
        <w:t>.</w:t>
      </w:r>
    </w:p>
    <w:p w:rsidR="00F514D1" w:rsidRPr="0007762E" w:rsidRDefault="003D1AF8" w:rsidP="00F514D1">
      <w:pPr>
        <w:spacing w:after="160" w:line="240" w:lineRule="auto"/>
        <w:jc w:val="both"/>
        <w:rPr>
          <w:rFonts w:asciiTheme="minorHAnsi" w:hAnsiTheme="minorHAnsi" w:cs="Segoe UI"/>
          <w:i/>
          <w:iCs/>
          <w:sz w:val="24"/>
          <w:lang w:val="el-GR"/>
        </w:rPr>
      </w:pPr>
      <w:r>
        <w:rPr>
          <w:rFonts w:asciiTheme="minorHAnsi" w:hAnsiTheme="minorHAnsi" w:cs="Segoe UI"/>
          <w:i/>
          <w:iCs/>
          <w:sz w:val="24"/>
          <w:lang w:val="el-GR"/>
        </w:rPr>
        <w:t xml:space="preserve">Οι εξελίξεις αναφορικά με </w:t>
      </w:r>
      <w:r w:rsidR="00E87E62" w:rsidRPr="0007762E">
        <w:rPr>
          <w:rFonts w:asciiTheme="minorHAnsi" w:hAnsiTheme="minorHAnsi" w:cs="Segoe UI"/>
          <w:i/>
          <w:iCs/>
          <w:sz w:val="24"/>
          <w:lang w:val="el-GR"/>
        </w:rPr>
        <w:t>την ποιότητα του δανειακού χαρτοφυλακίου</w:t>
      </w:r>
      <w:r>
        <w:rPr>
          <w:rFonts w:asciiTheme="minorHAnsi" w:hAnsiTheme="minorHAnsi" w:cs="Segoe UI"/>
          <w:i/>
          <w:iCs/>
          <w:sz w:val="24"/>
          <w:lang w:val="el-GR"/>
        </w:rPr>
        <w:t xml:space="preserve"> είναι ενθαρρυντικές. </w:t>
      </w:r>
      <w:r w:rsidRPr="0007762E">
        <w:rPr>
          <w:rFonts w:asciiTheme="minorHAnsi" w:hAnsiTheme="minorHAnsi" w:cs="Segoe UI"/>
          <w:i/>
          <w:iCs/>
          <w:sz w:val="24"/>
          <w:lang w:val="el-GR"/>
        </w:rPr>
        <w:t>Να σημειωθεί ότι</w:t>
      </w:r>
      <w:r>
        <w:rPr>
          <w:rFonts w:asciiTheme="minorHAnsi" w:hAnsiTheme="minorHAnsi" w:cs="Segoe UI"/>
          <w:i/>
          <w:iCs/>
          <w:sz w:val="24"/>
          <w:lang w:val="el-GR"/>
        </w:rPr>
        <w:t>,</w:t>
      </w:r>
      <w:r w:rsidRPr="0007762E">
        <w:rPr>
          <w:rFonts w:asciiTheme="minorHAnsi" w:hAnsiTheme="minorHAnsi" w:cs="Segoe UI"/>
          <w:i/>
          <w:iCs/>
          <w:sz w:val="24"/>
          <w:lang w:val="el-GR"/>
        </w:rPr>
        <w:t xml:space="preserve"> η Τράπεζα μείωσε τα μη εξυπηρετούμενα ανοίγματα για πρώτη φορά κατά σχεδόν €1 δισ., αντανακλώντας τις θετικές τάσεις </w:t>
      </w:r>
      <w:r w:rsidR="00C274A2">
        <w:rPr>
          <w:rFonts w:asciiTheme="minorHAnsi" w:hAnsiTheme="minorHAnsi" w:cs="Segoe UI"/>
          <w:i/>
          <w:iCs/>
          <w:sz w:val="24"/>
          <w:lang w:val="el-GR"/>
        </w:rPr>
        <w:t xml:space="preserve">στις </w:t>
      </w:r>
      <w:r w:rsidR="00872EF7" w:rsidRPr="00872EF7">
        <w:rPr>
          <w:rFonts w:asciiTheme="minorHAnsi" w:hAnsiTheme="minorHAnsi" w:cs="Segoe UI"/>
          <w:i/>
          <w:iCs/>
          <w:sz w:val="24"/>
          <w:lang w:val="el-GR"/>
        </w:rPr>
        <w:t>επαν</w:t>
      </w:r>
      <w:r w:rsidR="00C274A2" w:rsidRPr="00872EF7">
        <w:rPr>
          <w:rFonts w:asciiTheme="minorHAnsi" w:hAnsiTheme="minorHAnsi" w:cs="Segoe UI"/>
          <w:i/>
          <w:iCs/>
          <w:sz w:val="24"/>
          <w:lang w:val="el-GR"/>
        </w:rPr>
        <w:t>εισπράξεις,</w:t>
      </w:r>
      <w:r w:rsidRPr="00872EF7">
        <w:rPr>
          <w:rFonts w:asciiTheme="minorHAnsi" w:hAnsiTheme="minorHAnsi" w:cs="Segoe UI"/>
          <w:i/>
          <w:iCs/>
          <w:sz w:val="24"/>
          <w:lang w:val="el-GR"/>
        </w:rPr>
        <w:t xml:space="preserve"> τις επιτυχείς</w:t>
      </w:r>
      <w:r w:rsidRPr="0007762E">
        <w:rPr>
          <w:rFonts w:asciiTheme="minorHAnsi" w:hAnsiTheme="minorHAnsi" w:cs="Segoe UI"/>
          <w:i/>
          <w:iCs/>
          <w:sz w:val="24"/>
          <w:lang w:val="el-GR"/>
        </w:rPr>
        <w:t xml:space="preserve"> αναδιαρθρώσεις και τις διαγραφές δανείων.</w:t>
      </w:r>
      <w:r w:rsidR="00F514D1" w:rsidRPr="0007762E">
        <w:rPr>
          <w:rFonts w:asciiTheme="minorHAnsi" w:hAnsiTheme="minorHAnsi" w:cs="Segoe UI"/>
          <w:i/>
          <w:iCs/>
          <w:sz w:val="24"/>
          <w:lang w:val="el-GR"/>
        </w:rPr>
        <w:t xml:space="preserve"> Ο δείκτης κάλυψης δανείων σε καθυστέρηση άνω των 90 ημερών </w:t>
      </w:r>
      <w:r w:rsidR="00E73F2B">
        <w:rPr>
          <w:rFonts w:asciiTheme="minorHAnsi" w:hAnsiTheme="minorHAnsi" w:cs="Segoe UI"/>
          <w:i/>
          <w:iCs/>
          <w:sz w:val="24"/>
          <w:lang w:val="el-GR"/>
        </w:rPr>
        <w:t xml:space="preserve">από σωρευμένες προβλέψεις διαμορφώθηκε </w:t>
      </w:r>
      <w:r w:rsidR="006C06EC" w:rsidRPr="0007762E">
        <w:rPr>
          <w:rFonts w:asciiTheme="minorHAnsi" w:hAnsiTheme="minorHAnsi" w:cs="Segoe UI"/>
          <w:i/>
          <w:iCs/>
          <w:sz w:val="24"/>
          <w:lang w:val="el-GR"/>
        </w:rPr>
        <w:t>σε</w:t>
      </w:r>
      <w:r w:rsidR="00F514D1" w:rsidRPr="0007762E">
        <w:rPr>
          <w:rFonts w:asciiTheme="minorHAnsi" w:hAnsiTheme="minorHAnsi" w:cs="Segoe UI"/>
          <w:i/>
          <w:iCs/>
          <w:sz w:val="24"/>
          <w:lang w:val="el-GR"/>
        </w:rPr>
        <w:t xml:space="preserve"> 77% στην Ελλάδα και σε 75% σε επίπεδο Ομίλου, στα υψηλότερα επίπεδα του κλάδου. </w:t>
      </w:r>
    </w:p>
    <w:p w:rsidR="00F50813" w:rsidRPr="0007762E" w:rsidRDefault="005A4931" w:rsidP="00F50813">
      <w:pPr>
        <w:spacing w:after="160" w:line="240" w:lineRule="auto"/>
        <w:jc w:val="both"/>
        <w:rPr>
          <w:rFonts w:asciiTheme="minorHAnsi" w:hAnsiTheme="minorHAnsi" w:cs="Segoe UI"/>
          <w:i/>
          <w:iCs/>
          <w:sz w:val="24"/>
          <w:lang w:val="el-GR"/>
        </w:rPr>
      </w:pPr>
      <w:r>
        <w:rPr>
          <w:rFonts w:asciiTheme="minorHAnsi" w:hAnsiTheme="minorHAnsi" w:cs="Segoe UI"/>
          <w:i/>
          <w:iCs/>
          <w:sz w:val="24"/>
          <w:lang w:val="el-GR"/>
        </w:rPr>
        <w:t>Αναφορικά με τα κέρδη</w:t>
      </w:r>
      <w:r w:rsidR="006C5E08" w:rsidRPr="0007762E">
        <w:rPr>
          <w:rFonts w:asciiTheme="minorHAnsi" w:hAnsiTheme="minorHAnsi" w:cs="Segoe UI"/>
          <w:i/>
          <w:iCs/>
          <w:sz w:val="24"/>
          <w:lang w:val="el-GR"/>
        </w:rPr>
        <w:t xml:space="preserve"> μετά φόρων από συνεχιζόμενες δραστηριότητες, ο Όμιλος σημείωσε οριακά κέρδη κατά το Α’ εξάμηνο του έτους. </w:t>
      </w:r>
      <w:r w:rsidR="00F50813" w:rsidRPr="0007762E">
        <w:rPr>
          <w:rFonts w:asciiTheme="minorHAnsi" w:hAnsiTheme="minorHAnsi" w:cs="Segoe UI"/>
          <w:i/>
          <w:iCs/>
          <w:sz w:val="24"/>
          <w:lang w:val="el-GR"/>
        </w:rPr>
        <w:t xml:space="preserve">Τα αποτελέσματα καταδεικνύουν τις θετικές τάσεις σε επίπεδο λειτουργικών αποτελεσμάτωνστην Ελλάδα, με </w:t>
      </w:r>
      <w:r w:rsidR="006C06EC" w:rsidRPr="0007762E">
        <w:rPr>
          <w:rFonts w:asciiTheme="minorHAnsi" w:hAnsiTheme="minorHAnsi" w:cs="Segoe UI"/>
          <w:i/>
          <w:iCs/>
          <w:sz w:val="24"/>
          <w:lang w:val="el-GR"/>
        </w:rPr>
        <w:t xml:space="preserve">τα </w:t>
      </w:r>
      <w:r w:rsidR="00F50813" w:rsidRPr="0007762E">
        <w:rPr>
          <w:rFonts w:asciiTheme="minorHAnsi" w:hAnsiTheme="minorHAnsi" w:cs="Segoe UI"/>
          <w:i/>
          <w:iCs/>
          <w:sz w:val="24"/>
          <w:lang w:val="el-GR"/>
        </w:rPr>
        <w:t xml:space="preserve">οργανικά κέρδη προ προβλέψεων να ανέρχονται σε €478 εκατ. </w:t>
      </w:r>
      <w:r w:rsidR="006C5E08">
        <w:rPr>
          <w:rFonts w:asciiTheme="minorHAnsi" w:hAnsiTheme="minorHAnsi" w:cs="Segoe UI"/>
          <w:i/>
          <w:iCs/>
          <w:sz w:val="24"/>
          <w:lang w:val="el-GR"/>
        </w:rPr>
        <w:t>το</w:t>
      </w:r>
      <w:r w:rsidR="006C5E08" w:rsidRPr="0007762E">
        <w:rPr>
          <w:rFonts w:asciiTheme="minorHAnsi" w:hAnsiTheme="minorHAnsi" w:cs="Segoe UI"/>
          <w:i/>
          <w:iCs/>
          <w:sz w:val="24"/>
          <w:lang w:val="el-GR"/>
        </w:rPr>
        <w:t xml:space="preserve"> Α’ </w:t>
      </w:r>
      <w:r w:rsidR="006C5E08">
        <w:rPr>
          <w:rFonts w:asciiTheme="minorHAnsi" w:hAnsiTheme="minorHAnsi" w:cs="Segoe UI"/>
          <w:i/>
          <w:iCs/>
          <w:sz w:val="24"/>
          <w:lang w:val="el-GR"/>
        </w:rPr>
        <w:t xml:space="preserve">εξάμηνο του έτους. </w:t>
      </w:r>
      <w:r w:rsidR="00F50813" w:rsidRPr="0007762E">
        <w:rPr>
          <w:rFonts w:asciiTheme="minorHAnsi" w:hAnsiTheme="minorHAnsi" w:cs="Segoe UI"/>
          <w:i/>
          <w:iCs/>
          <w:sz w:val="24"/>
          <w:lang w:val="el-GR"/>
        </w:rPr>
        <w:t xml:space="preserve">Η κερδοφορία στη ΝΑ Ευρώπη </w:t>
      </w:r>
      <w:r w:rsidR="006C5E08">
        <w:rPr>
          <w:rFonts w:asciiTheme="minorHAnsi" w:hAnsiTheme="minorHAnsi" w:cs="Segoe UI"/>
          <w:i/>
          <w:iCs/>
          <w:sz w:val="24"/>
          <w:lang w:val="el-GR"/>
        </w:rPr>
        <w:t>ενισχύθηκε περαιτέρω</w:t>
      </w:r>
      <w:r w:rsidR="00F50813" w:rsidRPr="0007762E">
        <w:rPr>
          <w:rFonts w:asciiTheme="minorHAnsi" w:hAnsiTheme="minorHAnsi" w:cs="Segoe UI"/>
          <w:i/>
          <w:iCs/>
          <w:sz w:val="24"/>
          <w:lang w:val="el-GR"/>
        </w:rPr>
        <w:t>, συνεισφέροντας κέρδη ύψους €5</w:t>
      </w:r>
      <w:r w:rsidR="00421470" w:rsidRPr="00421470">
        <w:rPr>
          <w:rFonts w:asciiTheme="minorHAnsi" w:hAnsiTheme="minorHAnsi" w:cs="Segoe UI"/>
          <w:i/>
          <w:iCs/>
          <w:sz w:val="24"/>
          <w:lang w:val="el-GR"/>
        </w:rPr>
        <w:t>3</w:t>
      </w:r>
      <w:r w:rsidR="00F50813" w:rsidRPr="0007762E">
        <w:rPr>
          <w:rFonts w:asciiTheme="minorHAnsi" w:hAnsiTheme="minorHAnsi" w:cs="Segoe UI"/>
          <w:i/>
          <w:iCs/>
          <w:sz w:val="24"/>
          <w:lang w:val="el-GR"/>
        </w:rPr>
        <w:t xml:space="preserve"> εκατ. στα καθαρά αποτελέσματα του Ομίλου κατά το Α’ εξάμηνο του 2016</w:t>
      </w:r>
      <w:r w:rsidR="00E54A11">
        <w:rPr>
          <w:rFonts w:asciiTheme="minorHAnsi" w:hAnsiTheme="minorHAnsi" w:cs="Segoe UI"/>
          <w:i/>
          <w:iCs/>
          <w:sz w:val="24"/>
          <w:lang w:val="el-GR"/>
        </w:rPr>
        <w:t>, τα διπλάσια σε σχέση με το Α’ εξάμηνο του 2015</w:t>
      </w:r>
      <w:r w:rsidR="00F50813" w:rsidRPr="0007762E">
        <w:rPr>
          <w:rFonts w:asciiTheme="minorHAnsi" w:hAnsiTheme="minorHAnsi" w:cs="Segoe UI"/>
          <w:i/>
          <w:iCs/>
          <w:sz w:val="24"/>
          <w:lang w:val="el-GR"/>
        </w:rPr>
        <w:t xml:space="preserve">. </w:t>
      </w:r>
    </w:p>
    <w:p w:rsidR="00901454" w:rsidRPr="0007762E" w:rsidRDefault="00C41C22" w:rsidP="004929D8">
      <w:pPr>
        <w:spacing w:after="160" w:line="240" w:lineRule="auto"/>
        <w:jc w:val="both"/>
        <w:rPr>
          <w:rFonts w:asciiTheme="minorHAnsi" w:hAnsiTheme="minorHAnsi" w:cs="Segoe UI"/>
          <w:b/>
          <w:sz w:val="24"/>
          <w:lang w:val="el-GR" w:eastAsia="el-GR" w:bidi="el-GR"/>
        </w:rPr>
      </w:pPr>
      <w:r w:rsidRPr="0007762E">
        <w:rPr>
          <w:rFonts w:asciiTheme="minorHAnsi" w:hAnsiTheme="minorHAnsi" w:cs="Segoe UI"/>
          <w:i/>
          <w:iCs/>
          <w:sz w:val="24"/>
          <w:lang w:val="el-GR"/>
        </w:rPr>
        <w:t>Ο δείκτης Κύριων Βασικών Ιδίων Κεφαλαίων</w:t>
      </w:r>
      <w:r w:rsidR="003C42A6">
        <w:rPr>
          <w:rFonts w:asciiTheme="minorHAnsi" w:hAnsiTheme="minorHAnsi" w:cs="Segoe UI"/>
          <w:i/>
          <w:iCs/>
          <w:sz w:val="24"/>
          <w:lang w:val="el-GR"/>
        </w:rPr>
        <w:t>,</w:t>
      </w:r>
      <w:r w:rsidR="003C42A6" w:rsidRPr="0007762E">
        <w:rPr>
          <w:rFonts w:asciiTheme="minorHAnsi" w:hAnsiTheme="minorHAnsi" w:cs="Segoe UI"/>
          <w:i/>
          <w:iCs/>
          <w:sz w:val="24"/>
          <w:lang w:val="el-GR"/>
        </w:rPr>
        <w:t xml:space="preserve">συμπεριλαμβανομένων των </w:t>
      </w:r>
      <w:r w:rsidR="003C42A6" w:rsidRPr="0007762E">
        <w:rPr>
          <w:rFonts w:asciiTheme="minorHAnsi" w:hAnsiTheme="minorHAnsi" w:cs="Segoe UI"/>
          <w:i/>
          <w:iCs/>
          <w:sz w:val="24"/>
          <w:lang w:val="en-US"/>
        </w:rPr>
        <w:t>CoCos</w:t>
      </w:r>
      <w:r w:rsidR="003C42A6">
        <w:rPr>
          <w:rFonts w:asciiTheme="minorHAnsi" w:hAnsiTheme="minorHAnsi" w:cs="Segoe UI"/>
          <w:i/>
          <w:iCs/>
          <w:sz w:val="24"/>
          <w:lang w:val="el-GR"/>
        </w:rPr>
        <w:t>και των συμφωνηθέντων πωλήσεων των</w:t>
      </w:r>
      <w:r w:rsidR="003C42A6" w:rsidRPr="003C42A6">
        <w:rPr>
          <w:rFonts w:asciiTheme="minorHAnsi" w:hAnsiTheme="minorHAnsi" w:cs="Segoe UI"/>
          <w:i/>
          <w:iCs/>
          <w:sz w:val="24"/>
          <w:lang w:val="el-GR"/>
        </w:rPr>
        <w:t xml:space="preserve"> ΑΣΤΗΡ ΠΑΛΑΣ και NBGI</w:t>
      </w:r>
      <w:r w:rsidR="003C42A6">
        <w:rPr>
          <w:rFonts w:asciiTheme="minorHAnsi" w:hAnsiTheme="minorHAnsi" w:cs="Segoe UI"/>
          <w:i/>
          <w:iCs/>
          <w:sz w:val="24"/>
          <w:lang w:val="el-GR"/>
        </w:rPr>
        <w:t>,</w:t>
      </w:r>
      <w:r w:rsidR="006C06EC" w:rsidRPr="0007762E">
        <w:rPr>
          <w:rFonts w:asciiTheme="minorHAnsi" w:hAnsiTheme="minorHAnsi" w:cs="Segoe UI"/>
          <w:i/>
          <w:iCs/>
          <w:sz w:val="24"/>
          <w:lang w:val="el-GR"/>
        </w:rPr>
        <w:t>ανήλθε</w:t>
      </w:r>
      <w:r w:rsidRPr="0007762E">
        <w:rPr>
          <w:rFonts w:asciiTheme="minorHAnsi" w:hAnsiTheme="minorHAnsi" w:cs="Segoe UI"/>
          <w:i/>
          <w:iCs/>
          <w:sz w:val="24"/>
          <w:lang w:val="el-GR"/>
        </w:rPr>
        <w:t xml:space="preserve"> σε 22.1%.</w:t>
      </w:r>
      <w:r w:rsidR="009E04B8" w:rsidRPr="0007762E">
        <w:rPr>
          <w:rFonts w:asciiTheme="minorHAnsi" w:hAnsiTheme="minorHAnsi" w:cs="Segoe UI"/>
          <w:i/>
          <w:iCs/>
          <w:sz w:val="24"/>
          <w:lang w:val="el-GR"/>
        </w:rPr>
        <w:t>Η κεφαλαιακή μας θέση θα ενισχυθ</w:t>
      </w:r>
      <w:r w:rsidR="006C06EC" w:rsidRPr="0007762E">
        <w:rPr>
          <w:rFonts w:asciiTheme="minorHAnsi" w:hAnsiTheme="minorHAnsi" w:cs="Segoe UI"/>
          <w:i/>
          <w:iCs/>
          <w:sz w:val="24"/>
          <w:lang w:val="el-GR"/>
        </w:rPr>
        <w:t xml:space="preserve">εί </w:t>
      </w:r>
      <w:r w:rsidR="009E04B8" w:rsidRPr="0007762E">
        <w:rPr>
          <w:rFonts w:asciiTheme="minorHAnsi" w:hAnsiTheme="minorHAnsi" w:cs="Segoe UI"/>
          <w:i/>
          <w:iCs/>
          <w:sz w:val="24"/>
          <w:lang w:val="el-GR"/>
        </w:rPr>
        <w:t>περαιτέρω από την πλήρη εφαρμογή του σχε</w:t>
      </w:r>
      <w:r w:rsidR="009360CA">
        <w:rPr>
          <w:rFonts w:asciiTheme="minorHAnsi" w:hAnsiTheme="minorHAnsi" w:cs="Segoe UI"/>
          <w:i/>
          <w:iCs/>
          <w:sz w:val="24"/>
          <w:lang w:val="el-GR"/>
        </w:rPr>
        <w:t>δίου αναδιάρθρωσης της Τράπεζας</w:t>
      </w:r>
      <w:r w:rsidR="009E04B8" w:rsidRPr="0007762E">
        <w:rPr>
          <w:rFonts w:asciiTheme="minorHAnsi" w:hAnsiTheme="minorHAnsi" w:cs="Segoe UI"/>
          <w:i/>
          <w:iCs/>
          <w:sz w:val="24"/>
          <w:lang w:val="el-GR"/>
        </w:rPr>
        <w:t xml:space="preserve">.    </w:t>
      </w:r>
    </w:p>
    <w:p w:rsidR="00901454" w:rsidRPr="00F50813" w:rsidRDefault="00901454" w:rsidP="004929D8">
      <w:pPr>
        <w:spacing w:after="160" w:line="240" w:lineRule="auto"/>
        <w:jc w:val="both"/>
        <w:rPr>
          <w:rFonts w:ascii="Segoe UI" w:hAnsi="Segoe UI" w:cs="Segoe UI"/>
          <w:b/>
          <w:lang w:val="el-GR" w:eastAsia="el-GR" w:bidi="el-GR"/>
        </w:rPr>
      </w:pPr>
    </w:p>
    <w:p w:rsidR="00901454" w:rsidRPr="00F50813" w:rsidRDefault="00901454" w:rsidP="004929D8">
      <w:pPr>
        <w:spacing w:after="160" w:line="240" w:lineRule="auto"/>
        <w:jc w:val="both"/>
        <w:rPr>
          <w:rFonts w:ascii="Segoe UI" w:hAnsi="Segoe UI" w:cs="Segoe UI"/>
          <w:b/>
          <w:lang w:val="el-GR" w:eastAsia="el-GR" w:bidi="el-GR"/>
        </w:rPr>
      </w:pPr>
    </w:p>
    <w:p w:rsidR="00901454" w:rsidRPr="0007762E" w:rsidRDefault="00901454" w:rsidP="004929D8">
      <w:pPr>
        <w:spacing w:after="160" w:line="240" w:lineRule="auto"/>
        <w:jc w:val="right"/>
        <w:rPr>
          <w:rFonts w:asciiTheme="minorHAnsi" w:hAnsiTheme="minorHAnsi" w:cs="Segoe UI"/>
          <w:i/>
          <w:iCs/>
          <w:lang w:val="el-GR"/>
        </w:rPr>
      </w:pPr>
      <w:r w:rsidRPr="0007762E">
        <w:rPr>
          <w:rFonts w:asciiTheme="minorHAnsi" w:hAnsiTheme="minorHAnsi" w:cs="Segoe UI"/>
          <w:i/>
          <w:lang w:val="el-GR" w:eastAsia="en-GB"/>
        </w:rPr>
        <w:t xml:space="preserve">Αθήνα, </w:t>
      </w:r>
      <w:r w:rsidR="00045682" w:rsidRPr="0007762E">
        <w:rPr>
          <w:rFonts w:asciiTheme="minorHAnsi" w:hAnsiTheme="minorHAnsi" w:cs="Segoe UI"/>
          <w:i/>
          <w:lang w:val="el-GR" w:eastAsia="en-GB"/>
        </w:rPr>
        <w:t xml:space="preserve">31 Αυγούστου </w:t>
      </w:r>
      <w:r w:rsidRPr="0007762E">
        <w:rPr>
          <w:rFonts w:asciiTheme="minorHAnsi" w:hAnsiTheme="minorHAnsi" w:cs="Segoe UI"/>
          <w:i/>
          <w:lang w:val="el-GR" w:eastAsia="en-GB"/>
        </w:rPr>
        <w:t>2016</w:t>
      </w:r>
    </w:p>
    <w:p w:rsidR="00901454" w:rsidRPr="0007762E" w:rsidRDefault="00901454" w:rsidP="004929D8">
      <w:pPr>
        <w:spacing w:after="160" w:line="240" w:lineRule="auto"/>
        <w:jc w:val="right"/>
        <w:rPr>
          <w:rFonts w:asciiTheme="minorHAnsi" w:hAnsiTheme="minorHAnsi" w:cs="Segoe UI"/>
          <w:i/>
          <w:iCs/>
          <w:lang w:val="el-GR"/>
        </w:rPr>
      </w:pPr>
      <w:r w:rsidRPr="0007762E">
        <w:rPr>
          <w:rFonts w:asciiTheme="minorHAnsi" w:hAnsiTheme="minorHAnsi" w:cs="Segoe UI"/>
          <w:i/>
          <w:lang w:val="el-GR" w:eastAsia="en-GB"/>
        </w:rPr>
        <w:t>Λεωνίδας Φραγκιαδάκης</w:t>
      </w:r>
    </w:p>
    <w:p w:rsidR="00901454" w:rsidRPr="0007762E" w:rsidRDefault="00901454" w:rsidP="004929D8">
      <w:pPr>
        <w:spacing w:after="160" w:line="240" w:lineRule="auto"/>
        <w:jc w:val="right"/>
        <w:rPr>
          <w:rFonts w:asciiTheme="minorHAnsi" w:hAnsiTheme="minorHAnsi" w:cs="Segoe UI"/>
          <w:b/>
          <w:lang w:val="el-GR" w:eastAsia="el-GR" w:bidi="el-GR"/>
        </w:rPr>
      </w:pPr>
      <w:r w:rsidRPr="0007762E">
        <w:rPr>
          <w:rFonts w:asciiTheme="minorHAnsi" w:hAnsiTheme="minorHAnsi" w:cs="Segoe UI"/>
          <w:i/>
          <w:lang w:val="el-GR" w:eastAsia="en-GB"/>
        </w:rPr>
        <w:t>Διευθύνων Σύμβουλος ΕΤΕ</w:t>
      </w:r>
    </w:p>
    <w:p w:rsidR="00901454" w:rsidRPr="00F50813" w:rsidRDefault="00901454" w:rsidP="004929D8">
      <w:pPr>
        <w:spacing w:after="160" w:line="240" w:lineRule="auto"/>
        <w:jc w:val="right"/>
        <w:rPr>
          <w:rFonts w:ascii="Segoe UI" w:hAnsi="Segoe UI" w:cs="Segoe UI"/>
          <w:b/>
          <w:lang w:val="el-GR" w:eastAsia="el-GR" w:bidi="el-GR"/>
        </w:rPr>
      </w:pPr>
    </w:p>
    <w:p w:rsidR="00901454" w:rsidRPr="00F50813" w:rsidRDefault="00901454" w:rsidP="004929D8">
      <w:pPr>
        <w:spacing w:after="160" w:line="240" w:lineRule="auto"/>
        <w:jc w:val="both"/>
        <w:rPr>
          <w:rFonts w:ascii="Segoe UI" w:hAnsi="Segoe UI" w:cs="Segoe UI"/>
          <w:b/>
          <w:lang w:val="el-GR" w:eastAsia="el-GR" w:bidi="el-GR"/>
        </w:rPr>
      </w:pPr>
      <w:r w:rsidRPr="00F50813">
        <w:rPr>
          <w:rFonts w:ascii="Segoe UI" w:hAnsi="Segoe UI" w:cs="Segoe UI"/>
          <w:b/>
          <w:lang w:val="el-GR" w:eastAsia="el-GR" w:bidi="el-GR"/>
        </w:rPr>
        <w:br w:type="page"/>
      </w:r>
    </w:p>
    <w:p w:rsidR="00F33DA9" w:rsidRPr="00A6792B" w:rsidRDefault="00F33DA9"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lastRenderedPageBreak/>
        <w:t>Κερδοφορία</w:t>
      </w:r>
    </w:p>
    <w:p w:rsidR="00712AE0" w:rsidRPr="00A6792B" w:rsidRDefault="00110A92"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Τα κέρδη μετά από φόρους από συνεχιζόμενες δραστηριότητες σε επίπεδο Ομίλου είναι οριακά θετικά (€3 εκατ.) το Α΄ εξάμηνο του 2016, αντανακλώντας την ανάκαμ</w:t>
      </w:r>
      <w:r w:rsidR="0088563A" w:rsidRPr="00A6792B">
        <w:rPr>
          <w:rFonts w:ascii="Segoe UI" w:hAnsi="Segoe UI" w:cs="Segoe UI"/>
          <w:sz w:val="20"/>
          <w:lang w:val="el-GR" w:eastAsia="el-GR" w:bidi="el-GR"/>
        </w:rPr>
        <w:t xml:space="preserve">ψη των </w:t>
      </w:r>
      <w:r w:rsidR="00654E96">
        <w:rPr>
          <w:rFonts w:ascii="Segoe UI" w:hAnsi="Segoe UI" w:cs="Segoe UI"/>
          <w:sz w:val="20"/>
          <w:lang w:val="el-GR" w:eastAsia="el-GR" w:bidi="el-GR"/>
        </w:rPr>
        <w:t>οργανικών εσόδων και τη μείωση των προβλέψεων για επισφαλή δάνεια στην Ελλάδα, καθώς κ</w:t>
      </w:r>
      <w:r w:rsidRPr="00A6792B">
        <w:rPr>
          <w:rFonts w:ascii="Segoe UI" w:hAnsi="Segoe UI" w:cs="Segoe UI"/>
          <w:sz w:val="20"/>
          <w:lang w:val="el-GR" w:eastAsia="el-GR" w:bidi="el-GR"/>
        </w:rPr>
        <w:t>αι την κερδοφορία στην ΝΑ Ευρώπη</w:t>
      </w:r>
      <w:r w:rsidR="004929D8" w:rsidRPr="00A6792B">
        <w:rPr>
          <w:rStyle w:val="a9"/>
          <w:rFonts w:ascii="Segoe UI" w:hAnsi="Segoe UI" w:cs="Segoe UI"/>
          <w:sz w:val="20"/>
          <w:lang w:val="el-GR" w:eastAsia="el-GR" w:bidi="el-GR"/>
        </w:rPr>
        <w:footnoteReference w:id="2"/>
      </w:r>
      <w:r w:rsidR="00712AE0" w:rsidRPr="00A6792B">
        <w:rPr>
          <w:rFonts w:ascii="Segoe UI" w:hAnsi="Segoe UI" w:cs="Segoe UI"/>
          <w:sz w:val="20"/>
          <w:lang w:val="el-GR" w:eastAsia="el-GR" w:bidi="el-GR"/>
        </w:rPr>
        <w:t>.</w:t>
      </w:r>
    </w:p>
    <w:p w:rsidR="00F33DA9" w:rsidRPr="00A6792B" w:rsidRDefault="00F33DA9" w:rsidP="004929D8">
      <w:pPr>
        <w:autoSpaceDE w:val="0"/>
        <w:autoSpaceDN w:val="0"/>
        <w:adjustRightInd w:val="0"/>
        <w:spacing w:after="160" w:line="320" w:lineRule="atLeast"/>
        <w:jc w:val="both"/>
        <w:rPr>
          <w:rFonts w:ascii="Segoe UI" w:hAnsi="Segoe UI" w:cs="Segoe UI"/>
          <w:sz w:val="20"/>
          <w:u w:val="single"/>
          <w:lang w:val="el-GR" w:eastAsia="el-GR" w:bidi="el-GR"/>
        </w:rPr>
      </w:pPr>
      <w:r w:rsidRPr="00A6792B">
        <w:rPr>
          <w:rFonts w:ascii="Segoe UI" w:hAnsi="Segoe UI" w:cs="Segoe UI"/>
          <w:sz w:val="20"/>
          <w:u w:val="single"/>
          <w:lang w:val="el-GR" w:eastAsia="el-GR" w:bidi="el-GR"/>
        </w:rPr>
        <w:t>Ελλάδα</w:t>
      </w:r>
    </w:p>
    <w:p w:rsidR="00907637" w:rsidRPr="00A6792B" w:rsidRDefault="00F33DA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οργανικά κέρδη προ προβλέψεων </w:t>
      </w:r>
      <w:r w:rsidR="00C274A2">
        <w:rPr>
          <w:rFonts w:ascii="Segoe UI" w:hAnsi="Segoe UI" w:cs="Segoe UI"/>
          <w:sz w:val="20"/>
          <w:lang w:val="el-GR" w:eastAsia="el-GR" w:bidi="el-GR"/>
        </w:rPr>
        <w:t>ενισχύθηκαν</w:t>
      </w:r>
      <w:r w:rsidR="00907637" w:rsidRPr="00A6792B">
        <w:rPr>
          <w:rFonts w:ascii="Segoe UI" w:hAnsi="Segoe UI" w:cs="Segoe UI"/>
          <w:sz w:val="20"/>
          <w:lang w:val="el-GR" w:eastAsia="el-GR" w:bidi="el-GR"/>
        </w:rPr>
        <w:t xml:space="preserve"> σε </w:t>
      </w:r>
      <w:r w:rsidRPr="00A6792B">
        <w:rPr>
          <w:rFonts w:ascii="Segoe UI" w:hAnsi="Segoe UI" w:cs="Segoe UI"/>
          <w:sz w:val="20"/>
          <w:lang w:val="el-GR" w:eastAsia="el-GR" w:bidi="el-GR"/>
        </w:rPr>
        <w:t>€</w:t>
      </w:r>
      <w:r w:rsidR="00907637" w:rsidRPr="00A6792B">
        <w:rPr>
          <w:rFonts w:ascii="Segoe UI" w:hAnsi="Segoe UI" w:cs="Segoe UI"/>
          <w:sz w:val="20"/>
          <w:lang w:val="el-GR" w:eastAsia="el-GR" w:bidi="el-GR"/>
        </w:rPr>
        <w:t>207</w:t>
      </w:r>
      <w:r w:rsidRPr="00A6792B">
        <w:rPr>
          <w:rFonts w:ascii="Segoe UI" w:hAnsi="Segoe UI" w:cs="Segoe UI"/>
          <w:sz w:val="20"/>
          <w:lang w:val="el-GR" w:eastAsia="el-GR" w:bidi="el-GR"/>
        </w:rPr>
        <w:t xml:space="preserve"> εκατ. το </w:t>
      </w:r>
      <w:r w:rsidR="00E440EA">
        <w:rPr>
          <w:rFonts w:ascii="Segoe UI" w:hAnsi="Segoe UI" w:cs="Segoe UI"/>
          <w:sz w:val="20"/>
          <w:lang w:val="el-GR" w:eastAsia="el-GR" w:bidi="el-GR"/>
        </w:rPr>
        <w:t>Β</w:t>
      </w:r>
      <w:r w:rsidRPr="00A6792B">
        <w:rPr>
          <w:rFonts w:ascii="Segoe UI" w:hAnsi="Segoe UI" w:cs="Segoe UI"/>
          <w:sz w:val="20"/>
          <w:lang w:val="el-GR" w:eastAsia="el-GR" w:bidi="el-GR"/>
        </w:rPr>
        <w:t>΄ τρίμηνο του 2016 (+</w:t>
      </w:r>
      <w:r w:rsidR="00907637" w:rsidRPr="00A6792B">
        <w:rPr>
          <w:rFonts w:ascii="Segoe UI" w:hAnsi="Segoe UI" w:cs="Segoe UI"/>
          <w:sz w:val="20"/>
          <w:lang w:val="el-GR" w:eastAsia="el-GR" w:bidi="el-GR"/>
        </w:rPr>
        <w:t>9</w:t>
      </w:r>
      <w:r w:rsidRPr="00A6792B">
        <w:rPr>
          <w:rFonts w:ascii="Segoe UI" w:hAnsi="Segoe UI" w:cs="Segoe UI"/>
          <w:sz w:val="20"/>
          <w:lang w:val="el-GR" w:eastAsia="el-GR" w:bidi="el-GR"/>
        </w:rPr>
        <w:t>,</w:t>
      </w:r>
      <w:r w:rsidR="00907637" w:rsidRPr="00A6792B">
        <w:rPr>
          <w:rFonts w:ascii="Segoe UI" w:hAnsi="Segoe UI" w:cs="Segoe UI"/>
          <w:sz w:val="20"/>
          <w:lang w:val="el-GR" w:eastAsia="el-GR" w:bidi="el-GR"/>
        </w:rPr>
        <w:t>8</w:t>
      </w:r>
      <w:r w:rsidRPr="00A6792B">
        <w:rPr>
          <w:rFonts w:ascii="Segoe UI" w:hAnsi="Segoe UI" w:cs="Segoe UI"/>
          <w:sz w:val="20"/>
          <w:lang w:val="el-GR" w:eastAsia="el-GR" w:bidi="el-GR"/>
        </w:rPr>
        <w:t xml:space="preserve">% σε τριμηνιαία βάση), </w:t>
      </w:r>
      <w:r w:rsidR="00F07629">
        <w:rPr>
          <w:rFonts w:ascii="Segoe UI" w:hAnsi="Segoe UI" w:cs="Segoe UI"/>
          <w:sz w:val="20"/>
          <w:lang w:val="el-GR" w:eastAsia="el-GR" w:bidi="el-GR"/>
        </w:rPr>
        <w:t>αντανακλώντας την</w:t>
      </w:r>
      <w:r w:rsidR="00C274A2">
        <w:rPr>
          <w:rFonts w:ascii="Segoe UI" w:hAnsi="Segoe UI" w:cs="Segoe UI"/>
          <w:sz w:val="20"/>
          <w:lang w:val="el-GR" w:eastAsia="el-GR" w:bidi="el-GR"/>
        </w:rPr>
        <w:t>αύξηση</w:t>
      </w:r>
      <w:r w:rsidR="00907637" w:rsidRPr="00A6792B">
        <w:rPr>
          <w:rFonts w:ascii="Segoe UI" w:hAnsi="Segoe UI" w:cs="Segoe UI"/>
          <w:sz w:val="20"/>
          <w:lang w:val="el-GR" w:eastAsia="el-GR" w:bidi="el-GR"/>
        </w:rPr>
        <w:t xml:space="preserve"> των οργανικών εσόδων </w:t>
      </w:r>
      <w:r w:rsidR="00F07629" w:rsidRPr="00A6792B">
        <w:rPr>
          <w:rFonts w:ascii="Segoe UI" w:hAnsi="Segoe UI" w:cs="Segoe UI"/>
          <w:sz w:val="20"/>
          <w:lang w:val="el-GR" w:eastAsia="el-GR" w:bidi="el-GR"/>
        </w:rPr>
        <w:t xml:space="preserve">κατά 6,3% </w:t>
      </w:r>
      <w:r w:rsidR="00907637" w:rsidRPr="00A6792B">
        <w:rPr>
          <w:rFonts w:ascii="Segoe UI" w:hAnsi="Segoe UI" w:cs="Segoe UI"/>
          <w:sz w:val="20"/>
          <w:lang w:val="el-GR" w:eastAsia="el-GR" w:bidi="el-GR"/>
        </w:rPr>
        <w:t xml:space="preserve">σε σχέση με το προηγούμενο τρίμηνο, ως αποτέλεσμα της μείωσης του κόστους </w:t>
      </w:r>
      <w:r w:rsidR="00E42441">
        <w:rPr>
          <w:rFonts w:ascii="Segoe UI" w:hAnsi="Segoe UI" w:cs="Segoe UI"/>
          <w:sz w:val="20"/>
          <w:lang w:val="el-GR" w:eastAsia="el-GR" w:bidi="el-GR"/>
        </w:rPr>
        <w:t xml:space="preserve">άντλησης </w:t>
      </w:r>
      <w:r w:rsidR="00326254">
        <w:rPr>
          <w:rFonts w:ascii="Segoe UI" w:hAnsi="Segoe UI" w:cs="Segoe UI"/>
          <w:sz w:val="20"/>
          <w:lang w:val="el-GR" w:eastAsia="el-GR" w:bidi="el-GR"/>
        </w:rPr>
        <w:t>ρευστότητας</w:t>
      </w:r>
      <w:r w:rsidR="00907637" w:rsidRPr="00A6792B">
        <w:rPr>
          <w:rFonts w:ascii="Segoe UI" w:hAnsi="Segoe UI" w:cs="Segoe UI"/>
          <w:sz w:val="20"/>
          <w:lang w:val="el-GR" w:eastAsia="el-GR" w:bidi="el-GR"/>
        </w:rPr>
        <w:t xml:space="preserve"> και της αύξησης των εσόδων από προμήθειες</w:t>
      </w:r>
      <w:r w:rsidR="0088563A" w:rsidRPr="00A6792B">
        <w:rPr>
          <w:rFonts w:ascii="Segoe UI" w:hAnsi="Segoe UI" w:cs="Segoe UI"/>
          <w:sz w:val="20"/>
          <w:lang w:val="el-GR" w:eastAsia="el-GR" w:bidi="el-GR"/>
        </w:rPr>
        <w:t>.</w:t>
      </w:r>
    </w:p>
    <w:p w:rsidR="00F33DA9" w:rsidRPr="00A6792B" w:rsidRDefault="00F33DA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Τα έσοδα από τόκους συνέχισαν την ανοδική τους πορεία, ανερχόμενα σε €</w:t>
      </w:r>
      <w:r w:rsidR="00907637" w:rsidRPr="00A6792B">
        <w:rPr>
          <w:rFonts w:ascii="Segoe UI" w:hAnsi="Segoe UI" w:cs="Segoe UI"/>
          <w:sz w:val="20"/>
          <w:lang w:val="el-GR" w:eastAsia="el-GR" w:bidi="el-GR"/>
        </w:rPr>
        <w:t>400</w:t>
      </w:r>
      <w:r w:rsidRPr="00A6792B">
        <w:rPr>
          <w:rFonts w:ascii="Segoe UI" w:hAnsi="Segoe UI" w:cs="Segoe UI"/>
          <w:sz w:val="20"/>
          <w:lang w:val="el-GR" w:eastAsia="el-GR" w:bidi="el-GR"/>
        </w:rPr>
        <w:t xml:space="preserve"> εκατ. από €3</w:t>
      </w:r>
      <w:r w:rsidR="00907637" w:rsidRPr="00A6792B">
        <w:rPr>
          <w:rFonts w:ascii="Segoe UI" w:hAnsi="Segoe UI" w:cs="Segoe UI"/>
          <w:sz w:val="20"/>
          <w:lang w:val="el-GR" w:eastAsia="el-GR" w:bidi="el-GR"/>
        </w:rPr>
        <w:t>96</w:t>
      </w:r>
      <w:r w:rsidRPr="00A6792B">
        <w:rPr>
          <w:rFonts w:ascii="Segoe UI" w:hAnsi="Segoe UI" w:cs="Segoe UI"/>
          <w:sz w:val="20"/>
          <w:lang w:val="el-GR" w:eastAsia="el-GR" w:bidi="el-GR"/>
        </w:rPr>
        <w:t xml:space="preserve"> εκατ. το </w:t>
      </w:r>
      <w:r w:rsidR="00907637" w:rsidRPr="00A6792B">
        <w:rPr>
          <w:rFonts w:ascii="Segoe UI" w:hAnsi="Segoe UI" w:cs="Segoe UI"/>
          <w:sz w:val="20"/>
          <w:lang w:val="el-GR" w:eastAsia="el-GR" w:bidi="el-GR"/>
        </w:rPr>
        <w:t>Α</w:t>
      </w:r>
      <w:r w:rsidRPr="00A6792B">
        <w:rPr>
          <w:rFonts w:ascii="Segoe UI" w:hAnsi="Segoe UI" w:cs="Segoe UI"/>
          <w:sz w:val="20"/>
          <w:lang w:val="el-GR" w:eastAsia="el-GR" w:bidi="el-GR"/>
        </w:rPr>
        <w:t>΄ τρίμηνο του 201</w:t>
      </w:r>
      <w:r w:rsidR="00907637" w:rsidRPr="00A6792B">
        <w:rPr>
          <w:rFonts w:ascii="Segoe UI" w:hAnsi="Segoe UI" w:cs="Segoe UI"/>
          <w:sz w:val="20"/>
          <w:lang w:val="el-GR" w:eastAsia="el-GR" w:bidi="el-GR"/>
        </w:rPr>
        <w:t>6</w:t>
      </w:r>
      <w:r w:rsidRPr="00A6792B">
        <w:rPr>
          <w:rFonts w:ascii="Segoe UI" w:hAnsi="Segoe UI" w:cs="Segoe UI"/>
          <w:sz w:val="20"/>
          <w:lang w:val="el-GR" w:eastAsia="el-GR" w:bidi="el-GR"/>
        </w:rPr>
        <w:t>,</w:t>
      </w:r>
      <w:r w:rsidR="00227B4D">
        <w:rPr>
          <w:rFonts w:ascii="Segoe UI" w:hAnsi="Segoe UI" w:cs="Segoe UI"/>
          <w:sz w:val="20"/>
          <w:lang w:val="el-GR" w:eastAsia="el-GR" w:bidi="el-GR"/>
        </w:rPr>
        <w:t xml:space="preserve"> θετικάεπηρεαζόμενα από </w:t>
      </w:r>
      <w:r w:rsidRPr="00A6792B">
        <w:rPr>
          <w:rFonts w:ascii="Segoe UI" w:hAnsi="Segoe UI" w:cs="Segoe UI"/>
          <w:sz w:val="20"/>
          <w:lang w:val="el-GR" w:eastAsia="el-GR" w:bidi="el-GR"/>
        </w:rPr>
        <w:t>τη</w:t>
      </w:r>
      <w:r w:rsidR="00227B4D">
        <w:rPr>
          <w:rFonts w:ascii="Segoe UI" w:hAnsi="Segoe UI" w:cs="Segoe UI"/>
          <w:sz w:val="20"/>
          <w:lang w:val="el-GR" w:eastAsia="el-GR" w:bidi="el-GR"/>
        </w:rPr>
        <w:t>ν</w:t>
      </w:r>
      <w:r w:rsidRPr="00A6792B">
        <w:rPr>
          <w:rFonts w:ascii="Segoe UI" w:hAnsi="Segoe UI" w:cs="Segoe UI"/>
          <w:sz w:val="20"/>
          <w:lang w:val="el-GR" w:eastAsia="el-GR" w:bidi="el-GR"/>
        </w:rPr>
        <w:t xml:space="preserve"> περαιτέρω ανατιμολόγηση </w:t>
      </w:r>
      <w:r w:rsidR="00227B4D">
        <w:rPr>
          <w:rFonts w:ascii="Segoe UI" w:hAnsi="Segoe UI" w:cs="Segoe UI"/>
          <w:sz w:val="20"/>
          <w:lang w:val="el-GR" w:eastAsia="el-GR" w:bidi="el-GR"/>
        </w:rPr>
        <w:t xml:space="preserve">του κόστους των </w:t>
      </w:r>
      <w:r w:rsidRPr="00A6792B">
        <w:rPr>
          <w:rFonts w:ascii="Segoe UI" w:hAnsi="Segoe UI" w:cs="Segoe UI"/>
          <w:sz w:val="20"/>
          <w:lang w:val="el-GR" w:eastAsia="el-GR" w:bidi="el-GR"/>
        </w:rPr>
        <w:t>προθεσμιακών καταθέσεων</w:t>
      </w:r>
      <w:r w:rsidR="00A6792B" w:rsidRPr="00A6792B">
        <w:rPr>
          <w:rFonts w:ascii="Segoe UI" w:hAnsi="Segoe UI" w:cs="Segoe UI"/>
          <w:sz w:val="20"/>
          <w:lang w:val="el-GR" w:eastAsia="el-GR" w:bidi="el-GR"/>
        </w:rPr>
        <w:t xml:space="preserve"> (</w:t>
      </w:r>
      <w:r w:rsidRPr="00A6792B">
        <w:rPr>
          <w:rFonts w:ascii="Segoe UI" w:hAnsi="Segoe UI" w:cs="Segoe UI"/>
          <w:sz w:val="20"/>
          <w:lang w:val="el-GR" w:eastAsia="el-GR" w:bidi="el-GR"/>
        </w:rPr>
        <w:t>-</w:t>
      </w:r>
      <w:r w:rsidR="00907637" w:rsidRPr="00A6792B">
        <w:rPr>
          <w:rFonts w:ascii="Segoe UI" w:hAnsi="Segoe UI" w:cs="Segoe UI"/>
          <w:sz w:val="20"/>
          <w:lang w:val="el-GR" w:eastAsia="el-GR" w:bidi="el-GR"/>
        </w:rPr>
        <w:t>22</w:t>
      </w:r>
      <w:r w:rsidRPr="00A6792B">
        <w:rPr>
          <w:rFonts w:ascii="Segoe UI" w:hAnsi="Segoe UI" w:cs="Segoe UI"/>
          <w:sz w:val="20"/>
          <w:lang w:val="el-GR" w:eastAsia="el-GR" w:bidi="el-GR"/>
        </w:rPr>
        <w:t>μ.β. σε σχέση με το προηγούμενο τρίμηνο)</w:t>
      </w:r>
      <w:r w:rsidR="008901F0">
        <w:rPr>
          <w:rFonts w:ascii="Segoe UI" w:hAnsi="Segoe UI" w:cs="Segoe UI"/>
          <w:sz w:val="20"/>
          <w:lang w:val="el-GR" w:eastAsia="el-GR" w:bidi="el-GR"/>
        </w:rPr>
        <w:t xml:space="preserve"> καιτη μείωση της εξάρτησης από το</w:t>
      </w:r>
      <w:r w:rsidRPr="00A6792B">
        <w:rPr>
          <w:rFonts w:ascii="Segoe UI" w:hAnsi="Segoe UI" w:cs="Segoe UI"/>
          <w:sz w:val="20"/>
          <w:lang w:val="el-GR" w:eastAsia="el-GR" w:bidi="el-GR"/>
        </w:rPr>
        <w:t xml:space="preserve"> μηχανισμό ELA (-€</w:t>
      </w:r>
      <w:r w:rsidR="00907637" w:rsidRPr="00A6792B">
        <w:rPr>
          <w:rFonts w:ascii="Segoe UI" w:hAnsi="Segoe UI" w:cs="Segoe UI"/>
          <w:sz w:val="20"/>
          <w:lang w:val="el-GR" w:eastAsia="el-GR" w:bidi="el-GR"/>
        </w:rPr>
        <w:t>4,9</w:t>
      </w:r>
      <w:r w:rsidRPr="00A6792B">
        <w:rPr>
          <w:rFonts w:ascii="Segoe UI" w:hAnsi="Segoe UI" w:cs="Segoe UI"/>
          <w:sz w:val="20"/>
          <w:lang w:val="el-GR" w:eastAsia="el-GR" w:bidi="el-GR"/>
        </w:rPr>
        <w:t xml:space="preserve"> δισ. σε σχέση με το </w:t>
      </w:r>
      <w:r w:rsidR="00227B4D">
        <w:rPr>
          <w:rFonts w:ascii="Segoe UI" w:hAnsi="Segoe UI" w:cs="Segoe UI"/>
          <w:sz w:val="20"/>
          <w:lang w:val="el-GR" w:eastAsia="el-GR" w:bidi="el-GR"/>
        </w:rPr>
        <w:t>προηγούμενο τρίμηνο)</w:t>
      </w:r>
      <w:r w:rsidRPr="00A6792B">
        <w:rPr>
          <w:rFonts w:ascii="Segoe UI" w:hAnsi="Segoe UI" w:cs="Segoe UI"/>
          <w:sz w:val="20"/>
          <w:lang w:val="el-GR" w:eastAsia="el-GR" w:bidi="el-GR"/>
        </w:rPr>
        <w:t>.</w:t>
      </w:r>
    </w:p>
    <w:p w:rsidR="00907637" w:rsidRPr="00A6792B" w:rsidRDefault="0090763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w:t>
      </w:r>
      <w:r w:rsidR="00C274A2">
        <w:rPr>
          <w:rFonts w:ascii="Segoe UI" w:hAnsi="Segoe UI" w:cs="Segoe UI"/>
          <w:sz w:val="20"/>
          <w:lang w:val="el-GR" w:eastAsia="el-GR" w:bidi="el-GR"/>
        </w:rPr>
        <w:t xml:space="preserve">καθαρά </w:t>
      </w:r>
      <w:r w:rsidRPr="00A6792B">
        <w:rPr>
          <w:rFonts w:ascii="Segoe UI" w:hAnsi="Segoe UI" w:cs="Segoe UI"/>
          <w:sz w:val="20"/>
          <w:lang w:val="el-GR" w:eastAsia="el-GR" w:bidi="el-GR"/>
        </w:rPr>
        <w:t xml:space="preserve">έσοδα από προμήθειες αυξήθηκαν σημαντικά </w:t>
      </w:r>
      <w:r w:rsidR="00C274A2">
        <w:rPr>
          <w:rFonts w:ascii="Segoe UI" w:hAnsi="Segoe UI" w:cs="Segoe UI"/>
          <w:sz w:val="20"/>
          <w:lang w:val="el-GR" w:eastAsia="el-GR" w:bidi="el-GR"/>
        </w:rPr>
        <w:t>σε</w:t>
      </w:r>
      <w:r w:rsidRPr="00A6792B">
        <w:rPr>
          <w:rFonts w:ascii="Segoe UI" w:hAnsi="Segoe UI" w:cs="Segoe UI"/>
          <w:sz w:val="20"/>
          <w:lang w:val="el-GR" w:eastAsia="el-GR" w:bidi="el-GR"/>
        </w:rPr>
        <w:t xml:space="preserve"> €37 εκατ. το Β΄ τρίμηνο του 2016 από €20 εκατ. </w:t>
      </w:r>
      <w:r w:rsidR="0088563A" w:rsidRPr="00A6792B">
        <w:rPr>
          <w:rFonts w:ascii="Segoe UI" w:hAnsi="Segoe UI" w:cs="Segoe UI"/>
          <w:sz w:val="20"/>
          <w:lang w:val="el-GR" w:eastAsia="el-GR" w:bidi="el-GR"/>
        </w:rPr>
        <w:t>το προηγούμενο τρίμηνο</w:t>
      </w:r>
      <w:r w:rsidRPr="00A6792B">
        <w:rPr>
          <w:rFonts w:ascii="Segoe UI" w:hAnsi="Segoe UI" w:cs="Segoe UI"/>
          <w:sz w:val="20"/>
          <w:lang w:val="el-GR" w:eastAsia="el-GR" w:bidi="el-GR"/>
        </w:rPr>
        <w:t>, αντικατοπτρίζοντας μέρος μόνο της ωφέλειας από τη</w:t>
      </w:r>
      <w:r w:rsidR="009B21CD">
        <w:rPr>
          <w:rFonts w:ascii="Segoe UI" w:hAnsi="Segoe UI" w:cs="Segoe UI"/>
          <w:sz w:val="20"/>
          <w:lang w:val="el-GR" w:eastAsia="el-GR" w:bidi="el-GR"/>
        </w:rPr>
        <w:t xml:space="preserve"> σταδιακή </w:t>
      </w:r>
      <w:r w:rsidRPr="00A6792B">
        <w:rPr>
          <w:rFonts w:ascii="Segoe UI" w:hAnsi="Segoe UI" w:cs="Segoe UI"/>
          <w:sz w:val="20"/>
          <w:lang w:val="el-GR" w:eastAsia="el-GR" w:bidi="el-GR"/>
        </w:rPr>
        <w:t xml:space="preserve">εξάλειψη της </w:t>
      </w:r>
      <w:r w:rsidR="009B21CD">
        <w:rPr>
          <w:rFonts w:ascii="Segoe UI" w:hAnsi="Segoe UI" w:cs="Segoe UI"/>
          <w:sz w:val="20"/>
          <w:lang w:val="el-GR" w:eastAsia="el-GR" w:bidi="el-GR"/>
        </w:rPr>
        <w:t xml:space="preserve">χρήσης των ομολόγων του </w:t>
      </w:r>
      <w:r w:rsidRPr="00A6792B">
        <w:rPr>
          <w:rFonts w:ascii="Segoe UI" w:hAnsi="Segoe UI" w:cs="Segoe UI"/>
          <w:sz w:val="20"/>
          <w:lang w:val="el-GR" w:eastAsia="el-GR" w:bidi="el-GR"/>
        </w:rPr>
        <w:t>Πυλώνα</w:t>
      </w:r>
      <w:r w:rsidR="003930AE">
        <w:rPr>
          <w:rFonts w:ascii="Segoe UI" w:hAnsi="Segoe UI" w:cs="Segoe UI"/>
          <w:sz w:val="20"/>
          <w:lang w:val="el-GR" w:eastAsia="el-GR" w:bidi="el-GR"/>
        </w:rPr>
        <w:t xml:space="preserve"> ΙΙ</w:t>
      </w:r>
      <w:r w:rsidR="00E72D2D" w:rsidRPr="00E72D2D">
        <w:rPr>
          <w:rFonts w:ascii="Segoe UI" w:hAnsi="Segoe UI" w:cs="Segoe UI"/>
          <w:sz w:val="20"/>
          <w:lang w:val="el-GR" w:eastAsia="el-GR" w:bidi="el-GR"/>
        </w:rPr>
        <w:t xml:space="preserve">, </w:t>
      </w:r>
      <w:r w:rsidR="00E72D2D">
        <w:rPr>
          <w:rFonts w:ascii="Segoe UI" w:hAnsi="Segoe UI" w:cs="Segoe UI"/>
          <w:sz w:val="20"/>
          <w:lang w:val="el-GR" w:eastAsia="el-GR" w:bidi="el-GR"/>
        </w:rPr>
        <w:t>τα οποία αποπληρώθηκαν πλήρως τον Ιούλιο</w:t>
      </w:r>
      <w:r w:rsidR="00F834B5" w:rsidRPr="00F834B5">
        <w:rPr>
          <w:rFonts w:ascii="Segoe UI" w:hAnsi="Segoe UI" w:cs="Segoe UI"/>
          <w:sz w:val="20"/>
          <w:lang w:val="el-GR" w:eastAsia="el-GR" w:bidi="el-GR"/>
        </w:rPr>
        <w:t xml:space="preserve">. </w:t>
      </w:r>
      <w:r w:rsidR="00F834B5">
        <w:rPr>
          <w:rFonts w:ascii="Segoe UI" w:hAnsi="Segoe UI" w:cs="Segoe UI"/>
          <w:sz w:val="20"/>
          <w:lang w:val="en-US" w:eastAsia="el-GR" w:bidi="el-GR"/>
        </w:rPr>
        <w:t>To</w:t>
      </w:r>
      <w:r w:rsidRPr="00A6792B">
        <w:rPr>
          <w:rFonts w:ascii="Segoe UI" w:hAnsi="Segoe UI" w:cs="Segoe UI"/>
          <w:sz w:val="20"/>
          <w:lang w:val="el-GR" w:eastAsia="el-GR" w:bidi="el-GR"/>
        </w:rPr>
        <w:t xml:space="preserve">κόστος των ομολόγων του Πυλώνα ΙΙ </w:t>
      </w:r>
      <w:r w:rsidR="00F834B5">
        <w:rPr>
          <w:rFonts w:ascii="Segoe UI" w:hAnsi="Segoe UI" w:cs="Segoe UI"/>
          <w:sz w:val="20"/>
          <w:lang w:val="el-GR" w:eastAsia="el-GR" w:bidi="el-GR"/>
        </w:rPr>
        <w:t xml:space="preserve">μειώθηκε σημαντικά </w:t>
      </w:r>
      <w:r w:rsidRPr="00A6792B">
        <w:rPr>
          <w:rFonts w:ascii="Segoe UI" w:hAnsi="Segoe UI" w:cs="Segoe UI"/>
          <w:sz w:val="20"/>
          <w:lang w:val="el-GR" w:eastAsia="el-GR" w:bidi="el-GR"/>
        </w:rPr>
        <w:t xml:space="preserve">σε €15 εκατ. στο Β΄ τρίμηνο του 2016 από €30 εκατ. το προηγούμενο </w:t>
      </w:r>
      <w:r w:rsidR="003E115C">
        <w:rPr>
          <w:rFonts w:ascii="Segoe UI" w:hAnsi="Segoe UI" w:cs="Segoe UI"/>
          <w:sz w:val="20"/>
          <w:lang w:val="el-GR" w:eastAsia="el-GR" w:bidi="el-GR"/>
        </w:rPr>
        <w:t xml:space="preserve">τρίμηνο. Η εξάλειψη της </w:t>
      </w:r>
      <w:r w:rsidR="004B6573">
        <w:rPr>
          <w:rFonts w:ascii="Segoe UI" w:hAnsi="Segoe UI" w:cs="Segoe UI"/>
          <w:sz w:val="20"/>
          <w:lang w:val="el-GR" w:eastAsia="el-GR" w:bidi="el-GR"/>
        </w:rPr>
        <w:t>εξάρτησης</w:t>
      </w:r>
      <w:r w:rsidR="003E115C">
        <w:rPr>
          <w:rFonts w:ascii="Segoe UI" w:hAnsi="Segoe UI" w:cs="Segoe UI"/>
          <w:sz w:val="20"/>
          <w:lang w:val="el-GR" w:eastAsia="el-GR" w:bidi="el-GR"/>
        </w:rPr>
        <w:t xml:space="preserve"> της Τράπεζας </w:t>
      </w:r>
      <w:r w:rsidR="00BC4FF8">
        <w:rPr>
          <w:rFonts w:ascii="Segoe UI" w:hAnsi="Segoe UI" w:cs="Segoe UI"/>
          <w:sz w:val="20"/>
          <w:lang w:val="el-GR" w:eastAsia="el-GR" w:bidi="el-GR"/>
        </w:rPr>
        <w:t>από τον</w:t>
      </w:r>
      <w:r w:rsidRPr="00A6792B">
        <w:rPr>
          <w:rFonts w:ascii="Segoe UI" w:hAnsi="Segoe UI" w:cs="Segoe UI"/>
          <w:sz w:val="20"/>
          <w:lang w:val="el-GR" w:eastAsia="el-GR" w:bidi="el-GR"/>
        </w:rPr>
        <w:t xml:space="preserve"> Πυλώνα ΙΙ &amp; ΙΙΙ ισοδυναμεί με ετησιοποιημένο όφελος </w:t>
      </w:r>
      <w:r w:rsidR="006954AC" w:rsidRPr="00A6792B">
        <w:rPr>
          <w:rFonts w:ascii="Segoe UI" w:hAnsi="Segoe UI" w:cs="Segoe UI"/>
          <w:sz w:val="20"/>
          <w:lang w:val="el-GR" w:eastAsia="el-GR" w:bidi="el-GR"/>
        </w:rPr>
        <w:t xml:space="preserve">στα έξοδα προμηθειών </w:t>
      </w:r>
      <w:r w:rsidRPr="00A6792B">
        <w:rPr>
          <w:rFonts w:ascii="Segoe UI" w:hAnsi="Segoe UI" w:cs="Segoe UI"/>
          <w:sz w:val="20"/>
          <w:lang w:val="el-GR" w:eastAsia="el-GR" w:bidi="el-GR"/>
        </w:rPr>
        <w:t xml:space="preserve">περίπου €200 εκατ., εκ </w:t>
      </w:r>
      <w:r w:rsidR="00B727CD">
        <w:rPr>
          <w:rFonts w:ascii="Segoe UI" w:hAnsi="Segoe UI" w:cs="Segoe UI"/>
          <w:sz w:val="20"/>
          <w:lang w:val="el-GR" w:eastAsia="el-GR" w:bidi="el-GR"/>
        </w:rPr>
        <w:t>του</w:t>
      </w:r>
      <w:r w:rsidRPr="00A6792B">
        <w:rPr>
          <w:rFonts w:ascii="Segoe UI" w:hAnsi="Segoe UI" w:cs="Segoe UI"/>
          <w:sz w:val="20"/>
          <w:lang w:val="el-GR" w:eastAsia="el-GR" w:bidi="el-GR"/>
        </w:rPr>
        <w:t xml:space="preserve"> οποί</w:t>
      </w:r>
      <w:r w:rsidR="00B727CD">
        <w:rPr>
          <w:rFonts w:ascii="Segoe UI" w:hAnsi="Segoe UI" w:cs="Segoe UI"/>
          <w:sz w:val="20"/>
          <w:lang w:val="el-GR" w:eastAsia="el-GR" w:bidi="el-GR"/>
        </w:rPr>
        <w:t xml:space="preserve">ου </w:t>
      </w:r>
      <w:r w:rsidR="00D939BA">
        <w:rPr>
          <w:rFonts w:ascii="Segoe UI" w:hAnsi="Segoe UI" w:cs="Segoe UI"/>
          <w:sz w:val="20"/>
          <w:lang w:val="el-GR" w:eastAsia="el-GR" w:bidi="el-GR"/>
        </w:rPr>
        <w:t xml:space="preserve">πάνω από </w:t>
      </w:r>
      <w:r w:rsidRPr="00A6792B">
        <w:rPr>
          <w:rFonts w:ascii="Segoe UI" w:hAnsi="Segoe UI" w:cs="Segoe UI"/>
          <w:sz w:val="20"/>
          <w:lang w:val="el-GR" w:eastAsia="el-GR" w:bidi="el-GR"/>
        </w:rPr>
        <w:t xml:space="preserve">€150 εκατ. </w:t>
      </w:r>
      <w:r w:rsidR="00B727CD">
        <w:rPr>
          <w:rFonts w:ascii="Segoe UI" w:hAnsi="Segoe UI" w:cs="Segoe UI"/>
          <w:sz w:val="20"/>
          <w:lang w:val="el-GR" w:eastAsia="el-GR" w:bidi="el-GR"/>
        </w:rPr>
        <w:t xml:space="preserve">αντιστοιχεί </w:t>
      </w:r>
      <w:r w:rsidRPr="00A6792B">
        <w:rPr>
          <w:rFonts w:ascii="Segoe UI" w:hAnsi="Segoe UI" w:cs="Segoe UI"/>
          <w:sz w:val="20"/>
          <w:lang w:val="el-GR" w:eastAsia="el-GR" w:bidi="el-GR"/>
        </w:rPr>
        <w:t xml:space="preserve">στο 2016. </w:t>
      </w:r>
    </w:p>
    <w:p w:rsidR="00F33DA9" w:rsidRPr="00A6792B" w:rsidRDefault="006954AC" w:rsidP="004929D8">
      <w:pPr>
        <w:autoSpaceDE w:val="0"/>
        <w:autoSpaceDN w:val="0"/>
        <w:adjustRightInd w:val="0"/>
        <w:spacing w:after="160" w:line="320" w:lineRule="atLeast"/>
        <w:jc w:val="both"/>
        <w:rPr>
          <w:rFonts w:ascii="Segoe UI" w:hAnsi="Segoe UI" w:cs="Segoe UI"/>
          <w:sz w:val="20"/>
          <w:lang w:val="el-GR"/>
        </w:rPr>
      </w:pPr>
      <w:r w:rsidRPr="00A6792B">
        <w:rPr>
          <w:rFonts w:ascii="Segoe UI" w:hAnsi="Segoe UI" w:cs="Segoe UI"/>
          <w:sz w:val="20"/>
          <w:lang w:val="el-GR" w:eastAsia="el-GR" w:bidi="el-GR"/>
        </w:rPr>
        <w:t xml:space="preserve">Οι λειτουργικές δαπάνες μειώθηκαν κατά 2,8% σε ετήσια βάση το Α΄ εξάμηνο του 2016, αντανακλώντας τη μείωση τόσο των δαπανών προσωπικού (-2.9% σε ετήσια βάση) όσο και των γενικών και διοικητικών εξόδων (-4.3% σε ετήσια βάση). Ο δείκτης </w:t>
      </w:r>
      <w:r w:rsidR="009630F2" w:rsidRPr="00A6792B">
        <w:rPr>
          <w:rFonts w:ascii="Segoe UI" w:hAnsi="Segoe UI" w:cs="Segoe UI"/>
          <w:sz w:val="20"/>
          <w:lang w:val="el-GR" w:eastAsia="el-GR" w:bidi="el-GR"/>
        </w:rPr>
        <w:t>Κ</w:t>
      </w:r>
      <w:r w:rsidRPr="00A6792B">
        <w:rPr>
          <w:rFonts w:ascii="Segoe UI" w:hAnsi="Segoe UI" w:cs="Segoe UI"/>
          <w:sz w:val="20"/>
          <w:lang w:val="el-GR" w:eastAsia="el-GR" w:bidi="el-GR"/>
        </w:rPr>
        <w:t xml:space="preserve">όστους προς </w:t>
      </w:r>
      <w:r w:rsidR="009630F2" w:rsidRPr="00A6792B">
        <w:rPr>
          <w:rFonts w:ascii="Segoe UI" w:hAnsi="Segoe UI" w:cs="Segoe UI"/>
          <w:sz w:val="20"/>
          <w:lang w:val="el-GR" w:eastAsia="el-GR" w:bidi="el-GR"/>
        </w:rPr>
        <w:t>Ο</w:t>
      </w:r>
      <w:r w:rsidRPr="00A6792B">
        <w:rPr>
          <w:rFonts w:ascii="Segoe UI" w:hAnsi="Segoe UI" w:cs="Segoe UI"/>
          <w:sz w:val="20"/>
          <w:lang w:val="el-GR" w:eastAsia="el-GR" w:bidi="el-GR"/>
        </w:rPr>
        <w:t xml:space="preserve">ργανικά έσοδα </w:t>
      </w:r>
      <w:r w:rsidR="00A72E83">
        <w:rPr>
          <w:rFonts w:ascii="Segoe UI" w:hAnsi="Segoe UI" w:cs="Segoe UI"/>
          <w:sz w:val="20"/>
          <w:lang w:val="el-GR" w:eastAsia="el-GR" w:bidi="el-GR"/>
        </w:rPr>
        <w:t>βελτιώθηκε</w:t>
      </w:r>
      <w:r w:rsidRPr="00A6792B">
        <w:rPr>
          <w:rFonts w:ascii="Segoe UI" w:hAnsi="Segoe UI" w:cs="Segoe UI"/>
          <w:sz w:val="20"/>
          <w:lang w:val="el-GR" w:eastAsia="el-GR" w:bidi="el-GR"/>
        </w:rPr>
        <w:t xml:space="preserve"> σε 56% από 59% το Α΄ εξάμηνο του 2015. Οι δαπάνες προσωπικού </w:t>
      </w:r>
      <w:r w:rsidR="00F33DA9" w:rsidRPr="00A6792B">
        <w:rPr>
          <w:rFonts w:ascii="Segoe UI" w:hAnsi="Segoe UI" w:cs="Segoe UI"/>
          <w:sz w:val="20"/>
          <w:lang w:val="el-GR" w:eastAsia="el-GR" w:bidi="el-GR"/>
        </w:rPr>
        <w:t xml:space="preserve">αναμένεται να περισταλούν περαιτέρω </w:t>
      </w:r>
      <w:r w:rsidR="00195460">
        <w:rPr>
          <w:rFonts w:ascii="Segoe UI" w:hAnsi="Segoe UI" w:cs="Segoe UI"/>
          <w:sz w:val="20"/>
          <w:lang w:val="el-GR" w:eastAsia="el-GR" w:bidi="el-GR"/>
        </w:rPr>
        <w:t xml:space="preserve">μέσω </w:t>
      </w:r>
      <w:r w:rsidR="00230486">
        <w:rPr>
          <w:rFonts w:ascii="Segoe UI" w:hAnsi="Segoe UI" w:cs="Segoe UI"/>
          <w:sz w:val="20"/>
          <w:lang w:val="el-GR" w:eastAsia="el-GR" w:bidi="el-GR"/>
        </w:rPr>
        <w:t>της υλοποίησης του</w:t>
      </w:r>
      <w:r w:rsidR="00F33DA9" w:rsidRPr="00A6792B">
        <w:rPr>
          <w:rFonts w:ascii="Segoe UI" w:hAnsi="Segoe UI" w:cs="Segoe UI"/>
          <w:sz w:val="20"/>
          <w:lang w:val="el-GR" w:eastAsia="el-GR" w:bidi="el-GR"/>
        </w:rPr>
        <w:t xml:space="preserve"> σχεδιαζόμεν</w:t>
      </w:r>
      <w:r w:rsidR="00230486">
        <w:rPr>
          <w:rFonts w:ascii="Segoe UI" w:hAnsi="Segoe UI" w:cs="Segoe UI"/>
          <w:sz w:val="20"/>
          <w:lang w:val="el-GR" w:eastAsia="el-GR" w:bidi="el-GR"/>
        </w:rPr>
        <w:t>ου Προγράμματος Εθ</w:t>
      </w:r>
      <w:r w:rsidR="00195460">
        <w:rPr>
          <w:rFonts w:ascii="Segoe UI" w:hAnsi="Segoe UI" w:cs="Segoe UI"/>
          <w:sz w:val="20"/>
          <w:lang w:val="el-GR" w:eastAsia="el-GR" w:bidi="el-GR"/>
        </w:rPr>
        <w:t xml:space="preserve">ελουσίας </w:t>
      </w:r>
      <w:r w:rsidR="00230486">
        <w:rPr>
          <w:rFonts w:ascii="Segoe UI" w:hAnsi="Segoe UI" w:cs="Segoe UI"/>
          <w:sz w:val="20"/>
          <w:lang w:val="el-GR" w:eastAsia="el-GR" w:bidi="el-GR"/>
        </w:rPr>
        <w:t>Ε</w:t>
      </w:r>
      <w:r w:rsidR="00195460">
        <w:rPr>
          <w:rFonts w:ascii="Segoe UI" w:hAnsi="Segoe UI" w:cs="Segoe UI"/>
          <w:sz w:val="20"/>
          <w:lang w:val="el-GR" w:eastAsia="el-GR" w:bidi="el-GR"/>
        </w:rPr>
        <w:t>ξόδου</w:t>
      </w:r>
      <w:r w:rsidR="00230486">
        <w:rPr>
          <w:rFonts w:ascii="Segoe UI" w:hAnsi="Segoe UI" w:cs="Segoe UI"/>
          <w:sz w:val="20"/>
          <w:lang w:val="el-GR" w:eastAsia="el-GR" w:bidi="el-GR"/>
        </w:rPr>
        <w:t xml:space="preserve"> Προσωπικού</w:t>
      </w:r>
      <w:r w:rsidR="00F33DA9" w:rsidRPr="00A6792B">
        <w:rPr>
          <w:rFonts w:ascii="Segoe UI" w:hAnsi="Segoe UI" w:cs="Segoe UI"/>
          <w:sz w:val="20"/>
          <w:lang w:val="el-GR" w:eastAsia="el-GR" w:bidi="el-GR"/>
        </w:rPr>
        <w:t xml:space="preserve">, τα κόστη </w:t>
      </w:r>
      <w:r w:rsidR="00230486">
        <w:rPr>
          <w:rFonts w:ascii="Segoe UI" w:hAnsi="Segoe UI" w:cs="Segoe UI"/>
          <w:sz w:val="20"/>
          <w:lang w:val="el-GR" w:eastAsia="el-GR" w:bidi="el-GR"/>
        </w:rPr>
        <w:t>του</w:t>
      </w:r>
      <w:r w:rsidR="00F33DA9" w:rsidRPr="00A6792B">
        <w:rPr>
          <w:rFonts w:ascii="Segoe UI" w:hAnsi="Segoe UI" w:cs="Segoe UI"/>
          <w:sz w:val="20"/>
          <w:lang w:val="el-GR" w:eastAsia="el-GR" w:bidi="el-GR"/>
        </w:rPr>
        <w:t xml:space="preserve"> οποί</w:t>
      </w:r>
      <w:r w:rsidR="00230486">
        <w:rPr>
          <w:rFonts w:ascii="Segoe UI" w:hAnsi="Segoe UI" w:cs="Segoe UI"/>
          <w:sz w:val="20"/>
          <w:lang w:val="el-GR" w:eastAsia="el-GR" w:bidi="el-GR"/>
        </w:rPr>
        <w:t>ου</w:t>
      </w:r>
      <w:r w:rsidR="00F33DA9" w:rsidRPr="00A6792B">
        <w:rPr>
          <w:rFonts w:ascii="Segoe UI" w:hAnsi="Segoe UI" w:cs="Segoe UI"/>
          <w:sz w:val="20"/>
          <w:lang w:val="el-GR" w:eastAsia="el-GR" w:bidi="el-GR"/>
        </w:rPr>
        <w:t xml:space="preserve"> έχουν ήδη επιβαρύνει το Δ’ τρίμηνο του 2015.</w:t>
      </w:r>
    </w:p>
    <w:p w:rsidR="00FA36D1" w:rsidRPr="00A6792B" w:rsidRDefault="00FC5C29"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Οι</w:t>
      </w:r>
      <w:r w:rsidRPr="00A6792B">
        <w:rPr>
          <w:rFonts w:ascii="Segoe UI" w:hAnsi="Segoe UI" w:cs="Segoe UI"/>
          <w:sz w:val="20"/>
          <w:lang w:val="el-GR" w:eastAsia="el-GR" w:bidi="el-GR"/>
        </w:rPr>
        <w:t xml:space="preserve"> ζημίες μετά από φόρους στην Ελλάδα </w:t>
      </w:r>
      <w:r>
        <w:rPr>
          <w:rFonts w:ascii="Segoe UI" w:hAnsi="Segoe UI" w:cs="Segoe UI"/>
          <w:sz w:val="20"/>
          <w:lang w:val="el-GR" w:eastAsia="el-GR" w:bidi="el-GR"/>
        </w:rPr>
        <w:t xml:space="preserve">περιορίστηκαν σημαντικά </w:t>
      </w:r>
      <w:r w:rsidRPr="00FC5C29">
        <w:rPr>
          <w:rFonts w:ascii="Segoe UI" w:hAnsi="Segoe UI" w:cs="Segoe UI"/>
          <w:sz w:val="20"/>
          <w:lang w:val="el-GR" w:eastAsia="el-GR" w:bidi="el-GR"/>
        </w:rPr>
        <w:t>σε €50 εκατ.</w:t>
      </w:r>
      <w:r>
        <w:rPr>
          <w:rFonts w:ascii="Segoe UI" w:hAnsi="Segoe UI" w:cs="Segoe UI"/>
          <w:sz w:val="20"/>
          <w:lang w:val="el-GR" w:eastAsia="el-GR" w:bidi="el-GR"/>
        </w:rPr>
        <w:t xml:space="preserve"> το Α’ εξάμηνο του 2016από €1,9 δισ. </w:t>
      </w:r>
      <w:r w:rsidRPr="00A6792B">
        <w:rPr>
          <w:rFonts w:ascii="Segoe UI" w:hAnsi="Segoe UI" w:cs="Segoe UI"/>
          <w:sz w:val="20"/>
          <w:lang w:val="el-GR" w:eastAsia="el-GR" w:bidi="el-GR"/>
        </w:rPr>
        <w:t xml:space="preserve">το </w:t>
      </w:r>
      <w:r>
        <w:rPr>
          <w:rFonts w:ascii="Segoe UI" w:hAnsi="Segoe UI" w:cs="Segoe UI"/>
          <w:sz w:val="20"/>
          <w:lang w:val="en-US" w:eastAsia="el-GR" w:bidi="el-GR"/>
        </w:rPr>
        <w:t>A</w:t>
      </w:r>
      <w:r w:rsidRPr="00A6792B">
        <w:rPr>
          <w:rFonts w:ascii="Segoe UI" w:hAnsi="Segoe UI" w:cs="Segoe UI"/>
          <w:sz w:val="20"/>
          <w:lang w:val="el-GR" w:eastAsia="el-GR" w:bidi="el-GR"/>
        </w:rPr>
        <w:t>΄ εξάμηνο του 2015</w:t>
      </w:r>
      <w:r w:rsidR="00FA36D1" w:rsidRPr="00A6792B">
        <w:rPr>
          <w:rFonts w:ascii="Segoe UI" w:hAnsi="Segoe UI" w:cs="Segoe UI"/>
          <w:sz w:val="20"/>
          <w:lang w:val="el-GR" w:eastAsia="el-GR" w:bidi="el-GR"/>
        </w:rPr>
        <w:t xml:space="preserve">, </w:t>
      </w:r>
      <w:r w:rsidR="00AE37F9">
        <w:rPr>
          <w:rFonts w:ascii="Segoe UI" w:hAnsi="Segoe UI" w:cs="Segoe UI"/>
          <w:sz w:val="20"/>
          <w:lang w:val="el-GR" w:eastAsia="el-GR" w:bidi="el-GR"/>
        </w:rPr>
        <w:t xml:space="preserve">αντικατοπτρίζοντας </w:t>
      </w:r>
      <w:r w:rsidR="00A72E83">
        <w:rPr>
          <w:rFonts w:ascii="Segoe UI" w:hAnsi="Segoe UI" w:cs="Segoe UI"/>
          <w:sz w:val="20"/>
          <w:lang w:val="el-GR" w:eastAsia="el-GR" w:bidi="el-GR"/>
        </w:rPr>
        <w:t xml:space="preserve">τη μείωση των προβλέψεων </w:t>
      </w:r>
      <w:r w:rsidR="00AE37F9" w:rsidRPr="00AE37F9">
        <w:rPr>
          <w:rFonts w:ascii="Segoe UI" w:hAnsi="Segoe UI" w:cs="Segoe UI"/>
          <w:sz w:val="20"/>
          <w:lang w:val="el-GR" w:eastAsia="el-GR" w:bidi="el-GR"/>
        </w:rPr>
        <w:t xml:space="preserve">επισφαλών απαιτήσεων </w:t>
      </w:r>
      <w:r w:rsidR="00FA36D1" w:rsidRPr="00A6792B">
        <w:rPr>
          <w:rFonts w:ascii="Segoe UI" w:hAnsi="Segoe UI" w:cs="Segoe UI"/>
          <w:sz w:val="20"/>
          <w:lang w:val="el-GR" w:eastAsia="el-GR" w:bidi="el-GR"/>
        </w:rPr>
        <w:t xml:space="preserve">και την ανάκαμψη των οργανικών εσόδων. </w:t>
      </w:r>
    </w:p>
    <w:p w:rsidR="00910D5E" w:rsidRPr="00A6792B" w:rsidRDefault="00910D5E" w:rsidP="004929D8">
      <w:pPr>
        <w:autoSpaceDE w:val="0"/>
        <w:autoSpaceDN w:val="0"/>
        <w:adjustRightInd w:val="0"/>
        <w:spacing w:after="160" w:line="320" w:lineRule="atLeast"/>
        <w:jc w:val="both"/>
        <w:rPr>
          <w:rFonts w:ascii="Segoe UI" w:hAnsi="Segoe UI" w:cs="Segoe UI"/>
          <w:sz w:val="20"/>
          <w:u w:val="single"/>
          <w:lang w:val="el-GR" w:eastAsia="el-GR" w:bidi="el-GR"/>
        </w:rPr>
      </w:pPr>
      <w:r w:rsidRPr="00A6792B">
        <w:rPr>
          <w:rFonts w:ascii="Segoe UI" w:hAnsi="Segoe UI" w:cs="Segoe UI"/>
          <w:sz w:val="20"/>
          <w:u w:val="single"/>
          <w:lang w:val="el-GR" w:eastAsia="el-GR" w:bidi="el-GR"/>
        </w:rPr>
        <w:t>ΝΑ Ευρώπη και λοιπές χώρες</w:t>
      </w:r>
      <w:r w:rsidR="00013421" w:rsidRPr="00A6792B">
        <w:rPr>
          <w:rFonts w:ascii="Segoe UI" w:hAnsi="Segoe UI" w:cs="Segoe UI"/>
          <w:sz w:val="20"/>
          <w:u w:val="single"/>
          <w:vertAlign w:val="superscript"/>
          <w:lang w:val="el-GR" w:eastAsia="el-GR" w:bidi="el-GR"/>
        </w:rPr>
        <w:t>1</w:t>
      </w:r>
      <w:r w:rsidRPr="00A6792B">
        <w:rPr>
          <w:rFonts w:ascii="Segoe UI" w:hAnsi="Segoe UI" w:cs="Segoe UI"/>
          <w:sz w:val="20"/>
          <w:u w:val="single"/>
          <w:lang w:val="el-GR" w:eastAsia="el-GR" w:bidi="el-GR"/>
        </w:rPr>
        <w:t xml:space="preserve"> (συνεχιζόμενες δραστηριότητες): </w:t>
      </w:r>
    </w:p>
    <w:p w:rsidR="00C6487E" w:rsidRPr="00A6792B" w:rsidRDefault="00EC6DA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Στη ΝΑ</w:t>
      </w:r>
      <w:r w:rsidR="005E2A8A">
        <w:rPr>
          <w:rFonts w:ascii="Segoe UI" w:hAnsi="Segoe UI" w:cs="Segoe UI"/>
          <w:sz w:val="20"/>
          <w:lang w:val="el-GR" w:eastAsia="el-GR" w:bidi="el-GR"/>
        </w:rPr>
        <w:t xml:space="preserve"> Ευρώπη και τις λοιπές χώρες, ο Όμιλος </w:t>
      </w:r>
      <w:r w:rsidRPr="00A6792B">
        <w:rPr>
          <w:rFonts w:ascii="Segoe UI" w:hAnsi="Segoe UI" w:cs="Segoe UI"/>
          <w:sz w:val="20"/>
          <w:lang w:val="el-GR" w:eastAsia="el-GR" w:bidi="el-GR"/>
        </w:rPr>
        <w:t>σημείωσε</w:t>
      </w:r>
      <w:r w:rsidR="00950AFD" w:rsidRPr="00A6792B">
        <w:rPr>
          <w:rFonts w:ascii="Segoe UI" w:hAnsi="Segoe UI" w:cs="Segoe UI"/>
          <w:sz w:val="20"/>
          <w:lang w:val="el-GR" w:eastAsia="el-GR" w:bidi="el-GR"/>
        </w:rPr>
        <w:t xml:space="preserve"> κέρδη μετά από φόρους ύψους €53</w:t>
      </w:r>
      <w:r w:rsidRPr="00A6792B">
        <w:rPr>
          <w:rFonts w:ascii="Segoe UI" w:hAnsi="Segoe UI" w:cs="Segoe UI"/>
          <w:sz w:val="20"/>
          <w:lang w:val="el-GR" w:eastAsia="el-GR" w:bidi="el-GR"/>
        </w:rPr>
        <w:t xml:space="preserve"> εκατ. το </w:t>
      </w:r>
      <w:r w:rsidR="00147209" w:rsidRPr="00A6792B">
        <w:rPr>
          <w:rFonts w:ascii="Segoe UI" w:hAnsi="Segoe UI" w:cs="Segoe UI"/>
          <w:sz w:val="20"/>
          <w:lang w:val="el-GR" w:eastAsia="el-GR" w:bidi="el-GR"/>
        </w:rPr>
        <w:t>Α</w:t>
      </w:r>
      <w:r w:rsidRPr="00A6792B">
        <w:rPr>
          <w:rFonts w:ascii="Segoe UI" w:hAnsi="Segoe UI" w:cs="Segoe UI"/>
          <w:sz w:val="20"/>
          <w:lang w:val="el-GR" w:eastAsia="el-GR" w:bidi="el-GR"/>
        </w:rPr>
        <w:t xml:space="preserve">΄ εξάμηνο του 2016 </w:t>
      </w:r>
      <w:r w:rsidR="00632779">
        <w:rPr>
          <w:rFonts w:ascii="Segoe UI" w:hAnsi="Segoe UI" w:cs="Segoe UI"/>
          <w:sz w:val="20"/>
          <w:lang w:val="el-GR" w:eastAsia="el-GR" w:bidi="el-GR"/>
        </w:rPr>
        <w:t xml:space="preserve">από </w:t>
      </w:r>
      <w:r w:rsidRPr="00A6792B">
        <w:rPr>
          <w:rFonts w:ascii="Segoe UI" w:hAnsi="Segoe UI" w:cs="Segoe UI"/>
          <w:sz w:val="20"/>
          <w:lang w:val="el-GR" w:eastAsia="el-GR" w:bidi="el-GR"/>
        </w:rPr>
        <w:t>€2</w:t>
      </w:r>
      <w:r w:rsidR="00950AFD" w:rsidRPr="00A6792B">
        <w:rPr>
          <w:rFonts w:ascii="Segoe UI" w:hAnsi="Segoe UI" w:cs="Segoe UI"/>
          <w:sz w:val="20"/>
          <w:lang w:val="el-GR" w:eastAsia="el-GR" w:bidi="el-GR"/>
        </w:rPr>
        <w:t>7</w:t>
      </w:r>
      <w:r w:rsidRPr="00A6792B">
        <w:rPr>
          <w:rFonts w:ascii="Segoe UI" w:hAnsi="Segoe UI" w:cs="Segoe UI"/>
          <w:sz w:val="20"/>
          <w:lang w:val="el-GR" w:eastAsia="el-GR" w:bidi="el-GR"/>
        </w:rPr>
        <w:t xml:space="preserve"> εκατ. </w:t>
      </w:r>
      <w:r w:rsidR="00147209" w:rsidRPr="00A6792B">
        <w:rPr>
          <w:rFonts w:ascii="Segoe UI" w:hAnsi="Segoe UI" w:cs="Segoe UI"/>
          <w:sz w:val="20"/>
          <w:lang w:val="el-GR" w:eastAsia="el-GR" w:bidi="el-GR"/>
        </w:rPr>
        <w:t xml:space="preserve">το Α΄ εξάμηνο του </w:t>
      </w:r>
      <w:r w:rsidRPr="00A6792B">
        <w:rPr>
          <w:rFonts w:ascii="Segoe UI" w:hAnsi="Segoe UI" w:cs="Segoe UI"/>
          <w:sz w:val="20"/>
          <w:lang w:val="el-GR" w:eastAsia="el-GR" w:bidi="el-GR"/>
        </w:rPr>
        <w:t>προηγούμενο</w:t>
      </w:r>
      <w:r w:rsidR="00147209" w:rsidRPr="00A6792B">
        <w:rPr>
          <w:rFonts w:ascii="Segoe UI" w:hAnsi="Segoe UI" w:cs="Segoe UI"/>
          <w:sz w:val="20"/>
          <w:lang w:val="el-GR" w:eastAsia="el-GR" w:bidi="el-GR"/>
        </w:rPr>
        <w:t>υ</w:t>
      </w:r>
      <w:r w:rsidRPr="00A6792B">
        <w:rPr>
          <w:rFonts w:ascii="Segoe UI" w:hAnsi="Segoe UI" w:cs="Segoe UI"/>
          <w:sz w:val="20"/>
          <w:lang w:val="el-GR" w:eastAsia="el-GR" w:bidi="el-GR"/>
        </w:rPr>
        <w:t xml:space="preserve"> έτο</w:t>
      </w:r>
      <w:r w:rsidR="00147209" w:rsidRPr="00A6792B">
        <w:rPr>
          <w:rFonts w:ascii="Segoe UI" w:hAnsi="Segoe UI" w:cs="Segoe UI"/>
          <w:sz w:val="20"/>
          <w:lang w:val="el-GR" w:eastAsia="el-GR" w:bidi="el-GR"/>
        </w:rPr>
        <w:t>υ</w:t>
      </w:r>
      <w:r w:rsidRPr="00A6792B">
        <w:rPr>
          <w:rFonts w:ascii="Segoe UI" w:hAnsi="Segoe UI" w:cs="Segoe UI"/>
          <w:sz w:val="20"/>
          <w:lang w:val="el-GR" w:eastAsia="el-GR" w:bidi="el-GR"/>
        </w:rPr>
        <w:t>ς</w:t>
      </w:r>
      <w:r w:rsidR="00D10A10" w:rsidRPr="00A6792B">
        <w:rPr>
          <w:rFonts w:ascii="Segoe UI" w:hAnsi="Segoe UI" w:cs="Segoe UI"/>
          <w:sz w:val="20"/>
          <w:lang w:val="el-GR" w:eastAsia="el-GR" w:bidi="el-GR"/>
        </w:rPr>
        <w:t xml:space="preserve">. </w:t>
      </w:r>
    </w:p>
    <w:p w:rsidR="00A6792B" w:rsidRDefault="00A6792B" w:rsidP="004929D8">
      <w:pPr>
        <w:autoSpaceDE w:val="0"/>
        <w:autoSpaceDN w:val="0"/>
        <w:adjustRightInd w:val="0"/>
        <w:spacing w:after="160" w:line="320" w:lineRule="atLeast"/>
        <w:jc w:val="both"/>
        <w:rPr>
          <w:rFonts w:ascii="Segoe UI" w:hAnsi="Segoe UI" w:cs="Segoe UI"/>
          <w:b/>
          <w:sz w:val="20"/>
          <w:lang w:val="el-GR" w:eastAsia="el-GR" w:bidi="el-GR"/>
        </w:rPr>
      </w:pPr>
    </w:p>
    <w:p w:rsidR="004F2346" w:rsidRDefault="004F2346" w:rsidP="004929D8">
      <w:pPr>
        <w:autoSpaceDE w:val="0"/>
        <w:autoSpaceDN w:val="0"/>
        <w:adjustRightInd w:val="0"/>
        <w:spacing w:after="160" w:line="320" w:lineRule="atLeast"/>
        <w:jc w:val="both"/>
        <w:rPr>
          <w:rFonts w:ascii="Segoe UI" w:hAnsi="Segoe UI" w:cs="Segoe UI"/>
          <w:b/>
          <w:sz w:val="20"/>
          <w:lang w:val="el-GR" w:eastAsia="el-GR" w:bidi="el-GR"/>
        </w:rPr>
      </w:pPr>
    </w:p>
    <w:p w:rsidR="00C6487E" w:rsidRPr="00A6792B" w:rsidRDefault="00127EB1"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lastRenderedPageBreak/>
        <w:t>Το ύψος των μη εξυπηρετούμενων ανοιγμάτων μειώνεται για πρώτη φορά</w:t>
      </w:r>
    </w:p>
    <w:p w:rsidR="00FA7E3A" w:rsidRPr="00A6792B" w:rsidRDefault="007B098D"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Σε επίπεδο Ομίλου, ο ρυθμός δημιουργίας νέων δανείων σε καθυστέρηση άνω των 90 ημερών </w:t>
      </w:r>
      <w:r w:rsidR="00375188" w:rsidRPr="00A6792B">
        <w:rPr>
          <w:rFonts w:ascii="Segoe UI" w:hAnsi="Segoe UI" w:cs="Segoe UI"/>
          <w:sz w:val="20"/>
          <w:lang w:val="el-GR" w:eastAsia="el-GR" w:bidi="el-GR"/>
        </w:rPr>
        <w:t xml:space="preserve">μειώθηκε </w:t>
      </w:r>
      <w:r w:rsidR="00481DA3" w:rsidRPr="00A6792B">
        <w:rPr>
          <w:rFonts w:ascii="Segoe UI" w:hAnsi="Segoe UI" w:cs="Segoe UI"/>
          <w:sz w:val="20"/>
          <w:lang w:val="el-GR" w:eastAsia="el-GR" w:bidi="el-GR"/>
        </w:rPr>
        <w:t>το Β΄ τρίμηνο του 2016 (-€7 εκατ.)</w:t>
      </w:r>
      <w:r w:rsidR="00B37CE4">
        <w:rPr>
          <w:rFonts w:ascii="Segoe UI" w:hAnsi="Segoe UI" w:cs="Segoe UI"/>
          <w:sz w:val="20"/>
          <w:lang w:val="el-GR" w:eastAsia="el-GR" w:bidi="el-GR"/>
        </w:rPr>
        <w:t xml:space="preserve">, </w:t>
      </w:r>
      <w:r w:rsidR="00B37CE4" w:rsidRPr="00B37CE4">
        <w:rPr>
          <w:rFonts w:ascii="Segoe UI" w:hAnsi="Segoe UI" w:cs="Segoe UI"/>
          <w:sz w:val="20"/>
          <w:lang w:val="el-GR" w:eastAsia="el-GR" w:bidi="el-GR"/>
        </w:rPr>
        <w:t>εμφανώς βελτιωμένος έναντι του προηγούμενου τριμήνου (+€126 εκατ.)</w:t>
      </w:r>
      <w:r w:rsidR="00481DA3" w:rsidRPr="00A6792B">
        <w:rPr>
          <w:rFonts w:ascii="Segoe UI" w:hAnsi="Segoe UI" w:cs="Segoe UI"/>
          <w:sz w:val="20"/>
          <w:lang w:val="el-GR" w:eastAsia="el-GR" w:bidi="el-GR"/>
        </w:rPr>
        <w:t xml:space="preserve">, αποτυπώνοντας κυρίως το μηδενικό ρυθμό δημιουργίας νέων </w:t>
      </w:r>
      <w:r w:rsidR="00375188" w:rsidRPr="00A6792B">
        <w:rPr>
          <w:rFonts w:ascii="Segoe UI" w:hAnsi="Segoe UI" w:cs="Segoe UI"/>
          <w:sz w:val="20"/>
          <w:lang w:val="el-GR" w:eastAsia="el-GR" w:bidi="el-GR"/>
        </w:rPr>
        <w:t xml:space="preserve">δανείων σε καθυστέρηση άνω των 90 ημερών </w:t>
      </w:r>
      <w:r w:rsidR="00481DA3" w:rsidRPr="00A6792B">
        <w:rPr>
          <w:rFonts w:ascii="Segoe UI" w:hAnsi="Segoe UI" w:cs="Segoe UI"/>
          <w:sz w:val="20"/>
          <w:lang w:val="el-GR" w:eastAsia="el-GR" w:bidi="el-GR"/>
        </w:rPr>
        <w:t xml:space="preserve">στην Ελλάδα έναντι </w:t>
      </w:r>
      <w:r w:rsidR="00127EB1">
        <w:rPr>
          <w:rFonts w:ascii="Segoe UI" w:hAnsi="Segoe UI" w:cs="Segoe UI"/>
          <w:sz w:val="20"/>
          <w:lang w:val="el-GR" w:eastAsia="el-GR" w:bidi="el-GR"/>
        </w:rPr>
        <w:t xml:space="preserve">αύξησης ύψους </w:t>
      </w:r>
      <w:r w:rsidR="00481DA3" w:rsidRPr="00A6792B">
        <w:rPr>
          <w:rFonts w:ascii="Segoe UI" w:hAnsi="Segoe UI" w:cs="Segoe UI"/>
          <w:sz w:val="20"/>
          <w:lang w:val="el-GR" w:eastAsia="el-GR" w:bidi="el-GR"/>
        </w:rPr>
        <w:t>€127 εκατ. το Α΄ τρίμηνο του 2016</w:t>
      </w:r>
      <w:r w:rsidRPr="00A6792B">
        <w:rPr>
          <w:rFonts w:ascii="Segoe UI" w:hAnsi="Segoe UI" w:cs="Segoe UI"/>
          <w:sz w:val="20"/>
          <w:lang w:val="el-GR" w:eastAsia="el-GR" w:bidi="el-GR"/>
        </w:rPr>
        <w:t xml:space="preserve">. </w:t>
      </w:r>
      <w:r w:rsidR="00481DA3" w:rsidRPr="00A6792B">
        <w:rPr>
          <w:rFonts w:ascii="Segoe UI" w:hAnsi="Segoe UI" w:cs="Segoe UI"/>
          <w:sz w:val="20"/>
          <w:lang w:val="el-GR" w:eastAsia="el-GR" w:bidi="el-GR"/>
        </w:rPr>
        <w:t xml:space="preserve">Ειδικότερα, η δημιουργία νέων δανείων σε καθυστέρηση άνω των 90 ημερών στη Λιανική τραπεζική </w:t>
      </w:r>
      <w:r w:rsidR="00385643" w:rsidRPr="00A6792B">
        <w:rPr>
          <w:rFonts w:ascii="Segoe UI" w:hAnsi="Segoe UI" w:cs="Segoe UI"/>
          <w:sz w:val="20"/>
          <w:lang w:val="el-GR" w:eastAsia="el-GR" w:bidi="el-GR"/>
        </w:rPr>
        <w:t>διατηρήθηκε</w:t>
      </w:r>
      <w:r w:rsidR="00481DA3" w:rsidRPr="00A6792B">
        <w:rPr>
          <w:rFonts w:ascii="Segoe UI" w:hAnsi="Segoe UI" w:cs="Segoe UI"/>
          <w:sz w:val="20"/>
          <w:lang w:val="el-GR" w:eastAsia="el-GR" w:bidi="el-GR"/>
        </w:rPr>
        <w:t xml:space="preserve"> σε αρνητικά επίπεδα </w:t>
      </w:r>
      <w:r w:rsidR="00385643" w:rsidRPr="00A6792B">
        <w:rPr>
          <w:rFonts w:ascii="Segoe UI" w:hAnsi="Segoe UI" w:cs="Segoe UI"/>
          <w:sz w:val="20"/>
          <w:lang w:val="el-GR" w:eastAsia="el-GR" w:bidi="el-GR"/>
        </w:rPr>
        <w:t xml:space="preserve">(-€98 εκατ.), </w:t>
      </w:r>
      <w:r w:rsidR="00154F32" w:rsidRPr="00154F32">
        <w:rPr>
          <w:rFonts w:ascii="Segoe UI" w:hAnsi="Segoe UI" w:cs="Segoe UI"/>
          <w:sz w:val="20"/>
          <w:lang w:val="el-GR" w:eastAsia="el-GR" w:bidi="el-GR"/>
        </w:rPr>
        <w:t>κυρίως λόγω της μείωσης επισφαλειών σε δάνεια που έχουν αναδιαρθρωθεί.</w:t>
      </w:r>
      <w:r w:rsidR="00B11CAA" w:rsidRPr="00A6792B">
        <w:rPr>
          <w:rFonts w:ascii="Segoe UI" w:hAnsi="Segoe UI" w:cs="Segoe UI"/>
          <w:sz w:val="20"/>
          <w:lang w:val="el-GR" w:eastAsia="el-GR" w:bidi="el-GR"/>
        </w:rPr>
        <w:t>Ο</w:t>
      </w:r>
      <w:r w:rsidRPr="00A6792B">
        <w:rPr>
          <w:rFonts w:ascii="Segoe UI" w:hAnsi="Segoe UI" w:cs="Segoe UI"/>
          <w:sz w:val="20"/>
          <w:lang w:val="el-GR" w:eastAsia="el-GR" w:bidi="el-GR"/>
        </w:rPr>
        <w:t xml:space="preserve"> ρυθμό</w:t>
      </w:r>
      <w:r w:rsidR="00B11CAA" w:rsidRPr="00A6792B">
        <w:rPr>
          <w:rFonts w:ascii="Segoe UI" w:hAnsi="Segoe UI" w:cs="Segoe UI"/>
          <w:sz w:val="20"/>
          <w:lang w:val="el-GR" w:eastAsia="el-GR" w:bidi="el-GR"/>
        </w:rPr>
        <w:t>ς</w:t>
      </w:r>
      <w:r w:rsidRPr="00A6792B">
        <w:rPr>
          <w:rFonts w:ascii="Segoe UI" w:hAnsi="Segoe UI" w:cs="Segoe UI"/>
          <w:sz w:val="20"/>
          <w:lang w:val="el-GR" w:eastAsia="el-GR" w:bidi="el-GR"/>
        </w:rPr>
        <w:t xml:space="preserve"> δημιουργίας νέων επιχειρηματικών επισφαλειών</w:t>
      </w:r>
      <w:r w:rsidR="00323FDA">
        <w:rPr>
          <w:rFonts w:ascii="Segoe UI" w:hAnsi="Segoe UI" w:cs="Segoe UI"/>
          <w:sz w:val="20"/>
          <w:lang w:val="el-GR" w:eastAsia="el-GR" w:bidi="el-GR"/>
        </w:rPr>
        <w:t xml:space="preserve">επιβραδύνθηκε σε </w:t>
      </w:r>
      <w:r w:rsidR="00B11CAA" w:rsidRPr="00A6792B">
        <w:rPr>
          <w:rFonts w:ascii="Segoe UI" w:hAnsi="Segoe UI" w:cs="Segoe UI"/>
          <w:sz w:val="20"/>
          <w:lang w:val="el-GR" w:eastAsia="el-GR" w:bidi="el-GR"/>
        </w:rPr>
        <w:t xml:space="preserve">€81 εκατ. από €249 εκατ. στο Α΄ τρίμηνο του 2016, </w:t>
      </w:r>
      <w:r w:rsidR="00A6792B">
        <w:rPr>
          <w:rFonts w:ascii="Segoe UI" w:hAnsi="Segoe UI" w:cs="Segoe UI"/>
          <w:sz w:val="20"/>
          <w:lang w:val="el-GR" w:eastAsia="el-GR" w:bidi="el-GR"/>
        </w:rPr>
        <w:t>αλλά παραμένει σε υψηλά επίπεδα</w:t>
      </w:r>
      <w:r w:rsidR="00A8234C" w:rsidRPr="00A8234C">
        <w:rPr>
          <w:rFonts w:ascii="Segoe UI" w:hAnsi="Segoe UI" w:cs="Segoe UI"/>
          <w:sz w:val="20"/>
          <w:lang w:val="el-GR" w:eastAsia="el-GR" w:bidi="el-GR"/>
        </w:rPr>
        <w:t>,</w:t>
      </w:r>
      <w:r w:rsidR="00A8234C">
        <w:rPr>
          <w:rFonts w:ascii="Segoe UI" w:hAnsi="Segoe UI" w:cs="Segoe UI"/>
          <w:sz w:val="20"/>
          <w:lang w:val="el-GR" w:eastAsia="el-GR" w:bidi="el-GR"/>
        </w:rPr>
        <w:t xml:space="preserve"> αντανακλώντας ένα μικρό αριθμό επιχειρηματικών</w:t>
      </w:r>
      <w:r w:rsidR="00A6792B">
        <w:rPr>
          <w:rFonts w:ascii="Segoe UI" w:hAnsi="Segoe UI" w:cs="Segoe UI"/>
          <w:sz w:val="20"/>
          <w:lang w:val="el-GR" w:eastAsia="el-GR" w:bidi="el-GR"/>
        </w:rPr>
        <w:t xml:space="preserve"> δανείων </w:t>
      </w:r>
      <w:r w:rsidR="00A6792B" w:rsidRPr="00A6792B">
        <w:rPr>
          <w:rFonts w:ascii="Segoe UI" w:hAnsi="Segoe UI" w:cs="Segoe UI"/>
          <w:sz w:val="20"/>
          <w:lang w:val="el-GR" w:eastAsia="el-GR" w:bidi="el-GR"/>
        </w:rPr>
        <w:t xml:space="preserve">που </w:t>
      </w:r>
      <w:r w:rsidR="00EA6937">
        <w:rPr>
          <w:rFonts w:ascii="Segoe UI" w:hAnsi="Segoe UI" w:cs="Segoe UI"/>
          <w:sz w:val="20"/>
          <w:lang w:val="el-GR" w:eastAsia="el-GR" w:bidi="el-GR"/>
        </w:rPr>
        <w:t>καταγγέλθηκαν</w:t>
      </w:r>
      <w:r w:rsidR="00FA7E3A" w:rsidRPr="00A6792B">
        <w:rPr>
          <w:rFonts w:ascii="Segoe UI" w:hAnsi="Segoe UI" w:cs="Segoe UI"/>
          <w:sz w:val="20"/>
          <w:lang w:val="el-GR" w:eastAsia="el-GR" w:bidi="el-GR"/>
        </w:rPr>
        <w:t xml:space="preserve">. </w:t>
      </w:r>
    </w:p>
    <w:p w:rsidR="007638B2" w:rsidRPr="00A6792B" w:rsidRDefault="00777C6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Τ</w:t>
      </w:r>
      <w:r w:rsidR="00890AD5" w:rsidRPr="00A6792B">
        <w:rPr>
          <w:rFonts w:ascii="Segoe UI" w:hAnsi="Segoe UI" w:cs="Segoe UI"/>
          <w:sz w:val="20"/>
          <w:lang w:val="el-GR" w:eastAsia="el-GR" w:bidi="el-GR"/>
        </w:rPr>
        <w:t xml:space="preserve">ο κόστος </w:t>
      </w:r>
      <w:r w:rsidR="0071156B">
        <w:rPr>
          <w:rFonts w:ascii="Segoe UI" w:hAnsi="Segoe UI" w:cs="Segoe UI"/>
          <w:sz w:val="20"/>
          <w:lang w:val="el-GR" w:eastAsia="el-GR" w:bidi="el-GR"/>
        </w:rPr>
        <w:t xml:space="preserve">πιστωτικού </w:t>
      </w:r>
      <w:r w:rsidR="00890AD5" w:rsidRPr="00A6792B">
        <w:rPr>
          <w:rFonts w:ascii="Segoe UI" w:hAnsi="Segoe UI" w:cs="Segoe UI"/>
          <w:sz w:val="20"/>
          <w:lang w:val="el-GR" w:eastAsia="el-GR" w:bidi="el-GR"/>
        </w:rPr>
        <w:t xml:space="preserve">κινδύνου </w:t>
      </w:r>
      <w:r w:rsidRPr="00A6792B">
        <w:rPr>
          <w:rFonts w:ascii="Segoe UI" w:hAnsi="Segoe UI" w:cs="Segoe UI"/>
          <w:sz w:val="20"/>
          <w:lang w:val="el-GR" w:eastAsia="el-GR" w:bidi="el-GR"/>
        </w:rPr>
        <w:t>διαμορφώθηκε σε 231</w:t>
      </w:r>
      <w:r w:rsidR="00890AD5" w:rsidRPr="00A6792B">
        <w:rPr>
          <w:rFonts w:ascii="Segoe UI" w:hAnsi="Segoe UI" w:cs="Segoe UI"/>
          <w:sz w:val="20"/>
          <w:lang w:val="el-GR" w:eastAsia="el-GR" w:bidi="el-GR"/>
        </w:rPr>
        <w:t xml:space="preserve">μ.β. </w:t>
      </w:r>
      <w:r w:rsidR="00EA6937">
        <w:rPr>
          <w:rFonts w:ascii="Segoe UI" w:hAnsi="Segoe UI" w:cs="Segoe UI"/>
          <w:sz w:val="20"/>
          <w:lang w:val="el-GR" w:eastAsia="el-GR" w:bidi="el-GR"/>
        </w:rPr>
        <w:t xml:space="preserve">στην Ελλάδα από </w:t>
      </w:r>
      <w:r w:rsidRPr="00A6792B">
        <w:rPr>
          <w:rFonts w:ascii="Segoe UI" w:hAnsi="Segoe UI" w:cs="Segoe UI"/>
          <w:sz w:val="20"/>
          <w:lang w:val="el-GR" w:eastAsia="el-GR" w:bidi="el-GR"/>
        </w:rPr>
        <w:t>164μ.β.</w:t>
      </w:r>
      <w:r w:rsidR="00E60984" w:rsidRPr="00A6792B">
        <w:rPr>
          <w:rFonts w:ascii="Segoe UI" w:hAnsi="Segoe UI" w:cs="Segoe UI"/>
          <w:sz w:val="20"/>
          <w:lang w:val="el-GR" w:eastAsia="el-GR" w:bidi="el-GR"/>
        </w:rPr>
        <w:t xml:space="preserve"> κατά το προηγούμενο</w:t>
      </w:r>
      <w:r w:rsidR="007C5802" w:rsidRPr="00A6792B">
        <w:rPr>
          <w:rFonts w:ascii="Segoe UI" w:hAnsi="Segoe UI" w:cs="Segoe UI"/>
          <w:sz w:val="20"/>
          <w:lang w:val="el-GR" w:eastAsia="el-GR" w:bidi="el-GR"/>
        </w:rPr>
        <w:t xml:space="preserve"> τρίμηνο</w:t>
      </w:r>
      <w:r w:rsidRPr="00A6792B">
        <w:rPr>
          <w:rFonts w:ascii="Segoe UI" w:hAnsi="Segoe UI" w:cs="Segoe UI"/>
          <w:sz w:val="20"/>
          <w:lang w:val="el-GR" w:eastAsia="el-GR" w:bidi="el-GR"/>
        </w:rPr>
        <w:t xml:space="preserve">, </w:t>
      </w:r>
      <w:r w:rsidR="004F2346">
        <w:rPr>
          <w:rFonts w:ascii="Segoe UI" w:hAnsi="Segoe UI" w:cs="Segoe UI"/>
          <w:sz w:val="20"/>
          <w:lang w:val="el-GR" w:eastAsia="el-GR" w:bidi="el-GR"/>
        </w:rPr>
        <w:t xml:space="preserve">κυρίως </w:t>
      </w:r>
      <w:r w:rsidRPr="00A6792B">
        <w:rPr>
          <w:rFonts w:ascii="Segoe UI" w:hAnsi="Segoe UI" w:cs="Segoe UI"/>
          <w:sz w:val="20"/>
          <w:lang w:val="el-GR" w:eastAsia="el-GR" w:bidi="el-GR"/>
        </w:rPr>
        <w:t xml:space="preserve">λόγω </w:t>
      </w:r>
      <w:r w:rsidR="004F2346">
        <w:rPr>
          <w:rFonts w:ascii="Segoe UI" w:hAnsi="Segoe UI" w:cs="Segoe UI"/>
          <w:sz w:val="20"/>
          <w:lang w:val="el-GR" w:eastAsia="el-GR" w:bidi="el-GR"/>
        </w:rPr>
        <w:t xml:space="preserve">αυξημένων </w:t>
      </w:r>
      <w:r w:rsidR="006E13E5" w:rsidRPr="00A6792B">
        <w:rPr>
          <w:rFonts w:ascii="Segoe UI" w:hAnsi="Segoe UI" w:cs="Segoe UI"/>
          <w:sz w:val="20"/>
          <w:lang w:val="el-GR" w:eastAsia="el-GR" w:bidi="el-GR"/>
        </w:rPr>
        <w:t xml:space="preserve">προβλέψεωνσε </w:t>
      </w:r>
      <w:r w:rsidRPr="00A6792B">
        <w:rPr>
          <w:rFonts w:ascii="Segoe UI" w:hAnsi="Segoe UI" w:cs="Segoe UI"/>
          <w:sz w:val="20"/>
          <w:lang w:val="el-GR" w:eastAsia="el-GR" w:bidi="el-GR"/>
        </w:rPr>
        <w:t>επιχειρηματικ</w:t>
      </w:r>
      <w:r w:rsidR="004F2346">
        <w:rPr>
          <w:rFonts w:ascii="Segoe UI" w:hAnsi="Segoe UI" w:cs="Segoe UI"/>
          <w:sz w:val="20"/>
          <w:lang w:val="el-GR" w:eastAsia="el-GR" w:bidi="el-GR"/>
        </w:rPr>
        <w:t>ά</w:t>
      </w:r>
      <w:r w:rsidR="00E52698">
        <w:rPr>
          <w:rFonts w:ascii="Segoe UI" w:hAnsi="Segoe UI" w:cs="Segoe UI"/>
          <w:sz w:val="20"/>
          <w:lang w:val="el-GR" w:eastAsia="el-GR" w:bidi="el-GR"/>
        </w:rPr>
        <w:t xml:space="preserve"> δ</w:t>
      </w:r>
      <w:r w:rsidR="004F2346">
        <w:rPr>
          <w:rFonts w:ascii="Segoe UI" w:hAnsi="Segoe UI" w:cs="Segoe UI"/>
          <w:sz w:val="20"/>
          <w:lang w:val="el-GR" w:eastAsia="el-GR" w:bidi="el-GR"/>
        </w:rPr>
        <w:t>άνεια</w:t>
      </w:r>
      <w:r w:rsidRPr="00A6792B">
        <w:rPr>
          <w:rFonts w:ascii="Segoe UI" w:hAnsi="Segoe UI" w:cs="Segoe UI"/>
          <w:sz w:val="20"/>
          <w:lang w:val="el-GR" w:eastAsia="el-GR" w:bidi="el-GR"/>
        </w:rPr>
        <w:t xml:space="preserve">. Το κόστος κινδύνου στο </w:t>
      </w:r>
      <w:r w:rsidR="00064C4F" w:rsidRPr="00A6792B">
        <w:rPr>
          <w:rFonts w:ascii="Segoe UI" w:hAnsi="Segoe UI" w:cs="Segoe UI"/>
          <w:sz w:val="20"/>
          <w:lang w:val="el-GR" w:eastAsia="el-GR" w:bidi="el-GR"/>
        </w:rPr>
        <w:t>Α</w:t>
      </w:r>
      <w:r w:rsidRPr="00A6792B">
        <w:rPr>
          <w:rFonts w:ascii="Segoe UI" w:hAnsi="Segoe UI" w:cs="Segoe UI"/>
          <w:sz w:val="20"/>
          <w:lang w:val="el-GR" w:eastAsia="el-GR" w:bidi="el-GR"/>
        </w:rPr>
        <w:t>΄ εξάμηνο του 2016 ανήλθε σε 197 μ.β. (189 μ.β. σε επίπεδο Ομί</w:t>
      </w:r>
      <w:r w:rsidR="00064C4F" w:rsidRPr="00A6792B">
        <w:rPr>
          <w:rFonts w:ascii="Segoe UI" w:hAnsi="Segoe UI" w:cs="Segoe UI"/>
          <w:sz w:val="20"/>
          <w:lang w:val="el-GR" w:eastAsia="el-GR" w:bidi="el-GR"/>
        </w:rPr>
        <w:t>λου)</w:t>
      </w:r>
      <w:r w:rsidR="00890AD5" w:rsidRPr="00A6792B">
        <w:rPr>
          <w:rFonts w:ascii="Segoe UI" w:hAnsi="Segoe UI" w:cs="Segoe UI"/>
          <w:sz w:val="20"/>
          <w:lang w:val="el-GR" w:eastAsia="el-GR" w:bidi="el-GR"/>
        </w:rPr>
        <w:t xml:space="preserve">. Ο δείκτης κάλυψης δανείων σε καθυστέρηση άνω των 90 ημερών </w:t>
      </w:r>
      <w:r w:rsidR="004A6972">
        <w:rPr>
          <w:rFonts w:ascii="Segoe UI" w:hAnsi="Segoe UI" w:cs="Segoe UI"/>
          <w:sz w:val="20"/>
          <w:lang w:val="el-GR" w:eastAsia="el-GR" w:bidi="el-GR"/>
        </w:rPr>
        <w:t xml:space="preserve">από σωρευμένες προβλέψεις </w:t>
      </w:r>
      <w:r w:rsidR="00064C4F" w:rsidRPr="00A6792B">
        <w:rPr>
          <w:rFonts w:ascii="Segoe UI" w:hAnsi="Segoe UI" w:cs="Segoe UI"/>
          <w:sz w:val="20"/>
          <w:lang w:val="el-GR" w:eastAsia="el-GR" w:bidi="el-GR"/>
        </w:rPr>
        <w:t>διαμορφώθηκε σε 76,6</w:t>
      </w:r>
      <w:r w:rsidR="00890AD5" w:rsidRPr="00A6792B">
        <w:rPr>
          <w:rFonts w:ascii="Segoe UI" w:hAnsi="Segoe UI" w:cs="Segoe UI"/>
          <w:sz w:val="20"/>
          <w:lang w:val="el-GR" w:eastAsia="el-GR" w:bidi="el-GR"/>
        </w:rPr>
        <w:t>% στην Ελλάδα και σε 74,</w:t>
      </w:r>
      <w:r w:rsidR="00064C4F" w:rsidRPr="00A6792B">
        <w:rPr>
          <w:rFonts w:ascii="Segoe UI" w:hAnsi="Segoe UI" w:cs="Segoe UI"/>
          <w:sz w:val="20"/>
          <w:lang w:val="el-GR" w:eastAsia="el-GR" w:bidi="el-GR"/>
        </w:rPr>
        <w:t>7</w:t>
      </w:r>
      <w:r w:rsidR="00890AD5" w:rsidRPr="00A6792B">
        <w:rPr>
          <w:rFonts w:ascii="Segoe UI" w:hAnsi="Segoe UI" w:cs="Segoe UI"/>
          <w:sz w:val="20"/>
          <w:lang w:val="el-GR" w:eastAsia="el-GR" w:bidi="el-GR"/>
        </w:rPr>
        <w:t xml:space="preserve">% σε επίπεδο Ομίλου, στα υψηλότερα </w:t>
      </w:r>
      <w:r w:rsidR="00487A52" w:rsidRPr="00A6792B">
        <w:rPr>
          <w:rFonts w:ascii="Segoe UI" w:hAnsi="Segoe UI" w:cs="Segoe UI"/>
          <w:sz w:val="20"/>
          <w:lang w:val="el-GR" w:eastAsia="el-GR" w:bidi="el-GR"/>
        </w:rPr>
        <w:t xml:space="preserve">επίπεδα </w:t>
      </w:r>
      <w:r w:rsidR="00890AD5" w:rsidRPr="00A6792B">
        <w:rPr>
          <w:rFonts w:ascii="Segoe UI" w:hAnsi="Segoe UI" w:cs="Segoe UI"/>
          <w:sz w:val="20"/>
          <w:lang w:val="el-GR" w:eastAsia="el-GR" w:bidi="el-GR"/>
        </w:rPr>
        <w:t>του κλάδου</w:t>
      </w:r>
      <w:r w:rsidR="004929D8" w:rsidRPr="00A6792B">
        <w:rPr>
          <w:rStyle w:val="a9"/>
          <w:rFonts w:ascii="Segoe UI" w:hAnsi="Segoe UI" w:cs="Segoe UI"/>
          <w:sz w:val="20"/>
          <w:lang w:val="el-GR" w:eastAsia="el-GR" w:bidi="el-GR"/>
        </w:rPr>
        <w:footnoteReference w:id="3"/>
      </w:r>
      <w:r w:rsidR="00890AD5" w:rsidRPr="00A6792B">
        <w:rPr>
          <w:rFonts w:ascii="Segoe UI" w:hAnsi="Segoe UI" w:cs="Segoe UI"/>
          <w:sz w:val="20"/>
          <w:lang w:val="el-GR" w:eastAsia="el-GR" w:bidi="el-GR"/>
        </w:rPr>
        <w:t xml:space="preserve">. </w:t>
      </w:r>
      <w:r w:rsidR="009A2C89">
        <w:rPr>
          <w:rFonts w:ascii="Segoe UI" w:hAnsi="Segoe UI" w:cs="Segoe UI"/>
          <w:sz w:val="20"/>
          <w:lang w:val="en-US" w:eastAsia="el-GR" w:bidi="el-GR"/>
        </w:rPr>
        <w:t>T</w:t>
      </w:r>
      <w:r w:rsidR="007638B2" w:rsidRPr="00A6792B">
        <w:rPr>
          <w:rFonts w:ascii="Segoe UI" w:hAnsi="Segoe UI" w:cs="Segoe UI"/>
          <w:sz w:val="20"/>
          <w:lang w:val="el-GR" w:eastAsia="el-GR" w:bidi="el-GR"/>
        </w:rPr>
        <w:t xml:space="preserve">α </w:t>
      </w:r>
      <w:r w:rsidR="00815E1E">
        <w:rPr>
          <w:rFonts w:ascii="Segoe UI" w:hAnsi="Segoe UI" w:cs="Segoe UI"/>
          <w:sz w:val="20"/>
          <w:lang w:val="el-GR" w:eastAsia="el-GR" w:bidi="el-GR"/>
        </w:rPr>
        <w:t>Μ</w:t>
      </w:r>
      <w:r w:rsidR="007638B2" w:rsidRPr="00A6792B">
        <w:rPr>
          <w:rFonts w:ascii="Segoe UI" w:hAnsi="Segoe UI" w:cs="Segoe UI"/>
          <w:sz w:val="20"/>
          <w:lang w:val="el-GR" w:eastAsia="el-GR" w:bidi="el-GR"/>
        </w:rPr>
        <w:t xml:space="preserve">η </w:t>
      </w:r>
      <w:r w:rsidR="00815E1E">
        <w:rPr>
          <w:rFonts w:ascii="Segoe UI" w:hAnsi="Segoe UI" w:cs="Segoe UI"/>
          <w:sz w:val="20"/>
          <w:lang w:val="el-GR" w:eastAsia="el-GR" w:bidi="el-GR"/>
        </w:rPr>
        <w:t>Ε</w:t>
      </w:r>
      <w:r w:rsidR="007638B2" w:rsidRPr="00A6792B">
        <w:rPr>
          <w:rFonts w:ascii="Segoe UI" w:hAnsi="Segoe UI" w:cs="Segoe UI"/>
          <w:sz w:val="20"/>
          <w:lang w:val="el-GR" w:eastAsia="el-GR" w:bidi="el-GR"/>
        </w:rPr>
        <w:t xml:space="preserve">ξυπηρετούμενα </w:t>
      </w:r>
      <w:r w:rsidR="00815E1E">
        <w:rPr>
          <w:rFonts w:ascii="Segoe UI" w:hAnsi="Segoe UI" w:cs="Segoe UI"/>
          <w:sz w:val="20"/>
          <w:lang w:val="el-GR" w:eastAsia="el-GR" w:bidi="el-GR"/>
        </w:rPr>
        <w:t>Α</w:t>
      </w:r>
      <w:r w:rsidR="007638B2" w:rsidRPr="00A6792B">
        <w:rPr>
          <w:rFonts w:ascii="Segoe UI" w:hAnsi="Segoe UI" w:cs="Segoe UI"/>
          <w:sz w:val="20"/>
          <w:lang w:val="el-GR" w:eastAsia="el-GR" w:bidi="el-GR"/>
        </w:rPr>
        <w:t xml:space="preserve">νοίγματα μειώθηκαν κατά €0,9 δισ. σε τριμηνιαία βάση το Β΄ τρίμηνο του έτους, </w:t>
      </w:r>
      <w:r w:rsidR="00DC012C" w:rsidRPr="00A6792B">
        <w:rPr>
          <w:rFonts w:ascii="Segoe UI" w:hAnsi="Segoe UI" w:cs="Segoe UI"/>
          <w:sz w:val="20"/>
          <w:lang w:val="el-GR" w:eastAsia="el-GR" w:bidi="el-GR"/>
        </w:rPr>
        <w:t xml:space="preserve">αντανακλώντας </w:t>
      </w:r>
      <w:r w:rsidR="007E7BA5" w:rsidRPr="007E7BA5">
        <w:rPr>
          <w:rFonts w:ascii="Segoe UI" w:hAnsi="Segoe UI" w:cs="Segoe UI"/>
          <w:sz w:val="20"/>
          <w:lang w:val="el-GR" w:eastAsia="el-GR" w:bidi="el-GR"/>
        </w:rPr>
        <w:t>τη μειωμένη τάση δημιουργίας νέων επισφαλειών, τις επιτυχημένες αναδιαρθρώσεις καθώς και τις διαγραφές δανείων</w:t>
      </w:r>
      <w:r w:rsidR="007638B2" w:rsidRPr="00A6792B">
        <w:rPr>
          <w:rFonts w:ascii="Segoe UI" w:hAnsi="Segoe UI" w:cs="Segoe UI"/>
          <w:sz w:val="20"/>
          <w:lang w:val="el-GR" w:eastAsia="el-GR" w:bidi="el-GR"/>
        </w:rPr>
        <w:t xml:space="preserve">. Κατά συνέπεια, ο δείκτης </w:t>
      </w:r>
      <w:r w:rsidR="00815E1E">
        <w:rPr>
          <w:rFonts w:ascii="Segoe UI" w:hAnsi="Segoe UI" w:cs="Segoe UI"/>
          <w:sz w:val="20"/>
          <w:lang w:val="el-GR" w:eastAsia="el-GR" w:bidi="el-GR"/>
        </w:rPr>
        <w:t>Μ</w:t>
      </w:r>
      <w:r w:rsidR="007638B2" w:rsidRPr="00A6792B">
        <w:rPr>
          <w:rFonts w:ascii="Segoe UI" w:hAnsi="Segoe UI" w:cs="Segoe UI"/>
          <w:sz w:val="20"/>
          <w:lang w:val="el-GR" w:eastAsia="el-GR" w:bidi="el-GR"/>
        </w:rPr>
        <w:t xml:space="preserve">η </w:t>
      </w:r>
      <w:r w:rsidR="00815E1E">
        <w:rPr>
          <w:rFonts w:ascii="Segoe UI" w:hAnsi="Segoe UI" w:cs="Segoe UI"/>
          <w:sz w:val="20"/>
          <w:lang w:val="el-GR" w:eastAsia="el-GR" w:bidi="el-GR"/>
        </w:rPr>
        <w:t>Ε</w:t>
      </w:r>
      <w:r w:rsidR="007638B2" w:rsidRPr="00A6792B">
        <w:rPr>
          <w:rFonts w:ascii="Segoe UI" w:hAnsi="Segoe UI" w:cs="Segoe UI"/>
          <w:sz w:val="20"/>
          <w:lang w:val="el-GR" w:eastAsia="el-GR" w:bidi="el-GR"/>
        </w:rPr>
        <w:t xml:space="preserve">ξυπηρετούμενων </w:t>
      </w:r>
      <w:r w:rsidR="00815E1E">
        <w:rPr>
          <w:rFonts w:ascii="Segoe UI" w:hAnsi="Segoe UI" w:cs="Segoe UI"/>
          <w:sz w:val="20"/>
          <w:lang w:val="el-GR" w:eastAsia="el-GR" w:bidi="el-GR"/>
        </w:rPr>
        <w:t>Α</w:t>
      </w:r>
      <w:r w:rsidR="007638B2" w:rsidRPr="00A6792B">
        <w:rPr>
          <w:rFonts w:ascii="Segoe UI" w:hAnsi="Segoe UI" w:cs="Segoe UI"/>
          <w:sz w:val="20"/>
          <w:lang w:val="el-GR" w:eastAsia="el-GR" w:bidi="el-GR"/>
        </w:rPr>
        <w:t xml:space="preserve">νοιγμάτων μειώθηκε </w:t>
      </w:r>
      <w:r w:rsidR="00801667" w:rsidRPr="00A6792B">
        <w:rPr>
          <w:rFonts w:ascii="Segoe UI" w:hAnsi="Segoe UI" w:cs="Segoe UI"/>
          <w:sz w:val="20"/>
          <w:lang w:val="el-GR" w:eastAsia="el-GR" w:bidi="el-GR"/>
        </w:rPr>
        <w:t>σε</w:t>
      </w:r>
      <w:r w:rsidR="007638B2" w:rsidRPr="00A6792B">
        <w:rPr>
          <w:rFonts w:ascii="Segoe UI" w:hAnsi="Segoe UI" w:cs="Segoe UI"/>
          <w:sz w:val="20"/>
          <w:lang w:val="el-GR" w:eastAsia="el-GR" w:bidi="el-GR"/>
        </w:rPr>
        <w:t xml:space="preserve"> 47,9% </w:t>
      </w:r>
      <w:r w:rsidR="0044044D">
        <w:rPr>
          <w:rFonts w:ascii="Segoe UI" w:hAnsi="Segoe UI" w:cs="Segoe UI"/>
          <w:sz w:val="20"/>
          <w:lang w:val="el-GR" w:eastAsia="el-GR" w:bidi="el-GR"/>
        </w:rPr>
        <w:t xml:space="preserve">στην Ελλάδα </w:t>
      </w:r>
      <w:r w:rsidR="007638B2" w:rsidRPr="00A6792B">
        <w:rPr>
          <w:rFonts w:ascii="Segoe UI" w:hAnsi="Segoe UI" w:cs="Segoe UI"/>
          <w:sz w:val="20"/>
          <w:lang w:val="el-GR" w:eastAsia="el-GR" w:bidi="el-GR"/>
        </w:rPr>
        <w:t xml:space="preserve">από 49,6% στο </w:t>
      </w:r>
      <w:r w:rsidR="00801667" w:rsidRPr="00A6792B">
        <w:rPr>
          <w:rFonts w:ascii="Segoe UI" w:hAnsi="Segoe UI" w:cs="Segoe UI"/>
          <w:sz w:val="20"/>
          <w:lang w:val="el-GR" w:eastAsia="el-GR" w:bidi="el-GR"/>
        </w:rPr>
        <w:t>Α</w:t>
      </w:r>
      <w:r w:rsidR="007638B2" w:rsidRPr="00A6792B">
        <w:rPr>
          <w:rFonts w:ascii="Segoe UI" w:hAnsi="Segoe UI" w:cs="Segoe UI"/>
          <w:sz w:val="20"/>
          <w:lang w:val="el-GR" w:eastAsia="el-GR" w:bidi="el-GR"/>
        </w:rPr>
        <w:t xml:space="preserve">΄ τρίμηνο, με </w:t>
      </w:r>
      <w:r w:rsidR="000E19BB">
        <w:rPr>
          <w:rFonts w:ascii="Segoe UI" w:hAnsi="Segoe UI" w:cs="Segoe UI"/>
          <w:sz w:val="20"/>
          <w:lang w:val="el-GR" w:eastAsia="el-GR" w:bidi="el-GR"/>
        </w:rPr>
        <w:t xml:space="preserve">το ποσοστό </w:t>
      </w:r>
      <w:r w:rsidR="007638B2" w:rsidRPr="00A6792B">
        <w:rPr>
          <w:rFonts w:ascii="Segoe UI" w:hAnsi="Segoe UI" w:cs="Segoe UI"/>
          <w:sz w:val="20"/>
          <w:lang w:val="el-GR" w:eastAsia="el-GR" w:bidi="el-GR"/>
        </w:rPr>
        <w:t>κάλυψη</w:t>
      </w:r>
      <w:r w:rsidR="000E19BB">
        <w:rPr>
          <w:rFonts w:ascii="Segoe UI" w:hAnsi="Segoe UI" w:cs="Segoe UI"/>
          <w:sz w:val="20"/>
          <w:lang w:val="el-GR" w:eastAsia="el-GR" w:bidi="el-GR"/>
        </w:rPr>
        <w:t>ς</w:t>
      </w:r>
      <w:r w:rsidR="007638B2" w:rsidRPr="00A6792B">
        <w:rPr>
          <w:rFonts w:ascii="Segoe UI" w:hAnsi="Segoe UI" w:cs="Segoe UI"/>
          <w:sz w:val="20"/>
          <w:lang w:val="el-GR" w:eastAsia="el-GR" w:bidi="el-GR"/>
        </w:rPr>
        <w:t xml:space="preserve"> μη εξυπηρετούμενων ανοιγμάτων </w:t>
      </w:r>
      <w:r w:rsidR="00062B7A" w:rsidRPr="00062B7A">
        <w:rPr>
          <w:rFonts w:ascii="Segoe UI" w:hAnsi="Segoe UI" w:cs="Segoe UI"/>
          <w:sz w:val="20"/>
          <w:lang w:val="el-GR" w:eastAsia="el-GR" w:bidi="el-GR"/>
        </w:rPr>
        <w:t xml:space="preserve">από σωρευμένες προβλέψεις </w:t>
      </w:r>
      <w:r w:rsidR="00801667" w:rsidRPr="00A6792B">
        <w:rPr>
          <w:rFonts w:ascii="Segoe UI" w:hAnsi="Segoe UI" w:cs="Segoe UI"/>
          <w:sz w:val="20"/>
          <w:lang w:val="el-GR" w:eastAsia="el-GR" w:bidi="el-GR"/>
        </w:rPr>
        <w:t>να διαμορφώνεται σε 55,0% (+140 μ.β. σε σχέση με το προηγούμενο τρίμηνο), στα</w:t>
      </w:r>
      <w:r w:rsidR="007638B2" w:rsidRPr="00A6792B">
        <w:rPr>
          <w:rFonts w:ascii="Segoe UI" w:hAnsi="Segoe UI" w:cs="Segoe UI"/>
          <w:sz w:val="20"/>
          <w:lang w:val="el-GR" w:eastAsia="el-GR" w:bidi="el-GR"/>
        </w:rPr>
        <w:t xml:space="preserve"> υψηλότερ</w:t>
      </w:r>
      <w:r w:rsidR="00801667" w:rsidRPr="00A6792B">
        <w:rPr>
          <w:rFonts w:ascii="Segoe UI" w:hAnsi="Segoe UI" w:cs="Segoe UI"/>
          <w:sz w:val="20"/>
          <w:lang w:val="el-GR" w:eastAsia="el-GR" w:bidi="el-GR"/>
        </w:rPr>
        <w:t>α</w:t>
      </w:r>
      <w:r w:rsidR="007638B2" w:rsidRPr="00A6792B">
        <w:rPr>
          <w:rFonts w:ascii="Segoe UI" w:hAnsi="Segoe UI" w:cs="Segoe UI"/>
          <w:sz w:val="20"/>
          <w:lang w:val="el-GR" w:eastAsia="el-GR" w:bidi="el-GR"/>
        </w:rPr>
        <w:t xml:space="preserve"> επίπεδ</w:t>
      </w:r>
      <w:r w:rsidR="00801667" w:rsidRPr="00A6792B">
        <w:rPr>
          <w:rFonts w:ascii="Segoe UI" w:hAnsi="Segoe UI" w:cs="Segoe UI"/>
          <w:sz w:val="20"/>
          <w:lang w:val="el-GR" w:eastAsia="el-GR" w:bidi="el-GR"/>
        </w:rPr>
        <w:t>α</w:t>
      </w:r>
      <w:r w:rsidR="007638B2" w:rsidRPr="00A6792B">
        <w:rPr>
          <w:rFonts w:ascii="Segoe UI" w:hAnsi="Segoe UI" w:cs="Segoe UI"/>
          <w:sz w:val="20"/>
          <w:lang w:val="el-GR" w:eastAsia="el-GR" w:bidi="el-GR"/>
        </w:rPr>
        <w:t xml:space="preserve"> του εγχώριου τραπεζικού κλάδου</w:t>
      </w:r>
      <w:r w:rsidR="00582E29" w:rsidRPr="00A6792B">
        <w:rPr>
          <w:rFonts w:ascii="Segoe UI" w:hAnsi="Segoe UI" w:cs="Segoe UI"/>
          <w:sz w:val="20"/>
          <w:vertAlign w:val="superscript"/>
          <w:lang w:val="el-GR" w:eastAsia="el-GR" w:bidi="el-GR"/>
        </w:rPr>
        <w:t>1</w:t>
      </w:r>
      <w:r w:rsidR="007638B2" w:rsidRPr="00A6792B">
        <w:rPr>
          <w:rFonts w:ascii="Segoe UI" w:hAnsi="Segoe UI" w:cs="Segoe UI"/>
          <w:sz w:val="20"/>
          <w:lang w:val="el-GR" w:eastAsia="el-GR" w:bidi="el-GR"/>
        </w:rPr>
        <w:t>.</w:t>
      </w:r>
    </w:p>
    <w:p w:rsidR="00FA7E3A" w:rsidRPr="00A6792B" w:rsidRDefault="002B2393"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Στη ΝΑ Ευρώπη και τις λοιπές διεθνείς δραστηριότητες</w:t>
      </w:r>
      <w:r w:rsidR="004929D8" w:rsidRPr="00A6792B">
        <w:rPr>
          <w:rStyle w:val="a9"/>
          <w:rFonts w:ascii="Segoe UI" w:hAnsi="Segoe UI" w:cs="Segoe UI"/>
          <w:sz w:val="20"/>
          <w:lang w:val="el-GR" w:eastAsia="el-GR" w:bidi="el-GR"/>
        </w:rPr>
        <w:footnoteReference w:id="4"/>
      </w:r>
      <w:r w:rsidRPr="00A6792B">
        <w:rPr>
          <w:rFonts w:ascii="Segoe UI" w:hAnsi="Segoe UI" w:cs="Segoe UI"/>
          <w:sz w:val="20"/>
          <w:lang w:val="el-GR" w:eastAsia="el-GR" w:bidi="el-GR"/>
        </w:rPr>
        <w:t>, ο δείκτης δανείων σε καθυστέρηση ά</w:t>
      </w:r>
      <w:r w:rsidR="00E03C60" w:rsidRPr="00A6792B">
        <w:rPr>
          <w:rFonts w:ascii="Segoe UI" w:hAnsi="Segoe UI" w:cs="Segoe UI"/>
          <w:sz w:val="20"/>
          <w:lang w:val="el-GR" w:eastAsia="el-GR" w:bidi="el-GR"/>
        </w:rPr>
        <w:t>νω των 90 ημερών ανήλθε σε 26</w:t>
      </w:r>
      <w:r w:rsidRPr="00A6792B">
        <w:rPr>
          <w:rFonts w:ascii="Segoe UI" w:hAnsi="Segoe UI" w:cs="Segoe UI"/>
          <w:sz w:val="20"/>
          <w:lang w:val="el-GR" w:eastAsia="el-GR" w:bidi="el-GR"/>
        </w:rPr>
        <w:t>,</w:t>
      </w:r>
      <w:r w:rsidR="00E03C60" w:rsidRPr="00A6792B">
        <w:rPr>
          <w:rFonts w:ascii="Segoe UI" w:hAnsi="Segoe UI" w:cs="Segoe UI"/>
          <w:sz w:val="20"/>
          <w:lang w:val="el-GR" w:eastAsia="el-GR" w:bidi="el-GR"/>
        </w:rPr>
        <w:t>5</w:t>
      </w:r>
      <w:r w:rsidRPr="00A6792B">
        <w:rPr>
          <w:rFonts w:ascii="Segoe UI" w:hAnsi="Segoe UI" w:cs="Segoe UI"/>
          <w:sz w:val="20"/>
          <w:lang w:val="el-GR" w:eastAsia="el-GR" w:bidi="el-GR"/>
        </w:rPr>
        <w:t xml:space="preserve">% το </w:t>
      </w:r>
      <w:r w:rsidR="00E03C60" w:rsidRPr="00A6792B">
        <w:rPr>
          <w:rFonts w:ascii="Segoe UI" w:hAnsi="Segoe UI" w:cs="Segoe UI"/>
          <w:sz w:val="20"/>
          <w:lang w:val="el-GR" w:eastAsia="el-GR" w:bidi="el-GR"/>
        </w:rPr>
        <w:t>Β' τρίμηνο του 2016 (</w:t>
      </w:r>
      <w:r w:rsidR="005F3881" w:rsidRPr="00A6792B">
        <w:rPr>
          <w:rFonts w:ascii="Segoe UI" w:hAnsi="Segoe UI" w:cs="Segoe UI"/>
          <w:sz w:val="20"/>
          <w:lang w:val="el-GR" w:eastAsia="el-GR" w:bidi="el-GR"/>
        </w:rPr>
        <w:t>-</w:t>
      </w:r>
      <w:r w:rsidR="00E03C60" w:rsidRPr="00A6792B">
        <w:rPr>
          <w:rFonts w:ascii="Segoe UI" w:hAnsi="Segoe UI" w:cs="Segoe UI"/>
          <w:sz w:val="20"/>
          <w:lang w:val="el-GR" w:eastAsia="el-GR" w:bidi="el-GR"/>
        </w:rPr>
        <w:t>50</w:t>
      </w:r>
      <w:r w:rsidRPr="00A6792B">
        <w:rPr>
          <w:rFonts w:ascii="Segoe UI" w:hAnsi="Segoe UI" w:cs="Segoe UI"/>
          <w:sz w:val="20"/>
          <w:lang w:val="el-GR" w:eastAsia="el-GR" w:bidi="el-GR"/>
        </w:rPr>
        <w:t xml:space="preserve">μ.β. σε τριμηνιαία βάση), με το δείκτη κάλυψης δανείων σε καθυστέρηση άνω των 90 ημερών </w:t>
      </w:r>
      <w:r w:rsidR="00142C37" w:rsidRPr="00142C37">
        <w:rPr>
          <w:rFonts w:ascii="Segoe UI" w:hAnsi="Segoe UI" w:cs="Segoe UI"/>
          <w:sz w:val="20"/>
          <w:lang w:val="el-GR" w:eastAsia="el-GR" w:bidi="el-GR"/>
        </w:rPr>
        <w:t xml:space="preserve">από σωρευμένες προβλέψεις </w:t>
      </w:r>
      <w:r w:rsidRPr="00A6792B">
        <w:rPr>
          <w:rFonts w:ascii="Segoe UI" w:hAnsi="Segoe UI" w:cs="Segoe UI"/>
          <w:sz w:val="20"/>
          <w:lang w:val="el-GR" w:eastAsia="el-GR" w:bidi="el-GR"/>
        </w:rPr>
        <w:t xml:space="preserve">να αυξάνεται σε </w:t>
      </w:r>
      <w:r w:rsidR="00E03C60" w:rsidRPr="00A6792B">
        <w:rPr>
          <w:rFonts w:ascii="Segoe UI" w:hAnsi="Segoe UI" w:cs="Segoe UI"/>
          <w:sz w:val="20"/>
          <w:lang w:val="el-GR" w:eastAsia="el-GR" w:bidi="el-GR"/>
        </w:rPr>
        <w:t xml:space="preserve">59,1% από </w:t>
      </w:r>
      <w:r w:rsidRPr="00A6792B">
        <w:rPr>
          <w:rFonts w:ascii="Segoe UI" w:hAnsi="Segoe UI" w:cs="Segoe UI"/>
          <w:sz w:val="20"/>
          <w:lang w:val="el-GR" w:eastAsia="el-GR" w:bidi="el-GR"/>
        </w:rPr>
        <w:t>58,3% το προηγούμενο τρίμηνο.</w:t>
      </w:r>
    </w:p>
    <w:p w:rsidR="00FA7E3A" w:rsidRPr="00A6792B" w:rsidRDefault="00FA7E3A" w:rsidP="004929D8">
      <w:pPr>
        <w:autoSpaceDE w:val="0"/>
        <w:autoSpaceDN w:val="0"/>
        <w:adjustRightInd w:val="0"/>
        <w:spacing w:after="160" w:line="320" w:lineRule="atLeast"/>
        <w:jc w:val="both"/>
        <w:rPr>
          <w:rFonts w:ascii="Segoe UI" w:hAnsi="Segoe UI" w:cs="Segoe UI"/>
          <w:sz w:val="20"/>
          <w:highlight w:val="yellow"/>
          <w:lang w:val="el-GR" w:eastAsia="el-GR" w:bidi="el-GR"/>
        </w:rPr>
      </w:pPr>
    </w:p>
    <w:p w:rsidR="00216B02" w:rsidRPr="00A6792B" w:rsidRDefault="00216B02"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Ενισχυμένη ρευστότητα σε σχέση με τον ανταγωνισμό</w:t>
      </w:r>
      <w:r w:rsidR="00A8549C" w:rsidRPr="00A6792B">
        <w:rPr>
          <w:rFonts w:ascii="Segoe UI" w:hAnsi="Segoe UI" w:cs="Segoe UI"/>
          <w:b/>
          <w:sz w:val="20"/>
          <w:vertAlign w:val="superscript"/>
          <w:lang w:val="el-GR" w:eastAsia="el-GR" w:bidi="el-GR"/>
        </w:rPr>
        <w:t>1</w:t>
      </w:r>
    </w:p>
    <w:p w:rsidR="00216B02" w:rsidRPr="00A6792B" w:rsidRDefault="00BD4A9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Ο</w:t>
      </w:r>
      <w:r w:rsidR="00216B02" w:rsidRPr="00A6792B">
        <w:rPr>
          <w:rFonts w:ascii="Segoe UI" w:hAnsi="Segoe UI" w:cs="Segoe UI"/>
          <w:sz w:val="20"/>
          <w:lang w:val="el-GR" w:eastAsia="el-GR" w:bidi="el-GR"/>
        </w:rPr>
        <w:t>ι καταθέσεις του Ομίλου</w:t>
      </w:r>
      <w:r w:rsidRPr="00A6792B">
        <w:rPr>
          <w:rFonts w:ascii="Segoe UI" w:hAnsi="Segoe UI" w:cs="Segoe UI"/>
          <w:sz w:val="20"/>
          <w:lang w:val="el-GR" w:eastAsia="el-GR" w:bidi="el-GR"/>
        </w:rPr>
        <w:t xml:space="preserve">παρέμειναν σχεδόν αμετάβλητες </w:t>
      </w:r>
      <w:r w:rsidR="005A6B79" w:rsidRPr="00A6792B">
        <w:rPr>
          <w:rFonts w:ascii="Segoe UI" w:hAnsi="Segoe UI" w:cs="Segoe UI"/>
          <w:sz w:val="20"/>
          <w:lang w:val="el-GR" w:eastAsia="el-GR" w:bidi="el-GR"/>
        </w:rPr>
        <w:t xml:space="preserve">κατά το </w:t>
      </w:r>
      <w:r w:rsidR="007C5802" w:rsidRPr="00A6792B">
        <w:rPr>
          <w:rFonts w:ascii="Segoe UI" w:hAnsi="Segoe UI" w:cs="Segoe UI"/>
          <w:sz w:val="20"/>
          <w:lang w:val="el-GR" w:eastAsia="el-GR" w:bidi="el-GR"/>
        </w:rPr>
        <w:t>Β</w:t>
      </w:r>
      <w:r w:rsidR="005A6B79" w:rsidRPr="00A6792B">
        <w:rPr>
          <w:rFonts w:ascii="Segoe UI" w:hAnsi="Segoe UI" w:cs="Segoe UI"/>
          <w:sz w:val="20"/>
          <w:lang w:val="el-GR" w:eastAsia="el-GR" w:bidi="el-GR"/>
        </w:rPr>
        <w:t>’ τρίμηνο του 2016</w:t>
      </w:r>
      <w:r w:rsidR="00837108" w:rsidRPr="00A6792B">
        <w:rPr>
          <w:rFonts w:ascii="Segoe UI" w:hAnsi="Segoe UI" w:cs="Segoe UI"/>
          <w:sz w:val="20"/>
          <w:lang w:val="el-GR" w:eastAsia="el-GR" w:bidi="el-GR"/>
        </w:rPr>
        <w:t xml:space="preserve"> και διαμορφώθηκαν</w:t>
      </w:r>
      <w:r w:rsidR="005A6B79" w:rsidRPr="00A6792B">
        <w:rPr>
          <w:rFonts w:ascii="Segoe UI" w:hAnsi="Segoe UI" w:cs="Segoe UI"/>
          <w:sz w:val="20"/>
          <w:lang w:val="el-GR" w:eastAsia="el-GR" w:bidi="el-GR"/>
        </w:rPr>
        <w:t xml:space="preserve"> σε €</w:t>
      </w:r>
      <w:r w:rsidR="00216B02" w:rsidRPr="00A6792B">
        <w:rPr>
          <w:rFonts w:ascii="Segoe UI" w:hAnsi="Segoe UI" w:cs="Segoe UI"/>
          <w:sz w:val="20"/>
          <w:lang w:val="el-GR" w:eastAsia="el-GR" w:bidi="el-GR"/>
        </w:rPr>
        <w:t>4</w:t>
      </w:r>
      <w:r w:rsidR="005A6B79" w:rsidRPr="00A6792B">
        <w:rPr>
          <w:rFonts w:ascii="Segoe UI" w:hAnsi="Segoe UI" w:cs="Segoe UI"/>
          <w:sz w:val="20"/>
          <w:lang w:val="el-GR" w:eastAsia="el-GR" w:bidi="el-GR"/>
        </w:rPr>
        <w:t>2</w:t>
      </w:r>
      <w:r w:rsidR="00216B02" w:rsidRPr="00A6792B">
        <w:rPr>
          <w:rFonts w:ascii="Segoe UI" w:hAnsi="Segoe UI" w:cs="Segoe UI"/>
          <w:sz w:val="20"/>
          <w:lang w:val="el-GR" w:eastAsia="el-GR" w:bidi="el-GR"/>
        </w:rPr>
        <w:t>,</w:t>
      </w:r>
      <w:r w:rsidRPr="00A6792B">
        <w:rPr>
          <w:rFonts w:ascii="Segoe UI" w:hAnsi="Segoe UI" w:cs="Segoe UI"/>
          <w:sz w:val="20"/>
          <w:lang w:val="el-GR" w:eastAsia="el-GR" w:bidi="el-GR"/>
        </w:rPr>
        <w:t>2</w:t>
      </w:r>
      <w:r w:rsidR="00216B02" w:rsidRPr="00A6792B">
        <w:rPr>
          <w:rFonts w:ascii="Segoe UI" w:hAnsi="Segoe UI" w:cs="Segoe UI"/>
          <w:sz w:val="20"/>
          <w:lang w:val="el-GR" w:eastAsia="el-GR" w:bidi="el-GR"/>
        </w:rPr>
        <w:t xml:space="preserve"> δι</w:t>
      </w:r>
      <w:r w:rsidR="007C5802" w:rsidRPr="00A6792B">
        <w:rPr>
          <w:rFonts w:ascii="Segoe UI" w:hAnsi="Segoe UI" w:cs="Segoe UI"/>
          <w:sz w:val="20"/>
          <w:lang w:val="el-GR" w:eastAsia="el-GR" w:bidi="el-GR"/>
        </w:rPr>
        <w:t>σ</w:t>
      </w:r>
      <w:r w:rsidR="00C31288" w:rsidRPr="00A6792B">
        <w:rPr>
          <w:rFonts w:ascii="Segoe UI" w:hAnsi="Segoe UI" w:cs="Segoe UI"/>
          <w:sz w:val="20"/>
          <w:lang w:val="el-GR" w:eastAsia="el-GR" w:bidi="el-GR"/>
        </w:rPr>
        <w:t xml:space="preserve">. </w:t>
      </w:r>
      <w:r w:rsidR="005A6B79" w:rsidRPr="00A6792B">
        <w:rPr>
          <w:rFonts w:ascii="Segoe UI" w:hAnsi="Segoe UI" w:cs="Segoe UI"/>
          <w:sz w:val="20"/>
          <w:lang w:val="el-GR" w:eastAsia="el-GR" w:bidi="el-GR"/>
        </w:rPr>
        <w:t>(</w:t>
      </w:r>
      <w:r w:rsidRPr="00A6792B">
        <w:rPr>
          <w:rFonts w:ascii="Segoe UI" w:hAnsi="Segoe UI" w:cs="Segoe UI"/>
          <w:sz w:val="20"/>
          <w:lang w:val="el-GR" w:eastAsia="el-GR" w:bidi="el-GR"/>
        </w:rPr>
        <w:t>+0</w:t>
      </w:r>
      <w:r w:rsidR="005A6B79" w:rsidRPr="00A6792B">
        <w:rPr>
          <w:rFonts w:ascii="Segoe UI" w:hAnsi="Segoe UI" w:cs="Segoe UI"/>
          <w:sz w:val="20"/>
          <w:lang w:val="el-GR" w:eastAsia="el-GR" w:bidi="el-GR"/>
        </w:rPr>
        <w:t>,</w:t>
      </w:r>
      <w:r w:rsidRPr="00A6792B">
        <w:rPr>
          <w:rFonts w:ascii="Segoe UI" w:hAnsi="Segoe UI" w:cs="Segoe UI"/>
          <w:sz w:val="20"/>
          <w:lang w:val="el-GR" w:eastAsia="el-GR" w:bidi="el-GR"/>
        </w:rPr>
        <w:t>3</w:t>
      </w:r>
      <w:r w:rsidR="005A6B79" w:rsidRPr="00A6792B">
        <w:rPr>
          <w:rFonts w:ascii="Segoe UI" w:hAnsi="Segoe UI" w:cs="Segoe UI"/>
          <w:sz w:val="20"/>
          <w:lang w:val="el-GR" w:eastAsia="el-GR" w:bidi="el-GR"/>
        </w:rPr>
        <w:t>% σε τριμηνιαία βάση)</w:t>
      </w:r>
      <w:r w:rsidRPr="00A6792B">
        <w:rPr>
          <w:rFonts w:ascii="Segoe UI" w:hAnsi="Segoe UI" w:cs="Segoe UI"/>
          <w:sz w:val="20"/>
          <w:lang w:val="el-GR" w:eastAsia="el-GR" w:bidi="el-GR"/>
        </w:rPr>
        <w:t xml:space="preserve">, αποτυπώνοντας κυρίως τη σταθεροποίηση των καταθέσεων στην Ελλάδα. </w:t>
      </w:r>
      <w:r w:rsidR="00C90BBE" w:rsidRPr="00A6792B">
        <w:rPr>
          <w:rFonts w:ascii="Segoe UI" w:hAnsi="Segoe UI" w:cs="Segoe UI"/>
          <w:sz w:val="20"/>
          <w:lang w:val="el-GR" w:eastAsia="el-GR" w:bidi="el-GR"/>
        </w:rPr>
        <w:t xml:space="preserve">Ειδικότερα, οι καταθέσεις </w:t>
      </w:r>
      <w:r w:rsidR="00D2177C">
        <w:rPr>
          <w:rFonts w:ascii="Segoe UI" w:hAnsi="Segoe UI" w:cs="Segoe UI"/>
          <w:sz w:val="20"/>
          <w:lang w:val="el-GR" w:eastAsia="el-GR" w:bidi="el-GR"/>
        </w:rPr>
        <w:t xml:space="preserve">στην Ελλάδα παρέμειναν σχεδόν αμετάβλητες </w:t>
      </w:r>
      <w:r w:rsidRPr="00A6792B">
        <w:rPr>
          <w:rFonts w:ascii="Segoe UI" w:hAnsi="Segoe UI" w:cs="Segoe UI"/>
          <w:sz w:val="20"/>
          <w:lang w:val="el-GR" w:eastAsia="el-GR" w:bidi="el-GR"/>
        </w:rPr>
        <w:t>σε τριμηνιαία βάση</w:t>
      </w:r>
      <w:r w:rsidR="00A8549C" w:rsidRPr="00A6792B">
        <w:rPr>
          <w:rFonts w:ascii="Segoe UI" w:hAnsi="Segoe UI" w:cs="Segoe UI"/>
          <w:sz w:val="20"/>
          <w:lang w:val="el-GR" w:eastAsia="el-GR" w:bidi="el-GR"/>
        </w:rPr>
        <w:t>,</w:t>
      </w:r>
      <w:r w:rsidR="0004448D" w:rsidRPr="00A6792B">
        <w:rPr>
          <w:rFonts w:ascii="Segoe UI" w:hAnsi="Segoe UI" w:cs="Segoe UI"/>
          <w:sz w:val="20"/>
          <w:lang w:val="el-GR" w:eastAsia="el-GR" w:bidi="el-GR"/>
        </w:rPr>
        <w:t xml:space="preserve">έναντι </w:t>
      </w:r>
      <w:r w:rsidRPr="00A6792B">
        <w:rPr>
          <w:rFonts w:ascii="Segoe UI" w:hAnsi="Segoe UI" w:cs="Segoe UI"/>
          <w:sz w:val="20"/>
          <w:lang w:val="el-GR" w:eastAsia="el-GR" w:bidi="el-GR"/>
        </w:rPr>
        <w:t>εκροών</w:t>
      </w:r>
      <w:r w:rsidR="00CD6FD7" w:rsidRPr="00A6792B">
        <w:rPr>
          <w:rFonts w:ascii="Segoe UI" w:hAnsi="Segoe UI" w:cs="Segoe UI"/>
          <w:sz w:val="20"/>
          <w:lang w:val="el-GR" w:eastAsia="el-GR" w:bidi="el-GR"/>
        </w:rPr>
        <w:t>ύψους</w:t>
      </w:r>
      <w:r w:rsidR="00216B02" w:rsidRPr="00A6792B">
        <w:rPr>
          <w:rFonts w:ascii="Segoe UI" w:hAnsi="Segoe UI" w:cs="Segoe UI"/>
          <w:sz w:val="20"/>
          <w:lang w:val="el-GR" w:eastAsia="el-GR" w:bidi="el-GR"/>
        </w:rPr>
        <w:t>€</w:t>
      </w:r>
      <w:r w:rsidR="005A6B79" w:rsidRPr="00A6792B">
        <w:rPr>
          <w:rFonts w:ascii="Segoe UI" w:hAnsi="Segoe UI" w:cs="Segoe UI"/>
          <w:sz w:val="20"/>
          <w:lang w:val="el-GR" w:eastAsia="el-GR" w:bidi="el-GR"/>
        </w:rPr>
        <w:t>0,</w:t>
      </w:r>
      <w:r w:rsidRPr="00A6792B">
        <w:rPr>
          <w:rFonts w:ascii="Segoe UI" w:hAnsi="Segoe UI" w:cs="Segoe UI"/>
          <w:sz w:val="20"/>
          <w:lang w:val="el-GR" w:eastAsia="el-GR" w:bidi="el-GR"/>
        </w:rPr>
        <w:t>9</w:t>
      </w:r>
      <w:r w:rsidR="005A6B79" w:rsidRPr="00A6792B">
        <w:rPr>
          <w:rFonts w:ascii="Segoe UI" w:hAnsi="Segoe UI" w:cs="Segoe UI"/>
          <w:sz w:val="20"/>
          <w:lang w:val="el-GR" w:eastAsia="el-GR" w:bidi="el-GR"/>
        </w:rPr>
        <w:t xml:space="preserve"> δισ. το </w:t>
      </w:r>
      <w:r w:rsidR="007C5802" w:rsidRPr="00A6792B">
        <w:rPr>
          <w:rFonts w:ascii="Segoe UI" w:hAnsi="Segoe UI" w:cs="Segoe UI"/>
          <w:sz w:val="20"/>
          <w:lang w:val="el-GR" w:eastAsia="el-GR" w:bidi="el-GR"/>
        </w:rPr>
        <w:t>Α</w:t>
      </w:r>
      <w:r w:rsidRPr="00A6792B">
        <w:rPr>
          <w:rFonts w:ascii="Segoe UI" w:hAnsi="Segoe UI" w:cs="Segoe UI"/>
          <w:sz w:val="20"/>
          <w:lang w:val="el-GR" w:eastAsia="el-GR" w:bidi="el-GR"/>
        </w:rPr>
        <w:t>΄ τρίμηνο του 2016</w:t>
      </w:r>
      <w:r w:rsidR="006A5490" w:rsidRPr="00A6792B">
        <w:rPr>
          <w:rFonts w:ascii="Segoe UI" w:hAnsi="Segoe UI" w:cs="Segoe UI"/>
          <w:sz w:val="20"/>
          <w:lang w:val="el-GR" w:eastAsia="el-GR" w:bidi="el-GR"/>
        </w:rPr>
        <w:t xml:space="preserve">. </w:t>
      </w:r>
      <w:r w:rsidR="00D479F3" w:rsidRPr="00D479F3">
        <w:rPr>
          <w:rFonts w:ascii="Segoe UI" w:hAnsi="Segoe UI" w:cs="Segoe UI"/>
          <w:sz w:val="20"/>
          <w:lang w:val="el-GR" w:eastAsia="el-GR" w:bidi="el-GR"/>
        </w:rPr>
        <w:t xml:space="preserve">Από το τέλος του Β’ τριμήνου του 2016, οι </w:t>
      </w:r>
      <w:r w:rsidR="005C0964">
        <w:rPr>
          <w:rFonts w:ascii="Segoe UI" w:hAnsi="Segoe UI" w:cs="Segoe UI"/>
          <w:sz w:val="20"/>
          <w:lang w:val="el-GR" w:eastAsia="el-GR" w:bidi="el-GR"/>
        </w:rPr>
        <w:t xml:space="preserve">καταθέσεις στην Ελλάδα </w:t>
      </w:r>
      <w:r w:rsidR="007332AA">
        <w:rPr>
          <w:rFonts w:ascii="Segoe UI" w:hAnsi="Segoe UI" w:cs="Segoe UI"/>
          <w:sz w:val="20"/>
          <w:lang w:val="el-GR" w:eastAsia="el-GR" w:bidi="el-GR"/>
        </w:rPr>
        <w:t xml:space="preserve">έχουν αυξηθεί </w:t>
      </w:r>
      <w:r w:rsidR="005C0964">
        <w:rPr>
          <w:rFonts w:ascii="Segoe UI" w:hAnsi="Segoe UI" w:cs="Segoe UI"/>
          <w:sz w:val="20"/>
          <w:lang w:val="el-GR" w:eastAsia="el-GR" w:bidi="el-GR"/>
        </w:rPr>
        <w:t xml:space="preserve">κατά </w:t>
      </w:r>
      <w:r w:rsidR="00D479F3" w:rsidRPr="00D479F3">
        <w:rPr>
          <w:rFonts w:ascii="Segoe UI" w:hAnsi="Segoe UI" w:cs="Segoe UI"/>
          <w:sz w:val="20"/>
          <w:lang w:val="el-GR" w:eastAsia="el-GR" w:bidi="el-GR"/>
        </w:rPr>
        <w:t>€</w:t>
      </w:r>
      <w:r w:rsidR="005C0964">
        <w:rPr>
          <w:rFonts w:ascii="Segoe UI" w:hAnsi="Segoe UI" w:cs="Segoe UI"/>
          <w:sz w:val="20"/>
          <w:lang w:val="el-GR" w:eastAsia="el-GR" w:bidi="el-GR"/>
        </w:rPr>
        <w:t>0,3 δισ</w:t>
      </w:r>
      <w:r w:rsidR="00D479F3" w:rsidRPr="00D479F3">
        <w:rPr>
          <w:rFonts w:ascii="Segoe UI" w:hAnsi="Segoe UI" w:cs="Segoe UI"/>
          <w:sz w:val="20"/>
          <w:lang w:val="el-GR" w:eastAsia="el-GR" w:bidi="el-GR"/>
        </w:rPr>
        <w:t>.</w:t>
      </w:r>
      <w:r w:rsidR="000D64E8" w:rsidRPr="00A6792B">
        <w:rPr>
          <w:rFonts w:ascii="Segoe UI" w:hAnsi="Segoe UI" w:cs="Segoe UI"/>
          <w:sz w:val="20"/>
          <w:lang w:val="el-GR" w:eastAsia="el-GR" w:bidi="el-GR"/>
        </w:rPr>
        <w:t>Οι</w:t>
      </w:r>
      <w:r w:rsidR="005A6B79" w:rsidRPr="00A6792B">
        <w:rPr>
          <w:rFonts w:ascii="Segoe UI" w:hAnsi="Segoe UI" w:cs="Segoe UI"/>
          <w:sz w:val="20"/>
          <w:lang w:val="el-GR" w:eastAsia="el-GR" w:bidi="el-GR"/>
        </w:rPr>
        <w:t xml:space="preserve"> καταθέσεις στη </w:t>
      </w:r>
      <w:r w:rsidR="00216B02" w:rsidRPr="00A6792B">
        <w:rPr>
          <w:rFonts w:ascii="Segoe UI" w:hAnsi="Segoe UI" w:cs="Segoe UI"/>
          <w:sz w:val="20"/>
          <w:lang w:val="el-GR" w:eastAsia="el-GR" w:bidi="el-GR"/>
        </w:rPr>
        <w:t>Ν.Α. Ευρώπη και τις λοιπές χώρες</w:t>
      </w:r>
      <w:r w:rsidR="00A8549C" w:rsidRPr="00A6792B">
        <w:rPr>
          <w:rFonts w:ascii="Segoe UI" w:hAnsi="Segoe UI" w:cs="Segoe UI"/>
          <w:sz w:val="20"/>
          <w:vertAlign w:val="superscript"/>
          <w:lang w:val="el-GR" w:eastAsia="el-GR" w:bidi="el-GR"/>
        </w:rPr>
        <w:t>2</w:t>
      </w:r>
      <w:r w:rsidR="00F95E4C">
        <w:rPr>
          <w:rFonts w:ascii="Segoe UI" w:hAnsi="Segoe UI" w:cs="Segoe UI"/>
          <w:sz w:val="20"/>
          <w:lang w:val="el-GR" w:eastAsia="el-GR" w:bidi="el-GR"/>
        </w:rPr>
        <w:t xml:space="preserve">ενισχύθηκαν κατά </w:t>
      </w:r>
      <w:r w:rsidR="006A5490" w:rsidRPr="00A6792B">
        <w:rPr>
          <w:rFonts w:ascii="Segoe UI" w:hAnsi="Segoe UI" w:cs="Segoe UI"/>
          <w:sz w:val="20"/>
          <w:lang w:val="el-GR" w:eastAsia="el-GR" w:bidi="el-GR"/>
        </w:rPr>
        <w:t xml:space="preserve">2,8% σε σχέση με το προηγούμενο τρίμηνο, ανερχόμενες </w:t>
      </w:r>
      <w:r w:rsidR="005A6B79" w:rsidRPr="00A6792B">
        <w:rPr>
          <w:rFonts w:ascii="Segoe UI" w:hAnsi="Segoe UI" w:cs="Segoe UI"/>
          <w:sz w:val="20"/>
          <w:lang w:val="el-GR" w:eastAsia="el-GR" w:bidi="el-GR"/>
        </w:rPr>
        <w:t>σε €6,</w:t>
      </w:r>
      <w:r w:rsidR="006A5490" w:rsidRPr="00A6792B">
        <w:rPr>
          <w:rFonts w:ascii="Segoe UI" w:hAnsi="Segoe UI" w:cs="Segoe UI"/>
          <w:sz w:val="20"/>
          <w:lang w:val="el-GR" w:eastAsia="el-GR" w:bidi="el-GR"/>
        </w:rPr>
        <w:t>5</w:t>
      </w:r>
      <w:r w:rsidR="005A6B79" w:rsidRPr="00A6792B">
        <w:rPr>
          <w:rFonts w:ascii="Segoe UI" w:hAnsi="Segoe UI" w:cs="Segoe UI"/>
          <w:sz w:val="20"/>
          <w:lang w:val="el-GR" w:eastAsia="el-GR" w:bidi="el-GR"/>
        </w:rPr>
        <w:t xml:space="preserve"> δισ. </w:t>
      </w:r>
      <w:r w:rsidR="00A8549C" w:rsidRPr="00A6792B">
        <w:rPr>
          <w:rFonts w:ascii="Segoe UI" w:hAnsi="Segoe UI" w:cs="Segoe UI"/>
          <w:sz w:val="20"/>
          <w:lang w:val="el-GR" w:eastAsia="el-GR" w:bidi="el-GR"/>
        </w:rPr>
        <w:t xml:space="preserve">το Β’ τρίμηνο του έτους. </w:t>
      </w:r>
    </w:p>
    <w:p w:rsidR="000B3191" w:rsidRPr="00A6792B" w:rsidRDefault="000B3191"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lastRenderedPageBreak/>
        <w:t xml:space="preserve">Μετά την ολοκλήρωση της πώλησης της Finansbank στα μέσα Ιουνίου, η χρηματοδότηση από το Ευρωσύστημα μειώθηκε </w:t>
      </w:r>
      <w:r w:rsidR="0025453B">
        <w:rPr>
          <w:rFonts w:ascii="Segoe UI" w:hAnsi="Segoe UI" w:cs="Segoe UI"/>
          <w:sz w:val="20"/>
          <w:lang w:val="el-GR" w:eastAsia="el-GR" w:bidi="el-GR"/>
        </w:rPr>
        <w:t>σημαντικά</w:t>
      </w:r>
      <w:r w:rsidRPr="00A6792B">
        <w:rPr>
          <w:rFonts w:ascii="Segoe UI" w:hAnsi="Segoe UI" w:cs="Segoe UI"/>
          <w:sz w:val="20"/>
          <w:lang w:val="el-GR" w:eastAsia="el-GR" w:bidi="el-GR"/>
        </w:rPr>
        <w:t xml:space="preserve"> σε €1</w:t>
      </w:r>
      <w:r w:rsidR="00950AFD" w:rsidRPr="00A6792B">
        <w:rPr>
          <w:rFonts w:ascii="Segoe UI" w:hAnsi="Segoe UI" w:cs="Segoe UI"/>
          <w:sz w:val="20"/>
          <w:lang w:val="el-GR" w:eastAsia="el-GR" w:bidi="el-GR"/>
        </w:rPr>
        <w:t>3</w:t>
      </w:r>
      <w:r w:rsidRPr="00A6792B">
        <w:rPr>
          <w:rFonts w:ascii="Segoe UI" w:hAnsi="Segoe UI" w:cs="Segoe UI"/>
          <w:sz w:val="20"/>
          <w:lang w:val="el-GR" w:eastAsia="el-GR" w:bidi="el-GR"/>
        </w:rPr>
        <w:t>,2 δισ. τον Αύγουστο</w:t>
      </w:r>
      <w:r w:rsidR="004929D8" w:rsidRPr="00A6792B">
        <w:rPr>
          <w:rStyle w:val="a9"/>
          <w:rFonts w:ascii="Segoe UI" w:hAnsi="Segoe UI" w:cs="Segoe UI"/>
          <w:sz w:val="20"/>
          <w:lang w:val="el-GR" w:eastAsia="el-GR" w:bidi="el-GR"/>
        </w:rPr>
        <w:footnoteReference w:id="5"/>
      </w:r>
      <w:r w:rsidRPr="00A6792B">
        <w:rPr>
          <w:rFonts w:ascii="Segoe UI" w:hAnsi="Segoe UI" w:cs="Segoe UI"/>
          <w:sz w:val="20"/>
          <w:lang w:val="el-GR" w:eastAsia="el-GR" w:bidi="el-GR"/>
        </w:rPr>
        <w:t xml:space="preserve"> από €22,8 δισ. στο τέλος του Α΄ τριμήνου του 2016, με την έκθεση στον </w:t>
      </w:r>
      <w:r w:rsidR="009439D9">
        <w:rPr>
          <w:rFonts w:ascii="Segoe UI" w:hAnsi="Segoe UI" w:cs="Segoe UI"/>
          <w:sz w:val="20"/>
          <w:lang w:val="el-GR" w:eastAsia="el-GR" w:bidi="el-GR"/>
        </w:rPr>
        <w:t xml:space="preserve">μηχανισμό </w:t>
      </w:r>
      <w:r w:rsidRPr="00A6792B">
        <w:rPr>
          <w:rFonts w:ascii="Segoe UI" w:hAnsi="Segoe UI" w:cs="Segoe UI"/>
          <w:sz w:val="20"/>
          <w:lang w:val="el-GR" w:eastAsia="el-GR" w:bidi="el-GR"/>
        </w:rPr>
        <w:t xml:space="preserve">ΕLA να </w:t>
      </w:r>
      <w:r w:rsidR="0025453B">
        <w:rPr>
          <w:rFonts w:ascii="Segoe UI" w:hAnsi="Segoe UI" w:cs="Segoe UI"/>
          <w:sz w:val="20"/>
          <w:lang w:val="el-GR" w:eastAsia="el-GR" w:bidi="el-GR"/>
        </w:rPr>
        <w:t>περιστέλλεται</w:t>
      </w:r>
      <w:r w:rsidR="00950AFD" w:rsidRPr="00A6792B">
        <w:rPr>
          <w:rFonts w:ascii="Segoe UI" w:hAnsi="Segoe UI" w:cs="Segoe UI"/>
          <w:sz w:val="20"/>
          <w:lang w:val="el-GR" w:eastAsia="el-GR" w:bidi="el-GR"/>
        </w:rPr>
        <w:t>κατά</w:t>
      </w:r>
      <w:r w:rsidRPr="00A6792B">
        <w:rPr>
          <w:rFonts w:ascii="Segoe UI" w:hAnsi="Segoe UI" w:cs="Segoe UI"/>
          <w:sz w:val="20"/>
          <w:lang w:val="el-GR" w:eastAsia="el-GR" w:bidi="el-GR"/>
        </w:rPr>
        <w:t xml:space="preserve"> €</w:t>
      </w:r>
      <w:r w:rsidR="00950AFD" w:rsidRPr="00A6792B">
        <w:rPr>
          <w:rFonts w:ascii="Segoe UI" w:hAnsi="Segoe UI" w:cs="Segoe UI"/>
          <w:sz w:val="20"/>
          <w:lang w:val="el-GR" w:eastAsia="el-GR" w:bidi="el-GR"/>
        </w:rPr>
        <w:t>6</w:t>
      </w:r>
      <w:r w:rsidR="001250FE" w:rsidRPr="001250FE">
        <w:rPr>
          <w:rFonts w:ascii="Segoe UI" w:hAnsi="Segoe UI" w:cs="Segoe UI"/>
          <w:sz w:val="20"/>
          <w:lang w:val="el-GR" w:eastAsia="el-GR" w:bidi="el-GR"/>
        </w:rPr>
        <w:t>,5</w:t>
      </w:r>
      <w:r w:rsidRPr="00A6792B">
        <w:rPr>
          <w:rFonts w:ascii="Segoe UI" w:hAnsi="Segoe UI" w:cs="Segoe UI"/>
          <w:sz w:val="20"/>
          <w:lang w:val="el-GR" w:eastAsia="el-GR" w:bidi="el-GR"/>
        </w:rPr>
        <w:t xml:space="preserve"> δισ. σε </w:t>
      </w:r>
      <w:r w:rsidR="009439D9">
        <w:rPr>
          <w:rFonts w:ascii="Segoe UI" w:hAnsi="Segoe UI" w:cs="Segoe UI"/>
          <w:sz w:val="20"/>
          <w:lang w:val="el-GR" w:eastAsia="el-GR" w:bidi="el-GR"/>
        </w:rPr>
        <w:t xml:space="preserve">σχέση με το </w:t>
      </w:r>
      <w:r w:rsidR="001250FE">
        <w:rPr>
          <w:rFonts w:ascii="Segoe UI" w:hAnsi="Segoe UI" w:cs="Segoe UI"/>
          <w:sz w:val="20"/>
          <w:lang w:val="el-GR" w:eastAsia="el-GR" w:bidi="el-GR"/>
        </w:rPr>
        <w:t>Δ</w:t>
      </w:r>
      <w:r w:rsidR="009439D9">
        <w:rPr>
          <w:rFonts w:ascii="Segoe UI" w:hAnsi="Segoe UI" w:cs="Segoe UI"/>
          <w:sz w:val="20"/>
          <w:lang w:val="el-GR" w:eastAsia="el-GR" w:bidi="el-GR"/>
        </w:rPr>
        <w:t>’ τρίμηνο του 201</w:t>
      </w:r>
      <w:r w:rsidR="001250FE">
        <w:rPr>
          <w:rFonts w:ascii="Segoe UI" w:hAnsi="Segoe UI" w:cs="Segoe UI"/>
          <w:sz w:val="20"/>
          <w:lang w:val="el-GR" w:eastAsia="el-GR" w:bidi="el-GR"/>
        </w:rPr>
        <w:t>5</w:t>
      </w:r>
      <w:r w:rsidRPr="00A6792B">
        <w:rPr>
          <w:rFonts w:ascii="Segoe UI" w:hAnsi="Segoe UI" w:cs="Segoe UI"/>
          <w:sz w:val="20"/>
          <w:lang w:val="el-GR" w:eastAsia="el-GR" w:bidi="el-GR"/>
        </w:rPr>
        <w:t xml:space="preserve"> και να διαμορφώνεται σε </w:t>
      </w:r>
      <w:r w:rsidR="001250FE">
        <w:rPr>
          <w:rFonts w:ascii="Segoe UI" w:hAnsi="Segoe UI" w:cs="Segoe UI"/>
          <w:sz w:val="20"/>
          <w:lang w:val="el-GR" w:eastAsia="el-GR" w:bidi="el-GR"/>
        </w:rPr>
        <w:t xml:space="preserve">μόλις </w:t>
      </w:r>
      <w:r w:rsidRPr="00A6792B">
        <w:rPr>
          <w:rFonts w:ascii="Segoe UI" w:hAnsi="Segoe UI" w:cs="Segoe UI"/>
          <w:sz w:val="20"/>
          <w:lang w:val="el-GR" w:eastAsia="el-GR" w:bidi="el-GR"/>
        </w:rPr>
        <w:t>€5,</w:t>
      </w:r>
      <w:r w:rsidR="00950AFD" w:rsidRPr="00A6792B">
        <w:rPr>
          <w:rFonts w:ascii="Segoe UI" w:hAnsi="Segoe UI" w:cs="Segoe UI"/>
          <w:sz w:val="20"/>
          <w:lang w:val="el-GR" w:eastAsia="el-GR" w:bidi="el-GR"/>
        </w:rPr>
        <w:t>0</w:t>
      </w:r>
      <w:r w:rsidRPr="00A6792B">
        <w:rPr>
          <w:rFonts w:ascii="Segoe UI" w:hAnsi="Segoe UI" w:cs="Segoe UI"/>
          <w:sz w:val="20"/>
          <w:lang w:val="el-GR" w:eastAsia="el-GR" w:bidi="el-GR"/>
        </w:rPr>
        <w:t xml:space="preserve"> δισ., συνιστώντας τη χαμηλότερη έκθεση στον κλάδο</w:t>
      </w:r>
      <w:r w:rsidR="00E8717E" w:rsidRPr="00A6792B">
        <w:rPr>
          <w:rStyle w:val="a9"/>
          <w:rFonts w:ascii="Segoe UI" w:hAnsi="Segoe UI" w:cs="Segoe UI"/>
          <w:sz w:val="20"/>
          <w:lang w:val="el-GR" w:eastAsia="el-GR" w:bidi="el-GR"/>
        </w:rPr>
        <w:footnoteReference w:id="6"/>
      </w:r>
      <w:r w:rsidRPr="00A6792B">
        <w:rPr>
          <w:rFonts w:ascii="Segoe UI" w:hAnsi="Segoe UI" w:cs="Segoe UI"/>
          <w:sz w:val="20"/>
          <w:lang w:val="el-GR" w:eastAsia="el-GR" w:bidi="el-GR"/>
        </w:rPr>
        <w:t xml:space="preserve"> (ELA προς ενεργητικό εξαιρουμένων των ομολόγων EFSF &amp; ESM </w:t>
      </w:r>
      <w:r w:rsidR="00F20C41">
        <w:rPr>
          <w:rFonts w:ascii="Segoe UI" w:hAnsi="Segoe UI" w:cs="Segoe UI"/>
          <w:sz w:val="20"/>
          <w:lang w:val="el-GR" w:eastAsia="el-GR" w:bidi="el-GR"/>
        </w:rPr>
        <w:t>ανήλθε σε</w:t>
      </w:r>
      <w:r w:rsidR="00950AFD" w:rsidRPr="00A6792B">
        <w:rPr>
          <w:rFonts w:ascii="Segoe UI" w:hAnsi="Segoe UI" w:cs="Segoe UI"/>
          <w:sz w:val="20"/>
          <w:lang w:val="el-GR" w:eastAsia="el-GR" w:bidi="el-GR"/>
        </w:rPr>
        <w:t>7</w:t>
      </w:r>
      <w:r w:rsidRPr="00A6792B">
        <w:rPr>
          <w:rFonts w:ascii="Segoe UI" w:hAnsi="Segoe UI" w:cs="Segoe UI"/>
          <w:sz w:val="20"/>
          <w:lang w:val="el-GR" w:eastAsia="el-GR" w:bidi="el-GR"/>
        </w:rPr>
        <w:t>%).</w:t>
      </w:r>
      <w:r w:rsidR="007F185E" w:rsidRPr="00A6792B">
        <w:rPr>
          <w:rFonts w:ascii="Segoe UI" w:hAnsi="Segoe UI" w:cs="Segoe UI"/>
          <w:sz w:val="20"/>
          <w:lang w:val="el-GR" w:eastAsia="el-GR" w:bidi="el-GR"/>
        </w:rPr>
        <w:t xml:space="preserve">Η </w:t>
      </w:r>
      <w:r w:rsidR="00F20C41" w:rsidRPr="00F20C41">
        <w:rPr>
          <w:rFonts w:ascii="Segoe UI" w:hAnsi="Segoe UI" w:cs="Segoe UI"/>
          <w:sz w:val="20"/>
          <w:lang w:val="el-GR" w:eastAsia="el-GR" w:bidi="el-GR"/>
        </w:rPr>
        <w:t xml:space="preserve">Τράπεζα </w:t>
      </w:r>
      <w:r w:rsidR="007F185E" w:rsidRPr="00A6792B">
        <w:rPr>
          <w:rFonts w:ascii="Segoe UI" w:hAnsi="Segoe UI" w:cs="Segoe UI"/>
          <w:sz w:val="20"/>
          <w:lang w:val="el-GR" w:eastAsia="el-GR" w:bidi="el-GR"/>
        </w:rPr>
        <w:t xml:space="preserve">έχει δυνατότητα άντλησης επιπλέον ρευστότητας </w:t>
      </w:r>
      <w:r w:rsidR="00F20C41">
        <w:rPr>
          <w:rFonts w:ascii="Segoe UI" w:hAnsi="Segoe UI" w:cs="Segoe UI"/>
          <w:sz w:val="20"/>
          <w:lang w:val="el-GR" w:eastAsia="el-GR" w:bidi="el-GR"/>
        </w:rPr>
        <w:t xml:space="preserve">από το Ευρωσύστημα </w:t>
      </w:r>
      <w:r w:rsidR="007F185E" w:rsidRPr="00A6792B">
        <w:rPr>
          <w:rFonts w:ascii="Segoe UI" w:hAnsi="Segoe UI" w:cs="Segoe UI"/>
          <w:sz w:val="20"/>
          <w:lang w:val="el-GR" w:eastAsia="el-GR" w:bidi="el-GR"/>
        </w:rPr>
        <w:t>έως και €9,</w:t>
      </w:r>
      <w:r w:rsidR="00950AFD" w:rsidRPr="00A6792B">
        <w:rPr>
          <w:rFonts w:ascii="Segoe UI" w:hAnsi="Segoe UI" w:cs="Segoe UI"/>
          <w:sz w:val="20"/>
          <w:lang w:val="el-GR" w:eastAsia="el-GR" w:bidi="el-GR"/>
        </w:rPr>
        <w:t>8</w:t>
      </w:r>
      <w:r w:rsidR="007F185E" w:rsidRPr="00A6792B">
        <w:rPr>
          <w:rFonts w:ascii="Segoe UI" w:hAnsi="Segoe UI" w:cs="Segoe UI"/>
          <w:sz w:val="20"/>
          <w:lang w:val="el-GR" w:eastAsia="el-GR" w:bidi="el-GR"/>
        </w:rPr>
        <w:t xml:space="preserve"> δι</w:t>
      </w:r>
      <w:r w:rsidR="000F1E30">
        <w:rPr>
          <w:rFonts w:ascii="Segoe UI" w:hAnsi="Segoe UI" w:cs="Segoe UI"/>
          <w:sz w:val="20"/>
          <w:lang w:val="el-GR" w:eastAsia="el-GR" w:bidi="el-GR"/>
        </w:rPr>
        <w:t>σ</w:t>
      </w:r>
      <w:r w:rsidR="007F185E" w:rsidRPr="00A6792B">
        <w:rPr>
          <w:rFonts w:ascii="Segoe UI" w:hAnsi="Segoe UI" w:cs="Segoe UI"/>
          <w:sz w:val="20"/>
          <w:lang w:val="el-GR" w:eastAsia="el-GR" w:bidi="el-GR"/>
        </w:rPr>
        <w:t>.</w:t>
      </w:r>
      <w:r w:rsidR="000F1E30" w:rsidRPr="000F1E30">
        <w:rPr>
          <w:rFonts w:ascii="Segoe UI" w:hAnsi="Segoe UI" w:cs="Segoe UI"/>
          <w:sz w:val="20"/>
          <w:vertAlign w:val="superscript"/>
          <w:lang w:val="el-GR" w:eastAsia="el-GR" w:bidi="el-GR"/>
        </w:rPr>
        <w:t>1</w:t>
      </w:r>
      <w:r w:rsidR="007F185E" w:rsidRPr="00A6792B">
        <w:rPr>
          <w:rFonts w:ascii="Segoe UI" w:hAnsi="Segoe UI" w:cs="Segoe UI"/>
          <w:sz w:val="20"/>
          <w:lang w:val="el-GR" w:eastAsia="el-GR" w:bidi="el-GR"/>
        </w:rPr>
        <w:t xml:space="preserve"> Σημειώνουμε ότι η </w:t>
      </w:r>
      <w:r w:rsidR="00F20C41">
        <w:rPr>
          <w:rFonts w:ascii="Segoe UI" w:hAnsi="Segoe UI" w:cs="Segoe UI"/>
          <w:sz w:val="20"/>
          <w:lang w:val="el-GR" w:eastAsia="el-GR" w:bidi="el-GR"/>
        </w:rPr>
        <w:t>ΕΤΕ</w:t>
      </w:r>
      <w:r w:rsidR="007F185E" w:rsidRPr="00A6792B">
        <w:rPr>
          <w:rFonts w:ascii="Segoe UI" w:hAnsi="Segoe UI" w:cs="Segoe UI"/>
          <w:sz w:val="20"/>
          <w:lang w:val="el-GR" w:eastAsia="el-GR" w:bidi="el-GR"/>
        </w:rPr>
        <w:t xml:space="preserve"> αξιοποίησε </w:t>
      </w:r>
      <w:r w:rsidR="005C3CCD" w:rsidRPr="005C3CCD">
        <w:rPr>
          <w:rFonts w:ascii="Segoe UI" w:hAnsi="Segoe UI" w:cs="Segoe UI"/>
          <w:sz w:val="20"/>
          <w:lang w:val="el-GR" w:eastAsia="el-GR" w:bidi="el-GR"/>
        </w:rPr>
        <w:t xml:space="preserve">τη ρευστότητα ύψους περίπου </w:t>
      </w:r>
      <w:r w:rsidR="007F185E" w:rsidRPr="00A6792B">
        <w:rPr>
          <w:rFonts w:ascii="Segoe UI" w:hAnsi="Segoe UI" w:cs="Segoe UI"/>
          <w:sz w:val="20"/>
          <w:lang w:val="el-GR" w:eastAsia="el-GR" w:bidi="el-GR"/>
        </w:rPr>
        <w:t xml:space="preserve">€3,6 δισ. από την πώληση της Finansbank προκειμένου να </w:t>
      </w:r>
      <w:r w:rsidR="00E75061">
        <w:rPr>
          <w:rFonts w:ascii="Segoe UI" w:hAnsi="Segoe UI" w:cs="Segoe UI"/>
          <w:sz w:val="20"/>
          <w:lang w:val="el-GR" w:eastAsia="el-GR" w:bidi="el-GR"/>
        </w:rPr>
        <w:t xml:space="preserve">εξαλείψει την έκθεσή της σε </w:t>
      </w:r>
      <w:r w:rsidR="007F185E" w:rsidRPr="00A6792B">
        <w:rPr>
          <w:rFonts w:ascii="Segoe UI" w:hAnsi="Segoe UI" w:cs="Segoe UI"/>
          <w:sz w:val="20"/>
          <w:lang w:val="el-GR" w:eastAsia="el-GR" w:bidi="el-GR"/>
        </w:rPr>
        <w:t>ομ</w:t>
      </w:r>
      <w:r w:rsidR="00E75061">
        <w:rPr>
          <w:rFonts w:ascii="Segoe UI" w:hAnsi="Segoe UI" w:cs="Segoe UI"/>
          <w:sz w:val="20"/>
          <w:lang w:val="el-GR" w:eastAsia="el-GR" w:bidi="el-GR"/>
        </w:rPr>
        <w:t xml:space="preserve">όλογα του </w:t>
      </w:r>
      <w:r w:rsidR="007F185E" w:rsidRPr="00A6792B">
        <w:rPr>
          <w:rFonts w:ascii="Segoe UI" w:hAnsi="Segoe UI" w:cs="Segoe UI"/>
          <w:sz w:val="20"/>
          <w:lang w:val="el-GR" w:eastAsia="el-GR" w:bidi="el-GR"/>
        </w:rPr>
        <w:t xml:space="preserve">Πυλώνα </w:t>
      </w:r>
      <w:r w:rsidR="00057564" w:rsidRPr="00A6792B">
        <w:rPr>
          <w:rFonts w:ascii="Segoe UI" w:hAnsi="Segoe UI" w:cs="Segoe UI"/>
          <w:sz w:val="20"/>
          <w:lang w:val="el-GR" w:eastAsia="el-GR" w:bidi="el-GR"/>
        </w:rPr>
        <w:t>ΙΙ</w:t>
      </w:r>
      <w:r w:rsidR="007F185E" w:rsidRPr="00A6792B">
        <w:rPr>
          <w:rFonts w:ascii="Segoe UI" w:hAnsi="Segoe UI" w:cs="Segoe UI"/>
          <w:sz w:val="20"/>
          <w:lang w:val="el-GR" w:eastAsia="el-GR" w:bidi="el-GR"/>
        </w:rPr>
        <w:t xml:space="preserve"> (</w:t>
      </w:r>
      <w:r w:rsidR="007C5802" w:rsidRPr="00A6792B">
        <w:rPr>
          <w:rFonts w:ascii="Segoe UI" w:hAnsi="Segoe UI" w:cs="Segoe UI"/>
          <w:sz w:val="20"/>
          <w:lang w:val="el-GR" w:eastAsia="el-GR" w:bidi="el-GR"/>
        </w:rPr>
        <w:t xml:space="preserve">ονομαστική αξία </w:t>
      </w:r>
      <w:r w:rsidR="007F185E" w:rsidRPr="00A6792B">
        <w:rPr>
          <w:rFonts w:ascii="Segoe UI" w:hAnsi="Segoe UI" w:cs="Segoe UI"/>
          <w:sz w:val="20"/>
          <w:lang w:val="el-GR" w:eastAsia="el-GR" w:bidi="el-GR"/>
        </w:rPr>
        <w:t>€3,0 δισ.</w:t>
      </w:r>
      <w:r w:rsidR="004A2B01" w:rsidRPr="00A6792B">
        <w:rPr>
          <w:rFonts w:ascii="Segoe UI" w:hAnsi="Segoe UI" w:cs="Segoe UI"/>
          <w:sz w:val="20"/>
          <w:lang w:val="el-GR" w:eastAsia="el-GR" w:bidi="el-GR"/>
        </w:rPr>
        <w:t xml:space="preserve"> το τέλος του Β’ τριμήνου 2016</w:t>
      </w:r>
      <w:r w:rsidR="007F185E" w:rsidRPr="00A6792B">
        <w:rPr>
          <w:rFonts w:ascii="Segoe UI" w:hAnsi="Segoe UI" w:cs="Segoe UI"/>
          <w:sz w:val="20"/>
          <w:lang w:val="el-GR" w:eastAsia="el-GR" w:bidi="el-GR"/>
        </w:rPr>
        <w:t>), μειώνοντας έτσι σημαντικά το κόστος χρηματοδότησης</w:t>
      </w:r>
      <w:r w:rsidR="00810444" w:rsidRPr="00A6792B">
        <w:rPr>
          <w:rFonts w:ascii="Segoe UI" w:hAnsi="Segoe UI" w:cs="Segoe UI"/>
          <w:sz w:val="20"/>
          <w:lang w:val="el-GR" w:eastAsia="el-GR" w:bidi="el-GR"/>
        </w:rPr>
        <w:t xml:space="preserve"> της Τράπεζας</w:t>
      </w:r>
      <w:r w:rsidR="007F185E" w:rsidRPr="00A6792B">
        <w:rPr>
          <w:rFonts w:ascii="Segoe UI" w:hAnsi="Segoe UI" w:cs="Segoe UI"/>
          <w:sz w:val="20"/>
          <w:lang w:val="el-GR" w:eastAsia="el-GR" w:bidi="el-GR"/>
        </w:rPr>
        <w:t>.</w:t>
      </w:r>
    </w:p>
    <w:p w:rsidR="000B3191" w:rsidRPr="00A6792B" w:rsidRDefault="00541636"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Η ΕΤΕ διατηρεί μακράν τη χαμηλότερη έκθεση στο μηχανισμό ELA στην Ελλάδα</w:t>
      </w:r>
      <w:r w:rsidR="004E5F3A" w:rsidRPr="004E5F3A">
        <w:rPr>
          <w:rFonts w:ascii="Segoe UI" w:hAnsi="Segoe UI" w:cs="Segoe UI"/>
          <w:sz w:val="20"/>
          <w:vertAlign w:val="superscript"/>
          <w:lang w:val="el-GR" w:eastAsia="el-GR" w:bidi="el-GR"/>
        </w:rPr>
        <w:t>2</w:t>
      </w:r>
      <w:r w:rsidRPr="00A6792B">
        <w:rPr>
          <w:rFonts w:ascii="Segoe UI" w:hAnsi="Segoe UI" w:cs="Segoe UI"/>
          <w:sz w:val="20"/>
          <w:lang w:val="el-GR" w:eastAsia="el-GR" w:bidi="el-GR"/>
        </w:rPr>
        <w:t xml:space="preserve">, γεγονός το οποίο της παρέχει μοναδικό χρηματοδοτικό πλεονέκτημα ενόψει της ανάκαμψης της εγχώριας οικονομίας. Επιπλέον, ο δείκτης </w:t>
      </w:r>
      <w:r w:rsidR="008106E7">
        <w:rPr>
          <w:rFonts w:ascii="Segoe UI" w:hAnsi="Segoe UI" w:cs="Segoe UI"/>
          <w:sz w:val="20"/>
          <w:lang w:val="el-GR" w:eastAsia="el-GR" w:bidi="el-GR"/>
        </w:rPr>
        <w:t>Δ</w:t>
      </w:r>
      <w:r w:rsidRPr="00A6792B">
        <w:rPr>
          <w:rFonts w:ascii="Segoe UI" w:hAnsi="Segoe UI" w:cs="Segoe UI"/>
          <w:sz w:val="20"/>
          <w:lang w:val="el-GR" w:eastAsia="el-GR" w:bidi="el-GR"/>
        </w:rPr>
        <w:t xml:space="preserve">ανείων προς </w:t>
      </w:r>
      <w:r w:rsidR="008106E7">
        <w:rPr>
          <w:rFonts w:ascii="Segoe UI" w:hAnsi="Segoe UI" w:cs="Segoe UI"/>
          <w:sz w:val="20"/>
          <w:lang w:val="el-GR" w:eastAsia="el-GR" w:bidi="el-GR"/>
        </w:rPr>
        <w:t>Κ</w:t>
      </w:r>
      <w:r w:rsidRPr="00A6792B">
        <w:rPr>
          <w:rFonts w:ascii="Segoe UI" w:hAnsi="Segoe UI" w:cs="Segoe UI"/>
          <w:sz w:val="20"/>
          <w:lang w:val="el-GR" w:eastAsia="el-GR" w:bidi="el-GR"/>
        </w:rPr>
        <w:t xml:space="preserve">αταθέσεις </w:t>
      </w:r>
      <w:r w:rsidR="008106E7">
        <w:rPr>
          <w:rFonts w:ascii="Segoe UI" w:hAnsi="Segoe UI" w:cs="Segoe UI"/>
          <w:sz w:val="20"/>
          <w:lang w:val="el-GR" w:eastAsia="el-GR" w:bidi="el-GR"/>
        </w:rPr>
        <w:t xml:space="preserve">διατηρήθηκε </w:t>
      </w:r>
      <w:r w:rsidRPr="00A6792B">
        <w:rPr>
          <w:rFonts w:ascii="Segoe UI" w:hAnsi="Segoe UI" w:cs="Segoe UI"/>
          <w:sz w:val="20"/>
          <w:lang w:val="el-GR" w:eastAsia="el-GR" w:bidi="el-GR"/>
        </w:rPr>
        <w:t>σε μόλις 91% στην Ελλάδα και σε επίπεδο Ομίλου, στα χαμηλότερα επίπεδα του ελληνικού τραπεζικού κλάδου</w:t>
      </w:r>
      <w:r w:rsidR="002A1102" w:rsidRPr="00A6792B">
        <w:rPr>
          <w:rFonts w:ascii="Segoe UI" w:hAnsi="Segoe UI" w:cs="Segoe UI"/>
          <w:sz w:val="20"/>
          <w:vertAlign w:val="superscript"/>
          <w:lang w:val="el-GR" w:eastAsia="el-GR" w:bidi="el-GR"/>
        </w:rPr>
        <w:t>2</w:t>
      </w:r>
      <w:r w:rsidRPr="00A6792B">
        <w:rPr>
          <w:rFonts w:ascii="Segoe UI" w:hAnsi="Segoe UI" w:cs="Segoe UI"/>
          <w:sz w:val="20"/>
          <w:lang w:val="el-GR" w:eastAsia="el-GR" w:bidi="el-GR"/>
        </w:rPr>
        <w:t>.</w:t>
      </w:r>
    </w:p>
    <w:p w:rsidR="00E1084B" w:rsidRPr="00A6792B" w:rsidRDefault="00E1084B" w:rsidP="004E5F3A">
      <w:pPr>
        <w:spacing w:after="160"/>
        <w:jc w:val="both"/>
        <w:rPr>
          <w:rFonts w:ascii="Segoe UI" w:hAnsi="Segoe UI" w:cs="Segoe UI"/>
          <w:sz w:val="20"/>
          <w:lang w:val="el-GR" w:eastAsia="el-GR" w:bidi="el-GR"/>
        </w:rPr>
      </w:pPr>
      <w:r w:rsidRPr="00A6792B">
        <w:rPr>
          <w:rFonts w:ascii="Segoe UI" w:hAnsi="Segoe UI" w:cs="Segoe UI"/>
          <w:sz w:val="20"/>
          <w:lang w:val="el-GR" w:eastAsia="el-GR" w:bidi="el-GR"/>
        </w:rPr>
        <w:t>Η ρευστότητα της ΕΤΕ θα ενισχυθεί περαιτέρω κατά €0,</w:t>
      </w:r>
      <w:r w:rsidR="007C5802" w:rsidRPr="00A6792B">
        <w:rPr>
          <w:rFonts w:ascii="Segoe UI" w:hAnsi="Segoe UI" w:cs="Segoe UI"/>
          <w:sz w:val="20"/>
          <w:lang w:val="el-GR" w:eastAsia="el-GR" w:bidi="el-GR"/>
        </w:rPr>
        <w:t>6</w:t>
      </w:r>
      <w:r w:rsidRPr="00A6792B">
        <w:rPr>
          <w:rFonts w:ascii="Segoe UI" w:hAnsi="Segoe UI" w:cs="Segoe UI"/>
          <w:sz w:val="20"/>
          <w:lang w:val="el-GR" w:eastAsia="el-GR" w:bidi="el-GR"/>
        </w:rPr>
        <w:t xml:space="preserve"> δισ. από τις συμφωνηθείσες πωλήσεις των ΑΣΤΗΡ και NBGI. </w:t>
      </w:r>
    </w:p>
    <w:p w:rsidR="00E1084B" w:rsidRPr="00A6792B" w:rsidRDefault="00E1084B" w:rsidP="004929D8">
      <w:pPr>
        <w:autoSpaceDE w:val="0"/>
        <w:autoSpaceDN w:val="0"/>
        <w:adjustRightInd w:val="0"/>
        <w:spacing w:after="160" w:line="320" w:lineRule="atLeast"/>
        <w:jc w:val="both"/>
        <w:rPr>
          <w:rFonts w:ascii="Segoe UI" w:hAnsi="Segoe UI" w:cs="Segoe UI"/>
          <w:b/>
          <w:sz w:val="20"/>
          <w:lang w:val="el-GR" w:eastAsia="el-GR" w:bidi="el-GR"/>
        </w:rPr>
      </w:pPr>
    </w:p>
    <w:p w:rsidR="00E1084B" w:rsidRPr="00A6792B" w:rsidRDefault="00E1084B"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 xml:space="preserve">Κεφαλαιακή επάρκεια </w:t>
      </w:r>
    </w:p>
    <w:p w:rsidR="00E1084B" w:rsidRPr="00A6792B" w:rsidRDefault="00E1084B"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Ο δείκτης CET 1 </w:t>
      </w:r>
      <w:r w:rsidR="00B47215">
        <w:rPr>
          <w:rFonts w:ascii="Segoe UI" w:hAnsi="Segoe UI" w:cs="Segoe UI"/>
          <w:sz w:val="20"/>
          <w:lang w:val="el-GR" w:eastAsia="el-GR" w:bidi="el-GR"/>
        </w:rPr>
        <w:t>διαμορφώθηκε</w:t>
      </w:r>
      <w:r w:rsidRPr="00A6792B">
        <w:rPr>
          <w:rFonts w:ascii="Segoe UI" w:hAnsi="Segoe UI" w:cs="Segoe UI"/>
          <w:sz w:val="20"/>
          <w:lang w:val="el-GR" w:eastAsia="el-GR" w:bidi="el-GR"/>
        </w:rPr>
        <w:t xml:space="preserve"> σε 16,8%, εξαιρώντας τα υπό αίρεση μετατρέψιμα ομόλογα (CoCos) και λαμβάνοντας υπόψη τις υπ</w:t>
      </w:r>
      <w:r w:rsidR="005371AE">
        <w:rPr>
          <w:rFonts w:ascii="Segoe UI" w:hAnsi="Segoe UI" w:cs="Segoe UI"/>
          <w:sz w:val="20"/>
          <w:lang w:val="el-GR" w:eastAsia="el-GR" w:bidi="el-GR"/>
        </w:rPr>
        <w:t>ό</w:t>
      </w:r>
      <w:r w:rsidRPr="00A6792B">
        <w:rPr>
          <w:rFonts w:ascii="Segoe UI" w:hAnsi="Segoe UI" w:cs="Segoe UI"/>
          <w:sz w:val="20"/>
          <w:lang w:val="el-GR" w:eastAsia="el-GR" w:bidi="el-GR"/>
        </w:rPr>
        <w:t xml:space="preserve"> ολοκλήρωση πωλήσεις των ΑΣΤΗΡ ΠΑΛΑΣ και NBGI. Αν συνυπολογιστούν τα CoCo</w:t>
      </w:r>
      <w:r w:rsidRPr="00A6792B">
        <w:rPr>
          <w:rFonts w:ascii="Segoe UI" w:hAnsi="Segoe UI" w:cs="Segoe UI"/>
          <w:sz w:val="20"/>
          <w:lang w:val="en-US" w:eastAsia="el-GR" w:bidi="el-GR"/>
        </w:rPr>
        <w:t>s</w:t>
      </w:r>
      <w:r w:rsidRPr="00A6792B">
        <w:rPr>
          <w:rFonts w:ascii="Segoe UI" w:hAnsi="Segoe UI" w:cs="Segoe UI"/>
          <w:sz w:val="20"/>
          <w:lang w:val="el-GR" w:eastAsia="el-GR" w:bidi="el-GR"/>
        </w:rPr>
        <w:t>, ο δείκτης CET 1 ανέρχεται σε 22,1%. Τα κεφάλαια της ΕΤΕ θα ενισχυθούν περαιτέρω από την πλήρη εφαρμογή του σχεδίου αναδιάρθρωσης της Τράπεζας.</w:t>
      </w:r>
    </w:p>
    <w:p w:rsidR="00E1084B" w:rsidRPr="00A6792B" w:rsidRDefault="00E1084B"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Με π</w:t>
      </w:r>
      <w:r w:rsidR="00B47215">
        <w:rPr>
          <w:rFonts w:ascii="Segoe UI" w:hAnsi="Segoe UI" w:cs="Segoe UI"/>
          <w:sz w:val="20"/>
          <w:lang w:val="el-GR" w:eastAsia="el-GR" w:bidi="el-GR"/>
        </w:rPr>
        <w:t>λήρη εφαρμογή της Βασιλείας ΙΙΙ και</w:t>
      </w:r>
      <w:r w:rsidRPr="00A6792B">
        <w:rPr>
          <w:rFonts w:ascii="Segoe UI" w:hAnsi="Segoe UI" w:cs="Segoe UI"/>
          <w:sz w:val="20"/>
          <w:lang w:val="el-GR" w:eastAsia="el-GR" w:bidi="el-GR"/>
        </w:rPr>
        <w:t xml:space="preserve"> συμπεριλαμβανομένων των προαναφερθέντων κεφαλαιακών ενεργειών, o δείκτης CET 1 ανέρχεται σε 16,2% (στο 21</w:t>
      </w:r>
      <w:r w:rsidR="00444398">
        <w:rPr>
          <w:rFonts w:ascii="Segoe UI" w:hAnsi="Segoe UI" w:cs="Segoe UI"/>
          <w:sz w:val="20"/>
          <w:lang w:val="el-GR" w:eastAsia="el-GR" w:bidi="el-GR"/>
        </w:rPr>
        <w:t>,</w:t>
      </w:r>
      <w:r w:rsidRPr="00A6792B">
        <w:rPr>
          <w:rFonts w:ascii="Segoe UI" w:hAnsi="Segoe UI" w:cs="Segoe UI"/>
          <w:sz w:val="20"/>
          <w:lang w:val="el-GR" w:eastAsia="el-GR" w:bidi="el-GR"/>
        </w:rPr>
        <w:t>6%, συμπεριλαμβανομένων των CoCo</w:t>
      </w:r>
      <w:r w:rsidRPr="00A6792B">
        <w:rPr>
          <w:rFonts w:ascii="Segoe UI" w:hAnsi="Segoe UI" w:cs="Segoe UI"/>
          <w:sz w:val="20"/>
          <w:lang w:val="en-US" w:eastAsia="el-GR" w:bidi="el-GR"/>
        </w:rPr>
        <w:t>s</w:t>
      </w:r>
      <w:r w:rsidRPr="00A6792B">
        <w:rPr>
          <w:rFonts w:ascii="Segoe UI" w:hAnsi="Segoe UI" w:cs="Segoe UI"/>
          <w:sz w:val="20"/>
          <w:lang w:val="el-GR" w:eastAsia="el-GR" w:bidi="el-GR"/>
        </w:rPr>
        <w:t xml:space="preserve">). </w:t>
      </w:r>
    </w:p>
    <w:p w:rsidR="00716E60" w:rsidRPr="00A6792B" w:rsidRDefault="00716E60" w:rsidP="004929D8">
      <w:pPr>
        <w:autoSpaceDE w:val="0"/>
        <w:autoSpaceDN w:val="0"/>
        <w:adjustRightInd w:val="0"/>
        <w:spacing w:after="160" w:line="240" w:lineRule="auto"/>
        <w:jc w:val="both"/>
        <w:rPr>
          <w:rFonts w:ascii="Segoe UI" w:hAnsi="Segoe UI" w:cs="Segoe UI"/>
          <w:b/>
          <w:sz w:val="20"/>
          <w:lang w:val="el-GR"/>
        </w:rPr>
      </w:pPr>
      <w:r w:rsidRPr="00A6792B">
        <w:rPr>
          <w:rFonts w:ascii="Segoe UI" w:hAnsi="Segoe UI" w:cs="Segoe UI"/>
          <w:b/>
          <w:sz w:val="20"/>
          <w:lang w:val="el-GR"/>
        </w:rPr>
        <w:br w:type="page"/>
      </w:r>
    </w:p>
    <w:p w:rsidR="00864E0B" w:rsidRPr="00B522A6" w:rsidRDefault="00E525FE" w:rsidP="004929D8">
      <w:pPr>
        <w:spacing w:after="160"/>
        <w:jc w:val="both"/>
        <w:rPr>
          <w:rFonts w:ascii="Segoe UI" w:hAnsi="Segoe UI" w:cs="Segoe UI"/>
          <w:b/>
          <w:sz w:val="20"/>
          <w:szCs w:val="20"/>
        </w:rPr>
      </w:pPr>
      <w:r w:rsidRPr="00B522A6">
        <w:rPr>
          <w:rFonts w:ascii="Segoe UI" w:hAnsi="Segoe UI" w:cs="Segoe UI"/>
          <w:b/>
          <w:sz w:val="20"/>
          <w:szCs w:val="20"/>
        </w:rPr>
        <w:lastRenderedPageBreak/>
        <w:t>Παράρτημα</w:t>
      </w:r>
    </w:p>
    <w:tbl>
      <w:tblPr>
        <w:tblW w:w="9127" w:type="dxa"/>
        <w:tblLayout w:type="fixed"/>
        <w:tblLook w:val="0000"/>
      </w:tblPr>
      <w:tblGrid>
        <w:gridCol w:w="3005"/>
        <w:gridCol w:w="1077"/>
        <w:gridCol w:w="1077"/>
        <w:gridCol w:w="907"/>
        <w:gridCol w:w="1077"/>
        <w:gridCol w:w="1077"/>
        <w:gridCol w:w="907"/>
      </w:tblGrid>
      <w:tr w:rsidR="00C31715" w:rsidRPr="00B522A6" w:rsidTr="003C4D83">
        <w:trPr>
          <w:trHeight w:hRule="exact" w:val="528"/>
        </w:trPr>
        <w:tc>
          <w:tcPr>
            <w:tcW w:w="3005" w:type="dxa"/>
            <w:shd w:val="pct45" w:color="auto" w:fill="auto"/>
            <w:vAlign w:val="bottom"/>
          </w:tcPr>
          <w:p w:rsidR="005A05C6" w:rsidRPr="003C4D83" w:rsidRDefault="005A05C6" w:rsidP="004929D8">
            <w:pPr>
              <w:spacing w:after="160" w:line="240" w:lineRule="auto"/>
              <w:jc w:val="both"/>
              <w:rPr>
                <w:rFonts w:ascii="Segoe UI" w:eastAsia="Times New Roman" w:hAnsi="Segoe UI" w:cs="Segoe UI"/>
                <w:sz w:val="16"/>
                <w:szCs w:val="18"/>
                <w:lang w:val="el-GR"/>
              </w:rPr>
            </w:pPr>
          </w:p>
        </w:tc>
        <w:tc>
          <w:tcPr>
            <w:tcW w:w="1077" w:type="dxa"/>
            <w:shd w:val="pct45" w:color="auto" w:fill="auto"/>
            <w:vAlign w:val="bottom"/>
          </w:tcPr>
          <w:p w:rsidR="005A05C6" w:rsidRPr="003C4D83" w:rsidRDefault="005A05C6" w:rsidP="004929D8">
            <w:pPr>
              <w:spacing w:after="160" w:line="240" w:lineRule="auto"/>
              <w:jc w:val="right"/>
              <w:rPr>
                <w:rFonts w:ascii="Segoe UI" w:eastAsia="Times New Roman" w:hAnsi="Segoe UI" w:cs="Segoe UI"/>
                <w:b/>
                <w:color w:val="FFFFFF" w:themeColor="background1"/>
                <w:sz w:val="16"/>
                <w:szCs w:val="18"/>
              </w:rPr>
            </w:pPr>
            <w:r w:rsidRPr="003C4D83">
              <w:rPr>
                <w:rFonts w:ascii="Segoe UI" w:hAnsi="Segoe UI" w:cs="Segoe UI"/>
                <w:b/>
                <w:color w:val="FFFFFF" w:themeColor="background1"/>
                <w:sz w:val="16"/>
                <w:szCs w:val="18"/>
                <w:lang w:val="el-GR"/>
              </w:rPr>
              <w:t>Β’ Τρίμηνο 2016</w:t>
            </w:r>
          </w:p>
        </w:tc>
        <w:tc>
          <w:tcPr>
            <w:tcW w:w="1077" w:type="dxa"/>
            <w:shd w:val="pct45" w:color="auto" w:fill="auto"/>
            <w:vAlign w:val="bottom"/>
          </w:tcPr>
          <w:p w:rsidR="005A05C6" w:rsidRPr="003C4D83" w:rsidRDefault="005A05C6" w:rsidP="004929D8">
            <w:pPr>
              <w:spacing w:after="160" w:line="240" w:lineRule="auto"/>
              <w:jc w:val="right"/>
              <w:rPr>
                <w:rFonts w:ascii="Segoe UI" w:eastAsia="Times New Roman" w:hAnsi="Segoe UI" w:cs="Segoe UI"/>
                <w:b/>
                <w:color w:val="FFFFFF" w:themeColor="background1"/>
                <w:sz w:val="16"/>
                <w:szCs w:val="18"/>
              </w:rPr>
            </w:pPr>
            <w:r w:rsidRPr="003C4D83">
              <w:rPr>
                <w:rFonts w:ascii="Segoe UI" w:hAnsi="Segoe UI" w:cs="Segoe UI"/>
                <w:b/>
                <w:color w:val="FFFFFF" w:themeColor="background1"/>
                <w:sz w:val="16"/>
                <w:szCs w:val="18"/>
                <w:lang w:val="el-GR"/>
              </w:rPr>
              <w:t>Α’ Τρίμηνο 2016</w:t>
            </w:r>
          </w:p>
        </w:tc>
        <w:tc>
          <w:tcPr>
            <w:tcW w:w="907" w:type="dxa"/>
            <w:shd w:val="pct45" w:color="auto" w:fill="auto"/>
            <w:vAlign w:val="bottom"/>
          </w:tcPr>
          <w:p w:rsidR="005A05C6" w:rsidRPr="003C4D83" w:rsidRDefault="005A05C6" w:rsidP="004929D8">
            <w:pPr>
              <w:spacing w:after="160" w:line="240" w:lineRule="auto"/>
              <w:jc w:val="right"/>
              <w:rPr>
                <w:rFonts w:ascii="Segoe UI" w:eastAsia="Times New Roman" w:hAnsi="Segoe UI" w:cs="Segoe UI"/>
                <w:b/>
                <w:i/>
                <w:color w:val="FFFFFF" w:themeColor="background1"/>
                <w:sz w:val="16"/>
                <w:szCs w:val="18"/>
              </w:rPr>
            </w:pPr>
            <w:r w:rsidRPr="003C4D83">
              <w:rPr>
                <w:rFonts w:ascii="Segoe UI" w:hAnsi="Segoe UI" w:cs="Segoe UI"/>
                <w:b/>
                <w:i/>
                <w:color w:val="FFFFFF" w:themeColor="background1"/>
                <w:sz w:val="16"/>
                <w:szCs w:val="18"/>
                <w:lang w:val="el-GR"/>
              </w:rPr>
              <w:t xml:space="preserve">Δ </w:t>
            </w:r>
          </w:p>
        </w:tc>
        <w:tc>
          <w:tcPr>
            <w:tcW w:w="1077" w:type="dxa"/>
            <w:shd w:val="pct45" w:color="auto" w:fill="auto"/>
            <w:vAlign w:val="bottom"/>
          </w:tcPr>
          <w:p w:rsidR="005A05C6" w:rsidRPr="003C4D83" w:rsidRDefault="005A05C6" w:rsidP="007C5802">
            <w:pPr>
              <w:spacing w:after="160" w:line="240" w:lineRule="auto"/>
              <w:jc w:val="right"/>
              <w:rPr>
                <w:rFonts w:ascii="Segoe UI" w:eastAsia="Times New Roman" w:hAnsi="Segoe UI" w:cs="Segoe UI"/>
                <w:b/>
                <w:color w:val="FFFFFF" w:themeColor="background1"/>
                <w:sz w:val="16"/>
                <w:szCs w:val="18"/>
                <w:lang w:val="en-US"/>
              </w:rPr>
            </w:pPr>
            <w:r w:rsidRPr="003C4D83">
              <w:rPr>
                <w:rFonts w:ascii="Segoe UI" w:eastAsia="Times New Roman" w:hAnsi="Segoe UI" w:cs="Segoe UI"/>
                <w:b/>
                <w:color w:val="FFFFFF" w:themeColor="background1"/>
                <w:sz w:val="16"/>
                <w:szCs w:val="18"/>
                <w:lang w:val="el-GR"/>
              </w:rPr>
              <w:t>Α’ Εξάμηνο 201</w:t>
            </w:r>
            <w:r w:rsidR="007C5802" w:rsidRPr="003C4D83">
              <w:rPr>
                <w:rFonts w:ascii="Segoe UI" w:eastAsia="Times New Roman" w:hAnsi="Segoe UI" w:cs="Segoe UI"/>
                <w:b/>
                <w:color w:val="FFFFFF" w:themeColor="background1"/>
                <w:sz w:val="16"/>
                <w:szCs w:val="18"/>
                <w:lang w:val="el-GR"/>
              </w:rPr>
              <w:t>6</w:t>
            </w:r>
          </w:p>
        </w:tc>
        <w:tc>
          <w:tcPr>
            <w:tcW w:w="1077" w:type="dxa"/>
            <w:shd w:val="pct45" w:color="auto" w:fill="auto"/>
            <w:vAlign w:val="bottom"/>
          </w:tcPr>
          <w:p w:rsidR="005A05C6" w:rsidRPr="003C4D83" w:rsidRDefault="005A05C6" w:rsidP="004929D8">
            <w:pPr>
              <w:spacing w:after="160" w:line="240" w:lineRule="auto"/>
              <w:jc w:val="right"/>
              <w:rPr>
                <w:rFonts w:ascii="Segoe UI" w:eastAsia="Times New Roman" w:hAnsi="Segoe UI" w:cs="Segoe UI"/>
                <w:b/>
                <w:color w:val="FFFFFF" w:themeColor="background1"/>
                <w:sz w:val="16"/>
                <w:szCs w:val="18"/>
                <w:lang w:val="el-GR"/>
              </w:rPr>
            </w:pPr>
            <w:r w:rsidRPr="003C4D83">
              <w:rPr>
                <w:rFonts w:ascii="Segoe UI" w:eastAsia="Times New Roman" w:hAnsi="Segoe UI" w:cs="Segoe UI"/>
                <w:b/>
                <w:color w:val="FFFFFF" w:themeColor="background1"/>
                <w:sz w:val="16"/>
                <w:szCs w:val="18"/>
                <w:lang w:val="el-GR"/>
              </w:rPr>
              <w:t>Α’ Εξάμηνο 2015</w:t>
            </w:r>
          </w:p>
        </w:tc>
        <w:tc>
          <w:tcPr>
            <w:tcW w:w="907" w:type="dxa"/>
            <w:shd w:val="pct45" w:color="auto" w:fill="auto"/>
            <w:vAlign w:val="bottom"/>
          </w:tcPr>
          <w:p w:rsidR="005A05C6" w:rsidRPr="003C4D83" w:rsidRDefault="005A05C6" w:rsidP="004929D8">
            <w:pPr>
              <w:spacing w:after="160" w:line="240" w:lineRule="auto"/>
              <w:jc w:val="right"/>
              <w:rPr>
                <w:rFonts w:ascii="Segoe UI" w:eastAsia="Times New Roman" w:hAnsi="Segoe UI" w:cs="Segoe UI"/>
                <w:b/>
                <w:i/>
                <w:color w:val="FFFFFF" w:themeColor="background1"/>
                <w:sz w:val="16"/>
                <w:szCs w:val="18"/>
                <w:lang w:val="el-GR"/>
              </w:rPr>
            </w:pPr>
            <w:r w:rsidRPr="003C4D83">
              <w:rPr>
                <w:rFonts w:ascii="Segoe UI" w:eastAsia="Times New Roman" w:hAnsi="Segoe UI" w:cs="Segoe UI"/>
                <w:b/>
                <w:i/>
                <w:color w:val="FFFFFF" w:themeColor="background1"/>
                <w:sz w:val="16"/>
                <w:szCs w:val="18"/>
                <w:lang w:val="el-GR"/>
              </w:rPr>
              <w:t>Δ</w:t>
            </w:r>
          </w:p>
        </w:tc>
      </w:tr>
      <w:tr w:rsidR="00C31715" w:rsidRPr="00B522A6" w:rsidTr="003C4D83">
        <w:trPr>
          <w:trHeight w:hRule="exact" w:val="567"/>
        </w:trPr>
        <w:tc>
          <w:tcPr>
            <w:tcW w:w="3005" w:type="dxa"/>
            <w:tcBorders>
              <w:bottom w:val="single" w:sz="12" w:space="0" w:color="auto"/>
            </w:tcBorders>
            <w:shd w:val="clear" w:color="auto" w:fill="auto"/>
            <w:vAlign w:val="bottom"/>
          </w:tcPr>
          <w:p w:rsidR="005A05C6" w:rsidRPr="003C4D83" w:rsidRDefault="005A05C6" w:rsidP="004929D8">
            <w:pPr>
              <w:spacing w:after="160" w:line="240" w:lineRule="auto"/>
              <w:jc w:val="both"/>
              <w:rPr>
                <w:rFonts w:ascii="Segoe UI" w:eastAsia="Times New Roman" w:hAnsi="Segoe UI" w:cs="Segoe UI"/>
                <w:b/>
                <w:bCs/>
                <w:sz w:val="16"/>
                <w:szCs w:val="18"/>
                <w:lang w:val="en-US"/>
              </w:rPr>
            </w:pPr>
            <w:r w:rsidRPr="003C4D83">
              <w:rPr>
                <w:rFonts w:ascii="Segoe UI" w:eastAsia="Times New Roman" w:hAnsi="Segoe UI" w:cs="Segoe UI"/>
                <w:b/>
                <w:bCs/>
                <w:sz w:val="16"/>
                <w:szCs w:val="18"/>
                <w:lang w:val="el-GR"/>
              </w:rPr>
              <w:t>Αποτελέσματα</w:t>
            </w:r>
            <w:r w:rsidRPr="003C4D83">
              <w:rPr>
                <w:rFonts w:ascii="Segoe UI" w:eastAsia="Times New Roman" w:hAnsi="Segoe UI" w:cs="Segoe UI"/>
                <w:b/>
                <w:bCs/>
                <w:sz w:val="16"/>
                <w:szCs w:val="18"/>
                <w:lang w:val="en-US"/>
              </w:rPr>
              <w:t xml:space="preserve"> (€</w:t>
            </w:r>
            <w:r w:rsidRPr="003C4D83">
              <w:rPr>
                <w:rFonts w:ascii="Segoe UI" w:eastAsia="Times New Roman" w:hAnsi="Segoe UI" w:cs="Segoe UI"/>
                <w:b/>
                <w:bCs/>
                <w:sz w:val="16"/>
                <w:szCs w:val="18"/>
                <w:lang w:val="el-GR"/>
              </w:rPr>
              <w:t xml:space="preserve"> εκατ.</w:t>
            </w:r>
            <w:r w:rsidRPr="003C4D83">
              <w:rPr>
                <w:rFonts w:ascii="Segoe UI" w:eastAsia="Times New Roman" w:hAnsi="Segoe UI" w:cs="Segoe UI"/>
                <w:b/>
                <w:bCs/>
                <w:sz w:val="16"/>
                <w:szCs w:val="18"/>
                <w:lang w:val="en-US"/>
              </w:rPr>
              <w:t>)</w:t>
            </w:r>
          </w:p>
        </w:tc>
        <w:tc>
          <w:tcPr>
            <w:tcW w:w="1077" w:type="dxa"/>
            <w:tcBorders>
              <w:bottom w:val="single" w:sz="12" w:space="0" w:color="auto"/>
            </w:tcBorders>
            <w:vAlign w:val="bottom"/>
          </w:tcPr>
          <w:p w:rsidR="005A05C6" w:rsidRPr="003C4D83" w:rsidRDefault="005A05C6" w:rsidP="004929D8">
            <w:pPr>
              <w:spacing w:after="160" w:line="240" w:lineRule="auto"/>
              <w:jc w:val="right"/>
              <w:rPr>
                <w:rFonts w:ascii="Segoe UI" w:eastAsia="Times New Roman" w:hAnsi="Segoe UI" w:cs="Segoe UI"/>
                <w:sz w:val="16"/>
                <w:szCs w:val="18"/>
                <w:lang w:val="en-US"/>
              </w:rPr>
            </w:pPr>
          </w:p>
        </w:tc>
        <w:tc>
          <w:tcPr>
            <w:tcW w:w="1077" w:type="dxa"/>
            <w:tcBorders>
              <w:bottom w:val="single" w:sz="12" w:space="0" w:color="auto"/>
            </w:tcBorders>
            <w:shd w:val="clear" w:color="auto" w:fill="auto"/>
            <w:vAlign w:val="bottom"/>
          </w:tcPr>
          <w:p w:rsidR="005A05C6" w:rsidRPr="003C4D83" w:rsidRDefault="005A05C6" w:rsidP="004929D8">
            <w:pPr>
              <w:spacing w:after="160" w:line="240" w:lineRule="auto"/>
              <w:jc w:val="right"/>
              <w:rPr>
                <w:rFonts w:ascii="Segoe UI" w:eastAsia="Times New Roman" w:hAnsi="Segoe UI" w:cs="Segoe UI"/>
                <w:sz w:val="16"/>
                <w:szCs w:val="18"/>
              </w:rPr>
            </w:pPr>
          </w:p>
        </w:tc>
        <w:tc>
          <w:tcPr>
            <w:tcW w:w="907" w:type="dxa"/>
            <w:tcBorders>
              <w:bottom w:val="single" w:sz="12" w:space="0" w:color="auto"/>
            </w:tcBorders>
            <w:shd w:val="clear" w:color="auto" w:fill="auto"/>
            <w:vAlign w:val="bottom"/>
          </w:tcPr>
          <w:p w:rsidR="005A05C6" w:rsidRPr="003C4D83" w:rsidRDefault="005A05C6" w:rsidP="004929D8">
            <w:pPr>
              <w:autoSpaceDE w:val="0"/>
              <w:autoSpaceDN w:val="0"/>
              <w:adjustRightInd w:val="0"/>
              <w:spacing w:after="160" w:line="240" w:lineRule="auto"/>
              <w:jc w:val="right"/>
              <w:rPr>
                <w:rFonts w:ascii="Segoe UI" w:hAnsi="Segoe UI" w:cs="Segoe UI"/>
                <w:i/>
                <w:sz w:val="16"/>
                <w:szCs w:val="18"/>
                <w:lang w:val="en-US"/>
              </w:rPr>
            </w:pPr>
          </w:p>
        </w:tc>
        <w:tc>
          <w:tcPr>
            <w:tcW w:w="1077" w:type="dxa"/>
            <w:tcBorders>
              <w:bottom w:val="single" w:sz="12" w:space="0" w:color="auto"/>
            </w:tcBorders>
            <w:vAlign w:val="bottom"/>
          </w:tcPr>
          <w:p w:rsidR="005A05C6" w:rsidRPr="003C4D83" w:rsidRDefault="005A05C6" w:rsidP="004929D8">
            <w:pPr>
              <w:autoSpaceDE w:val="0"/>
              <w:autoSpaceDN w:val="0"/>
              <w:adjustRightInd w:val="0"/>
              <w:spacing w:after="160" w:line="240" w:lineRule="auto"/>
              <w:jc w:val="right"/>
              <w:rPr>
                <w:rFonts w:ascii="Segoe UI" w:hAnsi="Segoe UI" w:cs="Segoe UI"/>
                <w:sz w:val="16"/>
                <w:szCs w:val="18"/>
                <w:lang w:val="en-US"/>
              </w:rPr>
            </w:pPr>
          </w:p>
        </w:tc>
        <w:tc>
          <w:tcPr>
            <w:tcW w:w="1077" w:type="dxa"/>
            <w:tcBorders>
              <w:bottom w:val="single" w:sz="12" w:space="0" w:color="auto"/>
            </w:tcBorders>
            <w:vAlign w:val="bottom"/>
          </w:tcPr>
          <w:p w:rsidR="005A05C6" w:rsidRPr="003C4D83" w:rsidRDefault="005A05C6" w:rsidP="004929D8">
            <w:pPr>
              <w:spacing w:after="160" w:line="240" w:lineRule="auto"/>
              <w:jc w:val="right"/>
              <w:rPr>
                <w:rFonts w:ascii="Segoe UI" w:eastAsia="Times New Roman" w:hAnsi="Segoe UI" w:cs="Segoe UI"/>
                <w:b/>
                <w:color w:val="FFFFFF" w:themeColor="background1"/>
                <w:sz w:val="16"/>
                <w:szCs w:val="18"/>
                <w:lang w:val="el-GR"/>
              </w:rPr>
            </w:pPr>
          </w:p>
        </w:tc>
        <w:tc>
          <w:tcPr>
            <w:tcW w:w="907" w:type="dxa"/>
            <w:tcBorders>
              <w:bottom w:val="single" w:sz="12" w:space="0" w:color="auto"/>
            </w:tcBorders>
            <w:vAlign w:val="bottom"/>
          </w:tcPr>
          <w:p w:rsidR="005A05C6" w:rsidRPr="003C4D83" w:rsidRDefault="005A05C6" w:rsidP="004929D8">
            <w:pPr>
              <w:autoSpaceDE w:val="0"/>
              <w:autoSpaceDN w:val="0"/>
              <w:adjustRightInd w:val="0"/>
              <w:spacing w:after="160" w:line="240" w:lineRule="auto"/>
              <w:jc w:val="right"/>
              <w:rPr>
                <w:rFonts w:ascii="Segoe UI" w:hAnsi="Segoe UI" w:cs="Segoe UI"/>
                <w:i/>
                <w:sz w:val="16"/>
                <w:szCs w:val="18"/>
                <w:lang w:val="en-US"/>
              </w:rPr>
            </w:pPr>
          </w:p>
        </w:tc>
      </w:tr>
      <w:tr w:rsidR="00C31715" w:rsidRPr="00B522A6" w:rsidTr="003C4D83">
        <w:trPr>
          <w:trHeight w:hRule="exact" w:val="615"/>
        </w:trPr>
        <w:tc>
          <w:tcPr>
            <w:tcW w:w="3005" w:type="dxa"/>
            <w:tcBorders>
              <w:top w:val="single" w:sz="12" w:space="0" w:color="auto"/>
              <w:bottom w:val="single" w:sz="4" w:space="0" w:color="auto"/>
            </w:tcBorders>
            <w:shd w:val="clear" w:color="auto" w:fill="auto"/>
            <w:vAlign w:val="bottom"/>
          </w:tcPr>
          <w:p w:rsidR="00C31715" w:rsidRPr="003C4D83" w:rsidRDefault="00C31715" w:rsidP="004929D8">
            <w:pPr>
              <w:spacing w:after="160"/>
              <w:rPr>
                <w:rFonts w:ascii="Segoe UI" w:eastAsia="Times New Roman" w:hAnsi="Segoe UI" w:cs="Segoe UI"/>
                <w:bCs/>
                <w:sz w:val="16"/>
                <w:szCs w:val="18"/>
                <w:lang w:val="el-GR"/>
              </w:rPr>
            </w:pPr>
            <w:r w:rsidRPr="003C4D83">
              <w:rPr>
                <w:rFonts w:ascii="Segoe UI" w:hAnsi="Segoe UI" w:cs="Segoe UI"/>
                <w:sz w:val="16"/>
                <w:szCs w:val="18"/>
                <w:lang w:val="el-GR"/>
              </w:rPr>
              <w:t>Κέρδη μετά φόρων Ομίλου</w:t>
            </w:r>
            <w:r w:rsidR="004A66D8" w:rsidRPr="003C4D83">
              <w:rPr>
                <w:rFonts w:ascii="Segoe UI" w:hAnsi="Segoe UI" w:cs="Segoe UI"/>
                <w:sz w:val="16"/>
                <w:szCs w:val="18"/>
                <w:lang w:val="el-GR"/>
              </w:rPr>
              <w:t>(</w:t>
            </w:r>
            <w:r w:rsidRPr="003C4D83">
              <w:rPr>
                <w:rFonts w:ascii="Segoe UI" w:hAnsi="Segoe UI" w:cs="Segoe UI"/>
                <w:sz w:val="16"/>
                <w:szCs w:val="18"/>
                <w:lang w:val="el-GR"/>
              </w:rPr>
              <w:t>συνεχιζόμενες δραστηριότητες</w:t>
            </w:r>
            <w:r w:rsidR="004A66D8" w:rsidRPr="003C4D83">
              <w:rPr>
                <w:rFonts w:ascii="Segoe UI" w:hAnsi="Segoe UI" w:cs="Segoe UI"/>
                <w:sz w:val="16"/>
                <w:szCs w:val="18"/>
                <w:lang w:val="el-GR"/>
              </w:rPr>
              <w:t>)</w:t>
            </w:r>
            <w:r w:rsidR="00E8717E" w:rsidRPr="003C4D83">
              <w:rPr>
                <w:rStyle w:val="a9"/>
                <w:rFonts w:ascii="Segoe UI" w:hAnsi="Segoe UI" w:cs="Segoe UI"/>
                <w:sz w:val="16"/>
                <w:szCs w:val="18"/>
                <w:lang w:val="el-GR"/>
              </w:rPr>
              <w:footnoteReference w:id="7"/>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(23)</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26</w:t>
            </w:r>
          </w:p>
        </w:tc>
        <w:tc>
          <w:tcPr>
            <w:tcW w:w="90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lang w:val="el-GR"/>
              </w:rPr>
              <w:t>--</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w:t>
            </w:r>
          </w:p>
        </w:tc>
        <w:tc>
          <w:tcPr>
            <w:tcW w:w="107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w:t>
            </w:r>
            <w:r w:rsidRPr="003C4D83">
              <w:rPr>
                <w:rFonts w:ascii="Segoe UI" w:hAnsi="Segoe UI" w:cs="Segoe UI"/>
                <w:sz w:val="16"/>
                <w:szCs w:val="18"/>
                <w:lang w:val="el-GR"/>
              </w:rPr>
              <w:t>.</w:t>
            </w:r>
            <w:r w:rsidRPr="003C4D83">
              <w:rPr>
                <w:rFonts w:ascii="Segoe UI" w:hAnsi="Segoe UI" w:cs="Segoe UI"/>
                <w:sz w:val="16"/>
                <w:szCs w:val="18"/>
              </w:rPr>
              <w:t>908)</w:t>
            </w:r>
          </w:p>
        </w:tc>
        <w:tc>
          <w:tcPr>
            <w:tcW w:w="90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eastAsia="Times New Roman" w:hAnsi="Segoe UI" w:cs="Segoe UI"/>
                <w:bCs/>
                <w:sz w:val="16"/>
                <w:szCs w:val="18"/>
                <w:lang w:val="el-GR"/>
              </w:rPr>
            </w:pPr>
            <w:r w:rsidRPr="003C4D83">
              <w:rPr>
                <w:rFonts w:ascii="Segoe UI" w:hAnsi="Segoe UI" w:cs="Segoe UI"/>
                <w:sz w:val="16"/>
                <w:szCs w:val="18"/>
                <w:lang w:val="el-GR"/>
              </w:rPr>
              <w:t>Ελλάδα</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(49)</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w:t>
            </w:r>
          </w:p>
        </w:tc>
        <w:tc>
          <w:tcPr>
            <w:tcW w:w="90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&gt;100%</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(50)</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(1.933)</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-97</w:t>
            </w:r>
            <w:r w:rsidRPr="003C4D83">
              <w:rPr>
                <w:rFonts w:ascii="Segoe UI" w:hAnsi="Segoe UI" w:cs="Segoe UI"/>
                <w:i/>
                <w:sz w:val="16"/>
                <w:szCs w:val="18"/>
                <w:lang w:val="el-GR"/>
              </w:rPr>
              <w:t>,</w:t>
            </w:r>
            <w:r w:rsidRPr="003C4D83">
              <w:rPr>
                <w:rFonts w:ascii="Segoe UI" w:hAnsi="Segoe UI" w:cs="Segoe UI"/>
                <w:i/>
                <w:sz w:val="16"/>
                <w:szCs w:val="18"/>
              </w:rPr>
              <w:t>4%</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n-US"/>
              </w:rPr>
            </w:pPr>
            <w:r w:rsidRPr="003C4D83">
              <w:rPr>
                <w:rFonts w:ascii="Segoe UI" w:hAnsi="Segoe UI" w:cs="Segoe UI"/>
                <w:sz w:val="16"/>
                <w:szCs w:val="18"/>
                <w:lang w:val="el-GR"/>
              </w:rPr>
              <w:t>ΝΑ Ευρώπη</w:t>
            </w:r>
            <w:r w:rsidR="00330556" w:rsidRPr="003C4D83">
              <w:rPr>
                <w:rStyle w:val="a9"/>
                <w:rFonts w:ascii="Segoe UI" w:hAnsi="Segoe UI" w:cs="Segoe UI"/>
                <w:sz w:val="16"/>
                <w:szCs w:val="18"/>
                <w:lang w:val="el-GR"/>
              </w:rPr>
              <w:footnoteReference w:id="8"/>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26</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27</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-6,2%</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53</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27</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95</w:t>
            </w:r>
            <w:r w:rsidRPr="003C4D83">
              <w:rPr>
                <w:rFonts w:ascii="Segoe UI" w:hAnsi="Segoe UI" w:cs="Segoe UI"/>
                <w:i/>
                <w:sz w:val="16"/>
                <w:szCs w:val="18"/>
                <w:lang w:val="el-GR"/>
              </w:rPr>
              <w:t>,</w:t>
            </w:r>
            <w:r w:rsidRPr="003C4D83">
              <w:rPr>
                <w:rFonts w:ascii="Segoe UI" w:hAnsi="Segoe UI" w:cs="Segoe UI"/>
                <w:i/>
                <w:sz w:val="16"/>
                <w:szCs w:val="18"/>
              </w:rPr>
              <w:t>2%</w:t>
            </w:r>
          </w:p>
        </w:tc>
      </w:tr>
      <w:tr w:rsidR="00C31715" w:rsidRPr="00B522A6" w:rsidTr="003C4D83">
        <w:trPr>
          <w:trHeight w:hRule="exact" w:val="567"/>
        </w:trPr>
        <w:tc>
          <w:tcPr>
            <w:tcW w:w="3005" w:type="dxa"/>
            <w:tcBorders>
              <w:bottom w:val="single" w:sz="12" w:space="0" w:color="auto"/>
            </w:tcBorders>
            <w:shd w:val="clear" w:color="auto" w:fill="auto"/>
            <w:vAlign w:val="bottom"/>
          </w:tcPr>
          <w:p w:rsidR="00C31715" w:rsidRPr="003C4D83" w:rsidRDefault="00C31715" w:rsidP="004929D8">
            <w:pPr>
              <w:spacing w:after="160" w:line="240" w:lineRule="auto"/>
              <w:rPr>
                <w:rFonts w:ascii="Segoe UI" w:hAnsi="Segoe UI" w:cs="Segoe UI"/>
                <w:b/>
                <w:sz w:val="16"/>
                <w:szCs w:val="18"/>
              </w:rPr>
            </w:pPr>
            <w:r w:rsidRPr="003C4D83">
              <w:rPr>
                <w:rFonts w:ascii="Segoe UI" w:eastAsia="Times New Roman" w:hAnsi="Segoe UI" w:cs="Segoe UI"/>
                <w:b/>
                <w:bCs/>
                <w:sz w:val="16"/>
                <w:szCs w:val="18"/>
                <w:lang w:val="el-GR"/>
              </w:rPr>
              <w:t>Οργανικά Έσοδα</w:t>
            </w:r>
            <w:r w:rsidRPr="003C4D83">
              <w:rPr>
                <w:rFonts w:ascii="Segoe UI" w:eastAsia="Times New Roman" w:hAnsi="Segoe UI" w:cs="Segoe UI"/>
                <w:b/>
                <w:bCs/>
                <w:sz w:val="16"/>
                <w:szCs w:val="18"/>
                <w:lang w:val="en-US"/>
              </w:rPr>
              <w:t xml:space="preserve"> (€</w:t>
            </w:r>
            <w:r w:rsidRPr="003C4D83">
              <w:rPr>
                <w:rFonts w:ascii="Segoe UI" w:eastAsia="Times New Roman" w:hAnsi="Segoe UI" w:cs="Segoe UI"/>
                <w:b/>
                <w:bCs/>
                <w:sz w:val="16"/>
                <w:szCs w:val="18"/>
                <w:lang w:val="el-GR"/>
              </w:rPr>
              <w:t xml:space="preserve"> εκατ.</w:t>
            </w:r>
            <w:r w:rsidRPr="003C4D83">
              <w:rPr>
                <w:rFonts w:ascii="Segoe UI" w:eastAsia="Times New Roman" w:hAnsi="Segoe UI" w:cs="Segoe UI"/>
                <w:b/>
                <w:bCs/>
                <w:sz w:val="16"/>
                <w:szCs w:val="18"/>
                <w:lang w:val="en-US"/>
              </w:rPr>
              <w:t>)</w:t>
            </w: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c>
          <w:tcPr>
            <w:tcW w:w="1077" w:type="dxa"/>
            <w:tcBorders>
              <w:bottom w:val="single" w:sz="12" w:space="0" w:color="auto"/>
            </w:tcBorders>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r>
      <w:tr w:rsidR="00C31715" w:rsidRPr="00B522A6" w:rsidTr="003C4D83">
        <w:trPr>
          <w:trHeight w:hRule="exact" w:val="340"/>
        </w:trPr>
        <w:tc>
          <w:tcPr>
            <w:tcW w:w="3005" w:type="dxa"/>
            <w:tcBorders>
              <w:top w:val="single" w:sz="12"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Ομίλου</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567</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540</w:t>
            </w:r>
          </w:p>
        </w:tc>
        <w:tc>
          <w:tcPr>
            <w:tcW w:w="90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5.</w:t>
            </w:r>
            <w:r w:rsidRPr="003C4D83">
              <w:rPr>
                <w:rFonts w:ascii="Segoe UI" w:hAnsi="Segoe UI" w:cs="Segoe UI"/>
                <w:i/>
                <w:sz w:val="16"/>
                <w:szCs w:val="18"/>
                <w:lang w:val="el-GR"/>
              </w:rPr>
              <w:t>,</w:t>
            </w:r>
            <w:r w:rsidRPr="003C4D83">
              <w:rPr>
                <w:rFonts w:ascii="Segoe UI" w:hAnsi="Segoe UI" w:cs="Segoe UI"/>
                <w:i/>
                <w:sz w:val="16"/>
                <w:szCs w:val="18"/>
              </w:rPr>
              <w:t>0%</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w:t>
            </w:r>
            <w:r w:rsidRPr="003C4D83">
              <w:rPr>
                <w:rFonts w:ascii="Segoe UI" w:hAnsi="Segoe UI" w:cs="Segoe UI"/>
                <w:sz w:val="16"/>
                <w:szCs w:val="18"/>
                <w:lang w:val="el-GR"/>
              </w:rPr>
              <w:t>.</w:t>
            </w:r>
            <w:r w:rsidRPr="003C4D83">
              <w:rPr>
                <w:rFonts w:ascii="Segoe UI" w:hAnsi="Segoe UI" w:cs="Segoe UI"/>
                <w:sz w:val="16"/>
                <w:szCs w:val="18"/>
              </w:rPr>
              <w:t>106</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w:t>
            </w:r>
            <w:r w:rsidRPr="003C4D83">
              <w:rPr>
                <w:rFonts w:ascii="Segoe UI" w:hAnsi="Segoe UI" w:cs="Segoe UI"/>
                <w:sz w:val="16"/>
                <w:szCs w:val="18"/>
                <w:lang w:val="el-GR"/>
              </w:rPr>
              <w:t>.</w:t>
            </w:r>
            <w:r w:rsidRPr="003C4D83">
              <w:rPr>
                <w:rFonts w:ascii="Segoe UI" w:hAnsi="Segoe UI" w:cs="Segoe UI"/>
                <w:sz w:val="16"/>
                <w:szCs w:val="18"/>
              </w:rPr>
              <w:t>081</w:t>
            </w:r>
          </w:p>
        </w:tc>
        <w:tc>
          <w:tcPr>
            <w:tcW w:w="90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2</w:t>
            </w:r>
            <w:r w:rsidRPr="003C4D83">
              <w:rPr>
                <w:rFonts w:ascii="Segoe UI" w:hAnsi="Segoe UI" w:cs="Segoe UI"/>
                <w:i/>
                <w:sz w:val="16"/>
                <w:szCs w:val="18"/>
                <w:lang w:val="el-GR"/>
              </w:rPr>
              <w:t>,</w:t>
            </w:r>
            <w:r w:rsidRPr="003C4D83">
              <w:rPr>
                <w:rFonts w:ascii="Segoe UI" w:hAnsi="Segoe UI" w:cs="Segoe UI"/>
                <w:i/>
                <w:sz w:val="16"/>
                <w:szCs w:val="18"/>
              </w:rPr>
              <w:t>4%</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 xml:space="preserve">          Ελλάδα</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459</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432</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6</w:t>
            </w:r>
            <w:r w:rsidRPr="003C4D83">
              <w:rPr>
                <w:rFonts w:ascii="Segoe UI" w:hAnsi="Segoe UI" w:cs="Segoe UI"/>
                <w:i/>
                <w:sz w:val="16"/>
                <w:szCs w:val="18"/>
                <w:lang w:val="el-GR"/>
              </w:rPr>
              <w:t>,</w:t>
            </w:r>
            <w:r w:rsidRPr="003C4D83">
              <w:rPr>
                <w:rFonts w:ascii="Segoe UI" w:hAnsi="Segoe UI" w:cs="Segoe UI"/>
                <w:i/>
                <w:sz w:val="16"/>
                <w:szCs w:val="18"/>
              </w:rPr>
              <w:t>3%</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891</w:t>
            </w:r>
          </w:p>
        </w:tc>
        <w:tc>
          <w:tcPr>
            <w:tcW w:w="1077" w:type="dxa"/>
            <w:tcBorders>
              <w:top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864</w:t>
            </w:r>
          </w:p>
        </w:tc>
        <w:tc>
          <w:tcPr>
            <w:tcW w:w="907" w:type="dxa"/>
            <w:tcBorders>
              <w:top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3</w:t>
            </w:r>
            <w:r w:rsidRPr="003C4D83">
              <w:rPr>
                <w:rFonts w:ascii="Segoe UI" w:hAnsi="Segoe UI" w:cs="Segoe UI"/>
                <w:i/>
                <w:sz w:val="16"/>
                <w:szCs w:val="18"/>
                <w:lang w:val="el-GR"/>
              </w:rPr>
              <w:t>,</w:t>
            </w:r>
            <w:r w:rsidRPr="003C4D83">
              <w:rPr>
                <w:rFonts w:ascii="Segoe UI" w:hAnsi="Segoe UI" w:cs="Segoe UI"/>
                <w:i/>
                <w:sz w:val="16"/>
                <w:szCs w:val="18"/>
              </w:rPr>
              <w:t>1%</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330556">
            <w:pPr>
              <w:spacing w:after="160"/>
              <w:rPr>
                <w:rFonts w:ascii="Segoe UI" w:hAnsi="Segoe UI" w:cs="Segoe UI"/>
                <w:sz w:val="16"/>
                <w:szCs w:val="18"/>
                <w:lang w:val="el-GR"/>
              </w:rPr>
            </w:pPr>
            <w:r w:rsidRPr="003C4D83">
              <w:rPr>
                <w:rFonts w:ascii="Segoe UI" w:hAnsi="Segoe UI" w:cs="Segoe UI"/>
                <w:sz w:val="16"/>
                <w:szCs w:val="18"/>
                <w:lang w:val="el-GR"/>
              </w:rPr>
              <w:t xml:space="preserve">          ΝΑ Ευρώπη</w:t>
            </w:r>
            <w:r w:rsidR="00330556" w:rsidRPr="003C4D83">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107</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108</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-0</w:t>
            </w:r>
            <w:r w:rsidRPr="003C4D83">
              <w:rPr>
                <w:rFonts w:ascii="Segoe UI" w:hAnsi="Segoe UI" w:cs="Segoe UI"/>
                <w:i/>
                <w:sz w:val="16"/>
                <w:szCs w:val="18"/>
                <w:lang w:val="el-GR"/>
              </w:rPr>
              <w:t>,</w:t>
            </w:r>
            <w:r w:rsidRPr="003C4D83">
              <w:rPr>
                <w:rFonts w:ascii="Segoe UI" w:hAnsi="Segoe UI" w:cs="Segoe UI"/>
                <w:i/>
                <w:sz w:val="16"/>
                <w:szCs w:val="18"/>
              </w:rPr>
              <w:t>4%</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215</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216</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-0</w:t>
            </w:r>
            <w:r w:rsidRPr="003C4D83">
              <w:rPr>
                <w:rFonts w:ascii="Segoe UI" w:hAnsi="Segoe UI" w:cs="Segoe UI"/>
                <w:i/>
                <w:sz w:val="16"/>
                <w:szCs w:val="18"/>
                <w:lang w:val="el-GR"/>
              </w:rPr>
              <w:t>,</w:t>
            </w:r>
            <w:r w:rsidRPr="003C4D83">
              <w:rPr>
                <w:rFonts w:ascii="Segoe UI" w:hAnsi="Segoe UI" w:cs="Segoe UI"/>
                <w:i/>
                <w:sz w:val="16"/>
                <w:szCs w:val="18"/>
              </w:rPr>
              <w:t>4%</w:t>
            </w:r>
          </w:p>
        </w:tc>
      </w:tr>
      <w:tr w:rsidR="00C31715" w:rsidRPr="00B522A6" w:rsidTr="003C4D83">
        <w:trPr>
          <w:trHeight w:hRule="exact" w:val="567"/>
        </w:trPr>
        <w:tc>
          <w:tcPr>
            <w:tcW w:w="3005" w:type="dxa"/>
            <w:tcBorders>
              <w:bottom w:val="single" w:sz="12" w:space="0" w:color="auto"/>
            </w:tcBorders>
            <w:shd w:val="clear" w:color="auto" w:fill="auto"/>
            <w:vAlign w:val="bottom"/>
          </w:tcPr>
          <w:p w:rsidR="00C31715" w:rsidRPr="003C4D83" w:rsidRDefault="00C31715" w:rsidP="004929D8">
            <w:pPr>
              <w:spacing w:after="160" w:line="240" w:lineRule="auto"/>
              <w:rPr>
                <w:rFonts w:ascii="Segoe UI" w:hAnsi="Segoe UI" w:cs="Segoe UI"/>
                <w:b/>
                <w:sz w:val="16"/>
                <w:szCs w:val="18"/>
                <w:lang w:val="el-GR"/>
              </w:rPr>
            </w:pPr>
            <w:r w:rsidRPr="003C4D83">
              <w:rPr>
                <w:rFonts w:ascii="Segoe UI" w:eastAsia="Times New Roman" w:hAnsi="Segoe UI" w:cs="Segoe UI"/>
                <w:b/>
                <w:bCs/>
                <w:sz w:val="16"/>
                <w:szCs w:val="18"/>
                <w:lang w:val="el-GR"/>
              </w:rPr>
              <w:t xml:space="preserve">Λειτουργικά Έξοδα (€ εκατ.) </w:t>
            </w: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c>
          <w:tcPr>
            <w:tcW w:w="1077" w:type="dxa"/>
            <w:tcBorders>
              <w:bottom w:val="single" w:sz="12" w:space="0" w:color="auto"/>
            </w:tcBorders>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r>
      <w:tr w:rsidR="00C31715" w:rsidRPr="00B522A6" w:rsidTr="003C4D83">
        <w:trPr>
          <w:trHeight w:hRule="exact" w:val="340"/>
        </w:trPr>
        <w:tc>
          <w:tcPr>
            <w:tcW w:w="3005" w:type="dxa"/>
            <w:tcBorders>
              <w:top w:val="single" w:sz="12" w:space="0" w:color="auto"/>
              <w:bottom w:val="single" w:sz="4" w:space="0" w:color="auto"/>
            </w:tcBorders>
            <w:shd w:val="clear" w:color="auto" w:fill="auto"/>
            <w:vAlign w:val="bottom"/>
          </w:tcPr>
          <w:p w:rsidR="00C31715" w:rsidRPr="003C4D83" w:rsidRDefault="00C31715" w:rsidP="00073402">
            <w:pPr>
              <w:spacing w:after="160"/>
              <w:rPr>
                <w:rFonts w:ascii="Segoe UI" w:eastAsia="Times New Roman" w:hAnsi="Segoe UI" w:cs="Segoe UI"/>
                <w:sz w:val="16"/>
                <w:szCs w:val="18"/>
                <w:lang w:val="el-GR"/>
              </w:rPr>
            </w:pPr>
            <w:r w:rsidRPr="003C4D83">
              <w:rPr>
                <w:rFonts w:ascii="Segoe UI" w:hAnsi="Segoe UI" w:cs="Segoe UI"/>
                <w:sz w:val="16"/>
                <w:szCs w:val="18"/>
                <w:lang w:val="el-GR"/>
              </w:rPr>
              <w:t>Ομίλου</w:t>
            </w:r>
          </w:p>
        </w:tc>
        <w:tc>
          <w:tcPr>
            <w:tcW w:w="107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319</w:t>
            </w:r>
          </w:p>
        </w:tc>
        <w:tc>
          <w:tcPr>
            <w:tcW w:w="107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309</w:t>
            </w:r>
          </w:p>
        </w:tc>
        <w:tc>
          <w:tcPr>
            <w:tcW w:w="90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3</w:t>
            </w:r>
            <w:r w:rsidRPr="003C4D83">
              <w:rPr>
                <w:rFonts w:ascii="Segoe UI" w:hAnsi="Segoe UI" w:cs="Segoe UI"/>
                <w:i/>
                <w:sz w:val="16"/>
                <w:szCs w:val="18"/>
                <w:lang w:val="el-GR"/>
              </w:rPr>
              <w:t>,</w:t>
            </w:r>
            <w:r w:rsidRPr="003C4D83">
              <w:rPr>
                <w:rFonts w:ascii="Segoe UI" w:hAnsi="Segoe UI" w:cs="Segoe UI"/>
                <w:i/>
                <w:sz w:val="16"/>
                <w:szCs w:val="18"/>
              </w:rPr>
              <w:t>4%</w:t>
            </w:r>
          </w:p>
        </w:tc>
        <w:tc>
          <w:tcPr>
            <w:tcW w:w="107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628</w:t>
            </w:r>
          </w:p>
        </w:tc>
        <w:tc>
          <w:tcPr>
            <w:tcW w:w="107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641</w:t>
            </w:r>
          </w:p>
        </w:tc>
        <w:tc>
          <w:tcPr>
            <w:tcW w:w="90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-2</w:t>
            </w:r>
            <w:r w:rsidRPr="003C4D83">
              <w:rPr>
                <w:rFonts w:ascii="Segoe UI" w:hAnsi="Segoe UI" w:cs="Segoe UI"/>
                <w:i/>
                <w:sz w:val="16"/>
                <w:szCs w:val="18"/>
                <w:lang w:val="el-GR"/>
              </w:rPr>
              <w:t>,</w:t>
            </w:r>
            <w:r w:rsidRPr="003C4D83">
              <w:rPr>
                <w:rFonts w:ascii="Segoe UI" w:hAnsi="Segoe UI" w:cs="Segoe UI"/>
                <w:i/>
                <w:sz w:val="16"/>
                <w:szCs w:val="18"/>
              </w:rPr>
              <w:t>0%</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 xml:space="preserve">          Ελλάδα</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252</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243</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3</w:t>
            </w:r>
            <w:r w:rsidRPr="003C4D83">
              <w:rPr>
                <w:rFonts w:ascii="Segoe UI" w:hAnsi="Segoe UI" w:cs="Segoe UI"/>
                <w:i/>
                <w:sz w:val="16"/>
                <w:szCs w:val="18"/>
                <w:lang w:val="el-GR"/>
              </w:rPr>
              <w:t>,</w:t>
            </w:r>
            <w:r w:rsidRPr="003C4D83">
              <w:rPr>
                <w:rFonts w:ascii="Segoe UI" w:hAnsi="Segoe UI" w:cs="Segoe UI"/>
                <w:i/>
                <w:sz w:val="16"/>
                <w:szCs w:val="18"/>
              </w:rPr>
              <w:t>6%</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495</w:t>
            </w:r>
          </w:p>
        </w:tc>
        <w:tc>
          <w:tcPr>
            <w:tcW w:w="1077" w:type="dxa"/>
            <w:tcBorders>
              <w:top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509</w:t>
            </w:r>
          </w:p>
        </w:tc>
        <w:tc>
          <w:tcPr>
            <w:tcW w:w="907" w:type="dxa"/>
            <w:tcBorders>
              <w:top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-2</w:t>
            </w:r>
            <w:r w:rsidRPr="003C4D83">
              <w:rPr>
                <w:rFonts w:ascii="Segoe UI" w:hAnsi="Segoe UI" w:cs="Segoe UI"/>
                <w:i/>
                <w:sz w:val="16"/>
                <w:szCs w:val="18"/>
                <w:lang w:val="el-GR"/>
              </w:rPr>
              <w:t>,</w:t>
            </w:r>
            <w:r w:rsidRPr="003C4D83">
              <w:rPr>
                <w:rFonts w:ascii="Segoe UI" w:hAnsi="Segoe UI" w:cs="Segoe UI"/>
                <w:i/>
                <w:sz w:val="16"/>
                <w:szCs w:val="18"/>
              </w:rPr>
              <w:t>8%</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330556">
            <w:pPr>
              <w:spacing w:after="160"/>
              <w:rPr>
                <w:rFonts w:ascii="Segoe UI" w:hAnsi="Segoe UI" w:cs="Segoe UI"/>
                <w:sz w:val="16"/>
                <w:szCs w:val="18"/>
              </w:rPr>
            </w:pPr>
            <w:r w:rsidRPr="003C4D83">
              <w:rPr>
                <w:rFonts w:ascii="Segoe UI" w:hAnsi="Segoe UI" w:cs="Segoe UI"/>
                <w:sz w:val="16"/>
                <w:szCs w:val="18"/>
                <w:lang w:val="el-GR"/>
              </w:rPr>
              <w:t>ΝΑ Ευρώπη</w:t>
            </w:r>
            <w:r w:rsidR="00330556" w:rsidRPr="003C4D83">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67</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66</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2</w:t>
            </w:r>
            <w:r w:rsidRPr="003C4D83">
              <w:rPr>
                <w:rFonts w:ascii="Segoe UI" w:hAnsi="Segoe UI" w:cs="Segoe UI"/>
                <w:i/>
                <w:sz w:val="16"/>
                <w:szCs w:val="18"/>
                <w:lang w:val="el-GR"/>
              </w:rPr>
              <w:t>,</w:t>
            </w:r>
            <w:r w:rsidRPr="003C4D83">
              <w:rPr>
                <w:rFonts w:ascii="Segoe UI" w:hAnsi="Segoe UI" w:cs="Segoe UI"/>
                <w:i/>
                <w:sz w:val="16"/>
                <w:szCs w:val="18"/>
              </w:rPr>
              <w:t>6%</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133</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132</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1</w:t>
            </w:r>
            <w:r w:rsidRPr="003C4D83">
              <w:rPr>
                <w:rFonts w:ascii="Segoe UI" w:hAnsi="Segoe UI" w:cs="Segoe UI"/>
                <w:i/>
                <w:sz w:val="16"/>
                <w:szCs w:val="18"/>
                <w:lang w:val="el-GR"/>
              </w:rPr>
              <w:t>,</w:t>
            </w:r>
            <w:r w:rsidRPr="003C4D83">
              <w:rPr>
                <w:rFonts w:ascii="Segoe UI" w:hAnsi="Segoe UI" w:cs="Segoe UI"/>
                <w:i/>
                <w:sz w:val="16"/>
                <w:szCs w:val="18"/>
              </w:rPr>
              <w:t>1%</w:t>
            </w:r>
          </w:p>
        </w:tc>
      </w:tr>
      <w:tr w:rsidR="00C31715" w:rsidRPr="00B522A6" w:rsidTr="003C4D83">
        <w:trPr>
          <w:trHeight w:hRule="exact" w:val="567"/>
        </w:trPr>
        <w:tc>
          <w:tcPr>
            <w:tcW w:w="3005" w:type="dxa"/>
            <w:tcBorders>
              <w:bottom w:val="single" w:sz="12" w:space="0" w:color="auto"/>
            </w:tcBorders>
            <w:shd w:val="clear" w:color="auto" w:fill="auto"/>
            <w:vAlign w:val="bottom"/>
          </w:tcPr>
          <w:p w:rsidR="00C31715" w:rsidRPr="003C4D83" w:rsidRDefault="00C31715" w:rsidP="004929D8">
            <w:pPr>
              <w:spacing w:after="160" w:line="240" w:lineRule="auto"/>
              <w:rPr>
                <w:rFonts w:ascii="Segoe UI" w:hAnsi="Segoe UI" w:cs="Segoe UI"/>
                <w:b/>
                <w:sz w:val="16"/>
                <w:szCs w:val="18"/>
              </w:rPr>
            </w:pPr>
            <w:r w:rsidRPr="003C4D83">
              <w:rPr>
                <w:rFonts w:ascii="Segoe UI" w:eastAsia="Times New Roman" w:hAnsi="Segoe UI" w:cs="Segoe UI"/>
                <w:b/>
                <w:bCs/>
                <w:sz w:val="16"/>
                <w:szCs w:val="18"/>
                <w:lang w:val="el-GR"/>
              </w:rPr>
              <w:t>Ισολογισμός-Ομίλου</w:t>
            </w:r>
            <w:r w:rsidRPr="003C4D83">
              <w:rPr>
                <w:rFonts w:ascii="Segoe UI" w:eastAsia="Times New Roman" w:hAnsi="Segoe UI" w:cs="Segoe UI"/>
                <w:b/>
                <w:bCs/>
                <w:sz w:val="16"/>
                <w:szCs w:val="18"/>
                <w:lang w:val="en-US"/>
              </w:rPr>
              <w:t xml:space="preserve"> (€</w:t>
            </w:r>
            <w:r w:rsidRPr="003C4D83">
              <w:rPr>
                <w:rFonts w:ascii="Segoe UI" w:eastAsia="Times New Roman" w:hAnsi="Segoe UI" w:cs="Segoe UI"/>
                <w:b/>
                <w:bCs/>
                <w:sz w:val="16"/>
                <w:szCs w:val="18"/>
                <w:lang w:val="el-GR"/>
              </w:rPr>
              <w:t xml:space="preserve"> εκατ.</w:t>
            </w:r>
            <w:r w:rsidRPr="003C4D83">
              <w:rPr>
                <w:rFonts w:ascii="Segoe UI" w:eastAsia="Times New Roman" w:hAnsi="Segoe UI" w:cs="Segoe UI"/>
                <w:b/>
                <w:bCs/>
                <w:sz w:val="16"/>
                <w:szCs w:val="18"/>
                <w:lang w:val="en-US"/>
              </w:rPr>
              <w:t>)</w:t>
            </w: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c>
          <w:tcPr>
            <w:tcW w:w="1077" w:type="dxa"/>
            <w:tcBorders>
              <w:bottom w:val="single" w:sz="12" w:space="0" w:color="auto"/>
            </w:tcBorders>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rPr>
            </w:pPr>
            <w:r w:rsidRPr="003C4D83">
              <w:rPr>
                <w:rFonts w:ascii="Segoe UI" w:hAnsi="Segoe UI" w:cs="Segoe UI"/>
                <w:sz w:val="16"/>
                <w:szCs w:val="18"/>
                <w:lang w:val="el-GR"/>
              </w:rPr>
              <w:t>Συνολικό Ενεργητικό</w:t>
            </w:r>
            <w:r w:rsidR="00073402" w:rsidRPr="003C4D83">
              <w:rPr>
                <w:rFonts w:ascii="Segoe UI" w:hAnsi="Segoe UI" w:cs="Segoe UI"/>
                <w:sz w:val="16"/>
                <w:szCs w:val="18"/>
                <w:vertAlign w:val="superscript"/>
                <w:lang w:val="el-GR"/>
              </w:rPr>
              <w:t>1</w:t>
            </w:r>
          </w:p>
        </w:tc>
        <w:tc>
          <w:tcPr>
            <w:tcW w:w="1077" w:type="dxa"/>
            <w:tcBorders>
              <w:top w:val="single" w:sz="4" w:space="0" w:color="auto"/>
              <w:bottom w:val="single" w:sz="4" w:space="0" w:color="auto"/>
            </w:tcBorders>
            <w:shd w:val="clear" w:color="auto" w:fill="auto"/>
          </w:tcPr>
          <w:p w:rsidR="00C31715" w:rsidRPr="003C4D83" w:rsidRDefault="00C31715" w:rsidP="00E96DAF">
            <w:pPr>
              <w:spacing w:after="160"/>
              <w:jc w:val="right"/>
              <w:rPr>
                <w:rFonts w:ascii="Segoe UI" w:hAnsi="Segoe UI" w:cs="Segoe UI"/>
                <w:sz w:val="16"/>
                <w:szCs w:val="18"/>
              </w:rPr>
            </w:pPr>
            <w:r w:rsidRPr="003C4D83">
              <w:rPr>
                <w:rFonts w:ascii="Segoe UI" w:hAnsi="Segoe UI" w:cs="Segoe UI"/>
                <w:sz w:val="16"/>
                <w:szCs w:val="18"/>
              </w:rPr>
              <w:t>83</w:t>
            </w:r>
            <w:r w:rsidRPr="003C4D83">
              <w:rPr>
                <w:rFonts w:ascii="Segoe UI" w:hAnsi="Segoe UI" w:cs="Segoe UI"/>
                <w:sz w:val="16"/>
                <w:szCs w:val="18"/>
                <w:lang w:val="el-GR"/>
              </w:rPr>
              <w:t>.</w:t>
            </w:r>
            <w:r w:rsidR="00E96DAF" w:rsidRPr="003C4D83">
              <w:rPr>
                <w:rFonts w:ascii="Segoe UI" w:hAnsi="Segoe UI" w:cs="Segoe UI"/>
                <w:sz w:val="16"/>
                <w:szCs w:val="18"/>
              </w:rPr>
              <w:t>174</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83.802</w:t>
            </w:r>
          </w:p>
        </w:tc>
        <w:tc>
          <w:tcPr>
            <w:tcW w:w="907" w:type="dxa"/>
            <w:tcBorders>
              <w:top w:val="single" w:sz="4" w:space="0" w:color="auto"/>
              <w:bottom w:val="single" w:sz="4" w:space="0" w:color="auto"/>
            </w:tcBorders>
          </w:tcPr>
          <w:p w:rsidR="00C31715" w:rsidRPr="003C4D83" w:rsidRDefault="00E96DAF" w:rsidP="00E96DAF">
            <w:pPr>
              <w:spacing w:after="160"/>
              <w:jc w:val="right"/>
              <w:rPr>
                <w:rFonts w:ascii="Segoe UI" w:hAnsi="Segoe UI" w:cs="Segoe UI"/>
                <w:i/>
                <w:sz w:val="16"/>
                <w:szCs w:val="18"/>
              </w:rPr>
            </w:pPr>
            <w:r w:rsidRPr="003C4D83">
              <w:rPr>
                <w:rFonts w:ascii="Segoe UI" w:hAnsi="Segoe UI" w:cs="Segoe UI"/>
                <w:i/>
                <w:sz w:val="16"/>
                <w:szCs w:val="18"/>
                <w:lang w:val="el-GR"/>
              </w:rPr>
              <w:t>-</w:t>
            </w:r>
            <w:r w:rsidR="00C31715" w:rsidRPr="003C4D83">
              <w:rPr>
                <w:rFonts w:ascii="Segoe UI" w:hAnsi="Segoe UI" w:cs="Segoe UI"/>
                <w:i/>
                <w:sz w:val="16"/>
                <w:szCs w:val="18"/>
              </w:rPr>
              <w:t>0,</w:t>
            </w:r>
            <w:r w:rsidRPr="003C4D83">
              <w:rPr>
                <w:rFonts w:ascii="Segoe UI" w:hAnsi="Segoe UI" w:cs="Segoe UI"/>
                <w:i/>
                <w:sz w:val="16"/>
                <w:szCs w:val="18"/>
                <w:lang w:val="el-GR"/>
              </w:rPr>
              <w:t>7</w:t>
            </w:r>
            <w:r w:rsidR="00C31715" w:rsidRPr="003C4D83">
              <w:rPr>
                <w:rFonts w:ascii="Segoe UI" w:hAnsi="Segoe UI" w:cs="Segoe UI"/>
                <w:i/>
                <w:sz w:val="16"/>
                <w:szCs w:val="18"/>
              </w:rPr>
              <w:t>%</w:t>
            </w:r>
          </w:p>
        </w:tc>
        <w:tc>
          <w:tcPr>
            <w:tcW w:w="1077" w:type="dxa"/>
            <w:tcBorders>
              <w:top w:val="single" w:sz="4" w:space="0" w:color="auto"/>
              <w:bottom w:val="single" w:sz="4" w:space="0" w:color="auto"/>
            </w:tcBorders>
            <w:shd w:val="clear" w:color="auto" w:fill="auto"/>
          </w:tcPr>
          <w:p w:rsidR="00C31715" w:rsidRPr="003C4D83" w:rsidRDefault="00C31715" w:rsidP="00E96DAF">
            <w:pPr>
              <w:spacing w:after="160"/>
              <w:jc w:val="right"/>
              <w:rPr>
                <w:rFonts w:ascii="Segoe UI" w:hAnsi="Segoe UI" w:cs="Segoe UI"/>
                <w:sz w:val="16"/>
                <w:szCs w:val="18"/>
                <w:lang w:val="el-GR"/>
              </w:rPr>
            </w:pPr>
            <w:r w:rsidRPr="003C4D83">
              <w:rPr>
                <w:rFonts w:ascii="Segoe UI" w:hAnsi="Segoe UI" w:cs="Segoe UI"/>
                <w:sz w:val="16"/>
                <w:szCs w:val="18"/>
              </w:rPr>
              <w:t>83</w:t>
            </w:r>
            <w:r w:rsidRPr="003C4D83">
              <w:rPr>
                <w:rFonts w:ascii="Segoe UI" w:hAnsi="Segoe UI" w:cs="Segoe UI"/>
                <w:sz w:val="16"/>
                <w:szCs w:val="18"/>
                <w:lang w:val="el-GR"/>
              </w:rPr>
              <w:t>.</w:t>
            </w:r>
            <w:r w:rsidR="00E96DAF" w:rsidRPr="003C4D83">
              <w:rPr>
                <w:rFonts w:ascii="Segoe UI" w:hAnsi="Segoe UI" w:cs="Segoe UI"/>
                <w:sz w:val="16"/>
                <w:szCs w:val="18"/>
                <w:lang w:val="el-GR"/>
              </w:rPr>
              <w:t>174</w:t>
            </w:r>
          </w:p>
        </w:tc>
        <w:tc>
          <w:tcPr>
            <w:tcW w:w="1077" w:type="dxa"/>
            <w:tcBorders>
              <w:top w:val="single" w:sz="4" w:space="0" w:color="auto"/>
            </w:tcBorders>
            <w:shd w:val="clear" w:color="auto" w:fill="auto"/>
          </w:tcPr>
          <w:p w:rsidR="00C31715" w:rsidRPr="003C4D83" w:rsidRDefault="00C31715" w:rsidP="007C5802">
            <w:pPr>
              <w:spacing w:after="160"/>
              <w:jc w:val="right"/>
              <w:rPr>
                <w:rFonts w:ascii="Segoe UI" w:hAnsi="Segoe UI" w:cs="Segoe UI"/>
                <w:sz w:val="16"/>
                <w:szCs w:val="18"/>
              </w:rPr>
            </w:pPr>
            <w:r w:rsidRPr="003C4D83">
              <w:rPr>
                <w:rFonts w:ascii="Segoe UI" w:hAnsi="Segoe UI" w:cs="Segoe UI"/>
                <w:sz w:val="16"/>
                <w:szCs w:val="18"/>
              </w:rPr>
              <w:t>82</w:t>
            </w:r>
            <w:r w:rsidR="007C5802" w:rsidRPr="003C4D83">
              <w:rPr>
                <w:rFonts w:ascii="Segoe UI" w:hAnsi="Segoe UI" w:cs="Segoe UI"/>
                <w:sz w:val="16"/>
                <w:szCs w:val="18"/>
                <w:lang w:val="el-GR"/>
              </w:rPr>
              <w:t>.</w:t>
            </w:r>
            <w:r w:rsidRPr="003C4D83">
              <w:rPr>
                <w:rFonts w:ascii="Segoe UI" w:hAnsi="Segoe UI" w:cs="Segoe UI"/>
                <w:sz w:val="16"/>
                <w:szCs w:val="18"/>
              </w:rPr>
              <w:t>959</w:t>
            </w:r>
          </w:p>
        </w:tc>
        <w:tc>
          <w:tcPr>
            <w:tcW w:w="907" w:type="dxa"/>
            <w:tcBorders>
              <w:top w:val="single" w:sz="4" w:space="0" w:color="auto"/>
            </w:tcBorders>
          </w:tcPr>
          <w:p w:rsidR="00C31715" w:rsidRPr="003C4D83" w:rsidRDefault="00E96DAF" w:rsidP="00E96DAF">
            <w:pPr>
              <w:spacing w:after="160"/>
              <w:jc w:val="right"/>
              <w:rPr>
                <w:rFonts w:ascii="Segoe UI" w:hAnsi="Segoe UI" w:cs="Segoe UI"/>
                <w:i/>
                <w:sz w:val="16"/>
                <w:szCs w:val="18"/>
              </w:rPr>
            </w:pPr>
            <w:r w:rsidRPr="003C4D83">
              <w:rPr>
                <w:rFonts w:ascii="Segoe UI" w:hAnsi="Segoe UI" w:cs="Segoe UI"/>
                <w:i/>
                <w:sz w:val="16"/>
                <w:szCs w:val="18"/>
                <w:lang w:val="el-GR"/>
              </w:rPr>
              <w:t>0</w:t>
            </w:r>
            <w:r w:rsidR="00C31715" w:rsidRPr="003C4D83">
              <w:rPr>
                <w:rFonts w:ascii="Segoe UI" w:hAnsi="Segoe UI" w:cs="Segoe UI"/>
                <w:i/>
                <w:sz w:val="16"/>
                <w:szCs w:val="18"/>
                <w:lang w:val="el-GR"/>
              </w:rPr>
              <w:t>,</w:t>
            </w:r>
            <w:r w:rsidRPr="003C4D83">
              <w:rPr>
                <w:rFonts w:ascii="Segoe UI" w:hAnsi="Segoe UI" w:cs="Segoe UI"/>
                <w:i/>
                <w:sz w:val="16"/>
                <w:szCs w:val="18"/>
                <w:lang w:val="el-GR"/>
              </w:rPr>
              <w:t>3</w:t>
            </w:r>
            <w:r w:rsidR="00C31715" w:rsidRPr="003C4D83">
              <w:rPr>
                <w:rFonts w:ascii="Segoe UI" w:hAnsi="Segoe UI" w:cs="Segoe UI"/>
                <w:i/>
                <w:sz w:val="16"/>
                <w:szCs w:val="18"/>
              </w:rPr>
              <w:t>%</w:t>
            </w:r>
          </w:p>
        </w:tc>
      </w:tr>
      <w:tr w:rsidR="00C31715" w:rsidRPr="00B522A6" w:rsidTr="003C4D83">
        <w:trPr>
          <w:trHeight w:hRule="exact" w:val="340"/>
        </w:trPr>
        <w:tc>
          <w:tcPr>
            <w:tcW w:w="3005" w:type="dxa"/>
            <w:tcBorders>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Καθαρές Χορηγήσεις</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38.422</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38.603</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-0</w:t>
            </w:r>
            <w:r w:rsidRPr="003C4D83">
              <w:rPr>
                <w:rFonts w:ascii="Segoe UI" w:hAnsi="Segoe UI" w:cs="Segoe UI"/>
                <w:i/>
                <w:sz w:val="16"/>
                <w:szCs w:val="18"/>
                <w:lang w:val="el-GR"/>
              </w:rPr>
              <w:t>,</w:t>
            </w:r>
            <w:r w:rsidRPr="003C4D83">
              <w:rPr>
                <w:rFonts w:ascii="Segoe UI" w:hAnsi="Segoe UI" w:cs="Segoe UI"/>
                <w:i/>
                <w:sz w:val="16"/>
                <w:szCs w:val="18"/>
              </w:rPr>
              <w:t>5%</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38.422</w:t>
            </w:r>
          </w:p>
        </w:tc>
        <w:tc>
          <w:tcPr>
            <w:tcW w:w="1077" w:type="dxa"/>
            <w:tcBorders>
              <w:top w:val="single" w:sz="4" w:space="0" w:color="auto"/>
              <w:bottom w:val="single" w:sz="4" w:space="0" w:color="auto"/>
            </w:tcBorders>
            <w:shd w:val="clear" w:color="auto" w:fill="auto"/>
          </w:tcPr>
          <w:p w:rsidR="00C31715" w:rsidRPr="003C4D83" w:rsidRDefault="007C5802" w:rsidP="004929D8">
            <w:pPr>
              <w:spacing w:after="160"/>
              <w:jc w:val="right"/>
              <w:rPr>
                <w:rFonts w:ascii="Segoe UI" w:hAnsi="Segoe UI" w:cs="Segoe UI"/>
                <w:sz w:val="16"/>
                <w:szCs w:val="18"/>
              </w:rPr>
            </w:pPr>
            <w:r w:rsidRPr="003C4D83">
              <w:rPr>
                <w:rFonts w:ascii="Segoe UI" w:hAnsi="Segoe UI" w:cs="Segoe UI"/>
                <w:sz w:val="16"/>
                <w:szCs w:val="18"/>
              </w:rPr>
              <w:t>41.</w:t>
            </w:r>
            <w:r w:rsidR="00C31715" w:rsidRPr="003C4D83">
              <w:rPr>
                <w:rFonts w:ascii="Segoe UI" w:hAnsi="Segoe UI" w:cs="Segoe UI"/>
                <w:sz w:val="16"/>
                <w:szCs w:val="18"/>
              </w:rPr>
              <w:t>241</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-6</w:t>
            </w:r>
            <w:r w:rsidRPr="003C4D83">
              <w:rPr>
                <w:rFonts w:ascii="Segoe UI" w:hAnsi="Segoe UI" w:cs="Segoe UI"/>
                <w:i/>
                <w:sz w:val="16"/>
                <w:szCs w:val="18"/>
                <w:lang w:val="el-GR"/>
              </w:rPr>
              <w:t>,</w:t>
            </w:r>
            <w:r w:rsidRPr="003C4D83">
              <w:rPr>
                <w:rFonts w:ascii="Segoe UI" w:hAnsi="Segoe UI" w:cs="Segoe UI"/>
                <w:i/>
                <w:sz w:val="16"/>
                <w:szCs w:val="18"/>
              </w:rPr>
              <w:t>8%</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Καταθέσεις</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42.184</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42.047</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0</w:t>
            </w:r>
            <w:r w:rsidRPr="003C4D83">
              <w:rPr>
                <w:rFonts w:ascii="Segoe UI" w:hAnsi="Segoe UI" w:cs="Segoe UI"/>
                <w:i/>
                <w:sz w:val="16"/>
                <w:szCs w:val="18"/>
                <w:lang w:val="el-GR"/>
              </w:rPr>
              <w:t>,</w:t>
            </w:r>
            <w:r w:rsidRPr="003C4D83">
              <w:rPr>
                <w:rFonts w:ascii="Segoe UI" w:hAnsi="Segoe UI" w:cs="Segoe UI"/>
                <w:i/>
                <w:sz w:val="16"/>
                <w:szCs w:val="18"/>
              </w:rPr>
              <w:t>3%</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42.184</w:t>
            </w:r>
          </w:p>
        </w:tc>
        <w:tc>
          <w:tcPr>
            <w:tcW w:w="1077" w:type="dxa"/>
            <w:tcBorders>
              <w:top w:val="single" w:sz="4" w:space="0" w:color="auto"/>
              <w:bottom w:val="single" w:sz="4" w:space="0" w:color="auto"/>
            </w:tcBorders>
            <w:shd w:val="clear" w:color="auto" w:fill="auto"/>
          </w:tcPr>
          <w:p w:rsidR="00C31715" w:rsidRPr="003C4D83" w:rsidRDefault="00C31715" w:rsidP="007C5802">
            <w:pPr>
              <w:spacing w:after="160"/>
              <w:jc w:val="right"/>
              <w:rPr>
                <w:rFonts w:ascii="Segoe UI" w:hAnsi="Segoe UI" w:cs="Segoe UI"/>
                <w:sz w:val="16"/>
                <w:szCs w:val="18"/>
              </w:rPr>
            </w:pPr>
            <w:r w:rsidRPr="003C4D83">
              <w:rPr>
                <w:rFonts w:ascii="Segoe UI" w:hAnsi="Segoe UI" w:cs="Segoe UI"/>
                <w:sz w:val="16"/>
                <w:szCs w:val="18"/>
              </w:rPr>
              <w:t>41</w:t>
            </w:r>
            <w:r w:rsidR="007C5802" w:rsidRPr="003C4D83">
              <w:rPr>
                <w:rFonts w:ascii="Segoe UI" w:hAnsi="Segoe UI" w:cs="Segoe UI"/>
                <w:sz w:val="16"/>
                <w:szCs w:val="18"/>
                <w:lang w:val="el-GR"/>
              </w:rPr>
              <w:t>.</w:t>
            </w:r>
            <w:r w:rsidRPr="003C4D83">
              <w:rPr>
                <w:rFonts w:ascii="Segoe UI" w:hAnsi="Segoe UI" w:cs="Segoe UI"/>
                <w:sz w:val="16"/>
                <w:szCs w:val="18"/>
              </w:rPr>
              <w:t>496</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1</w:t>
            </w:r>
            <w:r w:rsidRPr="003C4D83">
              <w:rPr>
                <w:rFonts w:ascii="Segoe UI" w:hAnsi="Segoe UI" w:cs="Segoe UI"/>
                <w:i/>
                <w:sz w:val="16"/>
                <w:szCs w:val="18"/>
                <w:lang w:val="el-GR"/>
              </w:rPr>
              <w:t>,</w:t>
            </w:r>
            <w:r w:rsidRPr="003C4D83">
              <w:rPr>
                <w:rFonts w:ascii="Segoe UI" w:hAnsi="Segoe UI" w:cs="Segoe UI"/>
                <w:i/>
                <w:sz w:val="16"/>
                <w:szCs w:val="18"/>
              </w:rPr>
              <w:t>7%</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330556">
            <w:pPr>
              <w:spacing w:after="160"/>
              <w:rPr>
                <w:rFonts w:ascii="Segoe UI" w:hAnsi="Segoe UI" w:cs="Segoe UI"/>
                <w:sz w:val="16"/>
                <w:szCs w:val="18"/>
                <w:lang w:val="el-GR"/>
              </w:rPr>
            </w:pPr>
            <w:r w:rsidRPr="003C4D83">
              <w:rPr>
                <w:rFonts w:ascii="Segoe UI" w:hAnsi="Segoe UI" w:cs="Segoe UI"/>
                <w:sz w:val="16"/>
                <w:szCs w:val="18"/>
                <w:lang w:val="el-GR"/>
              </w:rPr>
              <w:t>Ίδια Κεφάλαια</w:t>
            </w:r>
            <w:r w:rsidR="00330556" w:rsidRPr="003C4D83">
              <w:rPr>
                <w:rStyle w:val="a9"/>
                <w:rFonts w:ascii="Segoe UI" w:hAnsi="Segoe UI" w:cs="Segoe UI"/>
                <w:sz w:val="16"/>
                <w:szCs w:val="18"/>
                <w:lang w:val="el-GR"/>
              </w:rPr>
              <w:footnoteReference w:id="9"/>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7.035</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7.099</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-0</w:t>
            </w:r>
            <w:r w:rsidRPr="003C4D83">
              <w:rPr>
                <w:rFonts w:ascii="Segoe UI" w:hAnsi="Segoe UI" w:cs="Segoe UI"/>
                <w:i/>
                <w:sz w:val="16"/>
                <w:szCs w:val="18"/>
                <w:lang w:val="el-GR"/>
              </w:rPr>
              <w:t>,</w:t>
            </w:r>
            <w:r w:rsidRPr="003C4D83">
              <w:rPr>
                <w:rFonts w:ascii="Segoe UI" w:hAnsi="Segoe UI" w:cs="Segoe UI"/>
                <w:i/>
                <w:sz w:val="16"/>
                <w:szCs w:val="18"/>
              </w:rPr>
              <w:t>9%</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7.035</w:t>
            </w:r>
          </w:p>
        </w:tc>
        <w:tc>
          <w:tcPr>
            <w:tcW w:w="1077" w:type="dxa"/>
            <w:tcBorders>
              <w:top w:val="single" w:sz="4" w:space="0" w:color="auto"/>
              <w:bottom w:val="single" w:sz="4" w:space="0" w:color="auto"/>
            </w:tcBorders>
            <w:shd w:val="clear" w:color="auto" w:fill="auto"/>
          </w:tcPr>
          <w:p w:rsidR="00C31715" w:rsidRPr="003C4D83" w:rsidRDefault="007C5802" w:rsidP="004929D8">
            <w:pPr>
              <w:spacing w:after="160"/>
              <w:jc w:val="right"/>
              <w:rPr>
                <w:rFonts w:ascii="Segoe UI" w:hAnsi="Segoe UI" w:cs="Segoe UI"/>
                <w:sz w:val="16"/>
                <w:szCs w:val="18"/>
              </w:rPr>
            </w:pPr>
            <w:r w:rsidRPr="003C4D83">
              <w:rPr>
                <w:rFonts w:ascii="Segoe UI" w:hAnsi="Segoe UI" w:cs="Segoe UI"/>
                <w:sz w:val="16"/>
                <w:szCs w:val="18"/>
              </w:rPr>
              <w:t>5.</w:t>
            </w:r>
            <w:r w:rsidR="00C31715" w:rsidRPr="003C4D83">
              <w:rPr>
                <w:rFonts w:ascii="Segoe UI" w:hAnsi="Segoe UI" w:cs="Segoe UI"/>
                <w:sz w:val="16"/>
                <w:szCs w:val="18"/>
              </w:rPr>
              <w:t>953</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18</w:t>
            </w:r>
            <w:r w:rsidRPr="003C4D83">
              <w:rPr>
                <w:rFonts w:ascii="Segoe UI" w:hAnsi="Segoe UI" w:cs="Segoe UI"/>
                <w:i/>
                <w:sz w:val="16"/>
                <w:szCs w:val="18"/>
                <w:lang w:val="el-GR"/>
              </w:rPr>
              <w:t>,</w:t>
            </w:r>
            <w:r w:rsidRPr="003C4D83">
              <w:rPr>
                <w:rFonts w:ascii="Segoe UI" w:hAnsi="Segoe UI" w:cs="Segoe UI"/>
                <w:i/>
                <w:sz w:val="16"/>
                <w:szCs w:val="18"/>
              </w:rPr>
              <w:t>2%</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rPr>
            </w:pPr>
            <w:r w:rsidRPr="003C4D83">
              <w:rPr>
                <w:rFonts w:ascii="Segoe UI" w:hAnsi="Segoe UI" w:cs="Segoe UI"/>
                <w:sz w:val="16"/>
                <w:szCs w:val="18"/>
                <w:lang w:val="el-GR"/>
              </w:rPr>
              <w:t>Ενσώματα Ίδια Κεφάλαια</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6.892</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6.957</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-0</w:t>
            </w:r>
            <w:r w:rsidRPr="003C4D83">
              <w:rPr>
                <w:rFonts w:ascii="Segoe UI" w:hAnsi="Segoe UI" w:cs="Segoe UI"/>
                <w:i/>
                <w:sz w:val="16"/>
                <w:szCs w:val="18"/>
                <w:lang w:val="el-GR"/>
              </w:rPr>
              <w:t>,</w:t>
            </w:r>
            <w:r w:rsidRPr="003C4D83">
              <w:rPr>
                <w:rFonts w:ascii="Segoe UI" w:hAnsi="Segoe UI" w:cs="Segoe UI"/>
                <w:i/>
                <w:sz w:val="16"/>
                <w:szCs w:val="18"/>
              </w:rPr>
              <w:t>9%</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6.892</w:t>
            </w:r>
          </w:p>
        </w:tc>
        <w:tc>
          <w:tcPr>
            <w:tcW w:w="1077" w:type="dxa"/>
            <w:tcBorders>
              <w:top w:val="single" w:sz="4" w:space="0" w:color="auto"/>
              <w:bottom w:val="single" w:sz="4" w:space="0" w:color="auto"/>
            </w:tcBorders>
            <w:shd w:val="clear" w:color="auto" w:fill="auto"/>
          </w:tcPr>
          <w:p w:rsidR="00C31715" w:rsidRPr="003C4D83" w:rsidRDefault="007C5802" w:rsidP="004929D8">
            <w:pPr>
              <w:spacing w:after="160"/>
              <w:jc w:val="right"/>
              <w:rPr>
                <w:rFonts w:ascii="Segoe UI" w:hAnsi="Segoe UI" w:cs="Segoe UI"/>
                <w:sz w:val="16"/>
                <w:szCs w:val="18"/>
              </w:rPr>
            </w:pPr>
            <w:r w:rsidRPr="003C4D83">
              <w:rPr>
                <w:rFonts w:ascii="Segoe UI" w:hAnsi="Segoe UI" w:cs="Segoe UI"/>
                <w:sz w:val="16"/>
                <w:szCs w:val="18"/>
              </w:rPr>
              <w:t>5.</w:t>
            </w:r>
            <w:r w:rsidR="00C31715" w:rsidRPr="003C4D83">
              <w:rPr>
                <w:rFonts w:ascii="Segoe UI" w:hAnsi="Segoe UI" w:cs="Segoe UI"/>
                <w:sz w:val="16"/>
                <w:szCs w:val="18"/>
              </w:rPr>
              <w:t>680</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21,3%</w:t>
            </w:r>
          </w:p>
        </w:tc>
      </w:tr>
      <w:tr w:rsidR="00C31715" w:rsidRPr="00B522A6" w:rsidTr="003C4D83">
        <w:trPr>
          <w:trHeight w:hRule="exact" w:val="567"/>
        </w:trPr>
        <w:tc>
          <w:tcPr>
            <w:tcW w:w="3005" w:type="dxa"/>
            <w:tcBorders>
              <w:bottom w:val="single" w:sz="12" w:space="0" w:color="auto"/>
            </w:tcBorders>
            <w:shd w:val="clear" w:color="auto" w:fill="auto"/>
            <w:vAlign w:val="bottom"/>
          </w:tcPr>
          <w:p w:rsidR="00C31715" w:rsidRPr="003C4D83" w:rsidRDefault="00C31715" w:rsidP="004929D8">
            <w:pPr>
              <w:spacing w:after="160" w:line="240" w:lineRule="auto"/>
              <w:rPr>
                <w:rFonts w:ascii="Segoe UI" w:hAnsi="Segoe UI" w:cs="Segoe UI"/>
                <w:b/>
                <w:sz w:val="16"/>
                <w:szCs w:val="18"/>
                <w:lang w:val="en-US"/>
              </w:rPr>
            </w:pPr>
            <w:r w:rsidRPr="003C4D83">
              <w:rPr>
                <w:rFonts w:ascii="Segoe UI" w:eastAsia="Times New Roman" w:hAnsi="Segoe UI" w:cs="Segoe UI"/>
                <w:b/>
                <w:bCs/>
                <w:sz w:val="16"/>
                <w:szCs w:val="18"/>
                <w:lang w:val="el-GR"/>
              </w:rPr>
              <w:t>ΔείκτεςΟμίλου</w:t>
            </w: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c>
          <w:tcPr>
            <w:tcW w:w="1077" w:type="dxa"/>
            <w:tcBorders>
              <w:bottom w:val="single" w:sz="12" w:space="0" w:color="auto"/>
            </w:tcBorders>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r>
      <w:tr w:rsidR="00C31715" w:rsidRPr="00B522A6" w:rsidTr="003C4D83">
        <w:trPr>
          <w:trHeight w:hRule="exact" w:val="340"/>
        </w:trPr>
        <w:tc>
          <w:tcPr>
            <w:tcW w:w="3005" w:type="dxa"/>
            <w:tcBorders>
              <w:top w:val="single" w:sz="12"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Δάνεια (προ προβλέψεων): Καταθέσεις (%)</w:t>
            </w:r>
          </w:p>
        </w:tc>
        <w:tc>
          <w:tcPr>
            <w:tcW w:w="107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91%</w:t>
            </w:r>
          </w:p>
        </w:tc>
        <w:tc>
          <w:tcPr>
            <w:tcW w:w="107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92%</w:t>
            </w:r>
          </w:p>
        </w:tc>
        <w:tc>
          <w:tcPr>
            <w:tcW w:w="90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 xml:space="preserve">-1 </w:t>
            </w:r>
            <w:r w:rsidR="004A66D8" w:rsidRPr="003C4D83">
              <w:rPr>
                <w:rFonts w:ascii="Segoe UI" w:hAnsi="Segoe UI" w:cs="Segoe UI"/>
                <w:i/>
                <w:sz w:val="16"/>
                <w:szCs w:val="18"/>
                <w:lang w:val="el-GR"/>
              </w:rPr>
              <w:t>μ.β.</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91%</w:t>
            </w:r>
          </w:p>
        </w:tc>
        <w:tc>
          <w:tcPr>
            <w:tcW w:w="107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99%</w:t>
            </w:r>
          </w:p>
        </w:tc>
        <w:tc>
          <w:tcPr>
            <w:tcW w:w="90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 xml:space="preserve">-8 </w:t>
            </w:r>
            <w:r w:rsidR="004A66D8" w:rsidRPr="003C4D83">
              <w:rPr>
                <w:rFonts w:ascii="Segoe UI" w:hAnsi="Segoe UI" w:cs="Segoe UI"/>
                <w:i/>
                <w:sz w:val="16"/>
                <w:szCs w:val="18"/>
                <w:lang w:val="el-GR"/>
              </w:rPr>
              <w:t>μ.β.</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Επιτοκιακό Περιθώριο (μ.β.)</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285</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280</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 xml:space="preserve">5 </w:t>
            </w:r>
            <w:r w:rsidR="004A66D8" w:rsidRPr="003C4D83">
              <w:rPr>
                <w:rFonts w:ascii="Segoe UI" w:hAnsi="Segoe UI" w:cs="Segoe UI"/>
                <w:i/>
                <w:sz w:val="16"/>
                <w:szCs w:val="18"/>
                <w:lang w:val="el-GR"/>
              </w:rPr>
              <w:t>μ.β.</w:t>
            </w:r>
          </w:p>
        </w:tc>
        <w:tc>
          <w:tcPr>
            <w:tcW w:w="107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283</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272</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 xml:space="preserve">11 </w:t>
            </w:r>
            <w:r w:rsidR="004A66D8" w:rsidRPr="003C4D83">
              <w:rPr>
                <w:rFonts w:ascii="Segoe UI" w:hAnsi="Segoe UI" w:cs="Segoe UI"/>
                <w:i/>
                <w:sz w:val="16"/>
                <w:szCs w:val="18"/>
                <w:lang w:val="el-GR"/>
              </w:rPr>
              <w:t>μ.β.</w:t>
            </w:r>
          </w:p>
        </w:tc>
      </w:tr>
      <w:tr w:rsidR="00C31715" w:rsidRPr="00B522A6" w:rsidTr="003C4D83">
        <w:trPr>
          <w:trHeight w:hRule="exact" w:val="567"/>
        </w:trPr>
        <w:tc>
          <w:tcPr>
            <w:tcW w:w="3005" w:type="dxa"/>
            <w:tcBorders>
              <w:bottom w:val="single" w:sz="12" w:space="0" w:color="auto"/>
            </w:tcBorders>
            <w:shd w:val="clear" w:color="auto" w:fill="auto"/>
            <w:vAlign w:val="bottom"/>
          </w:tcPr>
          <w:p w:rsidR="00C31715" w:rsidRPr="003C4D83" w:rsidRDefault="00C31715" w:rsidP="004929D8">
            <w:pPr>
              <w:spacing w:after="160" w:line="240" w:lineRule="auto"/>
              <w:rPr>
                <w:rFonts w:ascii="Segoe UI" w:hAnsi="Segoe UI" w:cs="Segoe UI"/>
                <w:b/>
                <w:sz w:val="16"/>
                <w:szCs w:val="18"/>
              </w:rPr>
            </w:pPr>
            <w:r w:rsidRPr="003C4D83">
              <w:rPr>
                <w:rFonts w:ascii="Segoe UI" w:eastAsia="Times New Roman" w:hAnsi="Segoe UI" w:cs="Segoe UI"/>
                <w:b/>
                <w:bCs/>
                <w:sz w:val="16"/>
                <w:szCs w:val="18"/>
                <w:lang w:val="el-GR"/>
              </w:rPr>
              <w:t xml:space="preserve">Ποιότητα Δανειακού Χαρτοφυλακίου </w:t>
            </w: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c>
          <w:tcPr>
            <w:tcW w:w="1077" w:type="dxa"/>
            <w:tcBorders>
              <w:bottom w:val="single" w:sz="12" w:space="0" w:color="auto"/>
            </w:tcBorders>
          </w:tcPr>
          <w:p w:rsidR="00C31715" w:rsidRPr="003C4D83" w:rsidRDefault="00C31715" w:rsidP="004929D8">
            <w:pPr>
              <w:spacing w:after="160"/>
              <w:jc w:val="right"/>
              <w:rPr>
                <w:rFonts w:ascii="Segoe UI" w:hAnsi="Segoe UI" w:cs="Segoe UI"/>
                <w:sz w:val="16"/>
                <w:szCs w:val="18"/>
              </w:rPr>
            </w:pPr>
          </w:p>
        </w:tc>
        <w:tc>
          <w:tcPr>
            <w:tcW w:w="1077" w:type="dxa"/>
            <w:tcBorders>
              <w:bottom w:val="single" w:sz="12" w:space="0" w:color="auto"/>
            </w:tcBorders>
            <w:shd w:val="clear" w:color="auto" w:fill="auto"/>
          </w:tcPr>
          <w:p w:rsidR="00C31715" w:rsidRPr="003C4D83" w:rsidRDefault="00C31715" w:rsidP="004929D8">
            <w:pPr>
              <w:spacing w:after="160"/>
              <w:jc w:val="right"/>
              <w:rPr>
                <w:rFonts w:ascii="Segoe UI" w:hAnsi="Segoe UI" w:cs="Segoe UI"/>
                <w:sz w:val="16"/>
                <w:szCs w:val="18"/>
              </w:rPr>
            </w:pPr>
          </w:p>
        </w:tc>
        <w:tc>
          <w:tcPr>
            <w:tcW w:w="907" w:type="dxa"/>
            <w:tcBorders>
              <w:bottom w:val="single" w:sz="12" w:space="0" w:color="auto"/>
            </w:tcBorders>
          </w:tcPr>
          <w:p w:rsidR="00C31715" w:rsidRPr="003C4D83" w:rsidRDefault="00C31715" w:rsidP="004929D8">
            <w:pPr>
              <w:spacing w:after="160"/>
              <w:jc w:val="right"/>
              <w:rPr>
                <w:rFonts w:ascii="Segoe UI" w:hAnsi="Segoe UI" w:cs="Segoe UI"/>
                <w:i/>
                <w:sz w:val="16"/>
                <w:szCs w:val="18"/>
              </w:rPr>
            </w:pPr>
          </w:p>
        </w:tc>
      </w:tr>
      <w:tr w:rsidR="00C31715" w:rsidRPr="00B522A6" w:rsidTr="003C4D83">
        <w:trPr>
          <w:trHeight w:hRule="exact" w:val="587"/>
        </w:trPr>
        <w:tc>
          <w:tcPr>
            <w:tcW w:w="3005" w:type="dxa"/>
            <w:tcBorders>
              <w:top w:val="single" w:sz="12"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Δείκτης δανείων σε καθυστέρηση +90 ημερών Ομίλου (%)</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33</w:t>
            </w:r>
            <w:r w:rsidRPr="003C4D83">
              <w:rPr>
                <w:rFonts w:ascii="Segoe UI" w:hAnsi="Segoe UI" w:cs="Segoe UI"/>
                <w:sz w:val="16"/>
                <w:szCs w:val="18"/>
                <w:lang w:val="el-GR"/>
              </w:rPr>
              <w:t>,</w:t>
            </w:r>
            <w:r w:rsidRPr="003C4D83">
              <w:rPr>
                <w:rFonts w:ascii="Segoe UI" w:hAnsi="Segoe UI" w:cs="Segoe UI"/>
                <w:sz w:val="16"/>
                <w:szCs w:val="18"/>
              </w:rPr>
              <w:t>3%</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33</w:t>
            </w:r>
            <w:r w:rsidRPr="003C4D83">
              <w:rPr>
                <w:rFonts w:ascii="Segoe UI" w:hAnsi="Segoe UI" w:cs="Segoe UI"/>
                <w:sz w:val="16"/>
                <w:szCs w:val="18"/>
                <w:lang w:val="el-GR"/>
              </w:rPr>
              <w:t>,</w:t>
            </w:r>
            <w:r w:rsidRPr="003C4D83">
              <w:rPr>
                <w:rFonts w:ascii="Segoe UI" w:hAnsi="Segoe UI" w:cs="Segoe UI"/>
                <w:sz w:val="16"/>
                <w:szCs w:val="18"/>
              </w:rPr>
              <w:t>6%</w:t>
            </w:r>
          </w:p>
        </w:tc>
        <w:tc>
          <w:tcPr>
            <w:tcW w:w="907" w:type="dxa"/>
            <w:tcBorders>
              <w:top w:val="single" w:sz="12"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i/>
                <w:sz w:val="16"/>
                <w:szCs w:val="18"/>
                <w:lang w:val="el-GR"/>
              </w:rPr>
            </w:pPr>
            <w:r w:rsidRPr="003C4D83">
              <w:rPr>
                <w:rFonts w:ascii="Segoe UI" w:hAnsi="Segoe UI" w:cs="Segoe UI"/>
                <w:i/>
                <w:sz w:val="16"/>
                <w:szCs w:val="18"/>
              </w:rPr>
              <w:t>-0</w:t>
            </w:r>
            <w:r w:rsidRPr="003C4D83">
              <w:rPr>
                <w:rFonts w:ascii="Segoe UI" w:hAnsi="Segoe UI" w:cs="Segoe UI"/>
                <w:i/>
                <w:sz w:val="16"/>
                <w:szCs w:val="18"/>
                <w:lang w:val="el-GR"/>
              </w:rPr>
              <w:t>,</w:t>
            </w:r>
            <w:r w:rsidRPr="003C4D83">
              <w:rPr>
                <w:rFonts w:ascii="Segoe UI" w:hAnsi="Segoe UI" w:cs="Segoe UI"/>
                <w:i/>
                <w:sz w:val="16"/>
                <w:szCs w:val="18"/>
              </w:rPr>
              <w:t>3</w:t>
            </w:r>
            <w:r w:rsidR="004A66D8" w:rsidRPr="003C4D83">
              <w:rPr>
                <w:rFonts w:ascii="Segoe UI" w:hAnsi="Segoe UI" w:cs="Segoe UI"/>
                <w:i/>
                <w:sz w:val="16"/>
                <w:szCs w:val="18"/>
                <w:lang w:val="el-GR"/>
              </w:rPr>
              <w:t xml:space="preserve"> μ.β.</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33</w:t>
            </w:r>
            <w:r w:rsidRPr="003C4D83">
              <w:rPr>
                <w:rFonts w:ascii="Segoe UI" w:hAnsi="Segoe UI" w:cs="Segoe UI"/>
                <w:sz w:val="16"/>
                <w:szCs w:val="18"/>
                <w:lang w:val="el-GR"/>
              </w:rPr>
              <w:t>,</w:t>
            </w:r>
            <w:r w:rsidRPr="003C4D83">
              <w:rPr>
                <w:rFonts w:ascii="Segoe UI" w:hAnsi="Segoe UI" w:cs="Segoe UI"/>
                <w:sz w:val="16"/>
                <w:szCs w:val="18"/>
              </w:rPr>
              <w:t>3%</w:t>
            </w:r>
          </w:p>
        </w:tc>
        <w:tc>
          <w:tcPr>
            <w:tcW w:w="107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31</w:t>
            </w:r>
            <w:r w:rsidRPr="003C4D83">
              <w:rPr>
                <w:rFonts w:ascii="Segoe UI" w:hAnsi="Segoe UI" w:cs="Segoe UI"/>
                <w:sz w:val="16"/>
                <w:szCs w:val="18"/>
                <w:lang w:val="el-GR"/>
              </w:rPr>
              <w:t>,</w:t>
            </w:r>
            <w:r w:rsidRPr="003C4D83">
              <w:rPr>
                <w:rFonts w:ascii="Segoe UI" w:hAnsi="Segoe UI" w:cs="Segoe UI"/>
                <w:sz w:val="16"/>
                <w:szCs w:val="18"/>
              </w:rPr>
              <w:t>5%</w:t>
            </w:r>
          </w:p>
        </w:tc>
        <w:tc>
          <w:tcPr>
            <w:tcW w:w="907" w:type="dxa"/>
            <w:tcBorders>
              <w:top w:val="single" w:sz="12"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1</w:t>
            </w:r>
            <w:r w:rsidRPr="003C4D83">
              <w:rPr>
                <w:rFonts w:ascii="Segoe UI" w:hAnsi="Segoe UI" w:cs="Segoe UI"/>
                <w:i/>
                <w:sz w:val="16"/>
                <w:szCs w:val="18"/>
                <w:lang w:val="el-GR"/>
              </w:rPr>
              <w:t>,</w:t>
            </w:r>
            <w:r w:rsidRPr="003C4D83">
              <w:rPr>
                <w:rFonts w:ascii="Segoe UI" w:hAnsi="Segoe UI" w:cs="Segoe UI"/>
                <w:i/>
                <w:sz w:val="16"/>
                <w:szCs w:val="18"/>
              </w:rPr>
              <w:t xml:space="preserve">8 </w:t>
            </w:r>
            <w:r w:rsidR="004A66D8" w:rsidRPr="003C4D83">
              <w:rPr>
                <w:rFonts w:ascii="Segoe UI" w:hAnsi="Segoe UI" w:cs="Segoe UI"/>
                <w:i/>
                <w:sz w:val="16"/>
                <w:szCs w:val="18"/>
                <w:lang w:val="el-GR"/>
              </w:rPr>
              <w:t>μ.β.</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Ελλάδα</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lang w:val="el-GR"/>
              </w:rPr>
            </w:pPr>
            <w:r w:rsidRPr="003C4D83">
              <w:rPr>
                <w:rFonts w:ascii="Segoe UI" w:hAnsi="Segoe UI" w:cs="Segoe UI"/>
                <w:sz w:val="16"/>
                <w:szCs w:val="18"/>
                <w:lang w:val="el-GR"/>
              </w:rPr>
              <w:t>34,4%</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34,7%</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lang w:val="el-GR"/>
              </w:rPr>
              <w:t>-0,</w:t>
            </w:r>
            <w:r w:rsidRPr="003C4D83">
              <w:rPr>
                <w:rFonts w:ascii="Segoe UI" w:hAnsi="Segoe UI" w:cs="Segoe UI"/>
                <w:i/>
                <w:sz w:val="16"/>
                <w:szCs w:val="18"/>
              </w:rPr>
              <w:t xml:space="preserve">3 </w:t>
            </w:r>
            <w:r w:rsidR="004A66D8" w:rsidRPr="003C4D83">
              <w:rPr>
                <w:rFonts w:ascii="Segoe UI" w:hAnsi="Segoe UI" w:cs="Segoe UI"/>
                <w:i/>
                <w:sz w:val="16"/>
                <w:szCs w:val="18"/>
                <w:lang w:val="el-GR"/>
              </w:rPr>
              <w:t>μ.β.</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lang w:val="el-GR"/>
              </w:rPr>
            </w:pPr>
            <w:r w:rsidRPr="003C4D83">
              <w:rPr>
                <w:rFonts w:ascii="Segoe UI" w:hAnsi="Segoe UI" w:cs="Segoe UI"/>
                <w:sz w:val="16"/>
                <w:szCs w:val="18"/>
                <w:lang w:val="el-GR"/>
              </w:rPr>
              <w:t>34,4%</w:t>
            </w:r>
          </w:p>
        </w:tc>
        <w:tc>
          <w:tcPr>
            <w:tcW w:w="1077" w:type="dxa"/>
            <w:tcBorders>
              <w:top w:val="single" w:sz="4" w:space="0" w:color="auto"/>
            </w:tcBorders>
            <w:shd w:val="clear" w:color="auto" w:fill="auto"/>
          </w:tcPr>
          <w:p w:rsidR="00C31715" w:rsidRPr="003C4D83" w:rsidRDefault="00C31715" w:rsidP="004929D8">
            <w:pPr>
              <w:spacing w:after="160"/>
              <w:jc w:val="right"/>
              <w:rPr>
                <w:rFonts w:ascii="Segoe UI" w:hAnsi="Segoe UI" w:cs="Segoe UI"/>
                <w:sz w:val="16"/>
                <w:szCs w:val="18"/>
                <w:lang w:val="el-GR"/>
              </w:rPr>
            </w:pPr>
            <w:r w:rsidRPr="003C4D83">
              <w:rPr>
                <w:rFonts w:ascii="Segoe UI" w:hAnsi="Segoe UI" w:cs="Segoe UI"/>
                <w:sz w:val="16"/>
                <w:szCs w:val="18"/>
                <w:lang w:val="el-GR"/>
              </w:rPr>
              <w:t>32,1%</w:t>
            </w:r>
          </w:p>
        </w:tc>
        <w:tc>
          <w:tcPr>
            <w:tcW w:w="907" w:type="dxa"/>
            <w:tcBorders>
              <w:top w:val="single" w:sz="4" w:space="0" w:color="auto"/>
            </w:tcBorders>
          </w:tcPr>
          <w:p w:rsidR="00C31715" w:rsidRPr="003C4D83" w:rsidRDefault="00C31715" w:rsidP="004929D8">
            <w:pPr>
              <w:spacing w:after="160"/>
              <w:jc w:val="right"/>
              <w:rPr>
                <w:rFonts w:ascii="Segoe UI" w:hAnsi="Segoe UI" w:cs="Segoe UI"/>
                <w:i/>
                <w:sz w:val="16"/>
                <w:szCs w:val="18"/>
                <w:lang w:val="el-GR"/>
              </w:rPr>
            </w:pPr>
            <w:r w:rsidRPr="003C4D83">
              <w:rPr>
                <w:rFonts w:ascii="Segoe UI" w:hAnsi="Segoe UI" w:cs="Segoe UI"/>
                <w:i/>
                <w:sz w:val="16"/>
                <w:szCs w:val="18"/>
                <w:lang w:val="el-GR"/>
              </w:rPr>
              <w:t xml:space="preserve">2,3 </w:t>
            </w:r>
            <w:r w:rsidR="004A66D8" w:rsidRPr="003C4D83">
              <w:rPr>
                <w:rFonts w:ascii="Segoe UI" w:hAnsi="Segoe UI" w:cs="Segoe UI"/>
                <w:i/>
                <w:sz w:val="16"/>
                <w:szCs w:val="18"/>
                <w:lang w:val="el-GR"/>
              </w:rPr>
              <w:t>μ.β.</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330556">
            <w:pPr>
              <w:spacing w:after="160"/>
              <w:rPr>
                <w:rFonts w:ascii="Segoe UI" w:hAnsi="Segoe UI" w:cs="Segoe UI"/>
                <w:sz w:val="16"/>
                <w:szCs w:val="18"/>
                <w:lang w:val="el-GR"/>
              </w:rPr>
            </w:pPr>
            <w:r w:rsidRPr="003C4D83">
              <w:rPr>
                <w:rFonts w:ascii="Segoe UI" w:hAnsi="Segoe UI" w:cs="Segoe UI"/>
                <w:sz w:val="16"/>
                <w:szCs w:val="18"/>
                <w:lang w:val="el-GR"/>
              </w:rPr>
              <w:t xml:space="preserve">          ΝΑ Ευρώπη</w:t>
            </w:r>
            <w:r w:rsidR="00330556" w:rsidRPr="003C4D83">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lang w:val="el-GR"/>
              </w:rPr>
            </w:pPr>
            <w:r w:rsidRPr="003C4D83">
              <w:rPr>
                <w:rFonts w:ascii="Segoe UI" w:hAnsi="Segoe UI" w:cs="Segoe UI"/>
                <w:sz w:val="16"/>
                <w:szCs w:val="18"/>
                <w:lang w:val="el-GR"/>
              </w:rPr>
              <w:t>26,5%</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lang w:val="el-GR"/>
              </w:rPr>
            </w:pPr>
            <w:r w:rsidRPr="003C4D83">
              <w:rPr>
                <w:rFonts w:ascii="Segoe UI" w:hAnsi="Segoe UI" w:cs="Segoe UI"/>
                <w:sz w:val="16"/>
                <w:szCs w:val="18"/>
                <w:lang w:val="el-GR"/>
              </w:rPr>
              <w:t>27,0%</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lang w:val="el-GR"/>
              </w:rPr>
            </w:pPr>
            <w:r w:rsidRPr="003C4D83">
              <w:rPr>
                <w:rFonts w:ascii="Segoe UI" w:hAnsi="Segoe UI" w:cs="Segoe UI"/>
                <w:i/>
                <w:sz w:val="16"/>
                <w:szCs w:val="18"/>
                <w:lang w:val="el-GR"/>
              </w:rPr>
              <w:t xml:space="preserve">-0,5 </w:t>
            </w:r>
            <w:r w:rsidR="004A66D8" w:rsidRPr="003C4D83">
              <w:rPr>
                <w:rFonts w:ascii="Segoe UI" w:hAnsi="Segoe UI" w:cs="Segoe UI"/>
                <w:i/>
                <w:sz w:val="16"/>
                <w:szCs w:val="18"/>
                <w:lang w:val="el-GR"/>
              </w:rPr>
              <w:t>μ.β.</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lang w:val="el-GR"/>
              </w:rPr>
            </w:pPr>
            <w:r w:rsidRPr="003C4D83">
              <w:rPr>
                <w:rFonts w:ascii="Segoe UI" w:hAnsi="Segoe UI" w:cs="Segoe UI"/>
                <w:sz w:val="16"/>
                <w:szCs w:val="18"/>
                <w:lang w:val="el-GR"/>
              </w:rPr>
              <w:t>26,5%</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lang w:val="el-GR"/>
              </w:rPr>
            </w:pPr>
            <w:r w:rsidRPr="003C4D83">
              <w:rPr>
                <w:rFonts w:ascii="Segoe UI" w:hAnsi="Segoe UI" w:cs="Segoe UI"/>
                <w:sz w:val="16"/>
                <w:szCs w:val="18"/>
                <w:lang w:val="el-GR"/>
              </w:rPr>
              <w:t>28,0%</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lang w:val="el-GR"/>
              </w:rPr>
            </w:pPr>
            <w:r w:rsidRPr="003C4D83">
              <w:rPr>
                <w:rFonts w:ascii="Segoe UI" w:hAnsi="Segoe UI" w:cs="Segoe UI"/>
                <w:i/>
                <w:sz w:val="16"/>
                <w:szCs w:val="18"/>
                <w:lang w:val="el-GR"/>
              </w:rPr>
              <w:t xml:space="preserve">-1,5 </w:t>
            </w:r>
            <w:r w:rsidR="004A66D8" w:rsidRPr="003C4D83">
              <w:rPr>
                <w:rFonts w:ascii="Segoe UI" w:hAnsi="Segoe UI" w:cs="Segoe UI"/>
                <w:i/>
                <w:sz w:val="16"/>
                <w:szCs w:val="18"/>
                <w:lang w:val="el-GR"/>
              </w:rPr>
              <w:t>μ.β.</w:t>
            </w:r>
          </w:p>
        </w:tc>
      </w:tr>
      <w:tr w:rsidR="00C31715" w:rsidRPr="00B522A6" w:rsidTr="003C4D83">
        <w:trPr>
          <w:trHeight w:hRule="exact" w:val="571"/>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Δείκτης κάλυψης δανείων σε καθυστέρηση +90 ημερών Ομίλου (%)</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74,7%</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74,5%</w:t>
            </w:r>
          </w:p>
        </w:tc>
        <w:tc>
          <w:tcPr>
            <w:tcW w:w="90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 xml:space="preserve">0,2 </w:t>
            </w:r>
            <w:r w:rsidR="004A66D8" w:rsidRPr="003C4D83">
              <w:rPr>
                <w:rFonts w:ascii="Segoe UI" w:hAnsi="Segoe UI" w:cs="Segoe UI"/>
                <w:i/>
                <w:sz w:val="16"/>
                <w:szCs w:val="18"/>
                <w:lang w:val="el-GR"/>
              </w:rPr>
              <w:t>μ.β.</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74,7%</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72,3%</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 xml:space="preserve">2,4 </w:t>
            </w:r>
            <w:r w:rsidR="004A66D8" w:rsidRPr="003C4D83">
              <w:rPr>
                <w:rFonts w:ascii="Segoe UI" w:hAnsi="Segoe UI" w:cs="Segoe UI"/>
                <w:i/>
                <w:sz w:val="16"/>
                <w:szCs w:val="18"/>
                <w:lang w:val="el-GR"/>
              </w:rPr>
              <w:t>μ.β.</w:t>
            </w:r>
          </w:p>
        </w:tc>
      </w:tr>
      <w:tr w:rsidR="00C31715" w:rsidRPr="00B522A6" w:rsidTr="003C4D83">
        <w:trPr>
          <w:trHeight w:hRule="exact" w:val="340"/>
        </w:trPr>
        <w:tc>
          <w:tcPr>
            <w:tcW w:w="3005" w:type="dxa"/>
            <w:tcBorders>
              <w:top w:val="single" w:sz="4" w:space="0" w:color="auto"/>
              <w:bottom w:val="single" w:sz="4" w:space="0" w:color="auto"/>
            </w:tcBorders>
            <w:shd w:val="clear" w:color="auto" w:fill="auto"/>
            <w:vAlign w:val="bottom"/>
          </w:tcPr>
          <w:p w:rsidR="00C31715" w:rsidRPr="003C4D83" w:rsidRDefault="00C31715" w:rsidP="004929D8">
            <w:pPr>
              <w:spacing w:after="160"/>
              <w:rPr>
                <w:rFonts w:ascii="Segoe UI" w:hAnsi="Segoe UI" w:cs="Segoe UI"/>
                <w:sz w:val="16"/>
                <w:szCs w:val="18"/>
                <w:lang w:val="el-GR"/>
              </w:rPr>
            </w:pPr>
            <w:r w:rsidRPr="003C4D83">
              <w:rPr>
                <w:rFonts w:ascii="Segoe UI" w:hAnsi="Segoe UI" w:cs="Segoe UI"/>
                <w:sz w:val="16"/>
                <w:szCs w:val="18"/>
                <w:lang w:val="el-GR"/>
              </w:rPr>
              <w:t>Ελλάδα</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76,6%</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76,5%</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 xml:space="preserve">0,1 </w:t>
            </w:r>
            <w:r w:rsidR="004A66D8" w:rsidRPr="003C4D83">
              <w:rPr>
                <w:rFonts w:ascii="Segoe UI" w:hAnsi="Segoe UI" w:cs="Segoe UI"/>
                <w:i/>
                <w:sz w:val="16"/>
                <w:szCs w:val="18"/>
                <w:lang w:val="el-GR"/>
              </w:rPr>
              <w:t>μ.β.</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76,6%</w:t>
            </w:r>
          </w:p>
        </w:tc>
        <w:tc>
          <w:tcPr>
            <w:tcW w:w="1077" w:type="dxa"/>
            <w:tcBorders>
              <w:top w:val="single" w:sz="4" w:space="0" w:color="auto"/>
              <w:bottom w:val="single" w:sz="4" w:space="0" w:color="auto"/>
            </w:tcBorders>
            <w:shd w:val="clear" w:color="auto" w:fill="auto"/>
          </w:tcPr>
          <w:p w:rsidR="00C31715" w:rsidRPr="003C4D83" w:rsidRDefault="00C31715" w:rsidP="004929D8">
            <w:pPr>
              <w:spacing w:after="160"/>
              <w:jc w:val="right"/>
              <w:rPr>
                <w:rFonts w:ascii="Segoe UI" w:hAnsi="Segoe UI" w:cs="Segoe UI"/>
                <w:sz w:val="16"/>
                <w:szCs w:val="18"/>
              </w:rPr>
            </w:pPr>
            <w:r w:rsidRPr="003C4D83">
              <w:rPr>
                <w:rFonts w:ascii="Segoe UI" w:hAnsi="Segoe UI" w:cs="Segoe UI"/>
                <w:sz w:val="16"/>
                <w:szCs w:val="18"/>
              </w:rPr>
              <w:t>74,9%</w:t>
            </w:r>
          </w:p>
        </w:tc>
        <w:tc>
          <w:tcPr>
            <w:tcW w:w="907" w:type="dxa"/>
            <w:tcBorders>
              <w:top w:val="single" w:sz="4" w:space="0" w:color="auto"/>
              <w:bottom w:val="single" w:sz="4" w:space="0" w:color="auto"/>
            </w:tcBorders>
          </w:tcPr>
          <w:p w:rsidR="00C31715" w:rsidRPr="003C4D83" w:rsidRDefault="00C31715" w:rsidP="004929D8">
            <w:pPr>
              <w:spacing w:after="160"/>
              <w:jc w:val="right"/>
              <w:rPr>
                <w:rFonts w:ascii="Segoe UI" w:hAnsi="Segoe UI" w:cs="Segoe UI"/>
                <w:i/>
                <w:sz w:val="16"/>
                <w:szCs w:val="18"/>
              </w:rPr>
            </w:pPr>
            <w:r w:rsidRPr="003C4D83">
              <w:rPr>
                <w:rFonts w:ascii="Segoe UI" w:hAnsi="Segoe UI" w:cs="Segoe UI"/>
                <w:i/>
                <w:sz w:val="16"/>
                <w:szCs w:val="18"/>
              </w:rPr>
              <w:t xml:space="preserve">1,7 </w:t>
            </w:r>
            <w:r w:rsidR="004A66D8" w:rsidRPr="003C4D83">
              <w:rPr>
                <w:rFonts w:ascii="Segoe UI" w:hAnsi="Segoe UI" w:cs="Segoe UI"/>
                <w:i/>
                <w:sz w:val="16"/>
                <w:szCs w:val="18"/>
                <w:lang w:val="el-GR"/>
              </w:rPr>
              <w:t>μ.β.</w:t>
            </w:r>
          </w:p>
        </w:tc>
      </w:tr>
      <w:tr w:rsidR="00C31715" w:rsidRPr="00B522A6" w:rsidTr="00486B04">
        <w:trPr>
          <w:trHeight w:hRule="exact" w:val="340"/>
        </w:trPr>
        <w:tc>
          <w:tcPr>
            <w:tcW w:w="3005" w:type="dxa"/>
            <w:tcBorders>
              <w:top w:val="single" w:sz="4" w:space="0" w:color="auto"/>
              <w:bottom w:val="single" w:sz="4" w:space="0" w:color="auto"/>
            </w:tcBorders>
            <w:shd w:val="clear" w:color="auto" w:fill="auto"/>
            <w:vAlign w:val="bottom"/>
          </w:tcPr>
          <w:p w:rsidR="00C31715" w:rsidRPr="00486B04" w:rsidRDefault="00C31715" w:rsidP="00330556">
            <w:pPr>
              <w:spacing w:after="160"/>
              <w:rPr>
                <w:rFonts w:ascii="Segoe UI" w:hAnsi="Segoe UI" w:cs="Segoe UI"/>
                <w:sz w:val="16"/>
                <w:szCs w:val="18"/>
              </w:rPr>
            </w:pPr>
            <w:r w:rsidRPr="00486B04">
              <w:rPr>
                <w:rFonts w:ascii="Segoe UI" w:hAnsi="Segoe UI" w:cs="Segoe UI"/>
                <w:sz w:val="16"/>
                <w:szCs w:val="18"/>
                <w:lang w:val="el-GR"/>
              </w:rPr>
              <w:t>ΝΑ Ευρώπη</w:t>
            </w:r>
            <w:r w:rsidR="00330556" w:rsidRPr="00486B04">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shd w:val="clear" w:color="auto" w:fill="auto"/>
          </w:tcPr>
          <w:p w:rsidR="00C31715" w:rsidRPr="00486B04" w:rsidRDefault="00C31715" w:rsidP="004929D8">
            <w:pPr>
              <w:spacing w:after="160"/>
              <w:jc w:val="right"/>
              <w:rPr>
                <w:rFonts w:ascii="Segoe UI" w:hAnsi="Segoe UI" w:cs="Segoe UI"/>
                <w:sz w:val="16"/>
                <w:szCs w:val="18"/>
              </w:rPr>
            </w:pPr>
            <w:r w:rsidRPr="00486B04">
              <w:rPr>
                <w:rFonts w:ascii="Segoe UI" w:hAnsi="Segoe UI" w:cs="Segoe UI"/>
                <w:sz w:val="16"/>
                <w:szCs w:val="18"/>
              </w:rPr>
              <w:t>59,1%</w:t>
            </w:r>
          </w:p>
        </w:tc>
        <w:tc>
          <w:tcPr>
            <w:tcW w:w="1077" w:type="dxa"/>
            <w:tcBorders>
              <w:top w:val="single" w:sz="4" w:space="0" w:color="auto"/>
              <w:bottom w:val="single" w:sz="4" w:space="0" w:color="auto"/>
            </w:tcBorders>
            <w:shd w:val="clear" w:color="auto" w:fill="auto"/>
          </w:tcPr>
          <w:p w:rsidR="00C31715" w:rsidRPr="00486B04" w:rsidRDefault="00C31715" w:rsidP="004929D8">
            <w:pPr>
              <w:spacing w:after="160"/>
              <w:jc w:val="right"/>
              <w:rPr>
                <w:rFonts w:ascii="Segoe UI" w:hAnsi="Segoe UI" w:cs="Segoe UI"/>
                <w:sz w:val="16"/>
                <w:szCs w:val="18"/>
              </w:rPr>
            </w:pPr>
            <w:r w:rsidRPr="00486B04">
              <w:rPr>
                <w:rFonts w:ascii="Segoe UI" w:hAnsi="Segoe UI" w:cs="Segoe UI"/>
                <w:sz w:val="16"/>
                <w:szCs w:val="18"/>
              </w:rPr>
              <w:t>58,3%</w:t>
            </w:r>
          </w:p>
        </w:tc>
        <w:tc>
          <w:tcPr>
            <w:tcW w:w="907" w:type="dxa"/>
            <w:tcBorders>
              <w:top w:val="single" w:sz="4" w:space="0" w:color="auto"/>
              <w:bottom w:val="single" w:sz="4" w:space="0" w:color="auto"/>
            </w:tcBorders>
          </w:tcPr>
          <w:p w:rsidR="00C31715" w:rsidRPr="00486B04" w:rsidRDefault="00C31715" w:rsidP="004929D8">
            <w:pPr>
              <w:spacing w:after="160"/>
              <w:jc w:val="right"/>
              <w:rPr>
                <w:rFonts w:ascii="Segoe UI" w:hAnsi="Segoe UI" w:cs="Segoe UI"/>
                <w:i/>
                <w:sz w:val="16"/>
                <w:szCs w:val="18"/>
              </w:rPr>
            </w:pPr>
            <w:r w:rsidRPr="00486B04">
              <w:rPr>
                <w:rFonts w:ascii="Segoe UI" w:hAnsi="Segoe UI" w:cs="Segoe UI"/>
                <w:i/>
                <w:sz w:val="16"/>
                <w:szCs w:val="18"/>
              </w:rPr>
              <w:t xml:space="preserve">0,8 </w:t>
            </w:r>
            <w:r w:rsidR="004A66D8" w:rsidRPr="00486B04">
              <w:rPr>
                <w:rFonts w:ascii="Segoe UI" w:hAnsi="Segoe UI" w:cs="Segoe UI"/>
                <w:i/>
                <w:sz w:val="16"/>
                <w:szCs w:val="18"/>
                <w:lang w:val="el-GR"/>
              </w:rPr>
              <w:t>μ.β.</w:t>
            </w:r>
          </w:p>
        </w:tc>
        <w:tc>
          <w:tcPr>
            <w:tcW w:w="1077" w:type="dxa"/>
            <w:tcBorders>
              <w:top w:val="single" w:sz="4" w:space="0" w:color="auto"/>
              <w:bottom w:val="single" w:sz="4" w:space="0" w:color="auto"/>
            </w:tcBorders>
            <w:shd w:val="clear" w:color="auto" w:fill="auto"/>
          </w:tcPr>
          <w:p w:rsidR="00C31715" w:rsidRPr="00486B04" w:rsidRDefault="00C31715" w:rsidP="004929D8">
            <w:pPr>
              <w:spacing w:after="160"/>
              <w:jc w:val="right"/>
              <w:rPr>
                <w:rFonts w:ascii="Segoe UI" w:hAnsi="Segoe UI" w:cs="Segoe UI"/>
                <w:sz w:val="16"/>
                <w:szCs w:val="18"/>
              </w:rPr>
            </w:pPr>
            <w:r w:rsidRPr="00486B04">
              <w:rPr>
                <w:rFonts w:ascii="Segoe UI" w:hAnsi="Segoe UI" w:cs="Segoe UI"/>
                <w:sz w:val="16"/>
                <w:szCs w:val="18"/>
              </w:rPr>
              <w:t>59,1%</w:t>
            </w:r>
          </w:p>
        </w:tc>
        <w:tc>
          <w:tcPr>
            <w:tcW w:w="1077" w:type="dxa"/>
            <w:tcBorders>
              <w:top w:val="single" w:sz="4" w:space="0" w:color="auto"/>
              <w:bottom w:val="single" w:sz="4" w:space="0" w:color="auto"/>
            </w:tcBorders>
            <w:shd w:val="clear" w:color="auto" w:fill="auto"/>
          </w:tcPr>
          <w:p w:rsidR="00C31715" w:rsidRPr="00486B04" w:rsidRDefault="00C31715" w:rsidP="004929D8">
            <w:pPr>
              <w:spacing w:after="160"/>
              <w:jc w:val="right"/>
              <w:rPr>
                <w:rFonts w:ascii="Segoe UI" w:hAnsi="Segoe UI" w:cs="Segoe UI"/>
                <w:sz w:val="16"/>
                <w:szCs w:val="18"/>
              </w:rPr>
            </w:pPr>
            <w:r w:rsidRPr="00486B04">
              <w:rPr>
                <w:rFonts w:ascii="Segoe UI" w:hAnsi="Segoe UI" w:cs="Segoe UI"/>
                <w:sz w:val="16"/>
                <w:szCs w:val="18"/>
              </w:rPr>
              <w:t>54,1%</w:t>
            </w:r>
          </w:p>
        </w:tc>
        <w:tc>
          <w:tcPr>
            <w:tcW w:w="907" w:type="dxa"/>
            <w:tcBorders>
              <w:top w:val="single" w:sz="4" w:space="0" w:color="auto"/>
              <w:bottom w:val="single" w:sz="4" w:space="0" w:color="auto"/>
            </w:tcBorders>
          </w:tcPr>
          <w:p w:rsidR="00C31715" w:rsidRPr="00486B04" w:rsidRDefault="00C31715" w:rsidP="004929D8">
            <w:pPr>
              <w:spacing w:after="160"/>
              <w:jc w:val="right"/>
              <w:rPr>
                <w:rFonts w:ascii="Segoe UI" w:hAnsi="Segoe UI" w:cs="Segoe UI"/>
                <w:i/>
                <w:sz w:val="16"/>
                <w:szCs w:val="18"/>
              </w:rPr>
            </w:pPr>
            <w:r w:rsidRPr="00486B04">
              <w:rPr>
                <w:rFonts w:ascii="Segoe UI" w:hAnsi="Segoe UI" w:cs="Segoe UI"/>
                <w:i/>
                <w:sz w:val="16"/>
                <w:szCs w:val="18"/>
              </w:rPr>
              <w:t xml:space="preserve">5,0 </w:t>
            </w:r>
            <w:r w:rsidR="004A66D8" w:rsidRPr="00486B04">
              <w:rPr>
                <w:rFonts w:ascii="Segoe UI" w:hAnsi="Segoe UI" w:cs="Segoe UI"/>
                <w:i/>
                <w:sz w:val="16"/>
                <w:szCs w:val="18"/>
                <w:lang w:val="el-GR"/>
              </w:rPr>
              <w:t>μ.β.</w:t>
            </w:r>
          </w:p>
        </w:tc>
      </w:tr>
    </w:tbl>
    <w:p w:rsidR="000C3F12" w:rsidRPr="00751AEB" w:rsidRDefault="000C3F12" w:rsidP="004929D8">
      <w:pPr>
        <w:spacing w:after="160"/>
        <w:jc w:val="both"/>
        <w:rPr>
          <w:rFonts w:ascii="Segoe UI" w:hAnsi="Segoe UI" w:cs="Segoe UI"/>
          <w:b/>
          <w:sz w:val="16"/>
          <w:lang w:val="el-GR"/>
        </w:rPr>
      </w:pPr>
      <w:r w:rsidRPr="00751AEB">
        <w:rPr>
          <w:rFonts w:ascii="Segoe UI" w:hAnsi="Segoe UI" w:cs="Segoe UI"/>
          <w:b/>
          <w:sz w:val="16"/>
          <w:lang w:val="el-GR"/>
        </w:rPr>
        <w:lastRenderedPageBreak/>
        <w:t>ΔΗΛΩΣΗ ΑΠΟΠΟΙΗΣΗΣ ΕΥΘΥΝΗΣ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Εθνική Τράπεζα της Ελλάδος (ο «</w:t>
      </w:r>
      <w:r w:rsidRPr="00751AEB">
        <w:rPr>
          <w:rFonts w:ascii="Segoe UI" w:hAnsi="Segoe UI" w:cs="Segoe UI"/>
          <w:b/>
          <w:sz w:val="16"/>
          <w:lang w:val="el-GR"/>
        </w:rPr>
        <w:t>Όμιλος</w:t>
      </w:r>
      <w:r w:rsidRPr="00751AEB">
        <w:rPr>
          <w:rFonts w:ascii="Segoe UI" w:hAnsi="Segoe UI" w:cs="Segoe UI"/>
          <w:sz w:val="16"/>
          <w:lang w:val="el-GR"/>
        </w:rPr>
        <w:t xml:space="preserve">») δεν προβαίνει και δεν θα προβεί σε καμία εγγυοδοτική δήλωση ή άλλη εγγύηση, ρητή ή σιωπηρή, και δεν αποδέχεται ούτε θα αποδεχτεί ευθύνη ως προς την ακρίβεια ή πληρότητα των πληροφοριών που περιέχονται στην παρούσα ανακοίνωση και τίποτε από τα αναφερόμενα στην παρούσα ανακοίνωση δεν μπορεί να θεωρηθεί ότι συνιστά τέτοια δήλωση ή εγγύηση. </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Παρόλο που οι δηλώσεις που αφορούν σε πραγματικά γεγονότα και ορισμένες πληροφορίες για τον κλάδο, την αγορά και τον ανταγωνισμό που περιέχονται στην παρούσα ανακοίνωση, έχουν προκύψει από και είναι βασισμένες σε πηγές που θεωρούνται από την Εθνική Τράπεζα της Ελλάδος αξιόπιστες, η ακρίβειά τους δεν είναι εγγυημένη και κάθε τέτοια πληροφορία μπορεί να είναι ελλιπής ή συνοπτική. Όλες οι απόψεις και εκτιμήσεις που περιλαμβάνονται στην παρούσα ανακοίνωση είναι υποκείμενες σε αλλαγή χωρίς προηγούμενη ειδοποίηση. Ο Όμιλος δεν φέρει ευθύνη να επικαιροποιεί ή να διατηρεί ως έχουν τις πληροφορίες που περιέχονται στην παρούσα ανακοίνωση.</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Επιπλέον, ορισμένα από αυτά τα στοιχεία προέρχονται από εσωτερική έρευνα και εκτιμήσεις του ίδιου του Ομίλου βάσει γνώσεως και εμπειρίας στη διαχείριση της αγοράς στην οποία δραστηριοποιείται. Η εν λόγω έρευνα και οι εκτιμήσεις, καθώς και η υποκείμενη μεθοδολογία τους δεν έχουν ελεγχθεί από οποιαδήποτε ανεξάρτητη αρχή για την ακρίβεια και την πληρότητά τους. Συνεπώς, δεν θα πρέπει ο αναγνώστης να βασίζεται υπέρμετρα σε αυτές.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Ως αποτέλεσμα,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rsidR="000C3F12" w:rsidRPr="00751AEB" w:rsidRDefault="000C3F12" w:rsidP="004929D8">
      <w:pPr>
        <w:spacing w:after="160"/>
        <w:jc w:val="both"/>
        <w:rPr>
          <w:rFonts w:ascii="Segoe UI" w:hAnsi="Segoe UI" w:cs="Segoe UI"/>
          <w:sz w:val="16"/>
          <w:lang w:val="el-GR"/>
        </w:rPr>
      </w:pPr>
    </w:p>
    <w:sectPr w:rsidR="000C3F12" w:rsidRPr="00751AEB" w:rsidSect="007218B0">
      <w:headerReference w:type="default" r:id="rId8"/>
      <w:footerReference w:type="default" r:id="rId9"/>
      <w:footerReference w:type="first" r:id="rId10"/>
      <w:footnotePr>
        <w:numRestart w:val="eachPage"/>
      </w:footnotePr>
      <w:pgSz w:w="11906" w:h="16838"/>
      <w:pgMar w:top="1388" w:right="1558" w:bottom="709" w:left="1985"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88C" w:rsidRDefault="00C7388C">
      <w:pPr>
        <w:spacing w:after="0" w:line="240" w:lineRule="auto"/>
      </w:pPr>
      <w:r>
        <w:separator/>
      </w:r>
    </w:p>
  </w:endnote>
  <w:endnote w:type="continuationSeparator" w:id="1">
    <w:p w:rsidR="00C7388C" w:rsidRDefault="00C73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44462"/>
      <w:docPartObj>
        <w:docPartGallery w:val="Page Numbers (Bottom of Page)"/>
        <w:docPartUnique/>
      </w:docPartObj>
    </w:sdtPr>
    <w:sdtEndPr>
      <w:rPr>
        <w:sz w:val="16"/>
      </w:rPr>
    </w:sdtEndPr>
    <w:sdtContent>
      <w:p w:rsidR="00907637" w:rsidRPr="007218B0" w:rsidRDefault="001B6ED7">
        <w:pPr>
          <w:pStyle w:val="a6"/>
          <w:jc w:val="right"/>
          <w:rPr>
            <w:sz w:val="16"/>
          </w:rPr>
        </w:pPr>
        <w:r w:rsidRPr="00EE1E78">
          <w:fldChar w:fldCharType="begin"/>
        </w:r>
        <w:r w:rsidR="00907637" w:rsidRPr="00EE1E78">
          <w:instrText xml:space="preserve"> PAGE   \* MERGEFORMAT </w:instrText>
        </w:r>
        <w:r w:rsidRPr="00EE1E78">
          <w:fldChar w:fldCharType="separate"/>
        </w:r>
        <w:r w:rsidR="00F6627B">
          <w:rPr>
            <w:noProof/>
          </w:rPr>
          <w:t>2</w:t>
        </w:r>
        <w:r w:rsidRPr="00EE1E78">
          <w:rPr>
            <w:noProof/>
          </w:rPr>
          <w:fldChar w:fldCharType="end"/>
        </w:r>
      </w:p>
    </w:sdtContent>
  </w:sdt>
  <w:p w:rsidR="00907637" w:rsidRPr="00BA6671" w:rsidRDefault="00907637" w:rsidP="00D22CCD">
    <w:pPr>
      <w:pStyle w:val="a6"/>
      <w:jc w:val="right"/>
      <w:rPr>
        <w:color w:val="A6A6A6"/>
        <w:sz w:val="18"/>
        <w:szCs w:val="20"/>
        <w:lang w:val="el-G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44461"/>
      <w:docPartObj>
        <w:docPartGallery w:val="Page Numbers (Bottom of Page)"/>
        <w:docPartUnique/>
      </w:docPartObj>
    </w:sdtPr>
    <w:sdtContent>
      <w:p w:rsidR="00907637" w:rsidRDefault="001B6ED7">
        <w:pPr>
          <w:pStyle w:val="a6"/>
          <w:jc w:val="right"/>
        </w:pPr>
        <w:r>
          <w:fldChar w:fldCharType="begin"/>
        </w:r>
        <w:r w:rsidR="00907637">
          <w:instrText xml:space="preserve"> PAGE   \* MERGEFORMAT </w:instrText>
        </w:r>
        <w:r>
          <w:fldChar w:fldCharType="separate"/>
        </w:r>
        <w:r w:rsidR="00907637">
          <w:rPr>
            <w:noProof/>
          </w:rPr>
          <w:t>1</w:t>
        </w:r>
        <w:r>
          <w:rPr>
            <w:noProof/>
          </w:rPr>
          <w:fldChar w:fldCharType="end"/>
        </w:r>
      </w:p>
    </w:sdtContent>
  </w:sdt>
  <w:p w:rsidR="00907637" w:rsidRDefault="0090763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88C" w:rsidRDefault="00C7388C">
      <w:pPr>
        <w:spacing w:after="0" w:line="240" w:lineRule="auto"/>
      </w:pPr>
      <w:r>
        <w:separator/>
      </w:r>
    </w:p>
  </w:footnote>
  <w:footnote w:type="continuationSeparator" w:id="1">
    <w:p w:rsidR="00C7388C" w:rsidRDefault="00C7388C">
      <w:pPr>
        <w:spacing w:after="0" w:line="240" w:lineRule="auto"/>
      </w:pPr>
      <w:r>
        <w:continuationSeparator/>
      </w:r>
    </w:p>
  </w:footnote>
  <w:footnote w:id="2">
    <w:p w:rsidR="004929D8" w:rsidRPr="004223DC" w:rsidRDefault="004929D8" w:rsidP="00330556">
      <w:pPr>
        <w:pStyle w:val="a8"/>
        <w:jc w:val="both"/>
        <w:rPr>
          <w:rFonts w:ascii="Segoe UI" w:hAnsi="Segoe UI" w:cs="Segoe UI"/>
          <w:sz w:val="12"/>
          <w:szCs w:val="12"/>
          <w:lang w:val="el-GR"/>
        </w:rPr>
      </w:pPr>
      <w:r w:rsidRPr="004223DC">
        <w:rPr>
          <w:rStyle w:val="a9"/>
          <w:rFonts w:ascii="Segoe UI" w:hAnsi="Segoe UI" w:cs="Segoe UI"/>
          <w:sz w:val="12"/>
          <w:szCs w:val="12"/>
        </w:rPr>
        <w:footnoteRef/>
      </w:r>
      <w:r w:rsidRPr="004223DC">
        <w:rPr>
          <w:rFonts w:ascii="Segoe UI" w:hAnsi="Segoe UI" w:cs="Segoe UI"/>
          <w:sz w:val="12"/>
          <w:szCs w:val="12"/>
          <w:lang w:val="el-GR"/>
        </w:rPr>
        <w:t xml:space="preserve"> Περιλαμβάνει τις δραστηριότητες του Ομίλου σε Βουλγαρία, Ρουμανία, Σερβία, Αλβανία, ΠΓΔΜ και λοιπές χώρες</w:t>
      </w:r>
    </w:p>
  </w:footnote>
  <w:footnote w:id="3">
    <w:p w:rsidR="004929D8" w:rsidRPr="002A220C" w:rsidRDefault="004929D8" w:rsidP="00F6627B">
      <w:pPr>
        <w:autoSpaceDE w:val="0"/>
        <w:autoSpaceDN w:val="0"/>
        <w:adjustRightInd w:val="0"/>
        <w:spacing w:afterLines="60" w:line="240" w:lineRule="auto"/>
        <w:jc w:val="both"/>
        <w:rPr>
          <w:rFonts w:ascii="Segoe UI" w:hAnsi="Segoe UI" w:cs="Segoe UI"/>
          <w:sz w:val="12"/>
          <w:szCs w:val="14"/>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 Η σύγκριση με τις λοιπές εγχώριες συστημικές τράπεζες βασίζεται σε στοιχεία που έχουν δημοσιευθεί μέχρι 30 Αυγούστου, 2016</w:t>
      </w:r>
    </w:p>
  </w:footnote>
  <w:footnote w:id="4">
    <w:p w:rsidR="004929D8" w:rsidRPr="002A220C" w:rsidRDefault="004929D8" w:rsidP="00F6627B">
      <w:pPr>
        <w:pStyle w:val="a8"/>
        <w:spacing w:afterLines="60"/>
        <w:jc w:val="both"/>
        <w:rPr>
          <w:sz w:val="18"/>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 Περιλαμβάνει τις δραστηριότητες του Ομίλου σε Βουλγαρία, Ρουμανία, Σερβία, Αλβανία, ΠΓΔΜ και λοιπές χώρες</w:t>
      </w:r>
    </w:p>
  </w:footnote>
  <w:footnote w:id="5">
    <w:p w:rsidR="004929D8" w:rsidRPr="004929D8" w:rsidRDefault="004929D8" w:rsidP="00F6627B">
      <w:pPr>
        <w:pStyle w:val="a8"/>
        <w:spacing w:afterLines="60"/>
        <w:jc w:val="both"/>
        <w:rPr>
          <w:rFonts w:ascii="Segoe UI" w:hAnsi="Segoe UI" w:cs="Segoe UI"/>
          <w:sz w:val="14"/>
          <w:szCs w:val="14"/>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Στοιχεία με ημερομηνία </w:t>
      </w:r>
      <w:r w:rsidR="004E5F3A">
        <w:rPr>
          <w:rFonts w:ascii="Segoe UI" w:hAnsi="Segoe UI" w:cs="Segoe UI"/>
          <w:sz w:val="12"/>
          <w:szCs w:val="14"/>
          <w:lang w:val="el-GR"/>
        </w:rPr>
        <w:t xml:space="preserve">26 </w:t>
      </w:r>
      <w:r w:rsidRPr="002A220C">
        <w:rPr>
          <w:rFonts w:ascii="Segoe UI" w:hAnsi="Segoe UI" w:cs="Segoe UI"/>
          <w:sz w:val="12"/>
          <w:szCs w:val="14"/>
          <w:lang w:val="el-GR"/>
        </w:rPr>
        <w:t>Αυγούστου, 2016</w:t>
      </w:r>
    </w:p>
  </w:footnote>
  <w:footnote w:id="6">
    <w:p w:rsidR="00E8717E" w:rsidRPr="002A220C" w:rsidRDefault="00E8717E" w:rsidP="004E5F3A">
      <w:pPr>
        <w:pStyle w:val="a8"/>
        <w:spacing w:after="60"/>
        <w:jc w:val="both"/>
        <w:rPr>
          <w:rFonts w:ascii="Segoe UI" w:hAnsi="Segoe UI" w:cs="Segoe UI"/>
          <w:sz w:val="12"/>
          <w:szCs w:val="14"/>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 Η σύγκριση με τις λοιπές εγχώριες συστημικές τράπεζες βασίζεται σε στοιχεία που έχουν δημοσιευθεί μέχρι 30 Αυγούστου, 2016</w:t>
      </w:r>
    </w:p>
  </w:footnote>
  <w:footnote w:id="7">
    <w:p w:rsidR="00731345" w:rsidRPr="00330556" w:rsidRDefault="00E8717E" w:rsidP="0022794A">
      <w:pPr>
        <w:pStyle w:val="a8"/>
        <w:spacing w:after="60"/>
        <w:jc w:val="both"/>
        <w:rPr>
          <w:rFonts w:ascii="Segoe UI" w:hAnsi="Segoe UI" w:cs="Segoe UI"/>
          <w:sz w:val="14"/>
          <w:szCs w:val="14"/>
          <w:lang w:val="el-GR"/>
        </w:rPr>
      </w:pPr>
      <w:r w:rsidRPr="00E8717E">
        <w:rPr>
          <w:rStyle w:val="a9"/>
          <w:rFonts w:ascii="Segoe UI" w:hAnsi="Segoe UI" w:cs="Segoe UI"/>
          <w:sz w:val="12"/>
          <w:szCs w:val="14"/>
        </w:rPr>
        <w:footnoteRef/>
      </w:r>
      <w:r w:rsidRPr="00E8717E">
        <w:rPr>
          <w:rFonts w:ascii="Segoe UI" w:hAnsi="Segoe UI" w:cs="Segoe UI"/>
          <w:sz w:val="12"/>
          <w:szCs w:val="14"/>
          <w:lang w:val="el-GR"/>
        </w:rPr>
        <w:t xml:space="preserve"> Ο όμιλος εξαιρεί τα στοιχεία </w:t>
      </w:r>
      <w:r w:rsidR="00586538">
        <w:rPr>
          <w:rFonts w:ascii="Segoe UI" w:hAnsi="Segoe UI" w:cs="Segoe UI"/>
          <w:sz w:val="12"/>
          <w:szCs w:val="14"/>
          <w:lang w:val="el-GR"/>
        </w:rPr>
        <w:t>Ε</w:t>
      </w:r>
      <w:r w:rsidRPr="00E8717E">
        <w:rPr>
          <w:rFonts w:ascii="Segoe UI" w:hAnsi="Segoe UI" w:cs="Segoe UI"/>
          <w:sz w:val="12"/>
          <w:szCs w:val="14"/>
          <w:lang w:val="el-GR"/>
        </w:rPr>
        <w:t>νεργητικού και τα κέρδη / (ζημίες) από διακοπείσες δραστηριότητες</w:t>
      </w:r>
      <w:r>
        <w:rPr>
          <w:rFonts w:ascii="Segoe UI" w:hAnsi="Segoe UI" w:cs="Segoe UI"/>
          <w:sz w:val="12"/>
          <w:szCs w:val="14"/>
          <w:lang w:val="el-GR"/>
        </w:rPr>
        <w:t xml:space="preserve"> (</w:t>
      </w:r>
      <w:r>
        <w:rPr>
          <w:rFonts w:ascii="Segoe UI" w:hAnsi="Segoe UI" w:cs="Segoe UI"/>
          <w:sz w:val="12"/>
          <w:szCs w:val="14"/>
          <w:lang w:val="en-US"/>
        </w:rPr>
        <w:t>NBGI</w:t>
      </w:r>
      <w:r w:rsidRPr="00E8717E">
        <w:rPr>
          <w:rFonts w:ascii="Segoe UI" w:hAnsi="Segoe UI" w:cs="Segoe UI"/>
          <w:sz w:val="12"/>
          <w:szCs w:val="14"/>
          <w:lang w:val="el-GR"/>
        </w:rPr>
        <w:t xml:space="preserve">, </w:t>
      </w:r>
      <w:r w:rsidR="00330556">
        <w:rPr>
          <w:rFonts w:ascii="Segoe UI" w:hAnsi="Segoe UI" w:cs="Segoe UI"/>
          <w:sz w:val="12"/>
          <w:szCs w:val="14"/>
          <w:lang w:val="el-GR"/>
        </w:rPr>
        <w:t>ΑΣΤΗΡ ΠΑΛΑΣ</w:t>
      </w:r>
      <w:r w:rsidR="00731345">
        <w:rPr>
          <w:rFonts w:ascii="Segoe UI" w:hAnsi="Segoe UI" w:cs="Segoe UI"/>
          <w:sz w:val="12"/>
          <w:szCs w:val="14"/>
          <w:lang w:val="el-GR"/>
        </w:rPr>
        <w:t xml:space="preserve"> και</w:t>
      </w:r>
      <w:r w:rsidR="00731345">
        <w:rPr>
          <w:rFonts w:ascii="Segoe UI" w:hAnsi="Segoe UI" w:cs="Segoe UI"/>
          <w:sz w:val="12"/>
          <w:szCs w:val="14"/>
          <w:lang w:val="en-US"/>
        </w:rPr>
        <w:t>Finansbank</w:t>
      </w:r>
      <w:r w:rsidR="00731345">
        <w:rPr>
          <w:rFonts w:ascii="Segoe UI" w:hAnsi="Segoe UI" w:cs="Segoe UI"/>
          <w:sz w:val="12"/>
          <w:szCs w:val="14"/>
          <w:lang w:val="el-GR"/>
        </w:rPr>
        <w:t xml:space="preserve">, η πώληση της οποίας ολοκληρώθηκε το Β’ τρίμηνο του 2016). Για το Β’ τρίμηνο του 2016, τα κέρδη αναλογούντα σε μετόχους του Ομίλου </w:t>
      </w:r>
      <w:r w:rsidR="00330556">
        <w:rPr>
          <w:rFonts w:ascii="Segoe UI" w:hAnsi="Segoe UI" w:cs="Segoe UI"/>
          <w:sz w:val="12"/>
          <w:szCs w:val="14"/>
          <w:lang w:val="el-GR"/>
        </w:rPr>
        <w:t>ενσωματώνουν</w:t>
      </w:r>
      <w:r w:rsidR="00E16FB1">
        <w:rPr>
          <w:rFonts w:ascii="Segoe UI" w:hAnsi="Segoe UI" w:cs="Segoe UI"/>
          <w:sz w:val="12"/>
          <w:szCs w:val="14"/>
          <w:lang w:val="el-GR"/>
        </w:rPr>
        <w:t xml:space="preserve"> τη λογιστικοποίηση ζημιών </w:t>
      </w:r>
      <w:r w:rsidR="00731345">
        <w:rPr>
          <w:rFonts w:ascii="Segoe UI" w:hAnsi="Segoe UI" w:cs="Segoe UI"/>
          <w:sz w:val="12"/>
          <w:szCs w:val="14"/>
          <w:lang w:val="el-GR"/>
        </w:rPr>
        <w:t xml:space="preserve">ύψους €3,095 εκατ. </w:t>
      </w:r>
      <w:r w:rsidR="00E16FB1">
        <w:rPr>
          <w:rFonts w:ascii="Segoe UI" w:hAnsi="Segoe UI" w:cs="Segoe UI"/>
          <w:sz w:val="12"/>
          <w:szCs w:val="14"/>
          <w:lang w:val="el-GR"/>
        </w:rPr>
        <w:t xml:space="preserve">που έχουν ήδη αναγνωριστεί στα λοιπά συνολικά έσοδα / (έξοδα) προηγούμενων περιόδων και αφορούν </w:t>
      </w:r>
      <w:r w:rsidR="00BB3642">
        <w:rPr>
          <w:rFonts w:ascii="Segoe UI" w:hAnsi="Segoe UI" w:cs="Segoe UI"/>
          <w:sz w:val="12"/>
          <w:szCs w:val="14"/>
          <w:lang w:val="el-GR"/>
        </w:rPr>
        <w:t>σ</w:t>
      </w:r>
      <w:r w:rsidR="00E16FB1">
        <w:rPr>
          <w:rFonts w:ascii="Segoe UI" w:hAnsi="Segoe UI" w:cs="Segoe UI"/>
          <w:sz w:val="12"/>
          <w:szCs w:val="14"/>
          <w:lang w:val="el-GR"/>
        </w:rPr>
        <w:t xml:space="preserve">τη </w:t>
      </w:r>
      <w:r w:rsidR="00E16FB1">
        <w:rPr>
          <w:rFonts w:ascii="Segoe UI" w:hAnsi="Segoe UI" w:cs="Segoe UI"/>
          <w:sz w:val="12"/>
          <w:szCs w:val="14"/>
          <w:lang w:val="en-US"/>
        </w:rPr>
        <w:t>Finansbank</w:t>
      </w:r>
      <w:r w:rsidR="00E16FB1">
        <w:rPr>
          <w:rFonts w:ascii="Segoe UI" w:hAnsi="Segoe UI" w:cs="Segoe UI"/>
          <w:sz w:val="12"/>
          <w:szCs w:val="14"/>
          <w:lang w:val="el-GR"/>
        </w:rPr>
        <w:t>.</w:t>
      </w:r>
      <w:r w:rsidR="00586538">
        <w:rPr>
          <w:rFonts w:ascii="Segoe UI" w:hAnsi="Segoe UI" w:cs="Segoe UI"/>
          <w:sz w:val="12"/>
          <w:szCs w:val="14"/>
          <w:lang w:val="el-GR"/>
        </w:rPr>
        <w:t xml:space="preserve"> Αυτές οι ζημίες έχουν ήδη αναγνωριστεί στα </w:t>
      </w:r>
      <w:r w:rsidR="00330556">
        <w:rPr>
          <w:rFonts w:ascii="Segoe UI" w:hAnsi="Segoe UI" w:cs="Segoe UI"/>
          <w:sz w:val="12"/>
          <w:szCs w:val="14"/>
          <w:lang w:val="el-GR"/>
        </w:rPr>
        <w:t>εποπτικά κεφάλαια (</w:t>
      </w:r>
      <w:r w:rsidR="00330556">
        <w:rPr>
          <w:rFonts w:ascii="Segoe UI" w:hAnsi="Segoe UI" w:cs="Segoe UI"/>
          <w:sz w:val="12"/>
          <w:szCs w:val="14"/>
          <w:lang w:val="en-US"/>
        </w:rPr>
        <w:t>CET</w:t>
      </w:r>
      <w:r w:rsidR="00330556" w:rsidRPr="00330556">
        <w:rPr>
          <w:rFonts w:ascii="Segoe UI" w:hAnsi="Segoe UI" w:cs="Segoe UI"/>
          <w:sz w:val="12"/>
          <w:szCs w:val="14"/>
          <w:lang w:val="el-GR"/>
        </w:rPr>
        <w:t>1</w:t>
      </w:r>
      <w:r w:rsidR="00557492">
        <w:rPr>
          <w:rFonts w:ascii="Segoe UI" w:hAnsi="Segoe UI" w:cs="Segoe UI"/>
          <w:sz w:val="12"/>
          <w:szCs w:val="14"/>
          <w:lang w:val="en-US"/>
        </w:rPr>
        <w:t>capital</w:t>
      </w:r>
      <w:r w:rsidR="00330556" w:rsidRPr="00330556">
        <w:rPr>
          <w:rFonts w:ascii="Segoe UI" w:hAnsi="Segoe UI" w:cs="Segoe UI"/>
          <w:sz w:val="12"/>
          <w:szCs w:val="14"/>
          <w:lang w:val="el-GR"/>
        </w:rPr>
        <w:t xml:space="preserve">) </w:t>
      </w:r>
      <w:r w:rsidR="00330556">
        <w:rPr>
          <w:rFonts w:ascii="Segoe UI" w:hAnsi="Segoe UI" w:cs="Segoe UI"/>
          <w:sz w:val="12"/>
          <w:szCs w:val="14"/>
          <w:lang w:val="el-GR"/>
        </w:rPr>
        <w:t xml:space="preserve">και τα </w:t>
      </w:r>
      <w:r w:rsidR="00586538">
        <w:rPr>
          <w:rFonts w:ascii="Segoe UI" w:hAnsi="Segoe UI" w:cs="Segoe UI"/>
          <w:sz w:val="12"/>
          <w:szCs w:val="14"/>
          <w:lang w:val="el-GR"/>
        </w:rPr>
        <w:t xml:space="preserve">Ίδια Κεφάλαια </w:t>
      </w:r>
      <w:r w:rsidR="00330556">
        <w:rPr>
          <w:rFonts w:ascii="Segoe UI" w:hAnsi="Segoe UI" w:cs="Segoe UI"/>
          <w:sz w:val="12"/>
          <w:szCs w:val="14"/>
          <w:lang w:val="el-GR"/>
        </w:rPr>
        <w:t>του Ομίλου προηγούμενων περιόδων. Κατά συνέπεια, δεν υπάρχει καμία επίπτωση στα κεφάλαια</w:t>
      </w:r>
      <w:r w:rsidR="00973368" w:rsidRPr="00330556">
        <w:rPr>
          <w:rFonts w:ascii="Segoe UI" w:hAnsi="Segoe UI" w:cs="Segoe UI"/>
          <w:sz w:val="12"/>
          <w:szCs w:val="14"/>
          <w:lang w:val="el-GR"/>
        </w:rPr>
        <w:t xml:space="preserve">CET1 </w:t>
      </w:r>
      <w:r w:rsidR="00330556" w:rsidRPr="00330556">
        <w:rPr>
          <w:rFonts w:ascii="Segoe UI" w:hAnsi="Segoe UI" w:cs="Segoe UI"/>
          <w:sz w:val="12"/>
          <w:szCs w:val="14"/>
          <w:lang w:val="el-GR"/>
        </w:rPr>
        <w:t>και τα Ίδια Κεφάλαια</w:t>
      </w:r>
      <w:r w:rsidR="00330556">
        <w:rPr>
          <w:rFonts w:ascii="Segoe UI" w:hAnsi="Segoe UI" w:cs="Segoe UI"/>
          <w:sz w:val="12"/>
          <w:szCs w:val="14"/>
          <w:lang w:val="el-GR"/>
        </w:rPr>
        <w:t xml:space="preserve"> σε επίπεδο Ομίλου το Β’ τρίμηνο του 2016 </w:t>
      </w:r>
    </w:p>
  </w:footnote>
  <w:footnote w:id="8">
    <w:p w:rsidR="00330556" w:rsidRPr="001B088D" w:rsidRDefault="00330556" w:rsidP="0022794A">
      <w:pPr>
        <w:spacing w:after="60" w:line="240" w:lineRule="auto"/>
        <w:jc w:val="both"/>
        <w:rPr>
          <w:rFonts w:ascii="Segoe UI" w:hAnsi="Segoe UI" w:cs="Segoe UI"/>
          <w:sz w:val="12"/>
          <w:szCs w:val="12"/>
          <w:lang w:val="el-GR"/>
        </w:rPr>
      </w:pPr>
      <w:r w:rsidRPr="001B088D">
        <w:rPr>
          <w:rStyle w:val="a9"/>
          <w:rFonts w:ascii="Segoe UI" w:hAnsi="Segoe UI" w:cs="Segoe UI"/>
          <w:sz w:val="12"/>
          <w:szCs w:val="12"/>
        </w:rPr>
        <w:footnoteRef/>
      </w:r>
      <w:r w:rsidRPr="001B088D">
        <w:rPr>
          <w:rFonts w:ascii="Segoe UI" w:hAnsi="Segoe UI" w:cs="Segoe UI"/>
          <w:sz w:val="12"/>
          <w:szCs w:val="12"/>
          <w:lang w:val="el-GR"/>
        </w:rPr>
        <w:t xml:space="preserve"> Περιλαμβάνει τις δραστηριότητες του Ομίλου σε Βουλγαρία, Ρουμανία, Σερβία, Αλβανία, ΠΓΔΜ και λοιπές χώρες</w:t>
      </w:r>
    </w:p>
  </w:footnote>
  <w:footnote w:id="9">
    <w:p w:rsidR="00330556" w:rsidRPr="001B088D" w:rsidRDefault="00330556" w:rsidP="0022794A">
      <w:pPr>
        <w:pStyle w:val="a8"/>
        <w:spacing w:after="60"/>
        <w:rPr>
          <w:lang w:val="el-GR"/>
        </w:rPr>
      </w:pPr>
      <w:r w:rsidRPr="001B088D">
        <w:rPr>
          <w:rStyle w:val="a9"/>
          <w:rFonts w:ascii="Segoe UI" w:hAnsi="Segoe UI" w:cs="Segoe UI"/>
          <w:sz w:val="12"/>
          <w:szCs w:val="12"/>
        </w:rPr>
        <w:footnoteRef/>
      </w:r>
      <w:r w:rsidR="001B088D" w:rsidRPr="001B088D">
        <w:rPr>
          <w:rFonts w:ascii="Segoe UI" w:hAnsi="Segoe UI" w:cs="Segoe UI"/>
          <w:sz w:val="12"/>
          <w:szCs w:val="12"/>
          <w:lang w:val="el-GR"/>
        </w:rPr>
        <w:t>Τα ίδια Κεφάλαια εξαιρούν τα δικαιώματα μειοψηφίας και (</w:t>
      </w:r>
      <w:r w:rsidR="001B088D" w:rsidRPr="001B088D">
        <w:rPr>
          <w:rFonts w:ascii="Segoe UI" w:hAnsi="Segoe UI" w:cs="Segoe UI"/>
          <w:sz w:val="12"/>
          <w:szCs w:val="12"/>
        </w:rPr>
        <w:t>i</w:t>
      </w:r>
      <w:r w:rsidR="001B088D" w:rsidRPr="001B088D">
        <w:rPr>
          <w:rFonts w:ascii="Segoe UI" w:hAnsi="Segoe UI" w:cs="Segoe UI"/>
          <w:sz w:val="12"/>
          <w:szCs w:val="12"/>
          <w:lang w:val="el-GR"/>
        </w:rPr>
        <w:t>) τις προνομιούχες μετοχές Αμερικής και του Ελληνικού Δημοσίου για το 2015 και (</w:t>
      </w:r>
      <w:r w:rsidR="001B088D" w:rsidRPr="001B088D">
        <w:rPr>
          <w:rFonts w:ascii="Segoe UI" w:hAnsi="Segoe UI" w:cs="Segoe UI"/>
          <w:sz w:val="12"/>
          <w:szCs w:val="12"/>
        </w:rPr>
        <w:t>ii</w:t>
      </w:r>
      <w:r w:rsidR="001B088D" w:rsidRPr="001B088D">
        <w:rPr>
          <w:rFonts w:ascii="Segoe UI" w:hAnsi="Segoe UI" w:cs="Segoe UI"/>
          <w:sz w:val="12"/>
          <w:szCs w:val="12"/>
          <w:lang w:val="el-GR"/>
        </w:rPr>
        <w:t>) τις υπό αίρεση μετατρέψιμες ομολογίες για το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37" w:rsidRPr="00C95096" w:rsidRDefault="00907637" w:rsidP="00D00FB9">
    <w:pPr>
      <w:pStyle w:val="a5"/>
      <w:pBdr>
        <w:bottom w:val="single" w:sz="4" w:space="1" w:color="BFBFBF"/>
      </w:pBdr>
      <w:tabs>
        <w:tab w:val="clear" w:pos="8306"/>
        <w:tab w:val="right" w:pos="8222"/>
      </w:tabs>
      <w:spacing w:after="0"/>
      <w:rPr>
        <w:color w:val="808080"/>
        <w:sz w:val="18"/>
        <w:lang w:val="el-GR"/>
      </w:rPr>
    </w:pPr>
    <w:r>
      <w:rPr>
        <w:noProof/>
        <w:color w:val="808080"/>
        <w:sz w:val="18"/>
        <w:lang w:val="en-US"/>
      </w:rPr>
      <w:drawing>
        <wp:anchor distT="0" distB="0" distL="114300" distR="114300" simplePos="0" relativeHeight="25165619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2" name="Picture 2"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noProof/>
        <w:color w:val="808080"/>
        <w:sz w:val="18"/>
        <w:lang w:val="en-US"/>
      </w:rPr>
      <w:drawing>
        <wp:anchor distT="0" distB="0" distL="114300" distR="114300" simplePos="0" relativeHeight="25166131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5" name="Picture 1"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color w:val="808080"/>
        <w:sz w:val="18"/>
        <w:lang w:val="el-GR"/>
      </w:rPr>
      <w:t>Εθνική Τράπεζα της Ελλάδος</w:t>
    </w:r>
    <w:r w:rsidRPr="00E525FE">
      <w:rPr>
        <w:lang w:val="el-GR"/>
      </w:rPr>
      <w:tab/>
    </w:r>
    <w:r w:rsidRPr="00E525FE">
      <w:rPr>
        <w:lang w:val="el-GR"/>
      </w:rPr>
      <w:tab/>
    </w:r>
    <w:r>
      <w:rPr>
        <w:color w:val="808080"/>
        <w:sz w:val="18"/>
        <w:lang w:val="el-GR"/>
      </w:rPr>
      <w:t>Αποτελέσματα Β’ Τριμήνου 2016</w:t>
    </w:r>
  </w:p>
  <w:p w:rsidR="00907637" w:rsidRPr="00E525FE" w:rsidRDefault="00907637" w:rsidP="00D22CCD">
    <w:pPr>
      <w:pStyle w:val="a5"/>
      <w:pBdr>
        <w:bottom w:val="single" w:sz="4" w:space="1" w:color="BFBFBF"/>
      </w:pBdr>
      <w:tabs>
        <w:tab w:val="clear" w:pos="8306"/>
        <w:tab w:val="right" w:pos="8647"/>
      </w:tabs>
      <w:spacing w:after="0" w:line="120" w:lineRule="auto"/>
      <w:rPr>
        <w:color w:val="808080"/>
        <w:sz w:val="18"/>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1525E"/>
    <w:multiLevelType w:val="hybridMultilevel"/>
    <w:tmpl w:val="2A94C00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49938D8"/>
    <w:multiLevelType w:val="hybridMultilevel"/>
    <w:tmpl w:val="0D1ADB5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7E35DF2"/>
    <w:multiLevelType w:val="hybridMultilevel"/>
    <w:tmpl w:val="D0A26C3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AC757B2"/>
    <w:multiLevelType w:val="hybridMultilevel"/>
    <w:tmpl w:val="33B65F0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43E7347"/>
    <w:multiLevelType w:val="hybridMultilevel"/>
    <w:tmpl w:val="769C99B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47BB09CF"/>
    <w:multiLevelType w:val="hybridMultilevel"/>
    <w:tmpl w:val="E990C8E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512C47C3"/>
    <w:multiLevelType w:val="hybridMultilevel"/>
    <w:tmpl w:val="9B94099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
    <w:nsid w:val="53651327"/>
    <w:multiLevelType w:val="hybridMultilevel"/>
    <w:tmpl w:val="E920F83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64FC5295"/>
    <w:multiLevelType w:val="hybridMultilevel"/>
    <w:tmpl w:val="DFE4EFD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65374B62"/>
    <w:multiLevelType w:val="hybridMultilevel"/>
    <w:tmpl w:val="71D0BF2E"/>
    <w:lvl w:ilvl="0" w:tplc="04080003">
      <w:start w:val="1"/>
      <w:numFmt w:val="bullet"/>
      <w:lvlText w:val="o"/>
      <w:lvlJc w:val="left"/>
      <w:pPr>
        <w:ind w:left="786"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0">
    <w:nsid w:val="6F637C93"/>
    <w:multiLevelType w:val="hybridMultilevel"/>
    <w:tmpl w:val="ECE6B198"/>
    <w:lvl w:ilvl="0" w:tplc="04080003">
      <w:start w:val="1"/>
      <w:numFmt w:val="bullet"/>
      <w:lvlText w:val="o"/>
      <w:lvlJc w:val="left"/>
      <w:pPr>
        <w:ind w:left="717"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1">
    <w:nsid w:val="733E6A2F"/>
    <w:multiLevelType w:val="hybridMultilevel"/>
    <w:tmpl w:val="A34AC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9"/>
  </w:num>
  <w:num w:numId="5">
    <w:abstractNumId w:val="5"/>
  </w:num>
  <w:num w:numId="6">
    <w:abstractNumId w:val="2"/>
  </w:num>
  <w:num w:numId="7">
    <w:abstractNumId w:val="4"/>
  </w:num>
  <w:num w:numId="8">
    <w:abstractNumId w:val="1"/>
  </w:num>
  <w:num w:numId="9">
    <w:abstractNumId w:val="6"/>
  </w:num>
  <w:num w:numId="10">
    <w:abstractNumId w:val="7"/>
  </w:num>
  <w:num w:numId="11">
    <w:abstractNumId w:val="11"/>
  </w:num>
  <w:num w:numId="12">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20"/>
  <w:drawingGridHorizontalSpacing w:val="110"/>
  <w:displayHorizontalDrawingGridEvery w:val="2"/>
  <w:characterSpacingControl w:val="doNotCompress"/>
  <w:hdrShapeDefaults>
    <o:shapedefaults v:ext="edit" spidmax="68610"/>
  </w:hdrShapeDefaults>
  <w:footnotePr>
    <w:numRestart w:val="eachPage"/>
    <w:footnote w:id="0"/>
    <w:footnote w:id="1"/>
  </w:footnotePr>
  <w:endnotePr>
    <w:endnote w:id="0"/>
    <w:endnote w:id="1"/>
  </w:endnotePr>
  <w:compat/>
  <w:rsids>
    <w:rsidRoot w:val="00FB32F9"/>
    <w:rsid w:val="0000174E"/>
    <w:rsid w:val="00001A5A"/>
    <w:rsid w:val="00001C39"/>
    <w:rsid w:val="000021FC"/>
    <w:rsid w:val="0000245F"/>
    <w:rsid w:val="00005427"/>
    <w:rsid w:val="00005C8D"/>
    <w:rsid w:val="00006FCF"/>
    <w:rsid w:val="000071B7"/>
    <w:rsid w:val="00007384"/>
    <w:rsid w:val="000074E5"/>
    <w:rsid w:val="00011093"/>
    <w:rsid w:val="00011437"/>
    <w:rsid w:val="00012193"/>
    <w:rsid w:val="00012D86"/>
    <w:rsid w:val="00012E56"/>
    <w:rsid w:val="000130E6"/>
    <w:rsid w:val="00013421"/>
    <w:rsid w:val="00013668"/>
    <w:rsid w:val="00013AC7"/>
    <w:rsid w:val="00013BF4"/>
    <w:rsid w:val="0001455A"/>
    <w:rsid w:val="00015168"/>
    <w:rsid w:val="00015205"/>
    <w:rsid w:val="00015243"/>
    <w:rsid w:val="0001730E"/>
    <w:rsid w:val="000175F5"/>
    <w:rsid w:val="00017698"/>
    <w:rsid w:val="0002079B"/>
    <w:rsid w:val="00021D73"/>
    <w:rsid w:val="00023361"/>
    <w:rsid w:val="00023661"/>
    <w:rsid w:val="00023AFC"/>
    <w:rsid w:val="00023B7A"/>
    <w:rsid w:val="00023E07"/>
    <w:rsid w:val="00023E4F"/>
    <w:rsid w:val="00024232"/>
    <w:rsid w:val="00024398"/>
    <w:rsid w:val="00024CF5"/>
    <w:rsid w:val="000257F3"/>
    <w:rsid w:val="00025D2D"/>
    <w:rsid w:val="0002686A"/>
    <w:rsid w:val="00027BCC"/>
    <w:rsid w:val="00027F17"/>
    <w:rsid w:val="000310BB"/>
    <w:rsid w:val="0003113C"/>
    <w:rsid w:val="0003153D"/>
    <w:rsid w:val="00032465"/>
    <w:rsid w:val="00032DCB"/>
    <w:rsid w:val="00033439"/>
    <w:rsid w:val="000346AE"/>
    <w:rsid w:val="00034C7B"/>
    <w:rsid w:val="00034CD6"/>
    <w:rsid w:val="0003528C"/>
    <w:rsid w:val="00036AE3"/>
    <w:rsid w:val="00036BBA"/>
    <w:rsid w:val="00036EF8"/>
    <w:rsid w:val="00037030"/>
    <w:rsid w:val="00037EAC"/>
    <w:rsid w:val="00037FE4"/>
    <w:rsid w:val="00040075"/>
    <w:rsid w:val="00040267"/>
    <w:rsid w:val="00040E21"/>
    <w:rsid w:val="00040FE3"/>
    <w:rsid w:val="000426FB"/>
    <w:rsid w:val="00042B4C"/>
    <w:rsid w:val="00043237"/>
    <w:rsid w:val="00043262"/>
    <w:rsid w:val="0004336F"/>
    <w:rsid w:val="00043436"/>
    <w:rsid w:val="00043C0B"/>
    <w:rsid w:val="0004448D"/>
    <w:rsid w:val="00045682"/>
    <w:rsid w:val="000456A7"/>
    <w:rsid w:val="00045AA8"/>
    <w:rsid w:val="00047765"/>
    <w:rsid w:val="0004777B"/>
    <w:rsid w:val="00047967"/>
    <w:rsid w:val="00047B7C"/>
    <w:rsid w:val="000507E1"/>
    <w:rsid w:val="00051856"/>
    <w:rsid w:val="0005194D"/>
    <w:rsid w:val="00051F3A"/>
    <w:rsid w:val="000539DC"/>
    <w:rsid w:val="00054695"/>
    <w:rsid w:val="00054ED7"/>
    <w:rsid w:val="00055207"/>
    <w:rsid w:val="00055DB6"/>
    <w:rsid w:val="00057564"/>
    <w:rsid w:val="00057B80"/>
    <w:rsid w:val="00060531"/>
    <w:rsid w:val="00060B4B"/>
    <w:rsid w:val="00061524"/>
    <w:rsid w:val="00061F44"/>
    <w:rsid w:val="00062B7A"/>
    <w:rsid w:val="00063085"/>
    <w:rsid w:val="000632AD"/>
    <w:rsid w:val="00063949"/>
    <w:rsid w:val="00063F5C"/>
    <w:rsid w:val="0006453A"/>
    <w:rsid w:val="00064C4F"/>
    <w:rsid w:val="00064CC0"/>
    <w:rsid w:val="00065227"/>
    <w:rsid w:val="00066403"/>
    <w:rsid w:val="000675B2"/>
    <w:rsid w:val="0006760B"/>
    <w:rsid w:val="00067EE7"/>
    <w:rsid w:val="00070E9C"/>
    <w:rsid w:val="0007166F"/>
    <w:rsid w:val="0007283F"/>
    <w:rsid w:val="000731E6"/>
    <w:rsid w:val="00073402"/>
    <w:rsid w:val="00073680"/>
    <w:rsid w:val="000737E0"/>
    <w:rsid w:val="000740D1"/>
    <w:rsid w:val="000744EA"/>
    <w:rsid w:val="00074780"/>
    <w:rsid w:val="0007484E"/>
    <w:rsid w:val="00074F67"/>
    <w:rsid w:val="0007589C"/>
    <w:rsid w:val="00075A55"/>
    <w:rsid w:val="00075AD0"/>
    <w:rsid w:val="00075B08"/>
    <w:rsid w:val="0007762E"/>
    <w:rsid w:val="00077D8F"/>
    <w:rsid w:val="00080EAA"/>
    <w:rsid w:val="00081CEA"/>
    <w:rsid w:val="00083A02"/>
    <w:rsid w:val="00083D31"/>
    <w:rsid w:val="0008514E"/>
    <w:rsid w:val="0008684E"/>
    <w:rsid w:val="00086AD7"/>
    <w:rsid w:val="00087526"/>
    <w:rsid w:val="00090068"/>
    <w:rsid w:val="00090A15"/>
    <w:rsid w:val="000914ED"/>
    <w:rsid w:val="00091AD3"/>
    <w:rsid w:val="000929D6"/>
    <w:rsid w:val="00092F1C"/>
    <w:rsid w:val="00092F74"/>
    <w:rsid w:val="0009300A"/>
    <w:rsid w:val="0009326E"/>
    <w:rsid w:val="00093803"/>
    <w:rsid w:val="00093D3C"/>
    <w:rsid w:val="00094783"/>
    <w:rsid w:val="00094D4D"/>
    <w:rsid w:val="00095338"/>
    <w:rsid w:val="000955DD"/>
    <w:rsid w:val="0009680C"/>
    <w:rsid w:val="00096A88"/>
    <w:rsid w:val="00096CCB"/>
    <w:rsid w:val="000978DA"/>
    <w:rsid w:val="00097920"/>
    <w:rsid w:val="000A0120"/>
    <w:rsid w:val="000A0206"/>
    <w:rsid w:val="000A03BC"/>
    <w:rsid w:val="000A06DD"/>
    <w:rsid w:val="000A3501"/>
    <w:rsid w:val="000A3B87"/>
    <w:rsid w:val="000A4E0C"/>
    <w:rsid w:val="000A72E0"/>
    <w:rsid w:val="000A7378"/>
    <w:rsid w:val="000A7B5A"/>
    <w:rsid w:val="000A7CB5"/>
    <w:rsid w:val="000A7F24"/>
    <w:rsid w:val="000B1094"/>
    <w:rsid w:val="000B18D0"/>
    <w:rsid w:val="000B22A4"/>
    <w:rsid w:val="000B3191"/>
    <w:rsid w:val="000B350E"/>
    <w:rsid w:val="000B3805"/>
    <w:rsid w:val="000B3D68"/>
    <w:rsid w:val="000B4174"/>
    <w:rsid w:val="000B42F3"/>
    <w:rsid w:val="000B46B3"/>
    <w:rsid w:val="000B5F45"/>
    <w:rsid w:val="000B6234"/>
    <w:rsid w:val="000B655C"/>
    <w:rsid w:val="000C06B8"/>
    <w:rsid w:val="000C0813"/>
    <w:rsid w:val="000C0FC3"/>
    <w:rsid w:val="000C1CCF"/>
    <w:rsid w:val="000C2CF8"/>
    <w:rsid w:val="000C2F58"/>
    <w:rsid w:val="000C30BD"/>
    <w:rsid w:val="000C35CB"/>
    <w:rsid w:val="000C3F12"/>
    <w:rsid w:val="000C3F1C"/>
    <w:rsid w:val="000C4A10"/>
    <w:rsid w:val="000C4D24"/>
    <w:rsid w:val="000C4DD9"/>
    <w:rsid w:val="000C5517"/>
    <w:rsid w:val="000C5B30"/>
    <w:rsid w:val="000C60A9"/>
    <w:rsid w:val="000C6D86"/>
    <w:rsid w:val="000C7A34"/>
    <w:rsid w:val="000C7C30"/>
    <w:rsid w:val="000D0304"/>
    <w:rsid w:val="000D078D"/>
    <w:rsid w:val="000D14A8"/>
    <w:rsid w:val="000D15DD"/>
    <w:rsid w:val="000D478F"/>
    <w:rsid w:val="000D5AD1"/>
    <w:rsid w:val="000D64E8"/>
    <w:rsid w:val="000E0F36"/>
    <w:rsid w:val="000E0F7F"/>
    <w:rsid w:val="000E19BB"/>
    <w:rsid w:val="000E2160"/>
    <w:rsid w:val="000E2F7C"/>
    <w:rsid w:val="000E3543"/>
    <w:rsid w:val="000E4378"/>
    <w:rsid w:val="000E442B"/>
    <w:rsid w:val="000E4C13"/>
    <w:rsid w:val="000E5A4C"/>
    <w:rsid w:val="000E6C1C"/>
    <w:rsid w:val="000E6CB8"/>
    <w:rsid w:val="000E7154"/>
    <w:rsid w:val="000E75CD"/>
    <w:rsid w:val="000E76DA"/>
    <w:rsid w:val="000E7F32"/>
    <w:rsid w:val="000F093D"/>
    <w:rsid w:val="000F0CE3"/>
    <w:rsid w:val="000F0DC3"/>
    <w:rsid w:val="000F15A3"/>
    <w:rsid w:val="000F1817"/>
    <w:rsid w:val="000F1C24"/>
    <w:rsid w:val="000F1E30"/>
    <w:rsid w:val="000F281D"/>
    <w:rsid w:val="000F290C"/>
    <w:rsid w:val="000F2C52"/>
    <w:rsid w:val="000F4900"/>
    <w:rsid w:val="000F4AF0"/>
    <w:rsid w:val="000F4D74"/>
    <w:rsid w:val="000F5137"/>
    <w:rsid w:val="000F5BE4"/>
    <w:rsid w:val="000F5FA1"/>
    <w:rsid w:val="000F63A5"/>
    <w:rsid w:val="000F70B4"/>
    <w:rsid w:val="000F7A39"/>
    <w:rsid w:val="000F7F31"/>
    <w:rsid w:val="00100830"/>
    <w:rsid w:val="001010B0"/>
    <w:rsid w:val="001011E5"/>
    <w:rsid w:val="0010193F"/>
    <w:rsid w:val="00101CF5"/>
    <w:rsid w:val="00102009"/>
    <w:rsid w:val="00102E97"/>
    <w:rsid w:val="00102F3F"/>
    <w:rsid w:val="00102F8E"/>
    <w:rsid w:val="0010338F"/>
    <w:rsid w:val="001036FD"/>
    <w:rsid w:val="001037D3"/>
    <w:rsid w:val="00103A4D"/>
    <w:rsid w:val="00104592"/>
    <w:rsid w:val="001045E5"/>
    <w:rsid w:val="001052E6"/>
    <w:rsid w:val="001059FB"/>
    <w:rsid w:val="00105C72"/>
    <w:rsid w:val="00106072"/>
    <w:rsid w:val="00106F44"/>
    <w:rsid w:val="001079D0"/>
    <w:rsid w:val="00107F15"/>
    <w:rsid w:val="00110695"/>
    <w:rsid w:val="00110A09"/>
    <w:rsid w:val="00110A92"/>
    <w:rsid w:val="00110C97"/>
    <w:rsid w:val="00111370"/>
    <w:rsid w:val="00113769"/>
    <w:rsid w:val="00113B1B"/>
    <w:rsid w:val="001147D0"/>
    <w:rsid w:val="00114EBD"/>
    <w:rsid w:val="00114F29"/>
    <w:rsid w:val="0011514A"/>
    <w:rsid w:val="001157F9"/>
    <w:rsid w:val="00115CC2"/>
    <w:rsid w:val="00115F3C"/>
    <w:rsid w:val="001162E9"/>
    <w:rsid w:val="00116448"/>
    <w:rsid w:val="00116A39"/>
    <w:rsid w:val="00117366"/>
    <w:rsid w:val="00117AE9"/>
    <w:rsid w:val="001211C9"/>
    <w:rsid w:val="001216CE"/>
    <w:rsid w:val="0012175D"/>
    <w:rsid w:val="00122525"/>
    <w:rsid w:val="00122991"/>
    <w:rsid w:val="00122ACF"/>
    <w:rsid w:val="001234BC"/>
    <w:rsid w:val="001243E8"/>
    <w:rsid w:val="001249B7"/>
    <w:rsid w:val="001250FE"/>
    <w:rsid w:val="00125C83"/>
    <w:rsid w:val="00126EBE"/>
    <w:rsid w:val="00127EB1"/>
    <w:rsid w:val="00131043"/>
    <w:rsid w:val="001311B1"/>
    <w:rsid w:val="00132241"/>
    <w:rsid w:val="00132D8B"/>
    <w:rsid w:val="001330EB"/>
    <w:rsid w:val="001339E5"/>
    <w:rsid w:val="0013400B"/>
    <w:rsid w:val="00134E09"/>
    <w:rsid w:val="00135168"/>
    <w:rsid w:val="001359E8"/>
    <w:rsid w:val="001364CD"/>
    <w:rsid w:val="00136639"/>
    <w:rsid w:val="001368FD"/>
    <w:rsid w:val="00136D24"/>
    <w:rsid w:val="00137D8C"/>
    <w:rsid w:val="00140A09"/>
    <w:rsid w:val="001410A6"/>
    <w:rsid w:val="00141323"/>
    <w:rsid w:val="00141853"/>
    <w:rsid w:val="00142C37"/>
    <w:rsid w:val="00143FB6"/>
    <w:rsid w:val="001442D2"/>
    <w:rsid w:val="00144610"/>
    <w:rsid w:val="00145064"/>
    <w:rsid w:val="0014570E"/>
    <w:rsid w:val="001462B9"/>
    <w:rsid w:val="00147137"/>
    <w:rsid w:val="00147209"/>
    <w:rsid w:val="00147F33"/>
    <w:rsid w:val="00150011"/>
    <w:rsid w:val="0015083B"/>
    <w:rsid w:val="001510AA"/>
    <w:rsid w:val="001516CA"/>
    <w:rsid w:val="0015187C"/>
    <w:rsid w:val="00151D5C"/>
    <w:rsid w:val="00151E63"/>
    <w:rsid w:val="001520D8"/>
    <w:rsid w:val="0015288C"/>
    <w:rsid w:val="00153BE9"/>
    <w:rsid w:val="00154801"/>
    <w:rsid w:val="00154F32"/>
    <w:rsid w:val="00156C6D"/>
    <w:rsid w:val="00156F04"/>
    <w:rsid w:val="00157F7D"/>
    <w:rsid w:val="00160A32"/>
    <w:rsid w:val="00160D99"/>
    <w:rsid w:val="001615F8"/>
    <w:rsid w:val="00161968"/>
    <w:rsid w:val="00161FE8"/>
    <w:rsid w:val="00162890"/>
    <w:rsid w:val="00162A28"/>
    <w:rsid w:val="00162FEF"/>
    <w:rsid w:val="001637A4"/>
    <w:rsid w:val="001649AD"/>
    <w:rsid w:val="001657A7"/>
    <w:rsid w:val="00165B49"/>
    <w:rsid w:val="00165B5D"/>
    <w:rsid w:val="00165DCD"/>
    <w:rsid w:val="00167679"/>
    <w:rsid w:val="001678D5"/>
    <w:rsid w:val="001706D9"/>
    <w:rsid w:val="00170AD8"/>
    <w:rsid w:val="00171EA8"/>
    <w:rsid w:val="0017294D"/>
    <w:rsid w:val="00172B3C"/>
    <w:rsid w:val="00173467"/>
    <w:rsid w:val="001738A3"/>
    <w:rsid w:val="00173946"/>
    <w:rsid w:val="0017540B"/>
    <w:rsid w:val="001758B3"/>
    <w:rsid w:val="00176A13"/>
    <w:rsid w:val="00177390"/>
    <w:rsid w:val="0017781F"/>
    <w:rsid w:val="00177D4F"/>
    <w:rsid w:val="00177E47"/>
    <w:rsid w:val="00180255"/>
    <w:rsid w:val="00180CC7"/>
    <w:rsid w:val="00180E1D"/>
    <w:rsid w:val="0018131A"/>
    <w:rsid w:val="0018176A"/>
    <w:rsid w:val="0018179F"/>
    <w:rsid w:val="00181801"/>
    <w:rsid w:val="00181F1A"/>
    <w:rsid w:val="001823D4"/>
    <w:rsid w:val="00183490"/>
    <w:rsid w:val="0018385B"/>
    <w:rsid w:val="00183C14"/>
    <w:rsid w:val="001843DC"/>
    <w:rsid w:val="001865C7"/>
    <w:rsid w:val="001870BB"/>
    <w:rsid w:val="001870D7"/>
    <w:rsid w:val="00187503"/>
    <w:rsid w:val="00187791"/>
    <w:rsid w:val="00191210"/>
    <w:rsid w:val="0019196C"/>
    <w:rsid w:val="0019232F"/>
    <w:rsid w:val="001930DE"/>
    <w:rsid w:val="0019323F"/>
    <w:rsid w:val="0019390C"/>
    <w:rsid w:val="0019457C"/>
    <w:rsid w:val="00195460"/>
    <w:rsid w:val="001955E8"/>
    <w:rsid w:val="0019603A"/>
    <w:rsid w:val="00196056"/>
    <w:rsid w:val="00196971"/>
    <w:rsid w:val="00196C99"/>
    <w:rsid w:val="00197191"/>
    <w:rsid w:val="001975AA"/>
    <w:rsid w:val="00197751"/>
    <w:rsid w:val="00197D0E"/>
    <w:rsid w:val="001A02F2"/>
    <w:rsid w:val="001A09BC"/>
    <w:rsid w:val="001A2132"/>
    <w:rsid w:val="001A2602"/>
    <w:rsid w:val="001A2BCB"/>
    <w:rsid w:val="001A2F88"/>
    <w:rsid w:val="001A306B"/>
    <w:rsid w:val="001A36CA"/>
    <w:rsid w:val="001A39FF"/>
    <w:rsid w:val="001A3D08"/>
    <w:rsid w:val="001A3DC2"/>
    <w:rsid w:val="001A4320"/>
    <w:rsid w:val="001A44A6"/>
    <w:rsid w:val="001A4F78"/>
    <w:rsid w:val="001A4F9C"/>
    <w:rsid w:val="001A4FF9"/>
    <w:rsid w:val="001A5DF3"/>
    <w:rsid w:val="001A685C"/>
    <w:rsid w:val="001A6AF6"/>
    <w:rsid w:val="001A6F4E"/>
    <w:rsid w:val="001A71BD"/>
    <w:rsid w:val="001A7561"/>
    <w:rsid w:val="001A76A8"/>
    <w:rsid w:val="001A78B9"/>
    <w:rsid w:val="001B0038"/>
    <w:rsid w:val="001B0216"/>
    <w:rsid w:val="001B062C"/>
    <w:rsid w:val="001B0641"/>
    <w:rsid w:val="001B088D"/>
    <w:rsid w:val="001B0996"/>
    <w:rsid w:val="001B0CEB"/>
    <w:rsid w:val="001B2A84"/>
    <w:rsid w:val="001B2ECC"/>
    <w:rsid w:val="001B34C0"/>
    <w:rsid w:val="001B3D32"/>
    <w:rsid w:val="001B3D8D"/>
    <w:rsid w:val="001B5468"/>
    <w:rsid w:val="001B5791"/>
    <w:rsid w:val="001B628E"/>
    <w:rsid w:val="001B6ED7"/>
    <w:rsid w:val="001B78B3"/>
    <w:rsid w:val="001B795C"/>
    <w:rsid w:val="001B7A93"/>
    <w:rsid w:val="001B7C04"/>
    <w:rsid w:val="001C0CC3"/>
    <w:rsid w:val="001C27A6"/>
    <w:rsid w:val="001C4FB5"/>
    <w:rsid w:val="001C5855"/>
    <w:rsid w:val="001C6D80"/>
    <w:rsid w:val="001C7A06"/>
    <w:rsid w:val="001D040E"/>
    <w:rsid w:val="001D2F48"/>
    <w:rsid w:val="001D33D2"/>
    <w:rsid w:val="001D34EB"/>
    <w:rsid w:val="001D4470"/>
    <w:rsid w:val="001D4BF4"/>
    <w:rsid w:val="001D5821"/>
    <w:rsid w:val="001D5B73"/>
    <w:rsid w:val="001D62D6"/>
    <w:rsid w:val="001D63ED"/>
    <w:rsid w:val="001E01D7"/>
    <w:rsid w:val="001E0A93"/>
    <w:rsid w:val="001E1220"/>
    <w:rsid w:val="001E18C9"/>
    <w:rsid w:val="001E22CB"/>
    <w:rsid w:val="001E297A"/>
    <w:rsid w:val="001E31B5"/>
    <w:rsid w:val="001E38AD"/>
    <w:rsid w:val="001E4036"/>
    <w:rsid w:val="001E5617"/>
    <w:rsid w:val="001E5789"/>
    <w:rsid w:val="001E6C6E"/>
    <w:rsid w:val="001F02A8"/>
    <w:rsid w:val="001F072F"/>
    <w:rsid w:val="001F1976"/>
    <w:rsid w:val="001F23C2"/>
    <w:rsid w:val="001F2BF8"/>
    <w:rsid w:val="001F5761"/>
    <w:rsid w:val="001F650D"/>
    <w:rsid w:val="001F6BB0"/>
    <w:rsid w:val="001F7A6B"/>
    <w:rsid w:val="001F7E3A"/>
    <w:rsid w:val="0020097C"/>
    <w:rsid w:val="0020216D"/>
    <w:rsid w:val="002025E0"/>
    <w:rsid w:val="002026AB"/>
    <w:rsid w:val="00202862"/>
    <w:rsid w:val="0020298F"/>
    <w:rsid w:val="00202CD2"/>
    <w:rsid w:val="00204CD1"/>
    <w:rsid w:val="00205356"/>
    <w:rsid w:val="002058D2"/>
    <w:rsid w:val="00205E56"/>
    <w:rsid w:val="002060DE"/>
    <w:rsid w:val="00206923"/>
    <w:rsid w:val="00206ACC"/>
    <w:rsid w:val="002078D2"/>
    <w:rsid w:val="00210848"/>
    <w:rsid w:val="00210D90"/>
    <w:rsid w:val="00211600"/>
    <w:rsid w:val="002117BE"/>
    <w:rsid w:val="00212325"/>
    <w:rsid w:val="00212F93"/>
    <w:rsid w:val="0021446A"/>
    <w:rsid w:val="0021479A"/>
    <w:rsid w:val="00215169"/>
    <w:rsid w:val="0021542B"/>
    <w:rsid w:val="00215449"/>
    <w:rsid w:val="002159D3"/>
    <w:rsid w:val="00215CCD"/>
    <w:rsid w:val="00215FE4"/>
    <w:rsid w:val="00216850"/>
    <w:rsid w:val="00216B02"/>
    <w:rsid w:val="00216B18"/>
    <w:rsid w:val="00217B9E"/>
    <w:rsid w:val="00217E7C"/>
    <w:rsid w:val="00217ED4"/>
    <w:rsid w:val="00220182"/>
    <w:rsid w:val="00220312"/>
    <w:rsid w:val="002203A0"/>
    <w:rsid w:val="002204AF"/>
    <w:rsid w:val="00220A98"/>
    <w:rsid w:val="00220F36"/>
    <w:rsid w:val="0022206C"/>
    <w:rsid w:val="00222B58"/>
    <w:rsid w:val="002251CF"/>
    <w:rsid w:val="002252BA"/>
    <w:rsid w:val="00227824"/>
    <w:rsid w:val="0022794A"/>
    <w:rsid w:val="00227B4D"/>
    <w:rsid w:val="00227D39"/>
    <w:rsid w:val="00230486"/>
    <w:rsid w:val="002304D5"/>
    <w:rsid w:val="0023051F"/>
    <w:rsid w:val="002306A6"/>
    <w:rsid w:val="00231386"/>
    <w:rsid w:val="0023289E"/>
    <w:rsid w:val="0023301C"/>
    <w:rsid w:val="00233761"/>
    <w:rsid w:val="002337A1"/>
    <w:rsid w:val="00233B72"/>
    <w:rsid w:val="00234324"/>
    <w:rsid w:val="00235FDE"/>
    <w:rsid w:val="0023602C"/>
    <w:rsid w:val="00236B1D"/>
    <w:rsid w:val="00236C6B"/>
    <w:rsid w:val="00236DAD"/>
    <w:rsid w:val="00237C20"/>
    <w:rsid w:val="00237C70"/>
    <w:rsid w:val="00237F74"/>
    <w:rsid w:val="00240D95"/>
    <w:rsid w:val="0024150A"/>
    <w:rsid w:val="00241532"/>
    <w:rsid w:val="00241FE7"/>
    <w:rsid w:val="00242CD6"/>
    <w:rsid w:val="00242F4F"/>
    <w:rsid w:val="00243BB7"/>
    <w:rsid w:val="0024437A"/>
    <w:rsid w:val="00244A28"/>
    <w:rsid w:val="0024616D"/>
    <w:rsid w:val="00246250"/>
    <w:rsid w:val="00246731"/>
    <w:rsid w:val="00246C7B"/>
    <w:rsid w:val="00247EC2"/>
    <w:rsid w:val="002506DF"/>
    <w:rsid w:val="002510BB"/>
    <w:rsid w:val="00251DDE"/>
    <w:rsid w:val="0025236D"/>
    <w:rsid w:val="0025263C"/>
    <w:rsid w:val="00252695"/>
    <w:rsid w:val="00253582"/>
    <w:rsid w:val="00253AE0"/>
    <w:rsid w:val="00253BAC"/>
    <w:rsid w:val="00253C75"/>
    <w:rsid w:val="00253F1A"/>
    <w:rsid w:val="0025453B"/>
    <w:rsid w:val="00254E22"/>
    <w:rsid w:val="002569A3"/>
    <w:rsid w:val="00260F8C"/>
    <w:rsid w:val="00261697"/>
    <w:rsid w:val="00262C9F"/>
    <w:rsid w:val="002630EB"/>
    <w:rsid w:val="00263256"/>
    <w:rsid w:val="00264182"/>
    <w:rsid w:val="002652FA"/>
    <w:rsid w:val="00266098"/>
    <w:rsid w:val="002663FE"/>
    <w:rsid w:val="00266D30"/>
    <w:rsid w:val="00267F0B"/>
    <w:rsid w:val="002700FB"/>
    <w:rsid w:val="00270995"/>
    <w:rsid w:val="0027149C"/>
    <w:rsid w:val="0027172F"/>
    <w:rsid w:val="00272B70"/>
    <w:rsid w:val="00272D62"/>
    <w:rsid w:val="00273010"/>
    <w:rsid w:val="00274641"/>
    <w:rsid w:val="00275701"/>
    <w:rsid w:val="00276951"/>
    <w:rsid w:val="00276DA1"/>
    <w:rsid w:val="00277836"/>
    <w:rsid w:val="00277A17"/>
    <w:rsid w:val="00277FB2"/>
    <w:rsid w:val="0028008F"/>
    <w:rsid w:val="0028191D"/>
    <w:rsid w:val="00281955"/>
    <w:rsid w:val="00281C68"/>
    <w:rsid w:val="00281EDE"/>
    <w:rsid w:val="002821FE"/>
    <w:rsid w:val="00282B86"/>
    <w:rsid w:val="002849AF"/>
    <w:rsid w:val="00285158"/>
    <w:rsid w:val="0028564C"/>
    <w:rsid w:val="00285F4B"/>
    <w:rsid w:val="00286472"/>
    <w:rsid w:val="00286955"/>
    <w:rsid w:val="00287240"/>
    <w:rsid w:val="00290C55"/>
    <w:rsid w:val="0029119C"/>
    <w:rsid w:val="002919C6"/>
    <w:rsid w:val="00291EF9"/>
    <w:rsid w:val="002929A8"/>
    <w:rsid w:val="002936F8"/>
    <w:rsid w:val="00293D79"/>
    <w:rsid w:val="00294713"/>
    <w:rsid w:val="0029491B"/>
    <w:rsid w:val="00294F4E"/>
    <w:rsid w:val="002958E8"/>
    <w:rsid w:val="0029656E"/>
    <w:rsid w:val="00297E2D"/>
    <w:rsid w:val="002A0202"/>
    <w:rsid w:val="002A04DE"/>
    <w:rsid w:val="002A074E"/>
    <w:rsid w:val="002A1102"/>
    <w:rsid w:val="002A124E"/>
    <w:rsid w:val="002A15D5"/>
    <w:rsid w:val="002A16DF"/>
    <w:rsid w:val="002A1C37"/>
    <w:rsid w:val="002A1D24"/>
    <w:rsid w:val="002A220C"/>
    <w:rsid w:val="002A2313"/>
    <w:rsid w:val="002A239F"/>
    <w:rsid w:val="002A242F"/>
    <w:rsid w:val="002A26DF"/>
    <w:rsid w:val="002A27B6"/>
    <w:rsid w:val="002A316F"/>
    <w:rsid w:val="002A31EE"/>
    <w:rsid w:val="002A5C3E"/>
    <w:rsid w:val="002A614B"/>
    <w:rsid w:val="002A6FB6"/>
    <w:rsid w:val="002A76F4"/>
    <w:rsid w:val="002A771E"/>
    <w:rsid w:val="002A79FB"/>
    <w:rsid w:val="002A7C80"/>
    <w:rsid w:val="002A7FBA"/>
    <w:rsid w:val="002B1BAC"/>
    <w:rsid w:val="002B2393"/>
    <w:rsid w:val="002B3041"/>
    <w:rsid w:val="002B350A"/>
    <w:rsid w:val="002B362C"/>
    <w:rsid w:val="002B3797"/>
    <w:rsid w:val="002B39C4"/>
    <w:rsid w:val="002B3E50"/>
    <w:rsid w:val="002B4A0C"/>
    <w:rsid w:val="002B4AAB"/>
    <w:rsid w:val="002B55D4"/>
    <w:rsid w:val="002B5771"/>
    <w:rsid w:val="002B5791"/>
    <w:rsid w:val="002B5FC4"/>
    <w:rsid w:val="002B6200"/>
    <w:rsid w:val="002B64BB"/>
    <w:rsid w:val="002B65DE"/>
    <w:rsid w:val="002B7350"/>
    <w:rsid w:val="002C2704"/>
    <w:rsid w:val="002C2ABB"/>
    <w:rsid w:val="002C36D0"/>
    <w:rsid w:val="002C38CC"/>
    <w:rsid w:val="002C4EBA"/>
    <w:rsid w:val="002C5358"/>
    <w:rsid w:val="002C5845"/>
    <w:rsid w:val="002C5981"/>
    <w:rsid w:val="002C6BBE"/>
    <w:rsid w:val="002C7771"/>
    <w:rsid w:val="002D1556"/>
    <w:rsid w:val="002D193C"/>
    <w:rsid w:val="002D215F"/>
    <w:rsid w:val="002D26A0"/>
    <w:rsid w:val="002D2DF3"/>
    <w:rsid w:val="002D339D"/>
    <w:rsid w:val="002D3FCF"/>
    <w:rsid w:val="002D42DB"/>
    <w:rsid w:val="002D4AC3"/>
    <w:rsid w:val="002D4F79"/>
    <w:rsid w:val="002D51C6"/>
    <w:rsid w:val="002D586C"/>
    <w:rsid w:val="002D59D3"/>
    <w:rsid w:val="002D5E7B"/>
    <w:rsid w:val="002D74B2"/>
    <w:rsid w:val="002E03A4"/>
    <w:rsid w:val="002E0596"/>
    <w:rsid w:val="002E1F8B"/>
    <w:rsid w:val="002E20FC"/>
    <w:rsid w:val="002E2601"/>
    <w:rsid w:val="002E2A85"/>
    <w:rsid w:val="002E2F93"/>
    <w:rsid w:val="002E358C"/>
    <w:rsid w:val="002E399A"/>
    <w:rsid w:val="002E3EDB"/>
    <w:rsid w:val="002E4AF6"/>
    <w:rsid w:val="002E52B2"/>
    <w:rsid w:val="002E5428"/>
    <w:rsid w:val="002E6559"/>
    <w:rsid w:val="002E6A65"/>
    <w:rsid w:val="002E76CF"/>
    <w:rsid w:val="002F005E"/>
    <w:rsid w:val="002F0AEE"/>
    <w:rsid w:val="002F1360"/>
    <w:rsid w:val="002F1648"/>
    <w:rsid w:val="002F1975"/>
    <w:rsid w:val="002F2B78"/>
    <w:rsid w:val="002F3E65"/>
    <w:rsid w:val="002F473F"/>
    <w:rsid w:val="002F4C0A"/>
    <w:rsid w:val="002F4CC2"/>
    <w:rsid w:val="002F541D"/>
    <w:rsid w:val="002F6E68"/>
    <w:rsid w:val="002F71E2"/>
    <w:rsid w:val="00300B05"/>
    <w:rsid w:val="003011A3"/>
    <w:rsid w:val="003013BC"/>
    <w:rsid w:val="00301595"/>
    <w:rsid w:val="00301C4D"/>
    <w:rsid w:val="003020A1"/>
    <w:rsid w:val="00302543"/>
    <w:rsid w:val="00302A01"/>
    <w:rsid w:val="00302AAE"/>
    <w:rsid w:val="00302E5F"/>
    <w:rsid w:val="00302FB4"/>
    <w:rsid w:val="00304411"/>
    <w:rsid w:val="00304423"/>
    <w:rsid w:val="003044D0"/>
    <w:rsid w:val="00304BE0"/>
    <w:rsid w:val="0030549B"/>
    <w:rsid w:val="00305B2E"/>
    <w:rsid w:val="00305DCB"/>
    <w:rsid w:val="003061F4"/>
    <w:rsid w:val="00307D82"/>
    <w:rsid w:val="003108CF"/>
    <w:rsid w:val="00310E04"/>
    <w:rsid w:val="00311399"/>
    <w:rsid w:val="003116C5"/>
    <w:rsid w:val="00311F0B"/>
    <w:rsid w:val="00311F6B"/>
    <w:rsid w:val="00311F6E"/>
    <w:rsid w:val="0031227D"/>
    <w:rsid w:val="003127D7"/>
    <w:rsid w:val="00314258"/>
    <w:rsid w:val="00314320"/>
    <w:rsid w:val="00314468"/>
    <w:rsid w:val="003147F1"/>
    <w:rsid w:val="00314D3A"/>
    <w:rsid w:val="00314DA4"/>
    <w:rsid w:val="003150E0"/>
    <w:rsid w:val="00315785"/>
    <w:rsid w:val="00315912"/>
    <w:rsid w:val="003161D6"/>
    <w:rsid w:val="00316623"/>
    <w:rsid w:val="00317A2F"/>
    <w:rsid w:val="00317FB6"/>
    <w:rsid w:val="00321808"/>
    <w:rsid w:val="00321E32"/>
    <w:rsid w:val="00323FDA"/>
    <w:rsid w:val="003243BF"/>
    <w:rsid w:val="003245B3"/>
    <w:rsid w:val="003251C7"/>
    <w:rsid w:val="00325339"/>
    <w:rsid w:val="003260AD"/>
    <w:rsid w:val="00326254"/>
    <w:rsid w:val="00326641"/>
    <w:rsid w:val="00330556"/>
    <w:rsid w:val="00331531"/>
    <w:rsid w:val="00331752"/>
    <w:rsid w:val="00331A29"/>
    <w:rsid w:val="003320AE"/>
    <w:rsid w:val="00332324"/>
    <w:rsid w:val="0033258C"/>
    <w:rsid w:val="00333AA2"/>
    <w:rsid w:val="00334933"/>
    <w:rsid w:val="00334C4C"/>
    <w:rsid w:val="00334D8D"/>
    <w:rsid w:val="00334F93"/>
    <w:rsid w:val="00335CFE"/>
    <w:rsid w:val="003362A9"/>
    <w:rsid w:val="00336BC7"/>
    <w:rsid w:val="00336EF3"/>
    <w:rsid w:val="00337302"/>
    <w:rsid w:val="00337506"/>
    <w:rsid w:val="0034111E"/>
    <w:rsid w:val="00341582"/>
    <w:rsid w:val="003418EA"/>
    <w:rsid w:val="00341BD3"/>
    <w:rsid w:val="003428AE"/>
    <w:rsid w:val="0034351D"/>
    <w:rsid w:val="003435F4"/>
    <w:rsid w:val="00343CBC"/>
    <w:rsid w:val="00343FCE"/>
    <w:rsid w:val="003447A3"/>
    <w:rsid w:val="003449B9"/>
    <w:rsid w:val="00344C47"/>
    <w:rsid w:val="00346ACC"/>
    <w:rsid w:val="00346EB1"/>
    <w:rsid w:val="003473CB"/>
    <w:rsid w:val="003474B2"/>
    <w:rsid w:val="00347AE1"/>
    <w:rsid w:val="00347B65"/>
    <w:rsid w:val="00347F03"/>
    <w:rsid w:val="00347FDB"/>
    <w:rsid w:val="00350679"/>
    <w:rsid w:val="00350E32"/>
    <w:rsid w:val="00352B63"/>
    <w:rsid w:val="00353211"/>
    <w:rsid w:val="003537F5"/>
    <w:rsid w:val="003546E9"/>
    <w:rsid w:val="00354BD7"/>
    <w:rsid w:val="00354EA3"/>
    <w:rsid w:val="0035559E"/>
    <w:rsid w:val="00355ED7"/>
    <w:rsid w:val="00356819"/>
    <w:rsid w:val="00357ECA"/>
    <w:rsid w:val="00357FAE"/>
    <w:rsid w:val="0036018E"/>
    <w:rsid w:val="00360259"/>
    <w:rsid w:val="00360FAA"/>
    <w:rsid w:val="0036208F"/>
    <w:rsid w:val="0036384F"/>
    <w:rsid w:val="0036396D"/>
    <w:rsid w:val="00363D97"/>
    <w:rsid w:val="00364CA3"/>
    <w:rsid w:val="00364EDC"/>
    <w:rsid w:val="0036549D"/>
    <w:rsid w:val="00365593"/>
    <w:rsid w:val="00365A38"/>
    <w:rsid w:val="00365C0A"/>
    <w:rsid w:val="00366A55"/>
    <w:rsid w:val="00366F93"/>
    <w:rsid w:val="00367079"/>
    <w:rsid w:val="003675FE"/>
    <w:rsid w:val="00371187"/>
    <w:rsid w:val="00372147"/>
    <w:rsid w:val="00372327"/>
    <w:rsid w:val="00372AE9"/>
    <w:rsid w:val="00373D16"/>
    <w:rsid w:val="0037498A"/>
    <w:rsid w:val="00374DAA"/>
    <w:rsid w:val="00375188"/>
    <w:rsid w:val="003751C9"/>
    <w:rsid w:val="00375536"/>
    <w:rsid w:val="003759CD"/>
    <w:rsid w:val="00375B37"/>
    <w:rsid w:val="00375CE8"/>
    <w:rsid w:val="00377D04"/>
    <w:rsid w:val="0038129A"/>
    <w:rsid w:val="003820ED"/>
    <w:rsid w:val="0038339E"/>
    <w:rsid w:val="00384A49"/>
    <w:rsid w:val="00384A8C"/>
    <w:rsid w:val="00385282"/>
    <w:rsid w:val="0038549D"/>
    <w:rsid w:val="0038559B"/>
    <w:rsid w:val="00385643"/>
    <w:rsid w:val="00385C9F"/>
    <w:rsid w:val="00386091"/>
    <w:rsid w:val="003863C7"/>
    <w:rsid w:val="00386656"/>
    <w:rsid w:val="00386E41"/>
    <w:rsid w:val="00387ADE"/>
    <w:rsid w:val="00390647"/>
    <w:rsid w:val="00390B48"/>
    <w:rsid w:val="00390F5D"/>
    <w:rsid w:val="00391917"/>
    <w:rsid w:val="00391DE8"/>
    <w:rsid w:val="003922AC"/>
    <w:rsid w:val="0039286F"/>
    <w:rsid w:val="0039303C"/>
    <w:rsid w:val="003930AE"/>
    <w:rsid w:val="0039368E"/>
    <w:rsid w:val="00393C04"/>
    <w:rsid w:val="0039411A"/>
    <w:rsid w:val="00394D91"/>
    <w:rsid w:val="00396495"/>
    <w:rsid w:val="003968BE"/>
    <w:rsid w:val="00396CA2"/>
    <w:rsid w:val="00397053"/>
    <w:rsid w:val="00397424"/>
    <w:rsid w:val="003974C5"/>
    <w:rsid w:val="003975D8"/>
    <w:rsid w:val="00397E8E"/>
    <w:rsid w:val="003A0218"/>
    <w:rsid w:val="003A0259"/>
    <w:rsid w:val="003A0557"/>
    <w:rsid w:val="003A127E"/>
    <w:rsid w:val="003A1461"/>
    <w:rsid w:val="003A1C5C"/>
    <w:rsid w:val="003A1F22"/>
    <w:rsid w:val="003A21B2"/>
    <w:rsid w:val="003A3F72"/>
    <w:rsid w:val="003A3FCB"/>
    <w:rsid w:val="003A4B21"/>
    <w:rsid w:val="003A5A52"/>
    <w:rsid w:val="003A5D2B"/>
    <w:rsid w:val="003A5D9F"/>
    <w:rsid w:val="003A662E"/>
    <w:rsid w:val="003A6E57"/>
    <w:rsid w:val="003A7A39"/>
    <w:rsid w:val="003B078A"/>
    <w:rsid w:val="003B0C6C"/>
    <w:rsid w:val="003B17B2"/>
    <w:rsid w:val="003B18AA"/>
    <w:rsid w:val="003B2804"/>
    <w:rsid w:val="003B2B4A"/>
    <w:rsid w:val="003B2FB4"/>
    <w:rsid w:val="003B3311"/>
    <w:rsid w:val="003B39FB"/>
    <w:rsid w:val="003B41B7"/>
    <w:rsid w:val="003B469F"/>
    <w:rsid w:val="003B586C"/>
    <w:rsid w:val="003B5B5C"/>
    <w:rsid w:val="003B5F1D"/>
    <w:rsid w:val="003B608F"/>
    <w:rsid w:val="003B663F"/>
    <w:rsid w:val="003B6FAB"/>
    <w:rsid w:val="003B719F"/>
    <w:rsid w:val="003B785D"/>
    <w:rsid w:val="003C03E1"/>
    <w:rsid w:val="003C0814"/>
    <w:rsid w:val="003C0C3C"/>
    <w:rsid w:val="003C0DD8"/>
    <w:rsid w:val="003C1336"/>
    <w:rsid w:val="003C19A9"/>
    <w:rsid w:val="003C1F34"/>
    <w:rsid w:val="003C219F"/>
    <w:rsid w:val="003C42A6"/>
    <w:rsid w:val="003C4785"/>
    <w:rsid w:val="003C4D83"/>
    <w:rsid w:val="003C51C3"/>
    <w:rsid w:val="003C559E"/>
    <w:rsid w:val="003C6730"/>
    <w:rsid w:val="003C67E8"/>
    <w:rsid w:val="003C6878"/>
    <w:rsid w:val="003C783E"/>
    <w:rsid w:val="003D0768"/>
    <w:rsid w:val="003D0910"/>
    <w:rsid w:val="003D0F81"/>
    <w:rsid w:val="003D1AF8"/>
    <w:rsid w:val="003D236A"/>
    <w:rsid w:val="003D2629"/>
    <w:rsid w:val="003D36E5"/>
    <w:rsid w:val="003D3B80"/>
    <w:rsid w:val="003D3F57"/>
    <w:rsid w:val="003D4843"/>
    <w:rsid w:val="003D4878"/>
    <w:rsid w:val="003D5712"/>
    <w:rsid w:val="003D6237"/>
    <w:rsid w:val="003D6734"/>
    <w:rsid w:val="003E0045"/>
    <w:rsid w:val="003E0085"/>
    <w:rsid w:val="003E0AE3"/>
    <w:rsid w:val="003E115C"/>
    <w:rsid w:val="003E2362"/>
    <w:rsid w:val="003E2DDD"/>
    <w:rsid w:val="003E3E16"/>
    <w:rsid w:val="003E4C51"/>
    <w:rsid w:val="003E72DB"/>
    <w:rsid w:val="003E7E1E"/>
    <w:rsid w:val="003E7E8E"/>
    <w:rsid w:val="003F00A4"/>
    <w:rsid w:val="003F021A"/>
    <w:rsid w:val="003F1100"/>
    <w:rsid w:val="003F1383"/>
    <w:rsid w:val="003F13D6"/>
    <w:rsid w:val="003F19DC"/>
    <w:rsid w:val="003F24B0"/>
    <w:rsid w:val="003F3BA0"/>
    <w:rsid w:val="003F4809"/>
    <w:rsid w:val="003F6FC6"/>
    <w:rsid w:val="003F71F4"/>
    <w:rsid w:val="003F74FE"/>
    <w:rsid w:val="003F7E3C"/>
    <w:rsid w:val="003F7E94"/>
    <w:rsid w:val="004007C0"/>
    <w:rsid w:val="00400F2A"/>
    <w:rsid w:val="0040111E"/>
    <w:rsid w:val="004018A4"/>
    <w:rsid w:val="00403389"/>
    <w:rsid w:val="00403B5C"/>
    <w:rsid w:val="00403CC5"/>
    <w:rsid w:val="00403F0D"/>
    <w:rsid w:val="004045FB"/>
    <w:rsid w:val="00404BA4"/>
    <w:rsid w:val="00404EC3"/>
    <w:rsid w:val="00404F66"/>
    <w:rsid w:val="004050BE"/>
    <w:rsid w:val="00405320"/>
    <w:rsid w:val="004058C5"/>
    <w:rsid w:val="004060B3"/>
    <w:rsid w:val="00406D20"/>
    <w:rsid w:val="00407B00"/>
    <w:rsid w:val="00407BE6"/>
    <w:rsid w:val="00410247"/>
    <w:rsid w:val="0041064D"/>
    <w:rsid w:val="00410A65"/>
    <w:rsid w:val="00411699"/>
    <w:rsid w:val="004117C9"/>
    <w:rsid w:val="0041183F"/>
    <w:rsid w:val="004119B7"/>
    <w:rsid w:val="00411B8F"/>
    <w:rsid w:val="00412BE8"/>
    <w:rsid w:val="00413159"/>
    <w:rsid w:val="00413345"/>
    <w:rsid w:val="00413809"/>
    <w:rsid w:val="00413C57"/>
    <w:rsid w:val="00414AAB"/>
    <w:rsid w:val="004157BF"/>
    <w:rsid w:val="00416D2C"/>
    <w:rsid w:val="00416FE9"/>
    <w:rsid w:val="004175DC"/>
    <w:rsid w:val="00417BDA"/>
    <w:rsid w:val="0042008E"/>
    <w:rsid w:val="00420DA8"/>
    <w:rsid w:val="00421470"/>
    <w:rsid w:val="004215ED"/>
    <w:rsid w:val="00422341"/>
    <w:rsid w:val="004223DC"/>
    <w:rsid w:val="00422732"/>
    <w:rsid w:val="00422FAB"/>
    <w:rsid w:val="00423A99"/>
    <w:rsid w:val="00424093"/>
    <w:rsid w:val="004270E1"/>
    <w:rsid w:val="00427C12"/>
    <w:rsid w:val="00430370"/>
    <w:rsid w:val="00430B27"/>
    <w:rsid w:val="00431A37"/>
    <w:rsid w:val="00431D68"/>
    <w:rsid w:val="00433BC7"/>
    <w:rsid w:val="00433FDA"/>
    <w:rsid w:val="00434740"/>
    <w:rsid w:val="00434B42"/>
    <w:rsid w:val="004354D0"/>
    <w:rsid w:val="00435E4F"/>
    <w:rsid w:val="00437D3E"/>
    <w:rsid w:val="0044032C"/>
    <w:rsid w:val="004403D3"/>
    <w:rsid w:val="0044044D"/>
    <w:rsid w:val="00440FD0"/>
    <w:rsid w:val="0044109C"/>
    <w:rsid w:val="00441185"/>
    <w:rsid w:val="00441555"/>
    <w:rsid w:val="0044266F"/>
    <w:rsid w:val="00442770"/>
    <w:rsid w:val="004427A0"/>
    <w:rsid w:val="00442939"/>
    <w:rsid w:val="00442A55"/>
    <w:rsid w:val="00442B89"/>
    <w:rsid w:val="00442F5A"/>
    <w:rsid w:val="004433CD"/>
    <w:rsid w:val="00444398"/>
    <w:rsid w:val="00444523"/>
    <w:rsid w:val="004449AE"/>
    <w:rsid w:val="004456EC"/>
    <w:rsid w:val="00445DB6"/>
    <w:rsid w:val="004462A9"/>
    <w:rsid w:val="00446F77"/>
    <w:rsid w:val="004470D3"/>
    <w:rsid w:val="0044796A"/>
    <w:rsid w:val="00447A26"/>
    <w:rsid w:val="00447D8F"/>
    <w:rsid w:val="00450198"/>
    <w:rsid w:val="004509F8"/>
    <w:rsid w:val="0045112D"/>
    <w:rsid w:val="00452A6F"/>
    <w:rsid w:val="004538F4"/>
    <w:rsid w:val="00453F1B"/>
    <w:rsid w:val="0045445F"/>
    <w:rsid w:val="004549C0"/>
    <w:rsid w:val="0045587C"/>
    <w:rsid w:val="0045588E"/>
    <w:rsid w:val="00455EBF"/>
    <w:rsid w:val="00455F67"/>
    <w:rsid w:val="004564DB"/>
    <w:rsid w:val="00456AA6"/>
    <w:rsid w:val="00456BEF"/>
    <w:rsid w:val="00456D70"/>
    <w:rsid w:val="004579DB"/>
    <w:rsid w:val="00457A06"/>
    <w:rsid w:val="00460BAE"/>
    <w:rsid w:val="00461031"/>
    <w:rsid w:val="0046109A"/>
    <w:rsid w:val="004617E5"/>
    <w:rsid w:val="004618C2"/>
    <w:rsid w:val="00461D92"/>
    <w:rsid w:val="00462516"/>
    <w:rsid w:val="00462E76"/>
    <w:rsid w:val="00463AB4"/>
    <w:rsid w:val="00463F80"/>
    <w:rsid w:val="0046403C"/>
    <w:rsid w:val="004641C4"/>
    <w:rsid w:val="00464A19"/>
    <w:rsid w:val="00464C05"/>
    <w:rsid w:val="00465FC8"/>
    <w:rsid w:val="00466229"/>
    <w:rsid w:val="0046719F"/>
    <w:rsid w:val="00467213"/>
    <w:rsid w:val="004678C3"/>
    <w:rsid w:val="004705D5"/>
    <w:rsid w:val="004710CE"/>
    <w:rsid w:val="00471B60"/>
    <w:rsid w:val="00472135"/>
    <w:rsid w:val="0047299C"/>
    <w:rsid w:val="00472A0B"/>
    <w:rsid w:val="004730C8"/>
    <w:rsid w:val="004733E3"/>
    <w:rsid w:val="00473473"/>
    <w:rsid w:val="004736B9"/>
    <w:rsid w:val="0047473B"/>
    <w:rsid w:val="00474FB6"/>
    <w:rsid w:val="004751EE"/>
    <w:rsid w:val="0047570A"/>
    <w:rsid w:val="004759F6"/>
    <w:rsid w:val="004761D6"/>
    <w:rsid w:val="004764E1"/>
    <w:rsid w:val="00477035"/>
    <w:rsid w:val="004771C9"/>
    <w:rsid w:val="004775E9"/>
    <w:rsid w:val="00480A19"/>
    <w:rsid w:val="004812F3"/>
    <w:rsid w:val="00481DA3"/>
    <w:rsid w:val="00483777"/>
    <w:rsid w:val="0048536F"/>
    <w:rsid w:val="00485AAD"/>
    <w:rsid w:val="0048653A"/>
    <w:rsid w:val="00486B04"/>
    <w:rsid w:val="00486C54"/>
    <w:rsid w:val="004872B6"/>
    <w:rsid w:val="00487A52"/>
    <w:rsid w:val="00487AD7"/>
    <w:rsid w:val="00487F34"/>
    <w:rsid w:val="00491876"/>
    <w:rsid w:val="00491900"/>
    <w:rsid w:val="004920DA"/>
    <w:rsid w:val="0049214E"/>
    <w:rsid w:val="004929D8"/>
    <w:rsid w:val="004940A6"/>
    <w:rsid w:val="004957B9"/>
    <w:rsid w:val="00495A83"/>
    <w:rsid w:val="004960F5"/>
    <w:rsid w:val="004962ED"/>
    <w:rsid w:val="004974BC"/>
    <w:rsid w:val="004A00C4"/>
    <w:rsid w:val="004A14BE"/>
    <w:rsid w:val="004A2B01"/>
    <w:rsid w:val="004A3C3C"/>
    <w:rsid w:val="004A3F1D"/>
    <w:rsid w:val="004A56B0"/>
    <w:rsid w:val="004A591E"/>
    <w:rsid w:val="004A6225"/>
    <w:rsid w:val="004A646A"/>
    <w:rsid w:val="004A66D8"/>
    <w:rsid w:val="004A6972"/>
    <w:rsid w:val="004A741C"/>
    <w:rsid w:val="004A7657"/>
    <w:rsid w:val="004B00C7"/>
    <w:rsid w:val="004B0D94"/>
    <w:rsid w:val="004B0F61"/>
    <w:rsid w:val="004B15AA"/>
    <w:rsid w:val="004B17C0"/>
    <w:rsid w:val="004B215E"/>
    <w:rsid w:val="004B3230"/>
    <w:rsid w:val="004B390B"/>
    <w:rsid w:val="004B3B44"/>
    <w:rsid w:val="004B3FCA"/>
    <w:rsid w:val="004B4C55"/>
    <w:rsid w:val="004B6573"/>
    <w:rsid w:val="004C06A7"/>
    <w:rsid w:val="004C0760"/>
    <w:rsid w:val="004C29E9"/>
    <w:rsid w:val="004C4634"/>
    <w:rsid w:val="004C4919"/>
    <w:rsid w:val="004C525A"/>
    <w:rsid w:val="004C5C05"/>
    <w:rsid w:val="004C5F4C"/>
    <w:rsid w:val="004C6124"/>
    <w:rsid w:val="004C678F"/>
    <w:rsid w:val="004C684E"/>
    <w:rsid w:val="004C7336"/>
    <w:rsid w:val="004C7802"/>
    <w:rsid w:val="004C7887"/>
    <w:rsid w:val="004D090D"/>
    <w:rsid w:val="004D272B"/>
    <w:rsid w:val="004D2A59"/>
    <w:rsid w:val="004D2DD3"/>
    <w:rsid w:val="004D31D4"/>
    <w:rsid w:val="004D344B"/>
    <w:rsid w:val="004D5ACB"/>
    <w:rsid w:val="004D5FC7"/>
    <w:rsid w:val="004D62D6"/>
    <w:rsid w:val="004D67D4"/>
    <w:rsid w:val="004D6A8E"/>
    <w:rsid w:val="004D7CD6"/>
    <w:rsid w:val="004D7F38"/>
    <w:rsid w:val="004E043F"/>
    <w:rsid w:val="004E126B"/>
    <w:rsid w:val="004E168B"/>
    <w:rsid w:val="004E47B2"/>
    <w:rsid w:val="004E52F7"/>
    <w:rsid w:val="004E5B00"/>
    <w:rsid w:val="004E5DAB"/>
    <w:rsid w:val="004E5F3A"/>
    <w:rsid w:val="004E6B42"/>
    <w:rsid w:val="004E6F7C"/>
    <w:rsid w:val="004E72B5"/>
    <w:rsid w:val="004F0074"/>
    <w:rsid w:val="004F1A4B"/>
    <w:rsid w:val="004F1AAF"/>
    <w:rsid w:val="004F1BFB"/>
    <w:rsid w:val="004F1CEB"/>
    <w:rsid w:val="004F2346"/>
    <w:rsid w:val="004F2A3B"/>
    <w:rsid w:val="004F2DA9"/>
    <w:rsid w:val="004F43DC"/>
    <w:rsid w:val="004F4A26"/>
    <w:rsid w:val="004F5524"/>
    <w:rsid w:val="004F6055"/>
    <w:rsid w:val="004F6348"/>
    <w:rsid w:val="004F63CE"/>
    <w:rsid w:val="004F7164"/>
    <w:rsid w:val="004F760C"/>
    <w:rsid w:val="004F77DC"/>
    <w:rsid w:val="004F7E92"/>
    <w:rsid w:val="0050124B"/>
    <w:rsid w:val="00502205"/>
    <w:rsid w:val="00502B3E"/>
    <w:rsid w:val="00503703"/>
    <w:rsid w:val="00503C4B"/>
    <w:rsid w:val="0050418B"/>
    <w:rsid w:val="005041EF"/>
    <w:rsid w:val="00504BEB"/>
    <w:rsid w:val="0050549D"/>
    <w:rsid w:val="00505B4A"/>
    <w:rsid w:val="00506043"/>
    <w:rsid w:val="005061B2"/>
    <w:rsid w:val="005063AF"/>
    <w:rsid w:val="00506BF6"/>
    <w:rsid w:val="00506D67"/>
    <w:rsid w:val="00507241"/>
    <w:rsid w:val="00507898"/>
    <w:rsid w:val="005078A0"/>
    <w:rsid w:val="00507C07"/>
    <w:rsid w:val="00510421"/>
    <w:rsid w:val="00511682"/>
    <w:rsid w:val="005123F0"/>
    <w:rsid w:val="00512E21"/>
    <w:rsid w:val="00513D3D"/>
    <w:rsid w:val="0051453F"/>
    <w:rsid w:val="005158EA"/>
    <w:rsid w:val="005159A3"/>
    <w:rsid w:val="00515C53"/>
    <w:rsid w:val="00516607"/>
    <w:rsid w:val="00517057"/>
    <w:rsid w:val="00517D3E"/>
    <w:rsid w:val="005216F2"/>
    <w:rsid w:val="00521E0D"/>
    <w:rsid w:val="005221C9"/>
    <w:rsid w:val="005222DC"/>
    <w:rsid w:val="00524400"/>
    <w:rsid w:val="00524777"/>
    <w:rsid w:val="00524D60"/>
    <w:rsid w:val="0052575B"/>
    <w:rsid w:val="005302B2"/>
    <w:rsid w:val="00530B64"/>
    <w:rsid w:val="00530DC6"/>
    <w:rsid w:val="00530E77"/>
    <w:rsid w:val="00531412"/>
    <w:rsid w:val="00531567"/>
    <w:rsid w:val="00532665"/>
    <w:rsid w:val="005341DB"/>
    <w:rsid w:val="00534D28"/>
    <w:rsid w:val="00534D6E"/>
    <w:rsid w:val="00535868"/>
    <w:rsid w:val="005362EE"/>
    <w:rsid w:val="00536C6E"/>
    <w:rsid w:val="00536CC0"/>
    <w:rsid w:val="005371AE"/>
    <w:rsid w:val="005376C5"/>
    <w:rsid w:val="005377C9"/>
    <w:rsid w:val="005378C6"/>
    <w:rsid w:val="00537A9C"/>
    <w:rsid w:val="00537DEB"/>
    <w:rsid w:val="00537F0E"/>
    <w:rsid w:val="00540297"/>
    <w:rsid w:val="00540A40"/>
    <w:rsid w:val="00540D59"/>
    <w:rsid w:val="00540E21"/>
    <w:rsid w:val="00541430"/>
    <w:rsid w:val="00541636"/>
    <w:rsid w:val="005416B0"/>
    <w:rsid w:val="00541C7F"/>
    <w:rsid w:val="00543ABA"/>
    <w:rsid w:val="00543F96"/>
    <w:rsid w:val="00544B9D"/>
    <w:rsid w:val="0054520B"/>
    <w:rsid w:val="005467F8"/>
    <w:rsid w:val="00546A6C"/>
    <w:rsid w:val="0054747D"/>
    <w:rsid w:val="005500AB"/>
    <w:rsid w:val="00550A91"/>
    <w:rsid w:val="00551A77"/>
    <w:rsid w:val="00551E7F"/>
    <w:rsid w:val="0055245D"/>
    <w:rsid w:val="00552E2E"/>
    <w:rsid w:val="0055363C"/>
    <w:rsid w:val="00553702"/>
    <w:rsid w:val="00553DE8"/>
    <w:rsid w:val="00553E7F"/>
    <w:rsid w:val="005543B8"/>
    <w:rsid w:val="0055494C"/>
    <w:rsid w:val="00554B28"/>
    <w:rsid w:val="0055546A"/>
    <w:rsid w:val="00555523"/>
    <w:rsid w:val="005559C1"/>
    <w:rsid w:val="00556FAA"/>
    <w:rsid w:val="00556FD8"/>
    <w:rsid w:val="0055734E"/>
    <w:rsid w:val="00557492"/>
    <w:rsid w:val="005575E4"/>
    <w:rsid w:val="00557A37"/>
    <w:rsid w:val="0056027F"/>
    <w:rsid w:val="005609AD"/>
    <w:rsid w:val="00560C34"/>
    <w:rsid w:val="00561246"/>
    <w:rsid w:val="00561848"/>
    <w:rsid w:val="00561FD2"/>
    <w:rsid w:val="0056270C"/>
    <w:rsid w:val="0056275E"/>
    <w:rsid w:val="00562E33"/>
    <w:rsid w:val="00563828"/>
    <w:rsid w:val="0056574D"/>
    <w:rsid w:val="0056593E"/>
    <w:rsid w:val="00566376"/>
    <w:rsid w:val="00566699"/>
    <w:rsid w:val="005670CD"/>
    <w:rsid w:val="005672B0"/>
    <w:rsid w:val="0056735C"/>
    <w:rsid w:val="005673DF"/>
    <w:rsid w:val="0057054B"/>
    <w:rsid w:val="005705D9"/>
    <w:rsid w:val="0057102E"/>
    <w:rsid w:val="00573920"/>
    <w:rsid w:val="00574246"/>
    <w:rsid w:val="0057430C"/>
    <w:rsid w:val="00574744"/>
    <w:rsid w:val="005747DD"/>
    <w:rsid w:val="0057480F"/>
    <w:rsid w:val="005749C2"/>
    <w:rsid w:val="005750B2"/>
    <w:rsid w:val="005758C6"/>
    <w:rsid w:val="005766AA"/>
    <w:rsid w:val="005767FA"/>
    <w:rsid w:val="00576C6A"/>
    <w:rsid w:val="005778B4"/>
    <w:rsid w:val="00581763"/>
    <w:rsid w:val="00582E29"/>
    <w:rsid w:val="00583E8D"/>
    <w:rsid w:val="00584631"/>
    <w:rsid w:val="00584F19"/>
    <w:rsid w:val="00586538"/>
    <w:rsid w:val="005900E8"/>
    <w:rsid w:val="00590AC4"/>
    <w:rsid w:val="00590DFC"/>
    <w:rsid w:val="00590F31"/>
    <w:rsid w:val="00591684"/>
    <w:rsid w:val="0059182A"/>
    <w:rsid w:val="00591D4A"/>
    <w:rsid w:val="00591FB6"/>
    <w:rsid w:val="005929B9"/>
    <w:rsid w:val="00593775"/>
    <w:rsid w:val="005939F7"/>
    <w:rsid w:val="00594A34"/>
    <w:rsid w:val="00594AFF"/>
    <w:rsid w:val="00595B37"/>
    <w:rsid w:val="00595DDD"/>
    <w:rsid w:val="005978D4"/>
    <w:rsid w:val="005A05C6"/>
    <w:rsid w:val="005A0724"/>
    <w:rsid w:val="005A0DA7"/>
    <w:rsid w:val="005A1112"/>
    <w:rsid w:val="005A13BD"/>
    <w:rsid w:val="005A24A4"/>
    <w:rsid w:val="005A2DA6"/>
    <w:rsid w:val="005A3A8B"/>
    <w:rsid w:val="005A3CAC"/>
    <w:rsid w:val="005A3CFF"/>
    <w:rsid w:val="005A3D49"/>
    <w:rsid w:val="005A4931"/>
    <w:rsid w:val="005A5411"/>
    <w:rsid w:val="005A5728"/>
    <w:rsid w:val="005A5F58"/>
    <w:rsid w:val="005A6B79"/>
    <w:rsid w:val="005A70B4"/>
    <w:rsid w:val="005A7233"/>
    <w:rsid w:val="005A745B"/>
    <w:rsid w:val="005A7603"/>
    <w:rsid w:val="005B05B9"/>
    <w:rsid w:val="005B07F8"/>
    <w:rsid w:val="005B1EFB"/>
    <w:rsid w:val="005B2425"/>
    <w:rsid w:val="005B2480"/>
    <w:rsid w:val="005B26F4"/>
    <w:rsid w:val="005B3106"/>
    <w:rsid w:val="005B329D"/>
    <w:rsid w:val="005B350A"/>
    <w:rsid w:val="005B3981"/>
    <w:rsid w:val="005B5218"/>
    <w:rsid w:val="005B5265"/>
    <w:rsid w:val="005B55D2"/>
    <w:rsid w:val="005B606A"/>
    <w:rsid w:val="005B699C"/>
    <w:rsid w:val="005C00F4"/>
    <w:rsid w:val="005C0405"/>
    <w:rsid w:val="005C0964"/>
    <w:rsid w:val="005C0D73"/>
    <w:rsid w:val="005C0E1F"/>
    <w:rsid w:val="005C0E91"/>
    <w:rsid w:val="005C101E"/>
    <w:rsid w:val="005C1319"/>
    <w:rsid w:val="005C2081"/>
    <w:rsid w:val="005C3169"/>
    <w:rsid w:val="005C355C"/>
    <w:rsid w:val="005C3661"/>
    <w:rsid w:val="005C3898"/>
    <w:rsid w:val="005C3CCD"/>
    <w:rsid w:val="005C63DC"/>
    <w:rsid w:val="005C68B1"/>
    <w:rsid w:val="005C6CF1"/>
    <w:rsid w:val="005C71A4"/>
    <w:rsid w:val="005C7C8F"/>
    <w:rsid w:val="005C7E8F"/>
    <w:rsid w:val="005D1EA9"/>
    <w:rsid w:val="005D215A"/>
    <w:rsid w:val="005D2337"/>
    <w:rsid w:val="005D2EA5"/>
    <w:rsid w:val="005D31BE"/>
    <w:rsid w:val="005D3218"/>
    <w:rsid w:val="005D33D9"/>
    <w:rsid w:val="005D39B1"/>
    <w:rsid w:val="005D4A54"/>
    <w:rsid w:val="005D4F2D"/>
    <w:rsid w:val="005D613D"/>
    <w:rsid w:val="005D691D"/>
    <w:rsid w:val="005D75E0"/>
    <w:rsid w:val="005D7A4A"/>
    <w:rsid w:val="005E0071"/>
    <w:rsid w:val="005E0C29"/>
    <w:rsid w:val="005E1739"/>
    <w:rsid w:val="005E1F12"/>
    <w:rsid w:val="005E24C3"/>
    <w:rsid w:val="005E2A8A"/>
    <w:rsid w:val="005E2E64"/>
    <w:rsid w:val="005E39A7"/>
    <w:rsid w:val="005E558F"/>
    <w:rsid w:val="005E5C27"/>
    <w:rsid w:val="005E7672"/>
    <w:rsid w:val="005E7F60"/>
    <w:rsid w:val="005F1500"/>
    <w:rsid w:val="005F1BF5"/>
    <w:rsid w:val="005F1D73"/>
    <w:rsid w:val="005F23E1"/>
    <w:rsid w:val="005F2AB1"/>
    <w:rsid w:val="005F344E"/>
    <w:rsid w:val="005F3881"/>
    <w:rsid w:val="005F38E2"/>
    <w:rsid w:val="005F3AAD"/>
    <w:rsid w:val="005F3B4F"/>
    <w:rsid w:val="005F48ED"/>
    <w:rsid w:val="005F55FC"/>
    <w:rsid w:val="005F5BC0"/>
    <w:rsid w:val="005F6629"/>
    <w:rsid w:val="005F6827"/>
    <w:rsid w:val="005F7068"/>
    <w:rsid w:val="005F7F3E"/>
    <w:rsid w:val="0060018B"/>
    <w:rsid w:val="00600630"/>
    <w:rsid w:val="00600FFC"/>
    <w:rsid w:val="006022B7"/>
    <w:rsid w:val="00603078"/>
    <w:rsid w:val="00603466"/>
    <w:rsid w:val="00603648"/>
    <w:rsid w:val="00611454"/>
    <w:rsid w:val="006114AF"/>
    <w:rsid w:val="0061182C"/>
    <w:rsid w:val="006121B5"/>
    <w:rsid w:val="006128C5"/>
    <w:rsid w:val="00613916"/>
    <w:rsid w:val="006158DF"/>
    <w:rsid w:val="0061640D"/>
    <w:rsid w:val="006177B1"/>
    <w:rsid w:val="00617E07"/>
    <w:rsid w:val="00617EE6"/>
    <w:rsid w:val="006214F4"/>
    <w:rsid w:val="0062157F"/>
    <w:rsid w:val="00621BF8"/>
    <w:rsid w:val="00621EF9"/>
    <w:rsid w:val="006228AE"/>
    <w:rsid w:val="006238D0"/>
    <w:rsid w:val="00624B30"/>
    <w:rsid w:val="00625451"/>
    <w:rsid w:val="00625682"/>
    <w:rsid w:val="00625DAD"/>
    <w:rsid w:val="00625EE3"/>
    <w:rsid w:val="00626236"/>
    <w:rsid w:val="00627003"/>
    <w:rsid w:val="00630033"/>
    <w:rsid w:val="00630CFE"/>
    <w:rsid w:val="00630F4D"/>
    <w:rsid w:val="00631BA8"/>
    <w:rsid w:val="00631E39"/>
    <w:rsid w:val="0063213B"/>
    <w:rsid w:val="00632779"/>
    <w:rsid w:val="00633CC1"/>
    <w:rsid w:val="00634F86"/>
    <w:rsid w:val="0063584E"/>
    <w:rsid w:val="00635910"/>
    <w:rsid w:val="00636723"/>
    <w:rsid w:val="0063791A"/>
    <w:rsid w:val="0064078A"/>
    <w:rsid w:val="00641CF7"/>
    <w:rsid w:val="00642287"/>
    <w:rsid w:val="0064237B"/>
    <w:rsid w:val="00642F8B"/>
    <w:rsid w:val="00643703"/>
    <w:rsid w:val="00644198"/>
    <w:rsid w:val="006466A7"/>
    <w:rsid w:val="006469B1"/>
    <w:rsid w:val="00650809"/>
    <w:rsid w:val="00650B75"/>
    <w:rsid w:val="0065132B"/>
    <w:rsid w:val="00652EFB"/>
    <w:rsid w:val="00653C95"/>
    <w:rsid w:val="00653CBF"/>
    <w:rsid w:val="00654823"/>
    <w:rsid w:val="00654E96"/>
    <w:rsid w:val="006554F6"/>
    <w:rsid w:val="00655D0A"/>
    <w:rsid w:val="00656A7C"/>
    <w:rsid w:val="00656CCB"/>
    <w:rsid w:val="006577AA"/>
    <w:rsid w:val="00657AFC"/>
    <w:rsid w:val="006601A7"/>
    <w:rsid w:val="00661093"/>
    <w:rsid w:val="006636F4"/>
    <w:rsid w:val="00664E37"/>
    <w:rsid w:val="00665B45"/>
    <w:rsid w:val="00666A27"/>
    <w:rsid w:val="00666C1A"/>
    <w:rsid w:val="006704E2"/>
    <w:rsid w:val="00670A9C"/>
    <w:rsid w:val="00670F21"/>
    <w:rsid w:val="00672C82"/>
    <w:rsid w:val="00673215"/>
    <w:rsid w:val="006739CE"/>
    <w:rsid w:val="0067438E"/>
    <w:rsid w:val="006743D2"/>
    <w:rsid w:val="00674AA3"/>
    <w:rsid w:val="00674E3A"/>
    <w:rsid w:val="00675ED1"/>
    <w:rsid w:val="00676280"/>
    <w:rsid w:val="006765E5"/>
    <w:rsid w:val="00676D1B"/>
    <w:rsid w:val="00677158"/>
    <w:rsid w:val="006804ED"/>
    <w:rsid w:val="00680DFC"/>
    <w:rsid w:val="00680E60"/>
    <w:rsid w:val="00680EE4"/>
    <w:rsid w:val="00680EF0"/>
    <w:rsid w:val="006810C4"/>
    <w:rsid w:val="00682525"/>
    <w:rsid w:val="0068384F"/>
    <w:rsid w:val="00684B4D"/>
    <w:rsid w:val="00685A28"/>
    <w:rsid w:val="006863FC"/>
    <w:rsid w:val="00686B94"/>
    <w:rsid w:val="00686D5F"/>
    <w:rsid w:val="00686EB6"/>
    <w:rsid w:val="00687223"/>
    <w:rsid w:val="006917F6"/>
    <w:rsid w:val="006921A2"/>
    <w:rsid w:val="00692C27"/>
    <w:rsid w:val="0069325D"/>
    <w:rsid w:val="00693602"/>
    <w:rsid w:val="0069391D"/>
    <w:rsid w:val="00693A7A"/>
    <w:rsid w:val="00693D57"/>
    <w:rsid w:val="00693DED"/>
    <w:rsid w:val="00694048"/>
    <w:rsid w:val="006949FB"/>
    <w:rsid w:val="00694A36"/>
    <w:rsid w:val="006954AC"/>
    <w:rsid w:val="00695C93"/>
    <w:rsid w:val="00695DFF"/>
    <w:rsid w:val="006960AD"/>
    <w:rsid w:val="006964B8"/>
    <w:rsid w:val="006969B5"/>
    <w:rsid w:val="00696F6E"/>
    <w:rsid w:val="00697377"/>
    <w:rsid w:val="00697B64"/>
    <w:rsid w:val="00697CF6"/>
    <w:rsid w:val="006A1623"/>
    <w:rsid w:val="006A1E22"/>
    <w:rsid w:val="006A2778"/>
    <w:rsid w:val="006A2873"/>
    <w:rsid w:val="006A341A"/>
    <w:rsid w:val="006A3B9A"/>
    <w:rsid w:val="006A4A27"/>
    <w:rsid w:val="006A5490"/>
    <w:rsid w:val="006A639F"/>
    <w:rsid w:val="006A6F73"/>
    <w:rsid w:val="006A75D1"/>
    <w:rsid w:val="006A7F8D"/>
    <w:rsid w:val="006B06E0"/>
    <w:rsid w:val="006B2A67"/>
    <w:rsid w:val="006B30EF"/>
    <w:rsid w:val="006B3FDC"/>
    <w:rsid w:val="006B4244"/>
    <w:rsid w:val="006B4EC7"/>
    <w:rsid w:val="006B58CA"/>
    <w:rsid w:val="006B5B6F"/>
    <w:rsid w:val="006B5F55"/>
    <w:rsid w:val="006B60C8"/>
    <w:rsid w:val="006B63E3"/>
    <w:rsid w:val="006B6830"/>
    <w:rsid w:val="006B770A"/>
    <w:rsid w:val="006B79BA"/>
    <w:rsid w:val="006C0652"/>
    <w:rsid w:val="006C06EC"/>
    <w:rsid w:val="006C1A8F"/>
    <w:rsid w:val="006C1EBB"/>
    <w:rsid w:val="006C226A"/>
    <w:rsid w:val="006C2277"/>
    <w:rsid w:val="006C25BF"/>
    <w:rsid w:val="006C324C"/>
    <w:rsid w:val="006C3F27"/>
    <w:rsid w:val="006C4087"/>
    <w:rsid w:val="006C4BFE"/>
    <w:rsid w:val="006C4D19"/>
    <w:rsid w:val="006C5709"/>
    <w:rsid w:val="006C5B5E"/>
    <w:rsid w:val="006C5E08"/>
    <w:rsid w:val="006C5E6C"/>
    <w:rsid w:val="006C62E0"/>
    <w:rsid w:val="006C720D"/>
    <w:rsid w:val="006C7E8A"/>
    <w:rsid w:val="006D010D"/>
    <w:rsid w:val="006D0119"/>
    <w:rsid w:val="006D084F"/>
    <w:rsid w:val="006D13C4"/>
    <w:rsid w:val="006D170A"/>
    <w:rsid w:val="006D18C5"/>
    <w:rsid w:val="006D1C8E"/>
    <w:rsid w:val="006D24F2"/>
    <w:rsid w:val="006D2605"/>
    <w:rsid w:val="006D2615"/>
    <w:rsid w:val="006D276B"/>
    <w:rsid w:val="006D2B56"/>
    <w:rsid w:val="006D2E5C"/>
    <w:rsid w:val="006D32F5"/>
    <w:rsid w:val="006D39E0"/>
    <w:rsid w:val="006D3FED"/>
    <w:rsid w:val="006D4D3E"/>
    <w:rsid w:val="006D6AD3"/>
    <w:rsid w:val="006D729F"/>
    <w:rsid w:val="006D79FD"/>
    <w:rsid w:val="006E0397"/>
    <w:rsid w:val="006E0468"/>
    <w:rsid w:val="006E11B9"/>
    <w:rsid w:val="006E13E5"/>
    <w:rsid w:val="006E1657"/>
    <w:rsid w:val="006E1BB2"/>
    <w:rsid w:val="006E21A4"/>
    <w:rsid w:val="006E373C"/>
    <w:rsid w:val="006E3830"/>
    <w:rsid w:val="006E4CB7"/>
    <w:rsid w:val="006E4D1C"/>
    <w:rsid w:val="006E61BE"/>
    <w:rsid w:val="006E6F76"/>
    <w:rsid w:val="006E7668"/>
    <w:rsid w:val="006E7803"/>
    <w:rsid w:val="006E7905"/>
    <w:rsid w:val="006F01EC"/>
    <w:rsid w:val="006F0385"/>
    <w:rsid w:val="006F182C"/>
    <w:rsid w:val="006F1B58"/>
    <w:rsid w:val="006F376E"/>
    <w:rsid w:val="006F3D75"/>
    <w:rsid w:val="006F4643"/>
    <w:rsid w:val="006F4BA8"/>
    <w:rsid w:val="006F4CF5"/>
    <w:rsid w:val="006F6080"/>
    <w:rsid w:val="006F7325"/>
    <w:rsid w:val="006F7624"/>
    <w:rsid w:val="006F7BE5"/>
    <w:rsid w:val="00700531"/>
    <w:rsid w:val="00700826"/>
    <w:rsid w:val="00700A35"/>
    <w:rsid w:val="00700FE3"/>
    <w:rsid w:val="0070161A"/>
    <w:rsid w:val="00703709"/>
    <w:rsid w:val="00703A68"/>
    <w:rsid w:val="0070406C"/>
    <w:rsid w:val="007043E4"/>
    <w:rsid w:val="00706216"/>
    <w:rsid w:val="00706A17"/>
    <w:rsid w:val="00706BE4"/>
    <w:rsid w:val="00706E4A"/>
    <w:rsid w:val="00710135"/>
    <w:rsid w:val="00710A8B"/>
    <w:rsid w:val="0071156B"/>
    <w:rsid w:val="007115C7"/>
    <w:rsid w:val="00711AE5"/>
    <w:rsid w:val="00711CFF"/>
    <w:rsid w:val="007120EE"/>
    <w:rsid w:val="00712AE0"/>
    <w:rsid w:val="007131DD"/>
    <w:rsid w:val="00713903"/>
    <w:rsid w:val="007146AE"/>
    <w:rsid w:val="007156A4"/>
    <w:rsid w:val="00715D45"/>
    <w:rsid w:val="0071604C"/>
    <w:rsid w:val="0071628A"/>
    <w:rsid w:val="0071675A"/>
    <w:rsid w:val="00716E60"/>
    <w:rsid w:val="00717016"/>
    <w:rsid w:val="007175A0"/>
    <w:rsid w:val="00717616"/>
    <w:rsid w:val="00720261"/>
    <w:rsid w:val="00720B21"/>
    <w:rsid w:val="0072127C"/>
    <w:rsid w:val="00721358"/>
    <w:rsid w:val="0072136C"/>
    <w:rsid w:val="007218B0"/>
    <w:rsid w:val="007236D0"/>
    <w:rsid w:val="00723D94"/>
    <w:rsid w:val="007240D1"/>
    <w:rsid w:val="007259C2"/>
    <w:rsid w:val="00725E1E"/>
    <w:rsid w:val="007261D2"/>
    <w:rsid w:val="00727E77"/>
    <w:rsid w:val="0073053B"/>
    <w:rsid w:val="00730B3C"/>
    <w:rsid w:val="00731345"/>
    <w:rsid w:val="00731EAE"/>
    <w:rsid w:val="007332AA"/>
    <w:rsid w:val="00734139"/>
    <w:rsid w:val="007344D2"/>
    <w:rsid w:val="00734652"/>
    <w:rsid w:val="00734C06"/>
    <w:rsid w:val="00735F0C"/>
    <w:rsid w:val="007364FE"/>
    <w:rsid w:val="00736AC8"/>
    <w:rsid w:val="00737B62"/>
    <w:rsid w:val="00737F34"/>
    <w:rsid w:val="00740328"/>
    <w:rsid w:val="00740747"/>
    <w:rsid w:val="00740801"/>
    <w:rsid w:val="00740934"/>
    <w:rsid w:val="00741A44"/>
    <w:rsid w:val="00742AC7"/>
    <w:rsid w:val="00743DCE"/>
    <w:rsid w:val="00744342"/>
    <w:rsid w:val="00744BE3"/>
    <w:rsid w:val="00744CD1"/>
    <w:rsid w:val="00744CE0"/>
    <w:rsid w:val="00745D70"/>
    <w:rsid w:val="0074665A"/>
    <w:rsid w:val="00747880"/>
    <w:rsid w:val="00747FC2"/>
    <w:rsid w:val="0075066F"/>
    <w:rsid w:val="00750722"/>
    <w:rsid w:val="00750FCC"/>
    <w:rsid w:val="00751108"/>
    <w:rsid w:val="00751AEB"/>
    <w:rsid w:val="007520BD"/>
    <w:rsid w:val="00752333"/>
    <w:rsid w:val="00752B57"/>
    <w:rsid w:val="007533D7"/>
    <w:rsid w:val="00753A86"/>
    <w:rsid w:val="00753CB4"/>
    <w:rsid w:val="007547C3"/>
    <w:rsid w:val="00754C53"/>
    <w:rsid w:val="00755284"/>
    <w:rsid w:val="00755A41"/>
    <w:rsid w:val="00755B3B"/>
    <w:rsid w:val="00755C88"/>
    <w:rsid w:val="007562F8"/>
    <w:rsid w:val="00756D69"/>
    <w:rsid w:val="0075713C"/>
    <w:rsid w:val="00757361"/>
    <w:rsid w:val="007574AF"/>
    <w:rsid w:val="00757B66"/>
    <w:rsid w:val="00760312"/>
    <w:rsid w:val="007605C4"/>
    <w:rsid w:val="007617DE"/>
    <w:rsid w:val="007619C7"/>
    <w:rsid w:val="00761A15"/>
    <w:rsid w:val="00762649"/>
    <w:rsid w:val="007638B2"/>
    <w:rsid w:val="007647B9"/>
    <w:rsid w:val="007649C4"/>
    <w:rsid w:val="007654F1"/>
    <w:rsid w:val="007660C1"/>
    <w:rsid w:val="0076614A"/>
    <w:rsid w:val="00767E87"/>
    <w:rsid w:val="00770BBB"/>
    <w:rsid w:val="00770FDA"/>
    <w:rsid w:val="00771BC7"/>
    <w:rsid w:val="00772C75"/>
    <w:rsid w:val="007734B3"/>
    <w:rsid w:val="00773517"/>
    <w:rsid w:val="0077366C"/>
    <w:rsid w:val="00774C8E"/>
    <w:rsid w:val="007756B8"/>
    <w:rsid w:val="007761E2"/>
    <w:rsid w:val="007767DB"/>
    <w:rsid w:val="00776824"/>
    <w:rsid w:val="00776DE2"/>
    <w:rsid w:val="00777209"/>
    <w:rsid w:val="00777C69"/>
    <w:rsid w:val="007807B5"/>
    <w:rsid w:val="007813F5"/>
    <w:rsid w:val="00781454"/>
    <w:rsid w:val="007825CC"/>
    <w:rsid w:val="00782A1F"/>
    <w:rsid w:val="00782E13"/>
    <w:rsid w:val="00783528"/>
    <w:rsid w:val="007838D4"/>
    <w:rsid w:val="00783A14"/>
    <w:rsid w:val="0078418D"/>
    <w:rsid w:val="00784D33"/>
    <w:rsid w:val="00785097"/>
    <w:rsid w:val="00785649"/>
    <w:rsid w:val="0078589C"/>
    <w:rsid w:val="00785B72"/>
    <w:rsid w:val="00785E39"/>
    <w:rsid w:val="00785E46"/>
    <w:rsid w:val="0078692E"/>
    <w:rsid w:val="00786B9F"/>
    <w:rsid w:val="00786D66"/>
    <w:rsid w:val="00786EBD"/>
    <w:rsid w:val="007876DC"/>
    <w:rsid w:val="00787C6E"/>
    <w:rsid w:val="007900F4"/>
    <w:rsid w:val="007907B3"/>
    <w:rsid w:val="00790826"/>
    <w:rsid w:val="00791605"/>
    <w:rsid w:val="00791791"/>
    <w:rsid w:val="0079212E"/>
    <w:rsid w:val="0079240A"/>
    <w:rsid w:val="00792CE8"/>
    <w:rsid w:val="00793A4B"/>
    <w:rsid w:val="00794334"/>
    <w:rsid w:val="00794C5A"/>
    <w:rsid w:val="00794CAF"/>
    <w:rsid w:val="0079511F"/>
    <w:rsid w:val="00795286"/>
    <w:rsid w:val="00796306"/>
    <w:rsid w:val="007964EF"/>
    <w:rsid w:val="00797B0F"/>
    <w:rsid w:val="007A0CDF"/>
    <w:rsid w:val="007A0E69"/>
    <w:rsid w:val="007A1526"/>
    <w:rsid w:val="007A1618"/>
    <w:rsid w:val="007A1E0F"/>
    <w:rsid w:val="007A2E14"/>
    <w:rsid w:val="007A3299"/>
    <w:rsid w:val="007A3FB5"/>
    <w:rsid w:val="007A4431"/>
    <w:rsid w:val="007A47FF"/>
    <w:rsid w:val="007A51A6"/>
    <w:rsid w:val="007A5FD5"/>
    <w:rsid w:val="007A6370"/>
    <w:rsid w:val="007A6666"/>
    <w:rsid w:val="007A69D1"/>
    <w:rsid w:val="007A6BBC"/>
    <w:rsid w:val="007A7BB5"/>
    <w:rsid w:val="007B098D"/>
    <w:rsid w:val="007B2B74"/>
    <w:rsid w:val="007B44A1"/>
    <w:rsid w:val="007B61F5"/>
    <w:rsid w:val="007B64FC"/>
    <w:rsid w:val="007C0D1F"/>
    <w:rsid w:val="007C2040"/>
    <w:rsid w:val="007C2CE3"/>
    <w:rsid w:val="007C313C"/>
    <w:rsid w:val="007C3E74"/>
    <w:rsid w:val="007C3FF6"/>
    <w:rsid w:val="007C4919"/>
    <w:rsid w:val="007C565C"/>
    <w:rsid w:val="007C5684"/>
    <w:rsid w:val="007C5802"/>
    <w:rsid w:val="007C5F22"/>
    <w:rsid w:val="007C6A17"/>
    <w:rsid w:val="007C6AFC"/>
    <w:rsid w:val="007C77A1"/>
    <w:rsid w:val="007D1E30"/>
    <w:rsid w:val="007D1EA2"/>
    <w:rsid w:val="007D26F0"/>
    <w:rsid w:val="007D347A"/>
    <w:rsid w:val="007D3925"/>
    <w:rsid w:val="007D3E5F"/>
    <w:rsid w:val="007D51FD"/>
    <w:rsid w:val="007D5F95"/>
    <w:rsid w:val="007D66E8"/>
    <w:rsid w:val="007D6D3A"/>
    <w:rsid w:val="007D7500"/>
    <w:rsid w:val="007D7BEE"/>
    <w:rsid w:val="007E03E9"/>
    <w:rsid w:val="007E0D2F"/>
    <w:rsid w:val="007E1268"/>
    <w:rsid w:val="007E1497"/>
    <w:rsid w:val="007E2209"/>
    <w:rsid w:val="007E24ED"/>
    <w:rsid w:val="007E270A"/>
    <w:rsid w:val="007E292E"/>
    <w:rsid w:val="007E2A87"/>
    <w:rsid w:val="007E337D"/>
    <w:rsid w:val="007E40F5"/>
    <w:rsid w:val="007E47CD"/>
    <w:rsid w:val="007E541E"/>
    <w:rsid w:val="007E57DB"/>
    <w:rsid w:val="007E5E5C"/>
    <w:rsid w:val="007E5ED0"/>
    <w:rsid w:val="007E6442"/>
    <w:rsid w:val="007E65A6"/>
    <w:rsid w:val="007E682C"/>
    <w:rsid w:val="007E6C7E"/>
    <w:rsid w:val="007E6D11"/>
    <w:rsid w:val="007E7090"/>
    <w:rsid w:val="007E769A"/>
    <w:rsid w:val="007E7718"/>
    <w:rsid w:val="007E7A6F"/>
    <w:rsid w:val="007E7BA5"/>
    <w:rsid w:val="007E7BE8"/>
    <w:rsid w:val="007E7E4C"/>
    <w:rsid w:val="007F00B1"/>
    <w:rsid w:val="007F058D"/>
    <w:rsid w:val="007F185E"/>
    <w:rsid w:val="007F2104"/>
    <w:rsid w:val="007F241C"/>
    <w:rsid w:val="007F2835"/>
    <w:rsid w:val="007F3DA7"/>
    <w:rsid w:val="007F45B6"/>
    <w:rsid w:val="007F4D7B"/>
    <w:rsid w:val="007F51B4"/>
    <w:rsid w:val="007F5E14"/>
    <w:rsid w:val="007F62E5"/>
    <w:rsid w:val="007F7B70"/>
    <w:rsid w:val="007F7C4E"/>
    <w:rsid w:val="007F7EE2"/>
    <w:rsid w:val="00800567"/>
    <w:rsid w:val="00800BB6"/>
    <w:rsid w:val="0080131E"/>
    <w:rsid w:val="00801667"/>
    <w:rsid w:val="0080329C"/>
    <w:rsid w:val="0080463F"/>
    <w:rsid w:val="00804D92"/>
    <w:rsid w:val="00805ADC"/>
    <w:rsid w:val="00805E08"/>
    <w:rsid w:val="00806701"/>
    <w:rsid w:val="0080672B"/>
    <w:rsid w:val="00806BDD"/>
    <w:rsid w:val="008076DB"/>
    <w:rsid w:val="00810444"/>
    <w:rsid w:val="008106E7"/>
    <w:rsid w:val="008110B3"/>
    <w:rsid w:val="008115B2"/>
    <w:rsid w:val="008116CB"/>
    <w:rsid w:val="008116DC"/>
    <w:rsid w:val="00811C4A"/>
    <w:rsid w:val="00811CB0"/>
    <w:rsid w:val="008128C6"/>
    <w:rsid w:val="0081342E"/>
    <w:rsid w:val="00813893"/>
    <w:rsid w:val="00813A8E"/>
    <w:rsid w:val="0081447A"/>
    <w:rsid w:val="00815452"/>
    <w:rsid w:val="00815E1E"/>
    <w:rsid w:val="0081670C"/>
    <w:rsid w:val="00816B4B"/>
    <w:rsid w:val="008211A5"/>
    <w:rsid w:val="00821799"/>
    <w:rsid w:val="00821897"/>
    <w:rsid w:val="008218E7"/>
    <w:rsid w:val="00821988"/>
    <w:rsid w:val="00821A03"/>
    <w:rsid w:val="00822B10"/>
    <w:rsid w:val="008230EF"/>
    <w:rsid w:val="00824723"/>
    <w:rsid w:val="00824AE4"/>
    <w:rsid w:val="0082576B"/>
    <w:rsid w:val="00825877"/>
    <w:rsid w:val="00825CAB"/>
    <w:rsid w:val="0082657D"/>
    <w:rsid w:val="00826A72"/>
    <w:rsid w:val="00827766"/>
    <w:rsid w:val="008323B5"/>
    <w:rsid w:val="008330FC"/>
    <w:rsid w:val="0083344A"/>
    <w:rsid w:val="00833974"/>
    <w:rsid w:val="00833B5F"/>
    <w:rsid w:val="00834A43"/>
    <w:rsid w:val="0083506C"/>
    <w:rsid w:val="0083521C"/>
    <w:rsid w:val="008352E0"/>
    <w:rsid w:val="00835451"/>
    <w:rsid w:val="0083565C"/>
    <w:rsid w:val="0083617B"/>
    <w:rsid w:val="008361FB"/>
    <w:rsid w:val="00836CF5"/>
    <w:rsid w:val="00836E6B"/>
    <w:rsid w:val="00836FBB"/>
    <w:rsid w:val="00837108"/>
    <w:rsid w:val="008405E5"/>
    <w:rsid w:val="00840C52"/>
    <w:rsid w:val="0084178E"/>
    <w:rsid w:val="00841B91"/>
    <w:rsid w:val="00842587"/>
    <w:rsid w:val="00842965"/>
    <w:rsid w:val="00842C02"/>
    <w:rsid w:val="00842FE6"/>
    <w:rsid w:val="00843056"/>
    <w:rsid w:val="008430A6"/>
    <w:rsid w:val="00844365"/>
    <w:rsid w:val="00844AB9"/>
    <w:rsid w:val="00844DE8"/>
    <w:rsid w:val="008454AD"/>
    <w:rsid w:val="008458B3"/>
    <w:rsid w:val="008470A1"/>
    <w:rsid w:val="008471E4"/>
    <w:rsid w:val="00847252"/>
    <w:rsid w:val="0084792F"/>
    <w:rsid w:val="00847FAD"/>
    <w:rsid w:val="00850575"/>
    <w:rsid w:val="00850669"/>
    <w:rsid w:val="00851B18"/>
    <w:rsid w:val="00852102"/>
    <w:rsid w:val="008523BB"/>
    <w:rsid w:val="00852D6E"/>
    <w:rsid w:val="008547DC"/>
    <w:rsid w:val="00854BC0"/>
    <w:rsid w:val="00854E6C"/>
    <w:rsid w:val="008553CA"/>
    <w:rsid w:val="008560FC"/>
    <w:rsid w:val="00856ACA"/>
    <w:rsid w:val="00856B5E"/>
    <w:rsid w:val="00856F91"/>
    <w:rsid w:val="0085703E"/>
    <w:rsid w:val="00857A40"/>
    <w:rsid w:val="00860552"/>
    <w:rsid w:val="00860C4A"/>
    <w:rsid w:val="008624FE"/>
    <w:rsid w:val="00862536"/>
    <w:rsid w:val="0086286B"/>
    <w:rsid w:val="00862B14"/>
    <w:rsid w:val="00862DA8"/>
    <w:rsid w:val="00862E43"/>
    <w:rsid w:val="00863E57"/>
    <w:rsid w:val="008646C6"/>
    <w:rsid w:val="0086475A"/>
    <w:rsid w:val="008649C7"/>
    <w:rsid w:val="00864E0B"/>
    <w:rsid w:val="00865181"/>
    <w:rsid w:val="00865FBF"/>
    <w:rsid w:val="00866165"/>
    <w:rsid w:val="00866AF1"/>
    <w:rsid w:val="00866D78"/>
    <w:rsid w:val="0086776A"/>
    <w:rsid w:val="0087013D"/>
    <w:rsid w:val="00870839"/>
    <w:rsid w:val="00870874"/>
    <w:rsid w:val="0087219F"/>
    <w:rsid w:val="0087257F"/>
    <w:rsid w:val="00872CA9"/>
    <w:rsid w:val="00872EF7"/>
    <w:rsid w:val="00874C30"/>
    <w:rsid w:val="00876CB7"/>
    <w:rsid w:val="00877F61"/>
    <w:rsid w:val="00880025"/>
    <w:rsid w:val="00881667"/>
    <w:rsid w:val="00881B2A"/>
    <w:rsid w:val="00882635"/>
    <w:rsid w:val="00883A41"/>
    <w:rsid w:val="00884004"/>
    <w:rsid w:val="008842F1"/>
    <w:rsid w:val="00885494"/>
    <w:rsid w:val="0088563A"/>
    <w:rsid w:val="00885BC0"/>
    <w:rsid w:val="00885F17"/>
    <w:rsid w:val="00885F8A"/>
    <w:rsid w:val="00887401"/>
    <w:rsid w:val="00887520"/>
    <w:rsid w:val="008901F0"/>
    <w:rsid w:val="008903DC"/>
    <w:rsid w:val="00890934"/>
    <w:rsid w:val="00890A10"/>
    <w:rsid w:val="00890AD5"/>
    <w:rsid w:val="00893259"/>
    <w:rsid w:val="00893B3A"/>
    <w:rsid w:val="00894984"/>
    <w:rsid w:val="008958D2"/>
    <w:rsid w:val="00895E5F"/>
    <w:rsid w:val="00896A14"/>
    <w:rsid w:val="008A0675"/>
    <w:rsid w:val="008A0AF8"/>
    <w:rsid w:val="008A0DBD"/>
    <w:rsid w:val="008A1225"/>
    <w:rsid w:val="008A1274"/>
    <w:rsid w:val="008A29B2"/>
    <w:rsid w:val="008A29D7"/>
    <w:rsid w:val="008A3093"/>
    <w:rsid w:val="008A34FE"/>
    <w:rsid w:val="008A3A88"/>
    <w:rsid w:val="008A3BC6"/>
    <w:rsid w:val="008A4AEF"/>
    <w:rsid w:val="008A695A"/>
    <w:rsid w:val="008B1187"/>
    <w:rsid w:val="008B120E"/>
    <w:rsid w:val="008B1ABD"/>
    <w:rsid w:val="008B2280"/>
    <w:rsid w:val="008B372C"/>
    <w:rsid w:val="008B4DDA"/>
    <w:rsid w:val="008B4F30"/>
    <w:rsid w:val="008B5868"/>
    <w:rsid w:val="008B596E"/>
    <w:rsid w:val="008B5D75"/>
    <w:rsid w:val="008B61B4"/>
    <w:rsid w:val="008B6275"/>
    <w:rsid w:val="008B6397"/>
    <w:rsid w:val="008B656F"/>
    <w:rsid w:val="008B7140"/>
    <w:rsid w:val="008B7177"/>
    <w:rsid w:val="008C000F"/>
    <w:rsid w:val="008C0C83"/>
    <w:rsid w:val="008C19B5"/>
    <w:rsid w:val="008C19DE"/>
    <w:rsid w:val="008C21AE"/>
    <w:rsid w:val="008C245F"/>
    <w:rsid w:val="008C2680"/>
    <w:rsid w:val="008C2A16"/>
    <w:rsid w:val="008C3EDE"/>
    <w:rsid w:val="008C465C"/>
    <w:rsid w:val="008C57F9"/>
    <w:rsid w:val="008C5CEF"/>
    <w:rsid w:val="008C5F6C"/>
    <w:rsid w:val="008C648A"/>
    <w:rsid w:val="008C6F99"/>
    <w:rsid w:val="008C73EB"/>
    <w:rsid w:val="008C7975"/>
    <w:rsid w:val="008C79E5"/>
    <w:rsid w:val="008D0250"/>
    <w:rsid w:val="008D0F1A"/>
    <w:rsid w:val="008D2D6B"/>
    <w:rsid w:val="008D3180"/>
    <w:rsid w:val="008D49CE"/>
    <w:rsid w:val="008D4CD3"/>
    <w:rsid w:val="008D552F"/>
    <w:rsid w:val="008D5681"/>
    <w:rsid w:val="008D5C03"/>
    <w:rsid w:val="008D6551"/>
    <w:rsid w:val="008D666B"/>
    <w:rsid w:val="008D6B16"/>
    <w:rsid w:val="008D71D5"/>
    <w:rsid w:val="008E0E04"/>
    <w:rsid w:val="008E1006"/>
    <w:rsid w:val="008E13FB"/>
    <w:rsid w:val="008E141F"/>
    <w:rsid w:val="008E1D50"/>
    <w:rsid w:val="008E1EF5"/>
    <w:rsid w:val="008E206D"/>
    <w:rsid w:val="008E2658"/>
    <w:rsid w:val="008E2E2B"/>
    <w:rsid w:val="008E2FF6"/>
    <w:rsid w:val="008E31CE"/>
    <w:rsid w:val="008E3809"/>
    <w:rsid w:val="008E4889"/>
    <w:rsid w:val="008E48D3"/>
    <w:rsid w:val="008E48EF"/>
    <w:rsid w:val="008E4909"/>
    <w:rsid w:val="008E4E76"/>
    <w:rsid w:val="008E55CA"/>
    <w:rsid w:val="008F00B1"/>
    <w:rsid w:val="008F06DA"/>
    <w:rsid w:val="008F14C8"/>
    <w:rsid w:val="008F38E5"/>
    <w:rsid w:val="008F48D8"/>
    <w:rsid w:val="008F5ED3"/>
    <w:rsid w:val="00900D4D"/>
    <w:rsid w:val="00901454"/>
    <w:rsid w:val="00901CDD"/>
    <w:rsid w:val="009021C1"/>
    <w:rsid w:val="00902852"/>
    <w:rsid w:val="0090389D"/>
    <w:rsid w:val="00903932"/>
    <w:rsid w:val="009053BD"/>
    <w:rsid w:val="009063E0"/>
    <w:rsid w:val="0090664C"/>
    <w:rsid w:val="009066FE"/>
    <w:rsid w:val="009067EC"/>
    <w:rsid w:val="00906970"/>
    <w:rsid w:val="009072F2"/>
    <w:rsid w:val="00907562"/>
    <w:rsid w:val="00907637"/>
    <w:rsid w:val="009078C5"/>
    <w:rsid w:val="009079CF"/>
    <w:rsid w:val="009079D2"/>
    <w:rsid w:val="00907B67"/>
    <w:rsid w:val="009104B8"/>
    <w:rsid w:val="0091074B"/>
    <w:rsid w:val="00910D5E"/>
    <w:rsid w:val="00911587"/>
    <w:rsid w:val="009115AC"/>
    <w:rsid w:val="00911AD5"/>
    <w:rsid w:val="00912670"/>
    <w:rsid w:val="0091270D"/>
    <w:rsid w:val="00912B7F"/>
    <w:rsid w:val="00912F8E"/>
    <w:rsid w:val="009137A0"/>
    <w:rsid w:val="0091454E"/>
    <w:rsid w:val="0091470A"/>
    <w:rsid w:val="00914979"/>
    <w:rsid w:val="00915D70"/>
    <w:rsid w:val="009171B9"/>
    <w:rsid w:val="0091725F"/>
    <w:rsid w:val="00917E30"/>
    <w:rsid w:val="00920700"/>
    <w:rsid w:val="00920783"/>
    <w:rsid w:val="009207B5"/>
    <w:rsid w:val="00921714"/>
    <w:rsid w:val="009218F2"/>
    <w:rsid w:val="00921E6E"/>
    <w:rsid w:val="00922498"/>
    <w:rsid w:val="00922CE3"/>
    <w:rsid w:val="009240EF"/>
    <w:rsid w:val="00924A9C"/>
    <w:rsid w:val="00926509"/>
    <w:rsid w:val="00926A43"/>
    <w:rsid w:val="00926BD5"/>
    <w:rsid w:val="00927172"/>
    <w:rsid w:val="00927CB4"/>
    <w:rsid w:val="00930395"/>
    <w:rsid w:val="00930D8D"/>
    <w:rsid w:val="00931536"/>
    <w:rsid w:val="0093178C"/>
    <w:rsid w:val="00932103"/>
    <w:rsid w:val="009328F2"/>
    <w:rsid w:val="00932A07"/>
    <w:rsid w:val="00932B7B"/>
    <w:rsid w:val="00932BD6"/>
    <w:rsid w:val="00932C32"/>
    <w:rsid w:val="009333C9"/>
    <w:rsid w:val="009337B9"/>
    <w:rsid w:val="00934328"/>
    <w:rsid w:val="009345D0"/>
    <w:rsid w:val="009354B9"/>
    <w:rsid w:val="00935A85"/>
    <w:rsid w:val="009360CA"/>
    <w:rsid w:val="00936A3D"/>
    <w:rsid w:val="00936FAD"/>
    <w:rsid w:val="00937052"/>
    <w:rsid w:val="009375ED"/>
    <w:rsid w:val="009401B1"/>
    <w:rsid w:val="00940897"/>
    <w:rsid w:val="00940C1E"/>
    <w:rsid w:val="009419EA"/>
    <w:rsid w:val="009425A7"/>
    <w:rsid w:val="0094344D"/>
    <w:rsid w:val="009439D9"/>
    <w:rsid w:val="009440A2"/>
    <w:rsid w:val="00944B34"/>
    <w:rsid w:val="00944D44"/>
    <w:rsid w:val="009458C2"/>
    <w:rsid w:val="00945B5C"/>
    <w:rsid w:val="00945E7C"/>
    <w:rsid w:val="00946153"/>
    <w:rsid w:val="00946390"/>
    <w:rsid w:val="0094743D"/>
    <w:rsid w:val="00947F31"/>
    <w:rsid w:val="009503C1"/>
    <w:rsid w:val="00950AFD"/>
    <w:rsid w:val="00950EBD"/>
    <w:rsid w:val="00951509"/>
    <w:rsid w:val="00951ECE"/>
    <w:rsid w:val="0095269C"/>
    <w:rsid w:val="00952FF4"/>
    <w:rsid w:val="00953434"/>
    <w:rsid w:val="0095358A"/>
    <w:rsid w:val="0095497C"/>
    <w:rsid w:val="00955172"/>
    <w:rsid w:val="00955B7C"/>
    <w:rsid w:val="009569B6"/>
    <w:rsid w:val="00956A0C"/>
    <w:rsid w:val="0096012A"/>
    <w:rsid w:val="009602F7"/>
    <w:rsid w:val="00960551"/>
    <w:rsid w:val="00960951"/>
    <w:rsid w:val="00960E24"/>
    <w:rsid w:val="00961A40"/>
    <w:rsid w:val="00961A6F"/>
    <w:rsid w:val="0096265D"/>
    <w:rsid w:val="009630F2"/>
    <w:rsid w:val="0096416F"/>
    <w:rsid w:val="009651BE"/>
    <w:rsid w:val="009653A2"/>
    <w:rsid w:val="00965579"/>
    <w:rsid w:val="009660DF"/>
    <w:rsid w:val="009664A4"/>
    <w:rsid w:val="00966C2D"/>
    <w:rsid w:val="0097020A"/>
    <w:rsid w:val="00970454"/>
    <w:rsid w:val="00970843"/>
    <w:rsid w:val="00970B5D"/>
    <w:rsid w:val="00970D8E"/>
    <w:rsid w:val="0097214A"/>
    <w:rsid w:val="009724E7"/>
    <w:rsid w:val="00972506"/>
    <w:rsid w:val="00972CCE"/>
    <w:rsid w:val="00973368"/>
    <w:rsid w:val="009733BA"/>
    <w:rsid w:val="00973A97"/>
    <w:rsid w:val="0097417D"/>
    <w:rsid w:val="00974727"/>
    <w:rsid w:val="0097532D"/>
    <w:rsid w:val="00975A30"/>
    <w:rsid w:val="009763AD"/>
    <w:rsid w:val="00976CE1"/>
    <w:rsid w:val="00977717"/>
    <w:rsid w:val="00980626"/>
    <w:rsid w:val="00980CE3"/>
    <w:rsid w:val="009810F9"/>
    <w:rsid w:val="00981197"/>
    <w:rsid w:val="009818C9"/>
    <w:rsid w:val="0098192B"/>
    <w:rsid w:val="00981F08"/>
    <w:rsid w:val="00981F67"/>
    <w:rsid w:val="00982107"/>
    <w:rsid w:val="00983215"/>
    <w:rsid w:val="0098367F"/>
    <w:rsid w:val="00983799"/>
    <w:rsid w:val="00984066"/>
    <w:rsid w:val="009842F7"/>
    <w:rsid w:val="00984BA0"/>
    <w:rsid w:val="009856FF"/>
    <w:rsid w:val="009858C0"/>
    <w:rsid w:val="00985E23"/>
    <w:rsid w:val="009879F4"/>
    <w:rsid w:val="00987CD1"/>
    <w:rsid w:val="00990575"/>
    <w:rsid w:val="00990826"/>
    <w:rsid w:val="00991629"/>
    <w:rsid w:val="009917B6"/>
    <w:rsid w:val="009923B2"/>
    <w:rsid w:val="00992968"/>
    <w:rsid w:val="00992AE8"/>
    <w:rsid w:val="0099315B"/>
    <w:rsid w:val="009933FC"/>
    <w:rsid w:val="00994E0D"/>
    <w:rsid w:val="00995B40"/>
    <w:rsid w:val="00995C5C"/>
    <w:rsid w:val="00995D90"/>
    <w:rsid w:val="00996FA0"/>
    <w:rsid w:val="009972E3"/>
    <w:rsid w:val="009A00D4"/>
    <w:rsid w:val="009A0D5F"/>
    <w:rsid w:val="009A12FB"/>
    <w:rsid w:val="009A1495"/>
    <w:rsid w:val="009A159A"/>
    <w:rsid w:val="009A2A9B"/>
    <w:rsid w:val="009A2C89"/>
    <w:rsid w:val="009A2E24"/>
    <w:rsid w:val="009A4103"/>
    <w:rsid w:val="009A49C4"/>
    <w:rsid w:val="009A4BD7"/>
    <w:rsid w:val="009A5166"/>
    <w:rsid w:val="009A5B5F"/>
    <w:rsid w:val="009A5C09"/>
    <w:rsid w:val="009A5EEA"/>
    <w:rsid w:val="009A6122"/>
    <w:rsid w:val="009A6BCB"/>
    <w:rsid w:val="009A6D21"/>
    <w:rsid w:val="009A7613"/>
    <w:rsid w:val="009B0A4B"/>
    <w:rsid w:val="009B0B03"/>
    <w:rsid w:val="009B0B41"/>
    <w:rsid w:val="009B1DD9"/>
    <w:rsid w:val="009B204C"/>
    <w:rsid w:val="009B21CD"/>
    <w:rsid w:val="009B2499"/>
    <w:rsid w:val="009B5F7C"/>
    <w:rsid w:val="009B6257"/>
    <w:rsid w:val="009B6919"/>
    <w:rsid w:val="009B6AE6"/>
    <w:rsid w:val="009B6CD9"/>
    <w:rsid w:val="009B6D3A"/>
    <w:rsid w:val="009B6E75"/>
    <w:rsid w:val="009B7423"/>
    <w:rsid w:val="009B75DC"/>
    <w:rsid w:val="009C0D1A"/>
    <w:rsid w:val="009C1D50"/>
    <w:rsid w:val="009C2C38"/>
    <w:rsid w:val="009C3D46"/>
    <w:rsid w:val="009C4598"/>
    <w:rsid w:val="009C4A14"/>
    <w:rsid w:val="009C4CD8"/>
    <w:rsid w:val="009C5381"/>
    <w:rsid w:val="009C54CA"/>
    <w:rsid w:val="009C6591"/>
    <w:rsid w:val="009C69CF"/>
    <w:rsid w:val="009C6E35"/>
    <w:rsid w:val="009C7AFC"/>
    <w:rsid w:val="009C7B4C"/>
    <w:rsid w:val="009D00C4"/>
    <w:rsid w:val="009D096D"/>
    <w:rsid w:val="009D0A0C"/>
    <w:rsid w:val="009D0B6A"/>
    <w:rsid w:val="009D1931"/>
    <w:rsid w:val="009D2331"/>
    <w:rsid w:val="009D37BD"/>
    <w:rsid w:val="009D4F55"/>
    <w:rsid w:val="009D5DC1"/>
    <w:rsid w:val="009D60DA"/>
    <w:rsid w:val="009D636A"/>
    <w:rsid w:val="009D6B8B"/>
    <w:rsid w:val="009D7295"/>
    <w:rsid w:val="009D7FFD"/>
    <w:rsid w:val="009E04B8"/>
    <w:rsid w:val="009E08BF"/>
    <w:rsid w:val="009E3C3C"/>
    <w:rsid w:val="009E4C52"/>
    <w:rsid w:val="009E5208"/>
    <w:rsid w:val="009E5C27"/>
    <w:rsid w:val="009E5E5F"/>
    <w:rsid w:val="009E694F"/>
    <w:rsid w:val="009E6ADA"/>
    <w:rsid w:val="009E6EB2"/>
    <w:rsid w:val="009E71DA"/>
    <w:rsid w:val="009E73C9"/>
    <w:rsid w:val="009F080A"/>
    <w:rsid w:val="009F13E4"/>
    <w:rsid w:val="009F2FD0"/>
    <w:rsid w:val="009F3274"/>
    <w:rsid w:val="009F4950"/>
    <w:rsid w:val="009F5C41"/>
    <w:rsid w:val="009F5D26"/>
    <w:rsid w:val="009F6BB1"/>
    <w:rsid w:val="009F7036"/>
    <w:rsid w:val="00A0073A"/>
    <w:rsid w:val="00A015B3"/>
    <w:rsid w:val="00A021FF"/>
    <w:rsid w:val="00A02827"/>
    <w:rsid w:val="00A03032"/>
    <w:rsid w:val="00A0396E"/>
    <w:rsid w:val="00A03F51"/>
    <w:rsid w:val="00A04AFA"/>
    <w:rsid w:val="00A0592D"/>
    <w:rsid w:val="00A059AC"/>
    <w:rsid w:val="00A05A61"/>
    <w:rsid w:val="00A05F43"/>
    <w:rsid w:val="00A0694B"/>
    <w:rsid w:val="00A06A15"/>
    <w:rsid w:val="00A0701B"/>
    <w:rsid w:val="00A07753"/>
    <w:rsid w:val="00A10A5B"/>
    <w:rsid w:val="00A11DC1"/>
    <w:rsid w:val="00A12030"/>
    <w:rsid w:val="00A1277C"/>
    <w:rsid w:val="00A1298C"/>
    <w:rsid w:val="00A12FA6"/>
    <w:rsid w:val="00A136DD"/>
    <w:rsid w:val="00A137C0"/>
    <w:rsid w:val="00A14F72"/>
    <w:rsid w:val="00A15C69"/>
    <w:rsid w:val="00A15C7F"/>
    <w:rsid w:val="00A15DED"/>
    <w:rsid w:val="00A15F5B"/>
    <w:rsid w:val="00A16C89"/>
    <w:rsid w:val="00A16D52"/>
    <w:rsid w:val="00A16EE6"/>
    <w:rsid w:val="00A17475"/>
    <w:rsid w:val="00A177AE"/>
    <w:rsid w:val="00A179FD"/>
    <w:rsid w:val="00A202A0"/>
    <w:rsid w:val="00A20434"/>
    <w:rsid w:val="00A2181B"/>
    <w:rsid w:val="00A21EA3"/>
    <w:rsid w:val="00A22564"/>
    <w:rsid w:val="00A229C0"/>
    <w:rsid w:val="00A232D9"/>
    <w:rsid w:val="00A239D1"/>
    <w:rsid w:val="00A251F1"/>
    <w:rsid w:val="00A25DA1"/>
    <w:rsid w:val="00A25F17"/>
    <w:rsid w:val="00A26410"/>
    <w:rsid w:val="00A27730"/>
    <w:rsid w:val="00A278F5"/>
    <w:rsid w:val="00A27F46"/>
    <w:rsid w:val="00A308B5"/>
    <w:rsid w:val="00A30FC0"/>
    <w:rsid w:val="00A31915"/>
    <w:rsid w:val="00A31B15"/>
    <w:rsid w:val="00A3345A"/>
    <w:rsid w:val="00A34B50"/>
    <w:rsid w:val="00A353B0"/>
    <w:rsid w:val="00A3618C"/>
    <w:rsid w:val="00A36E42"/>
    <w:rsid w:val="00A37AE0"/>
    <w:rsid w:val="00A37F0E"/>
    <w:rsid w:val="00A4079F"/>
    <w:rsid w:val="00A40BF6"/>
    <w:rsid w:val="00A41854"/>
    <w:rsid w:val="00A42CFD"/>
    <w:rsid w:val="00A436CA"/>
    <w:rsid w:val="00A439DC"/>
    <w:rsid w:val="00A4407F"/>
    <w:rsid w:val="00A445DF"/>
    <w:rsid w:val="00A4473A"/>
    <w:rsid w:val="00A458E7"/>
    <w:rsid w:val="00A45CC0"/>
    <w:rsid w:val="00A466A4"/>
    <w:rsid w:val="00A467C1"/>
    <w:rsid w:val="00A46998"/>
    <w:rsid w:val="00A46B2D"/>
    <w:rsid w:val="00A4733F"/>
    <w:rsid w:val="00A4786B"/>
    <w:rsid w:val="00A5027B"/>
    <w:rsid w:val="00A5141A"/>
    <w:rsid w:val="00A519B6"/>
    <w:rsid w:val="00A52470"/>
    <w:rsid w:val="00A52D5B"/>
    <w:rsid w:val="00A53A1B"/>
    <w:rsid w:val="00A553A6"/>
    <w:rsid w:val="00A5574D"/>
    <w:rsid w:val="00A560D2"/>
    <w:rsid w:val="00A5622F"/>
    <w:rsid w:val="00A57DC6"/>
    <w:rsid w:val="00A60286"/>
    <w:rsid w:val="00A616D0"/>
    <w:rsid w:val="00A62502"/>
    <w:rsid w:val="00A64FB9"/>
    <w:rsid w:val="00A6568F"/>
    <w:rsid w:val="00A65920"/>
    <w:rsid w:val="00A6624A"/>
    <w:rsid w:val="00A6792B"/>
    <w:rsid w:val="00A67C1A"/>
    <w:rsid w:val="00A67C4F"/>
    <w:rsid w:val="00A70B0D"/>
    <w:rsid w:val="00A70B9E"/>
    <w:rsid w:val="00A7131D"/>
    <w:rsid w:val="00A71398"/>
    <w:rsid w:val="00A7146C"/>
    <w:rsid w:val="00A71AEF"/>
    <w:rsid w:val="00A721F5"/>
    <w:rsid w:val="00A7238D"/>
    <w:rsid w:val="00A728F4"/>
    <w:rsid w:val="00A72E83"/>
    <w:rsid w:val="00A730BD"/>
    <w:rsid w:val="00A73769"/>
    <w:rsid w:val="00A74DF9"/>
    <w:rsid w:val="00A7515B"/>
    <w:rsid w:val="00A75C02"/>
    <w:rsid w:val="00A75EC3"/>
    <w:rsid w:val="00A7662E"/>
    <w:rsid w:val="00A77E4A"/>
    <w:rsid w:val="00A80748"/>
    <w:rsid w:val="00A80CC7"/>
    <w:rsid w:val="00A80FA9"/>
    <w:rsid w:val="00A81C73"/>
    <w:rsid w:val="00A8234C"/>
    <w:rsid w:val="00A83186"/>
    <w:rsid w:val="00A83509"/>
    <w:rsid w:val="00A83712"/>
    <w:rsid w:val="00A8549C"/>
    <w:rsid w:val="00A86126"/>
    <w:rsid w:val="00A87958"/>
    <w:rsid w:val="00A87F00"/>
    <w:rsid w:val="00A91412"/>
    <w:rsid w:val="00A92212"/>
    <w:rsid w:val="00A926B0"/>
    <w:rsid w:val="00A93B2B"/>
    <w:rsid w:val="00A94489"/>
    <w:rsid w:val="00A9496C"/>
    <w:rsid w:val="00A95300"/>
    <w:rsid w:val="00A95420"/>
    <w:rsid w:val="00A957D6"/>
    <w:rsid w:val="00A95947"/>
    <w:rsid w:val="00A95BCE"/>
    <w:rsid w:val="00A95ED1"/>
    <w:rsid w:val="00A969F0"/>
    <w:rsid w:val="00A971C5"/>
    <w:rsid w:val="00A976E9"/>
    <w:rsid w:val="00A97C25"/>
    <w:rsid w:val="00A97E8A"/>
    <w:rsid w:val="00AA090C"/>
    <w:rsid w:val="00AA0AC5"/>
    <w:rsid w:val="00AA14F5"/>
    <w:rsid w:val="00AA239A"/>
    <w:rsid w:val="00AA27FF"/>
    <w:rsid w:val="00AA29E0"/>
    <w:rsid w:val="00AA2FA9"/>
    <w:rsid w:val="00AA2FAA"/>
    <w:rsid w:val="00AA32B5"/>
    <w:rsid w:val="00AA363A"/>
    <w:rsid w:val="00AA3FD6"/>
    <w:rsid w:val="00AA4109"/>
    <w:rsid w:val="00AA50BC"/>
    <w:rsid w:val="00AA5D47"/>
    <w:rsid w:val="00AA5DB4"/>
    <w:rsid w:val="00AA7572"/>
    <w:rsid w:val="00AA781B"/>
    <w:rsid w:val="00AA7A28"/>
    <w:rsid w:val="00AA7D45"/>
    <w:rsid w:val="00AB1BF4"/>
    <w:rsid w:val="00AB1C02"/>
    <w:rsid w:val="00AB2674"/>
    <w:rsid w:val="00AB2A06"/>
    <w:rsid w:val="00AB32F6"/>
    <w:rsid w:val="00AB39C0"/>
    <w:rsid w:val="00AB46BB"/>
    <w:rsid w:val="00AB4C86"/>
    <w:rsid w:val="00AB5670"/>
    <w:rsid w:val="00AB5FCE"/>
    <w:rsid w:val="00AB70A2"/>
    <w:rsid w:val="00AB7307"/>
    <w:rsid w:val="00AB791C"/>
    <w:rsid w:val="00AC15FF"/>
    <w:rsid w:val="00AC1917"/>
    <w:rsid w:val="00AC38D0"/>
    <w:rsid w:val="00AC4450"/>
    <w:rsid w:val="00AC4877"/>
    <w:rsid w:val="00AC5693"/>
    <w:rsid w:val="00AC71ED"/>
    <w:rsid w:val="00AD0540"/>
    <w:rsid w:val="00AD0616"/>
    <w:rsid w:val="00AD0C56"/>
    <w:rsid w:val="00AD1075"/>
    <w:rsid w:val="00AD19B2"/>
    <w:rsid w:val="00AD3DA5"/>
    <w:rsid w:val="00AD4223"/>
    <w:rsid w:val="00AD4392"/>
    <w:rsid w:val="00AD4907"/>
    <w:rsid w:val="00AD561B"/>
    <w:rsid w:val="00AD5AB3"/>
    <w:rsid w:val="00AD5B6B"/>
    <w:rsid w:val="00AD5C64"/>
    <w:rsid w:val="00AD5E57"/>
    <w:rsid w:val="00AD610C"/>
    <w:rsid w:val="00AD67F2"/>
    <w:rsid w:val="00AD6A56"/>
    <w:rsid w:val="00AE0AE7"/>
    <w:rsid w:val="00AE0F0A"/>
    <w:rsid w:val="00AE113E"/>
    <w:rsid w:val="00AE327C"/>
    <w:rsid w:val="00AE37F9"/>
    <w:rsid w:val="00AE38AE"/>
    <w:rsid w:val="00AE3EB4"/>
    <w:rsid w:val="00AE40DC"/>
    <w:rsid w:val="00AE44AD"/>
    <w:rsid w:val="00AE4517"/>
    <w:rsid w:val="00AE57C4"/>
    <w:rsid w:val="00AE6CA1"/>
    <w:rsid w:val="00AE773B"/>
    <w:rsid w:val="00AF05C1"/>
    <w:rsid w:val="00AF0C3B"/>
    <w:rsid w:val="00AF1681"/>
    <w:rsid w:val="00AF267F"/>
    <w:rsid w:val="00AF29CE"/>
    <w:rsid w:val="00AF2C62"/>
    <w:rsid w:val="00AF35FD"/>
    <w:rsid w:val="00AF37AC"/>
    <w:rsid w:val="00AF3D56"/>
    <w:rsid w:val="00AF55C1"/>
    <w:rsid w:val="00AF642C"/>
    <w:rsid w:val="00AF735B"/>
    <w:rsid w:val="00AF78CA"/>
    <w:rsid w:val="00B005DB"/>
    <w:rsid w:val="00B00DD8"/>
    <w:rsid w:val="00B010CF"/>
    <w:rsid w:val="00B012AD"/>
    <w:rsid w:val="00B021FE"/>
    <w:rsid w:val="00B03594"/>
    <w:rsid w:val="00B04C84"/>
    <w:rsid w:val="00B050D8"/>
    <w:rsid w:val="00B051E3"/>
    <w:rsid w:val="00B05978"/>
    <w:rsid w:val="00B05D3A"/>
    <w:rsid w:val="00B07184"/>
    <w:rsid w:val="00B07291"/>
    <w:rsid w:val="00B0762A"/>
    <w:rsid w:val="00B07E99"/>
    <w:rsid w:val="00B1132F"/>
    <w:rsid w:val="00B117FA"/>
    <w:rsid w:val="00B11CAA"/>
    <w:rsid w:val="00B12C7E"/>
    <w:rsid w:val="00B13FFA"/>
    <w:rsid w:val="00B1444F"/>
    <w:rsid w:val="00B14580"/>
    <w:rsid w:val="00B14D88"/>
    <w:rsid w:val="00B15D77"/>
    <w:rsid w:val="00B16B52"/>
    <w:rsid w:val="00B174D6"/>
    <w:rsid w:val="00B17525"/>
    <w:rsid w:val="00B20175"/>
    <w:rsid w:val="00B20C5C"/>
    <w:rsid w:val="00B20CE3"/>
    <w:rsid w:val="00B21029"/>
    <w:rsid w:val="00B21509"/>
    <w:rsid w:val="00B21819"/>
    <w:rsid w:val="00B21CAA"/>
    <w:rsid w:val="00B21E24"/>
    <w:rsid w:val="00B23C76"/>
    <w:rsid w:val="00B23D38"/>
    <w:rsid w:val="00B24271"/>
    <w:rsid w:val="00B25487"/>
    <w:rsid w:val="00B264C0"/>
    <w:rsid w:val="00B26A8B"/>
    <w:rsid w:val="00B275E9"/>
    <w:rsid w:val="00B2765B"/>
    <w:rsid w:val="00B3071A"/>
    <w:rsid w:val="00B308D6"/>
    <w:rsid w:val="00B30C72"/>
    <w:rsid w:val="00B312EE"/>
    <w:rsid w:val="00B31541"/>
    <w:rsid w:val="00B317C1"/>
    <w:rsid w:val="00B32072"/>
    <w:rsid w:val="00B32C01"/>
    <w:rsid w:val="00B32FEA"/>
    <w:rsid w:val="00B346D7"/>
    <w:rsid w:val="00B34B54"/>
    <w:rsid w:val="00B350A3"/>
    <w:rsid w:val="00B367EC"/>
    <w:rsid w:val="00B36B8D"/>
    <w:rsid w:val="00B36E60"/>
    <w:rsid w:val="00B372F4"/>
    <w:rsid w:val="00B3734B"/>
    <w:rsid w:val="00B37CE4"/>
    <w:rsid w:val="00B4073A"/>
    <w:rsid w:val="00B41653"/>
    <w:rsid w:val="00B41AE4"/>
    <w:rsid w:val="00B42608"/>
    <w:rsid w:val="00B42C45"/>
    <w:rsid w:val="00B4347B"/>
    <w:rsid w:val="00B438B6"/>
    <w:rsid w:val="00B449D2"/>
    <w:rsid w:val="00B453AC"/>
    <w:rsid w:val="00B459E2"/>
    <w:rsid w:val="00B46A35"/>
    <w:rsid w:val="00B470AF"/>
    <w:rsid w:val="00B47215"/>
    <w:rsid w:val="00B47895"/>
    <w:rsid w:val="00B5163A"/>
    <w:rsid w:val="00B5191F"/>
    <w:rsid w:val="00B519CD"/>
    <w:rsid w:val="00B51B53"/>
    <w:rsid w:val="00B522A6"/>
    <w:rsid w:val="00B539D3"/>
    <w:rsid w:val="00B54056"/>
    <w:rsid w:val="00B547F1"/>
    <w:rsid w:val="00B54FCB"/>
    <w:rsid w:val="00B55B02"/>
    <w:rsid w:val="00B561B4"/>
    <w:rsid w:val="00B57163"/>
    <w:rsid w:val="00B57E95"/>
    <w:rsid w:val="00B617E8"/>
    <w:rsid w:val="00B6194D"/>
    <w:rsid w:val="00B61C0A"/>
    <w:rsid w:val="00B6331B"/>
    <w:rsid w:val="00B643B4"/>
    <w:rsid w:val="00B643DF"/>
    <w:rsid w:val="00B64EA0"/>
    <w:rsid w:val="00B66B84"/>
    <w:rsid w:val="00B66F39"/>
    <w:rsid w:val="00B67561"/>
    <w:rsid w:val="00B67605"/>
    <w:rsid w:val="00B701FF"/>
    <w:rsid w:val="00B70777"/>
    <w:rsid w:val="00B70DD7"/>
    <w:rsid w:val="00B7158D"/>
    <w:rsid w:val="00B718F5"/>
    <w:rsid w:val="00B7194C"/>
    <w:rsid w:val="00B71B08"/>
    <w:rsid w:val="00B71CC5"/>
    <w:rsid w:val="00B71D6A"/>
    <w:rsid w:val="00B727CD"/>
    <w:rsid w:val="00B72C69"/>
    <w:rsid w:val="00B73679"/>
    <w:rsid w:val="00B74E94"/>
    <w:rsid w:val="00B74F50"/>
    <w:rsid w:val="00B75A77"/>
    <w:rsid w:val="00B76FA4"/>
    <w:rsid w:val="00B770DC"/>
    <w:rsid w:val="00B77C05"/>
    <w:rsid w:val="00B77C55"/>
    <w:rsid w:val="00B80D58"/>
    <w:rsid w:val="00B8212E"/>
    <w:rsid w:val="00B82EAE"/>
    <w:rsid w:val="00B8421B"/>
    <w:rsid w:val="00B8504D"/>
    <w:rsid w:val="00B8558B"/>
    <w:rsid w:val="00B8588D"/>
    <w:rsid w:val="00B865E7"/>
    <w:rsid w:val="00B86BE1"/>
    <w:rsid w:val="00B87455"/>
    <w:rsid w:val="00B87DDF"/>
    <w:rsid w:val="00B909A3"/>
    <w:rsid w:val="00B90A41"/>
    <w:rsid w:val="00B91E36"/>
    <w:rsid w:val="00B926E4"/>
    <w:rsid w:val="00B92DC1"/>
    <w:rsid w:val="00B93D84"/>
    <w:rsid w:val="00B94618"/>
    <w:rsid w:val="00B94B31"/>
    <w:rsid w:val="00B94E45"/>
    <w:rsid w:val="00B953D9"/>
    <w:rsid w:val="00B95E80"/>
    <w:rsid w:val="00B95EEC"/>
    <w:rsid w:val="00B966BF"/>
    <w:rsid w:val="00B96B1D"/>
    <w:rsid w:val="00B96F66"/>
    <w:rsid w:val="00B97817"/>
    <w:rsid w:val="00B97E26"/>
    <w:rsid w:val="00BA03D1"/>
    <w:rsid w:val="00BA0D07"/>
    <w:rsid w:val="00BA1B98"/>
    <w:rsid w:val="00BA1FFE"/>
    <w:rsid w:val="00BA23FD"/>
    <w:rsid w:val="00BA32C9"/>
    <w:rsid w:val="00BA35E0"/>
    <w:rsid w:val="00BA3F08"/>
    <w:rsid w:val="00BA4027"/>
    <w:rsid w:val="00BA44E4"/>
    <w:rsid w:val="00BA4852"/>
    <w:rsid w:val="00BA53E0"/>
    <w:rsid w:val="00BA5A76"/>
    <w:rsid w:val="00BA5B1D"/>
    <w:rsid w:val="00BA5E8D"/>
    <w:rsid w:val="00BA661C"/>
    <w:rsid w:val="00BA6671"/>
    <w:rsid w:val="00BA6745"/>
    <w:rsid w:val="00BA7A08"/>
    <w:rsid w:val="00BB18F3"/>
    <w:rsid w:val="00BB1A8F"/>
    <w:rsid w:val="00BB1F38"/>
    <w:rsid w:val="00BB22F0"/>
    <w:rsid w:val="00BB27C3"/>
    <w:rsid w:val="00BB335F"/>
    <w:rsid w:val="00BB3642"/>
    <w:rsid w:val="00BB3CC6"/>
    <w:rsid w:val="00BB3E22"/>
    <w:rsid w:val="00BB414B"/>
    <w:rsid w:val="00BB437C"/>
    <w:rsid w:val="00BB58CD"/>
    <w:rsid w:val="00BB6474"/>
    <w:rsid w:val="00BB7689"/>
    <w:rsid w:val="00BC012E"/>
    <w:rsid w:val="00BC1502"/>
    <w:rsid w:val="00BC2168"/>
    <w:rsid w:val="00BC2C52"/>
    <w:rsid w:val="00BC312E"/>
    <w:rsid w:val="00BC499A"/>
    <w:rsid w:val="00BC4A0A"/>
    <w:rsid w:val="00BC4C50"/>
    <w:rsid w:val="00BC4FF8"/>
    <w:rsid w:val="00BC5525"/>
    <w:rsid w:val="00BC568D"/>
    <w:rsid w:val="00BC5E72"/>
    <w:rsid w:val="00BC6423"/>
    <w:rsid w:val="00BC6A52"/>
    <w:rsid w:val="00BC6D79"/>
    <w:rsid w:val="00BC73C2"/>
    <w:rsid w:val="00BC76A0"/>
    <w:rsid w:val="00BD30B9"/>
    <w:rsid w:val="00BD355A"/>
    <w:rsid w:val="00BD4A97"/>
    <w:rsid w:val="00BD5418"/>
    <w:rsid w:val="00BD6102"/>
    <w:rsid w:val="00BD6157"/>
    <w:rsid w:val="00BD63C8"/>
    <w:rsid w:val="00BD6D02"/>
    <w:rsid w:val="00BD70A9"/>
    <w:rsid w:val="00BD790C"/>
    <w:rsid w:val="00BE069E"/>
    <w:rsid w:val="00BE0818"/>
    <w:rsid w:val="00BE10F6"/>
    <w:rsid w:val="00BE2C07"/>
    <w:rsid w:val="00BE33BC"/>
    <w:rsid w:val="00BE3605"/>
    <w:rsid w:val="00BE6BCF"/>
    <w:rsid w:val="00BF0010"/>
    <w:rsid w:val="00BF01E2"/>
    <w:rsid w:val="00BF11D9"/>
    <w:rsid w:val="00BF18B8"/>
    <w:rsid w:val="00BF1A76"/>
    <w:rsid w:val="00BF1BE7"/>
    <w:rsid w:val="00BF1BEE"/>
    <w:rsid w:val="00BF1ECA"/>
    <w:rsid w:val="00BF249B"/>
    <w:rsid w:val="00BF2931"/>
    <w:rsid w:val="00BF33C0"/>
    <w:rsid w:val="00BF35FF"/>
    <w:rsid w:val="00BF39F2"/>
    <w:rsid w:val="00BF3EC6"/>
    <w:rsid w:val="00BF459E"/>
    <w:rsid w:val="00BF5874"/>
    <w:rsid w:val="00BF613F"/>
    <w:rsid w:val="00BF6560"/>
    <w:rsid w:val="00BF6719"/>
    <w:rsid w:val="00BF68F8"/>
    <w:rsid w:val="00BF6A29"/>
    <w:rsid w:val="00BF6E28"/>
    <w:rsid w:val="00BF7AC8"/>
    <w:rsid w:val="00C009A0"/>
    <w:rsid w:val="00C00D20"/>
    <w:rsid w:val="00C0163F"/>
    <w:rsid w:val="00C029BE"/>
    <w:rsid w:val="00C02A84"/>
    <w:rsid w:val="00C02BB4"/>
    <w:rsid w:val="00C02E49"/>
    <w:rsid w:val="00C02F47"/>
    <w:rsid w:val="00C0349D"/>
    <w:rsid w:val="00C03968"/>
    <w:rsid w:val="00C03C97"/>
    <w:rsid w:val="00C04458"/>
    <w:rsid w:val="00C045A5"/>
    <w:rsid w:val="00C04DBE"/>
    <w:rsid w:val="00C053E1"/>
    <w:rsid w:val="00C057F9"/>
    <w:rsid w:val="00C06D15"/>
    <w:rsid w:val="00C06FBF"/>
    <w:rsid w:val="00C073C1"/>
    <w:rsid w:val="00C07839"/>
    <w:rsid w:val="00C07CAA"/>
    <w:rsid w:val="00C114B9"/>
    <w:rsid w:val="00C11A55"/>
    <w:rsid w:val="00C11E92"/>
    <w:rsid w:val="00C12218"/>
    <w:rsid w:val="00C122C7"/>
    <w:rsid w:val="00C1293C"/>
    <w:rsid w:val="00C12A48"/>
    <w:rsid w:val="00C12AEB"/>
    <w:rsid w:val="00C12C9E"/>
    <w:rsid w:val="00C1387A"/>
    <w:rsid w:val="00C13A86"/>
    <w:rsid w:val="00C13AC8"/>
    <w:rsid w:val="00C13E83"/>
    <w:rsid w:val="00C143AE"/>
    <w:rsid w:val="00C16502"/>
    <w:rsid w:val="00C17D24"/>
    <w:rsid w:val="00C20301"/>
    <w:rsid w:val="00C20484"/>
    <w:rsid w:val="00C2085F"/>
    <w:rsid w:val="00C20D5F"/>
    <w:rsid w:val="00C212BE"/>
    <w:rsid w:val="00C22159"/>
    <w:rsid w:val="00C22214"/>
    <w:rsid w:val="00C22612"/>
    <w:rsid w:val="00C22993"/>
    <w:rsid w:val="00C22C4D"/>
    <w:rsid w:val="00C2357F"/>
    <w:rsid w:val="00C24229"/>
    <w:rsid w:val="00C25212"/>
    <w:rsid w:val="00C25A3C"/>
    <w:rsid w:val="00C274A2"/>
    <w:rsid w:val="00C2753C"/>
    <w:rsid w:val="00C30185"/>
    <w:rsid w:val="00C304CF"/>
    <w:rsid w:val="00C30D64"/>
    <w:rsid w:val="00C31288"/>
    <w:rsid w:val="00C31715"/>
    <w:rsid w:val="00C31C95"/>
    <w:rsid w:val="00C32006"/>
    <w:rsid w:val="00C32428"/>
    <w:rsid w:val="00C32584"/>
    <w:rsid w:val="00C33E38"/>
    <w:rsid w:val="00C34582"/>
    <w:rsid w:val="00C34AD0"/>
    <w:rsid w:val="00C35003"/>
    <w:rsid w:val="00C35D44"/>
    <w:rsid w:val="00C372EB"/>
    <w:rsid w:val="00C3784A"/>
    <w:rsid w:val="00C37C4A"/>
    <w:rsid w:val="00C4072A"/>
    <w:rsid w:val="00C4122F"/>
    <w:rsid w:val="00C419E3"/>
    <w:rsid w:val="00C41C22"/>
    <w:rsid w:val="00C41D6B"/>
    <w:rsid w:val="00C42BF7"/>
    <w:rsid w:val="00C44EE0"/>
    <w:rsid w:val="00C45BCA"/>
    <w:rsid w:val="00C46107"/>
    <w:rsid w:val="00C461F6"/>
    <w:rsid w:val="00C4679A"/>
    <w:rsid w:val="00C47C61"/>
    <w:rsid w:val="00C50024"/>
    <w:rsid w:val="00C50A38"/>
    <w:rsid w:val="00C52951"/>
    <w:rsid w:val="00C53AF8"/>
    <w:rsid w:val="00C54FA7"/>
    <w:rsid w:val="00C5542E"/>
    <w:rsid w:val="00C5589D"/>
    <w:rsid w:val="00C55D4A"/>
    <w:rsid w:val="00C55EC2"/>
    <w:rsid w:val="00C568F8"/>
    <w:rsid w:val="00C56D3D"/>
    <w:rsid w:val="00C57201"/>
    <w:rsid w:val="00C57FC5"/>
    <w:rsid w:val="00C600F4"/>
    <w:rsid w:val="00C6105A"/>
    <w:rsid w:val="00C612C8"/>
    <w:rsid w:val="00C61AAC"/>
    <w:rsid w:val="00C624E4"/>
    <w:rsid w:val="00C6255B"/>
    <w:rsid w:val="00C63101"/>
    <w:rsid w:val="00C6331D"/>
    <w:rsid w:val="00C63DD3"/>
    <w:rsid w:val="00C644F7"/>
    <w:rsid w:val="00C6487E"/>
    <w:rsid w:val="00C651E4"/>
    <w:rsid w:val="00C656D6"/>
    <w:rsid w:val="00C65983"/>
    <w:rsid w:val="00C65B49"/>
    <w:rsid w:val="00C669FF"/>
    <w:rsid w:val="00C70CE5"/>
    <w:rsid w:val="00C7177F"/>
    <w:rsid w:val="00C71DE2"/>
    <w:rsid w:val="00C729D8"/>
    <w:rsid w:val="00C7353A"/>
    <w:rsid w:val="00C7388C"/>
    <w:rsid w:val="00C739AC"/>
    <w:rsid w:val="00C73A8F"/>
    <w:rsid w:val="00C7457A"/>
    <w:rsid w:val="00C74809"/>
    <w:rsid w:val="00C75BD5"/>
    <w:rsid w:val="00C75F0D"/>
    <w:rsid w:val="00C7631B"/>
    <w:rsid w:val="00C77F92"/>
    <w:rsid w:val="00C80A20"/>
    <w:rsid w:val="00C80C85"/>
    <w:rsid w:val="00C80E22"/>
    <w:rsid w:val="00C81061"/>
    <w:rsid w:val="00C8114B"/>
    <w:rsid w:val="00C81962"/>
    <w:rsid w:val="00C81BE8"/>
    <w:rsid w:val="00C81DE4"/>
    <w:rsid w:val="00C823E3"/>
    <w:rsid w:val="00C83667"/>
    <w:rsid w:val="00C83CD7"/>
    <w:rsid w:val="00C84400"/>
    <w:rsid w:val="00C84452"/>
    <w:rsid w:val="00C844E2"/>
    <w:rsid w:val="00C84B56"/>
    <w:rsid w:val="00C84B67"/>
    <w:rsid w:val="00C85605"/>
    <w:rsid w:val="00C85DCF"/>
    <w:rsid w:val="00C87305"/>
    <w:rsid w:val="00C902A9"/>
    <w:rsid w:val="00C90BBE"/>
    <w:rsid w:val="00C91949"/>
    <w:rsid w:val="00C91AA8"/>
    <w:rsid w:val="00C91AB5"/>
    <w:rsid w:val="00C91C87"/>
    <w:rsid w:val="00C91D73"/>
    <w:rsid w:val="00C91F68"/>
    <w:rsid w:val="00C9244E"/>
    <w:rsid w:val="00C925CA"/>
    <w:rsid w:val="00C9265A"/>
    <w:rsid w:val="00C9322E"/>
    <w:rsid w:val="00C933FC"/>
    <w:rsid w:val="00C93451"/>
    <w:rsid w:val="00C9387E"/>
    <w:rsid w:val="00C94402"/>
    <w:rsid w:val="00C94728"/>
    <w:rsid w:val="00C94769"/>
    <w:rsid w:val="00C94AD7"/>
    <w:rsid w:val="00C94C34"/>
    <w:rsid w:val="00C95096"/>
    <w:rsid w:val="00C95189"/>
    <w:rsid w:val="00C95AE2"/>
    <w:rsid w:val="00C96214"/>
    <w:rsid w:val="00C9641A"/>
    <w:rsid w:val="00C96DB8"/>
    <w:rsid w:val="00C96DF4"/>
    <w:rsid w:val="00C97CFE"/>
    <w:rsid w:val="00C97D5E"/>
    <w:rsid w:val="00CA01F2"/>
    <w:rsid w:val="00CA2906"/>
    <w:rsid w:val="00CA2AB5"/>
    <w:rsid w:val="00CA2C3C"/>
    <w:rsid w:val="00CA2DB8"/>
    <w:rsid w:val="00CA3680"/>
    <w:rsid w:val="00CA3806"/>
    <w:rsid w:val="00CA3A03"/>
    <w:rsid w:val="00CA3F12"/>
    <w:rsid w:val="00CA3FA2"/>
    <w:rsid w:val="00CA4168"/>
    <w:rsid w:val="00CA44B8"/>
    <w:rsid w:val="00CA571A"/>
    <w:rsid w:val="00CA6AD7"/>
    <w:rsid w:val="00CA6B86"/>
    <w:rsid w:val="00CA76BD"/>
    <w:rsid w:val="00CB11EB"/>
    <w:rsid w:val="00CB22EE"/>
    <w:rsid w:val="00CB2A90"/>
    <w:rsid w:val="00CB2C8F"/>
    <w:rsid w:val="00CB2D8C"/>
    <w:rsid w:val="00CB30F6"/>
    <w:rsid w:val="00CB3C20"/>
    <w:rsid w:val="00CB3CDD"/>
    <w:rsid w:val="00CB430A"/>
    <w:rsid w:val="00CB465E"/>
    <w:rsid w:val="00CB492A"/>
    <w:rsid w:val="00CB4A83"/>
    <w:rsid w:val="00CB5870"/>
    <w:rsid w:val="00CB5E75"/>
    <w:rsid w:val="00CB60CE"/>
    <w:rsid w:val="00CB60D3"/>
    <w:rsid w:val="00CB768E"/>
    <w:rsid w:val="00CC0772"/>
    <w:rsid w:val="00CC1564"/>
    <w:rsid w:val="00CC1B2B"/>
    <w:rsid w:val="00CC1F3B"/>
    <w:rsid w:val="00CC26F1"/>
    <w:rsid w:val="00CC33C9"/>
    <w:rsid w:val="00CC405F"/>
    <w:rsid w:val="00CC40C5"/>
    <w:rsid w:val="00CC4286"/>
    <w:rsid w:val="00CC457B"/>
    <w:rsid w:val="00CC458B"/>
    <w:rsid w:val="00CC4EC6"/>
    <w:rsid w:val="00CC543C"/>
    <w:rsid w:val="00CC6328"/>
    <w:rsid w:val="00CC6E0F"/>
    <w:rsid w:val="00CC6E4D"/>
    <w:rsid w:val="00CC7E1E"/>
    <w:rsid w:val="00CC7F62"/>
    <w:rsid w:val="00CD0175"/>
    <w:rsid w:val="00CD0C2E"/>
    <w:rsid w:val="00CD1EB7"/>
    <w:rsid w:val="00CD2C41"/>
    <w:rsid w:val="00CD3522"/>
    <w:rsid w:val="00CD36BD"/>
    <w:rsid w:val="00CD3E97"/>
    <w:rsid w:val="00CD4E99"/>
    <w:rsid w:val="00CD57E9"/>
    <w:rsid w:val="00CD61C0"/>
    <w:rsid w:val="00CD6569"/>
    <w:rsid w:val="00CD67D7"/>
    <w:rsid w:val="00CD6E20"/>
    <w:rsid w:val="00CD6FD7"/>
    <w:rsid w:val="00CD7A1D"/>
    <w:rsid w:val="00CE0358"/>
    <w:rsid w:val="00CE05FC"/>
    <w:rsid w:val="00CE0C23"/>
    <w:rsid w:val="00CE128C"/>
    <w:rsid w:val="00CE17E2"/>
    <w:rsid w:val="00CE3065"/>
    <w:rsid w:val="00CE3F0A"/>
    <w:rsid w:val="00CE3FE7"/>
    <w:rsid w:val="00CE4656"/>
    <w:rsid w:val="00CE47CB"/>
    <w:rsid w:val="00CE4B61"/>
    <w:rsid w:val="00CE5B93"/>
    <w:rsid w:val="00CE5CE5"/>
    <w:rsid w:val="00CE641A"/>
    <w:rsid w:val="00CE6D34"/>
    <w:rsid w:val="00CE705E"/>
    <w:rsid w:val="00CE7411"/>
    <w:rsid w:val="00CF00AE"/>
    <w:rsid w:val="00CF161F"/>
    <w:rsid w:val="00CF1C60"/>
    <w:rsid w:val="00CF2546"/>
    <w:rsid w:val="00CF26CB"/>
    <w:rsid w:val="00CF2F79"/>
    <w:rsid w:val="00CF33D5"/>
    <w:rsid w:val="00CF38C6"/>
    <w:rsid w:val="00CF39C7"/>
    <w:rsid w:val="00CF3FD6"/>
    <w:rsid w:val="00CF42D0"/>
    <w:rsid w:val="00CF4B41"/>
    <w:rsid w:val="00CF4C2F"/>
    <w:rsid w:val="00CF5644"/>
    <w:rsid w:val="00CF5EA5"/>
    <w:rsid w:val="00CF6096"/>
    <w:rsid w:val="00CF6263"/>
    <w:rsid w:val="00CF6712"/>
    <w:rsid w:val="00CF701C"/>
    <w:rsid w:val="00CF71C7"/>
    <w:rsid w:val="00D00FB9"/>
    <w:rsid w:val="00D019D5"/>
    <w:rsid w:val="00D0259C"/>
    <w:rsid w:val="00D0282C"/>
    <w:rsid w:val="00D0373D"/>
    <w:rsid w:val="00D0405A"/>
    <w:rsid w:val="00D040F1"/>
    <w:rsid w:val="00D04F36"/>
    <w:rsid w:val="00D05104"/>
    <w:rsid w:val="00D0567E"/>
    <w:rsid w:val="00D06221"/>
    <w:rsid w:val="00D06C35"/>
    <w:rsid w:val="00D07E11"/>
    <w:rsid w:val="00D107AE"/>
    <w:rsid w:val="00D10A10"/>
    <w:rsid w:val="00D11BE6"/>
    <w:rsid w:val="00D13F6E"/>
    <w:rsid w:val="00D14062"/>
    <w:rsid w:val="00D1484B"/>
    <w:rsid w:val="00D161AC"/>
    <w:rsid w:val="00D17557"/>
    <w:rsid w:val="00D17E37"/>
    <w:rsid w:val="00D2013A"/>
    <w:rsid w:val="00D20FDA"/>
    <w:rsid w:val="00D212C5"/>
    <w:rsid w:val="00D2177C"/>
    <w:rsid w:val="00D2248D"/>
    <w:rsid w:val="00D2257D"/>
    <w:rsid w:val="00D22CCD"/>
    <w:rsid w:val="00D2318F"/>
    <w:rsid w:val="00D23729"/>
    <w:rsid w:val="00D23F46"/>
    <w:rsid w:val="00D24279"/>
    <w:rsid w:val="00D25559"/>
    <w:rsid w:val="00D2609B"/>
    <w:rsid w:val="00D26F35"/>
    <w:rsid w:val="00D27A20"/>
    <w:rsid w:val="00D30D0B"/>
    <w:rsid w:val="00D30F9F"/>
    <w:rsid w:val="00D3291B"/>
    <w:rsid w:val="00D32C0F"/>
    <w:rsid w:val="00D33CB0"/>
    <w:rsid w:val="00D3425F"/>
    <w:rsid w:val="00D3518A"/>
    <w:rsid w:val="00D356AB"/>
    <w:rsid w:val="00D3574D"/>
    <w:rsid w:val="00D35A7E"/>
    <w:rsid w:val="00D36B8A"/>
    <w:rsid w:val="00D36D10"/>
    <w:rsid w:val="00D375A6"/>
    <w:rsid w:val="00D37902"/>
    <w:rsid w:val="00D40093"/>
    <w:rsid w:val="00D40455"/>
    <w:rsid w:val="00D41016"/>
    <w:rsid w:val="00D41137"/>
    <w:rsid w:val="00D41A1F"/>
    <w:rsid w:val="00D4289C"/>
    <w:rsid w:val="00D43A5B"/>
    <w:rsid w:val="00D44046"/>
    <w:rsid w:val="00D444CA"/>
    <w:rsid w:val="00D4510B"/>
    <w:rsid w:val="00D45811"/>
    <w:rsid w:val="00D46954"/>
    <w:rsid w:val="00D46C41"/>
    <w:rsid w:val="00D46D3A"/>
    <w:rsid w:val="00D46F33"/>
    <w:rsid w:val="00D471CD"/>
    <w:rsid w:val="00D479F3"/>
    <w:rsid w:val="00D507CD"/>
    <w:rsid w:val="00D50E05"/>
    <w:rsid w:val="00D512DA"/>
    <w:rsid w:val="00D51B88"/>
    <w:rsid w:val="00D526CB"/>
    <w:rsid w:val="00D53142"/>
    <w:rsid w:val="00D538ED"/>
    <w:rsid w:val="00D53975"/>
    <w:rsid w:val="00D53C0D"/>
    <w:rsid w:val="00D53FA7"/>
    <w:rsid w:val="00D5451B"/>
    <w:rsid w:val="00D54806"/>
    <w:rsid w:val="00D5513A"/>
    <w:rsid w:val="00D552EF"/>
    <w:rsid w:val="00D55755"/>
    <w:rsid w:val="00D55CF2"/>
    <w:rsid w:val="00D55DDC"/>
    <w:rsid w:val="00D563A6"/>
    <w:rsid w:val="00D564D3"/>
    <w:rsid w:val="00D56697"/>
    <w:rsid w:val="00D566D8"/>
    <w:rsid w:val="00D5675D"/>
    <w:rsid w:val="00D5695B"/>
    <w:rsid w:val="00D56CDD"/>
    <w:rsid w:val="00D573A1"/>
    <w:rsid w:val="00D6008D"/>
    <w:rsid w:val="00D60549"/>
    <w:rsid w:val="00D60AC0"/>
    <w:rsid w:val="00D60B98"/>
    <w:rsid w:val="00D63980"/>
    <w:rsid w:val="00D641A1"/>
    <w:rsid w:val="00D6477A"/>
    <w:rsid w:val="00D64CD7"/>
    <w:rsid w:val="00D64D04"/>
    <w:rsid w:val="00D6670F"/>
    <w:rsid w:val="00D66B01"/>
    <w:rsid w:val="00D670CD"/>
    <w:rsid w:val="00D672D4"/>
    <w:rsid w:val="00D673A9"/>
    <w:rsid w:val="00D70B8F"/>
    <w:rsid w:val="00D730C8"/>
    <w:rsid w:val="00D7322B"/>
    <w:rsid w:val="00D73BA3"/>
    <w:rsid w:val="00D75D15"/>
    <w:rsid w:val="00D75E1F"/>
    <w:rsid w:val="00D75EA2"/>
    <w:rsid w:val="00D7670F"/>
    <w:rsid w:val="00D76896"/>
    <w:rsid w:val="00D778E3"/>
    <w:rsid w:val="00D779C8"/>
    <w:rsid w:val="00D77A49"/>
    <w:rsid w:val="00D77C88"/>
    <w:rsid w:val="00D80D2A"/>
    <w:rsid w:val="00D81258"/>
    <w:rsid w:val="00D81F50"/>
    <w:rsid w:val="00D81FBC"/>
    <w:rsid w:val="00D820E0"/>
    <w:rsid w:val="00D82888"/>
    <w:rsid w:val="00D82C1E"/>
    <w:rsid w:val="00D83CAD"/>
    <w:rsid w:val="00D846AA"/>
    <w:rsid w:val="00D84821"/>
    <w:rsid w:val="00D8525D"/>
    <w:rsid w:val="00D86156"/>
    <w:rsid w:val="00D8646D"/>
    <w:rsid w:val="00D86B17"/>
    <w:rsid w:val="00D90517"/>
    <w:rsid w:val="00D910EF"/>
    <w:rsid w:val="00D912B0"/>
    <w:rsid w:val="00D92360"/>
    <w:rsid w:val="00D92753"/>
    <w:rsid w:val="00D92B82"/>
    <w:rsid w:val="00D9320A"/>
    <w:rsid w:val="00D938DE"/>
    <w:rsid w:val="00D939BA"/>
    <w:rsid w:val="00D93CF0"/>
    <w:rsid w:val="00D93EB3"/>
    <w:rsid w:val="00D94190"/>
    <w:rsid w:val="00D94261"/>
    <w:rsid w:val="00D9573B"/>
    <w:rsid w:val="00D95B92"/>
    <w:rsid w:val="00D95C52"/>
    <w:rsid w:val="00D95D75"/>
    <w:rsid w:val="00DA09A5"/>
    <w:rsid w:val="00DA0FB2"/>
    <w:rsid w:val="00DA1C4F"/>
    <w:rsid w:val="00DA1E98"/>
    <w:rsid w:val="00DA2747"/>
    <w:rsid w:val="00DA275F"/>
    <w:rsid w:val="00DA4C0E"/>
    <w:rsid w:val="00DA4ECE"/>
    <w:rsid w:val="00DA508F"/>
    <w:rsid w:val="00DA5ACB"/>
    <w:rsid w:val="00DA6C55"/>
    <w:rsid w:val="00DA6D2E"/>
    <w:rsid w:val="00DA7273"/>
    <w:rsid w:val="00DA786A"/>
    <w:rsid w:val="00DB0C0F"/>
    <w:rsid w:val="00DB1334"/>
    <w:rsid w:val="00DB18B2"/>
    <w:rsid w:val="00DB2966"/>
    <w:rsid w:val="00DB2AAF"/>
    <w:rsid w:val="00DB2CD6"/>
    <w:rsid w:val="00DB52F8"/>
    <w:rsid w:val="00DB54DA"/>
    <w:rsid w:val="00DB5D50"/>
    <w:rsid w:val="00DB5F83"/>
    <w:rsid w:val="00DB6376"/>
    <w:rsid w:val="00DB714A"/>
    <w:rsid w:val="00DC012C"/>
    <w:rsid w:val="00DC0130"/>
    <w:rsid w:val="00DC16F0"/>
    <w:rsid w:val="00DC192E"/>
    <w:rsid w:val="00DC1B0A"/>
    <w:rsid w:val="00DC243F"/>
    <w:rsid w:val="00DC2465"/>
    <w:rsid w:val="00DC2691"/>
    <w:rsid w:val="00DC3347"/>
    <w:rsid w:val="00DC3F4C"/>
    <w:rsid w:val="00DC4443"/>
    <w:rsid w:val="00DC4A03"/>
    <w:rsid w:val="00DC4B7F"/>
    <w:rsid w:val="00DC503F"/>
    <w:rsid w:val="00DC60AF"/>
    <w:rsid w:val="00DC62A0"/>
    <w:rsid w:val="00DC67E4"/>
    <w:rsid w:val="00DC6AA4"/>
    <w:rsid w:val="00DC6D07"/>
    <w:rsid w:val="00DD0F13"/>
    <w:rsid w:val="00DD1E28"/>
    <w:rsid w:val="00DD2D4E"/>
    <w:rsid w:val="00DD3929"/>
    <w:rsid w:val="00DD4444"/>
    <w:rsid w:val="00DD4F89"/>
    <w:rsid w:val="00DD5412"/>
    <w:rsid w:val="00DD54C2"/>
    <w:rsid w:val="00DD551B"/>
    <w:rsid w:val="00DD58B1"/>
    <w:rsid w:val="00DD5A68"/>
    <w:rsid w:val="00DD5C59"/>
    <w:rsid w:val="00DD618E"/>
    <w:rsid w:val="00DD6592"/>
    <w:rsid w:val="00DD65EF"/>
    <w:rsid w:val="00DD7003"/>
    <w:rsid w:val="00DD7974"/>
    <w:rsid w:val="00DD7A7E"/>
    <w:rsid w:val="00DD7C5A"/>
    <w:rsid w:val="00DD7CCF"/>
    <w:rsid w:val="00DE05C0"/>
    <w:rsid w:val="00DE05D5"/>
    <w:rsid w:val="00DE1A20"/>
    <w:rsid w:val="00DE3181"/>
    <w:rsid w:val="00DE3D3F"/>
    <w:rsid w:val="00DE3E35"/>
    <w:rsid w:val="00DE43FC"/>
    <w:rsid w:val="00DE4667"/>
    <w:rsid w:val="00DE4CB7"/>
    <w:rsid w:val="00DE5A8C"/>
    <w:rsid w:val="00DE5E3B"/>
    <w:rsid w:val="00DE6702"/>
    <w:rsid w:val="00DE671A"/>
    <w:rsid w:val="00DE73AC"/>
    <w:rsid w:val="00DE79A4"/>
    <w:rsid w:val="00DF0DEC"/>
    <w:rsid w:val="00DF0F96"/>
    <w:rsid w:val="00DF1808"/>
    <w:rsid w:val="00DF1BF7"/>
    <w:rsid w:val="00DF1E10"/>
    <w:rsid w:val="00DF27C9"/>
    <w:rsid w:val="00DF2B51"/>
    <w:rsid w:val="00DF2F86"/>
    <w:rsid w:val="00DF3B89"/>
    <w:rsid w:val="00DF4229"/>
    <w:rsid w:val="00DF49E9"/>
    <w:rsid w:val="00DF4FB7"/>
    <w:rsid w:val="00DF5069"/>
    <w:rsid w:val="00DF51E9"/>
    <w:rsid w:val="00DF5BA7"/>
    <w:rsid w:val="00DF5FF5"/>
    <w:rsid w:val="00DF67B0"/>
    <w:rsid w:val="00DF7B0B"/>
    <w:rsid w:val="00E00279"/>
    <w:rsid w:val="00E02079"/>
    <w:rsid w:val="00E02419"/>
    <w:rsid w:val="00E0369F"/>
    <w:rsid w:val="00E03C60"/>
    <w:rsid w:val="00E04266"/>
    <w:rsid w:val="00E046DC"/>
    <w:rsid w:val="00E048BA"/>
    <w:rsid w:val="00E0498D"/>
    <w:rsid w:val="00E04B4C"/>
    <w:rsid w:val="00E04BD7"/>
    <w:rsid w:val="00E05482"/>
    <w:rsid w:val="00E06CC2"/>
    <w:rsid w:val="00E06FCC"/>
    <w:rsid w:val="00E07D49"/>
    <w:rsid w:val="00E10062"/>
    <w:rsid w:val="00E1084B"/>
    <w:rsid w:val="00E10B83"/>
    <w:rsid w:val="00E10EA7"/>
    <w:rsid w:val="00E11923"/>
    <w:rsid w:val="00E11DEA"/>
    <w:rsid w:val="00E12631"/>
    <w:rsid w:val="00E12A4F"/>
    <w:rsid w:val="00E12B0D"/>
    <w:rsid w:val="00E14732"/>
    <w:rsid w:val="00E1491D"/>
    <w:rsid w:val="00E14B16"/>
    <w:rsid w:val="00E14BE4"/>
    <w:rsid w:val="00E14CF5"/>
    <w:rsid w:val="00E1568A"/>
    <w:rsid w:val="00E15CB7"/>
    <w:rsid w:val="00E16045"/>
    <w:rsid w:val="00E169B7"/>
    <w:rsid w:val="00E16BA7"/>
    <w:rsid w:val="00E16FB1"/>
    <w:rsid w:val="00E1712A"/>
    <w:rsid w:val="00E1769B"/>
    <w:rsid w:val="00E17A54"/>
    <w:rsid w:val="00E208AE"/>
    <w:rsid w:val="00E20D40"/>
    <w:rsid w:val="00E20E03"/>
    <w:rsid w:val="00E21157"/>
    <w:rsid w:val="00E21D99"/>
    <w:rsid w:val="00E222C6"/>
    <w:rsid w:val="00E23A04"/>
    <w:rsid w:val="00E26B04"/>
    <w:rsid w:val="00E2778B"/>
    <w:rsid w:val="00E27C01"/>
    <w:rsid w:val="00E27F20"/>
    <w:rsid w:val="00E27F5C"/>
    <w:rsid w:val="00E3036B"/>
    <w:rsid w:val="00E30422"/>
    <w:rsid w:val="00E30E76"/>
    <w:rsid w:val="00E313A3"/>
    <w:rsid w:val="00E316E8"/>
    <w:rsid w:val="00E31817"/>
    <w:rsid w:val="00E336CE"/>
    <w:rsid w:val="00E33CBD"/>
    <w:rsid w:val="00E33DCE"/>
    <w:rsid w:val="00E34189"/>
    <w:rsid w:val="00E35249"/>
    <w:rsid w:val="00E35563"/>
    <w:rsid w:val="00E3671F"/>
    <w:rsid w:val="00E36F96"/>
    <w:rsid w:val="00E37415"/>
    <w:rsid w:val="00E37435"/>
    <w:rsid w:val="00E378DF"/>
    <w:rsid w:val="00E37B72"/>
    <w:rsid w:val="00E4084F"/>
    <w:rsid w:val="00E40DA8"/>
    <w:rsid w:val="00E4117A"/>
    <w:rsid w:val="00E41711"/>
    <w:rsid w:val="00E42441"/>
    <w:rsid w:val="00E433B9"/>
    <w:rsid w:val="00E43F6C"/>
    <w:rsid w:val="00E440EA"/>
    <w:rsid w:val="00E44476"/>
    <w:rsid w:val="00E445A2"/>
    <w:rsid w:val="00E453FF"/>
    <w:rsid w:val="00E45ECE"/>
    <w:rsid w:val="00E45EF1"/>
    <w:rsid w:val="00E46B8E"/>
    <w:rsid w:val="00E46E0F"/>
    <w:rsid w:val="00E50500"/>
    <w:rsid w:val="00E51266"/>
    <w:rsid w:val="00E51479"/>
    <w:rsid w:val="00E522CD"/>
    <w:rsid w:val="00E525FE"/>
    <w:rsid w:val="00E52698"/>
    <w:rsid w:val="00E53791"/>
    <w:rsid w:val="00E544A8"/>
    <w:rsid w:val="00E5479C"/>
    <w:rsid w:val="00E54A11"/>
    <w:rsid w:val="00E54BD2"/>
    <w:rsid w:val="00E56339"/>
    <w:rsid w:val="00E5638F"/>
    <w:rsid w:val="00E564BC"/>
    <w:rsid w:val="00E56F2D"/>
    <w:rsid w:val="00E571A9"/>
    <w:rsid w:val="00E602F7"/>
    <w:rsid w:val="00E603EE"/>
    <w:rsid w:val="00E60984"/>
    <w:rsid w:val="00E60BFC"/>
    <w:rsid w:val="00E60EE1"/>
    <w:rsid w:val="00E620D4"/>
    <w:rsid w:val="00E634E2"/>
    <w:rsid w:val="00E635FF"/>
    <w:rsid w:val="00E63CC5"/>
    <w:rsid w:val="00E64F07"/>
    <w:rsid w:val="00E64FD7"/>
    <w:rsid w:val="00E65AF8"/>
    <w:rsid w:val="00E65C61"/>
    <w:rsid w:val="00E668AD"/>
    <w:rsid w:val="00E66A59"/>
    <w:rsid w:val="00E67050"/>
    <w:rsid w:val="00E70925"/>
    <w:rsid w:val="00E71B67"/>
    <w:rsid w:val="00E71E84"/>
    <w:rsid w:val="00E721CD"/>
    <w:rsid w:val="00E72527"/>
    <w:rsid w:val="00E72D2D"/>
    <w:rsid w:val="00E72DEB"/>
    <w:rsid w:val="00E732B6"/>
    <w:rsid w:val="00E73508"/>
    <w:rsid w:val="00E73E79"/>
    <w:rsid w:val="00E73F2B"/>
    <w:rsid w:val="00E741D9"/>
    <w:rsid w:val="00E74CD6"/>
    <w:rsid w:val="00E75061"/>
    <w:rsid w:val="00E76502"/>
    <w:rsid w:val="00E76655"/>
    <w:rsid w:val="00E7698A"/>
    <w:rsid w:val="00E76A5C"/>
    <w:rsid w:val="00E76EBE"/>
    <w:rsid w:val="00E77436"/>
    <w:rsid w:val="00E77F9F"/>
    <w:rsid w:val="00E80010"/>
    <w:rsid w:val="00E8033D"/>
    <w:rsid w:val="00E80665"/>
    <w:rsid w:val="00E8187E"/>
    <w:rsid w:val="00E81895"/>
    <w:rsid w:val="00E81BAA"/>
    <w:rsid w:val="00E81E4F"/>
    <w:rsid w:val="00E81FAB"/>
    <w:rsid w:val="00E83F04"/>
    <w:rsid w:val="00E84154"/>
    <w:rsid w:val="00E84828"/>
    <w:rsid w:val="00E84F14"/>
    <w:rsid w:val="00E85DEC"/>
    <w:rsid w:val="00E863AD"/>
    <w:rsid w:val="00E864C7"/>
    <w:rsid w:val="00E8717E"/>
    <w:rsid w:val="00E874A8"/>
    <w:rsid w:val="00E87E62"/>
    <w:rsid w:val="00E906CC"/>
    <w:rsid w:val="00E913A9"/>
    <w:rsid w:val="00E916D9"/>
    <w:rsid w:val="00E919D6"/>
    <w:rsid w:val="00E91DE2"/>
    <w:rsid w:val="00E93100"/>
    <w:rsid w:val="00E93419"/>
    <w:rsid w:val="00E93486"/>
    <w:rsid w:val="00E95587"/>
    <w:rsid w:val="00E96262"/>
    <w:rsid w:val="00E96DAF"/>
    <w:rsid w:val="00E972C5"/>
    <w:rsid w:val="00E975C8"/>
    <w:rsid w:val="00EA0126"/>
    <w:rsid w:val="00EA073A"/>
    <w:rsid w:val="00EA0ADE"/>
    <w:rsid w:val="00EA1C15"/>
    <w:rsid w:val="00EA20CB"/>
    <w:rsid w:val="00EA3BE4"/>
    <w:rsid w:val="00EA4574"/>
    <w:rsid w:val="00EA4CAB"/>
    <w:rsid w:val="00EA501A"/>
    <w:rsid w:val="00EA55D6"/>
    <w:rsid w:val="00EA5AA0"/>
    <w:rsid w:val="00EA6361"/>
    <w:rsid w:val="00EA6937"/>
    <w:rsid w:val="00EA7026"/>
    <w:rsid w:val="00EA776B"/>
    <w:rsid w:val="00EA7A38"/>
    <w:rsid w:val="00EA7E90"/>
    <w:rsid w:val="00EA7EAE"/>
    <w:rsid w:val="00EB0786"/>
    <w:rsid w:val="00EB0FB1"/>
    <w:rsid w:val="00EB1B08"/>
    <w:rsid w:val="00EB267A"/>
    <w:rsid w:val="00EB2998"/>
    <w:rsid w:val="00EB2A13"/>
    <w:rsid w:val="00EB3477"/>
    <w:rsid w:val="00EB4AAB"/>
    <w:rsid w:val="00EB4B44"/>
    <w:rsid w:val="00EB5641"/>
    <w:rsid w:val="00EB6626"/>
    <w:rsid w:val="00EB686C"/>
    <w:rsid w:val="00EB6D5C"/>
    <w:rsid w:val="00EB7A2C"/>
    <w:rsid w:val="00EC0BC2"/>
    <w:rsid w:val="00EC0C51"/>
    <w:rsid w:val="00EC159A"/>
    <w:rsid w:val="00EC17A5"/>
    <w:rsid w:val="00EC1E5F"/>
    <w:rsid w:val="00EC2038"/>
    <w:rsid w:val="00EC2128"/>
    <w:rsid w:val="00EC21C8"/>
    <w:rsid w:val="00EC24DF"/>
    <w:rsid w:val="00EC292A"/>
    <w:rsid w:val="00EC52EE"/>
    <w:rsid w:val="00EC54CD"/>
    <w:rsid w:val="00EC5C69"/>
    <w:rsid w:val="00EC61AC"/>
    <w:rsid w:val="00EC62FC"/>
    <w:rsid w:val="00EC655C"/>
    <w:rsid w:val="00EC6835"/>
    <w:rsid w:val="00EC6AF1"/>
    <w:rsid w:val="00EC6DA7"/>
    <w:rsid w:val="00EC7C5F"/>
    <w:rsid w:val="00EC7F0F"/>
    <w:rsid w:val="00ED222A"/>
    <w:rsid w:val="00ED2366"/>
    <w:rsid w:val="00ED2EDD"/>
    <w:rsid w:val="00ED43FF"/>
    <w:rsid w:val="00ED4D65"/>
    <w:rsid w:val="00ED60D1"/>
    <w:rsid w:val="00ED6937"/>
    <w:rsid w:val="00ED696B"/>
    <w:rsid w:val="00ED6BCB"/>
    <w:rsid w:val="00ED7D45"/>
    <w:rsid w:val="00EE0928"/>
    <w:rsid w:val="00EE0F6D"/>
    <w:rsid w:val="00EE159C"/>
    <w:rsid w:val="00EE1E78"/>
    <w:rsid w:val="00EE2246"/>
    <w:rsid w:val="00EE27E5"/>
    <w:rsid w:val="00EE28DB"/>
    <w:rsid w:val="00EE338D"/>
    <w:rsid w:val="00EE3C74"/>
    <w:rsid w:val="00EE426B"/>
    <w:rsid w:val="00EE5056"/>
    <w:rsid w:val="00EE6274"/>
    <w:rsid w:val="00EF0F8E"/>
    <w:rsid w:val="00EF1C9D"/>
    <w:rsid w:val="00EF1D52"/>
    <w:rsid w:val="00EF2377"/>
    <w:rsid w:val="00EF38A3"/>
    <w:rsid w:val="00EF3A74"/>
    <w:rsid w:val="00EF52D1"/>
    <w:rsid w:val="00EF58FD"/>
    <w:rsid w:val="00EF61B3"/>
    <w:rsid w:val="00EF6371"/>
    <w:rsid w:val="00EF64C5"/>
    <w:rsid w:val="00EF70B5"/>
    <w:rsid w:val="00EF74C1"/>
    <w:rsid w:val="00EF7615"/>
    <w:rsid w:val="00EF7692"/>
    <w:rsid w:val="00EF7B75"/>
    <w:rsid w:val="00F00E8E"/>
    <w:rsid w:val="00F02105"/>
    <w:rsid w:val="00F02FBA"/>
    <w:rsid w:val="00F03382"/>
    <w:rsid w:val="00F037C5"/>
    <w:rsid w:val="00F03843"/>
    <w:rsid w:val="00F04D15"/>
    <w:rsid w:val="00F0544A"/>
    <w:rsid w:val="00F0608E"/>
    <w:rsid w:val="00F06214"/>
    <w:rsid w:val="00F06D29"/>
    <w:rsid w:val="00F0724E"/>
    <w:rsid w:val="00F07629"/>
    <w:rsid w:val="00F10172"/>
    <w:rsid w:val="00F10294"/>
    <w:rsid w:val="00F10545"/>
    <w:rsid w:val="00F108DF"/>
    <w:rsid w:val="00F109A2"/>
    <w:rsid w:val="00F10F2C"/>
    <w:rsid w:val="00F113DC"/>
    <w:rsid w:val="00F11858"/>
    <w:rsid w:val="00F12FBD"/>
    <w:rsid w:val="00F13162"/>
    <w:rsid w:val="00F132A8"/>
    <w:rsid w:val="00F1363F"/>
    <w:rsid w:val="00F141BA"/>
    <w:rsid w:val="00F144B8"/>
    <w:rsid w:val="00F1484B"/>
    <w:rsid w:val="00F153C1"/>
    <w:rsid w:val="00F154C9"/>
    <w:rsid w:val="00F154CE"/>
    <w:rsid w:val="00F16430"/>
    <w:rsid w:val="00F20C41"/>
    <w:rsid w:val="00F21123"/>
    <w:rsid w:val="00F21AB9"/>
    <w:rsid w:val="00F21C9E"/>
    <w:rsid w:val="00F227D2"/>
    <w:rsid w:val="00F22FED"/>
    <w:rsid w:val="00F236E4"/>
    <w:rsid w:val="00F23BE9"/>
    <w:rsid w:val="00F24600"/>
    <w:rsid w:val="00F25941"/>
    <w:rsid w:val="00F25AB0"/>
    <w:rsid w:val="00F25B07"/>
    <w:rsid w:val="00F273DB"/>
    <w:rsid w:val="00F273DE"/>
    <w:rsid w:val="00F27DBC"/>
    <w:rsid w:val="00F30785"/>
    <w:rsid w:val="00F314D8"/>
    <w:rsid w:val="00F315E0"/>
    <w:rsid w:val="00F31800"/>
    <w:rsid w:val="00F3260A"/>
    <w:rsid w:val="00F32720"/>
    <w:rsid w:val="00F335D9"/>
    <w:rsid w:val="00F33C15"/>
    <w:rsid w:val="00F33D4E"/>
    <w:rsid w:val="00F33DA9"/>
    <w:rsid w:val="00F33E76"/>
    <w:rsid w:val="00F34410"/>
    <w:rsid w:val="00F3476B"/>
    <w:rsid w:val="00F34961"/>
    <w:rsid w:val="00F3558C"/>
    <w:rsid w:val="00F35C0F"/>
    <w:rsid w:val="00F35E06"/>
    <w:rsid w:val="00F36CCD"/>
    <w:rsid w:val="00F37677"/>
    <w:rsid w:val="00F37B07"/>
    <w:rsid w:val="00F41551"/>
    <w:rsid w:val="00F42243"/>
    <w:rsid w:val="00F424F8"/>
    <w:rsid w:val="00F42B19"/>
    <w:rsid w:val="00F4347F"/>
    <w:rsid w:val="00F43529"/>
    <w:rsid w:val="00F4380A"/>
    <w:rsid w:val="00F43873"/>
    <w:rsid w:val="00F4397F"/>
    <w:rsid w:val="00F43A93"/>
    <w:rsid w:val="00F43ACA"/>
    <w:rsid w:val="00F4415E"/>
    <w:rsid w:val="00F447FF"/>
    <w:rsid w:val="00F44B7B"/>
    <w:rsid w:val="00F46D25"/>
    <w:rsid w:val="00F47C1E"/>
    <w:rsid w:val="00F47EEB"/>
    <w:rsid w:val="00F501E6"/>
    <w:rsid w:val="00F50813"/>
    <w:rsid w:val="00F508F9"/>
    <w:rsid w:val="00F50B3E"/>
    <w:rsid w:val="00F51026"/>
    <w:rsid w:val="00F511BB"/>
    <w:rsid w:val="00F514D1"/>
    <w:rsid w:val="00F5168C"/>
    <w:rsid w:val="00F516B9"/>
    <w:rsid w:val="00F519D9"/>
    <w:rsid w:val="00F523FA"/>
    <w:rsid w:val="00F53773"/>
    <w:rsid w:val="00F54ED2"/>
    <w:rsid w:val="00F5507D"/>
    <w:rsid w:val="00F5514A"/>
    <w:rsid w:val="00F56391"/>
    <w:rsid w:val="00F56B91"/>
    <w:rsid w:val="00F57075"/>
    <w:rsid w:val="00F57394"/>
    <w:rsid w:val="00F576FA"/>
    <w:rsid w:val="00F57BE1"/>
    <w:rsid w:val="00F60594"/>
    <w:rsid w:val="00F606DB"/>
    <w:rsid w:val="00F60C3B"/>
    <w:rsid w:val="00F60D75"/>
    <w:rsid w:val="00F617AD"/>
    <w:rsid w:val="00F61E83"/>
    <w:rsid w:val="00F620AB"/>
    <w:rsid w:val="00F64D8E"/>
    <w:rsid w:val="00F65C5F"/>
    <w:rsid w:val="00F6627B"/>
    <w:rsid w:val="00F67016"/>
    <w:rsid w:val="00F670CE"/>
    <w:rsid w:val="00F673BE"/>
    <w:rsid w:val="00F70A42"/>
    <w:rsid w:val="00F7126B"/>
    <w:rsid w:val="00F714C6"/>
    <w:rsid w:val="00F717F4"/>
    <w:rsid w:val="00F71864"/>
    <w:rsid w:val="00F71A3D"/>
    <w:rsid w:val="00F7377D"/>
    <w:rsid w:val="00F73BDF"/>
    <w:rsid w:val="00F744F6"/>
    <w:rsid w:val="00F74953"/>
    <w:rsid w:val="00F7561A"/>
    <w:rsid w:val="00F7590A"/>
    <w:rsid w:val="00F75A86"/>
    <w:rsid w:val="00F7733E"/>
    <w:rsid w:val="00F81488"/>
    <w:rsid w:val="00F81B39"/>
    <w:rsid w:val="00F81C13"/>
    <w:rsid w:val="00F82A92"/>
    <w:rsid w:val="00F830AB"/>
    <w:rsid w:val="00F8315D"/>
    <w:rsid w:val="00F834B5"/>
    <w:rsid w:val="00F83C7B"/>
    <w:rsid w:val="00F842B1"/>
    <w:rsid w:val="00F8487E"/>
    <w:rsid w:val="00F851A9"/>
    <w:rsid w:val="00F851CA"/>
    <w:rsid w:val="00F86049"/>
    <w:rsid w:val="00F875B8"/>
    <w:rsid w:val="00F87B7D"/>
    <w:rsid w:val="00F90109"/>
    <w:rsid w:val="00F905E1"/>
    <w:rsid w:val="00F914FD"/>
    <w:rsid w:val="00F9196D"/>
    <w:rsid w:val="00F91A10"/>
    <w:rsid w:val="00F91E78"/>
    <w:rsid w:val="00F92002"/>
    <w:rsid w:val="00F925E5"/>
    <w:rsid w:val="00F93642"/>
    <w:rsid w:val="00F9460B"/>
    <w:rsid w:val="00F94979"/>
    <w:rsid w:val="00F94E1A"/>
    <w:rsid w:val="00F9568B"/>
    <w:rsid w:val="00F957DF"/>
    <w:rsid w:val="00F95E4C"/>
    <w:rsid w:val="00F95F43"/>
    <w:rsid w:val="00F97140"/>
    <w:rsid w:val="00F977FD"/>
    <w:rsid w:val="00FA0265"/>
    <w:rsid w:val="00FA03C9"/>
    <w:rsid w:val="00FA0450"/>
    <w:rsid w:val="00FA0C6E"/>
    <w:rsid w:val="00FA13CF"/>
    <w:rsid w:val="00FA1963"/>
    <w:rsid w:val="00FA1B05"/>
    <w:rsid w:val="00FA2B73"/>
    <w:rsid w:val="00FA2C56"/>
    <w:rsid w:val="00FA36D1"/>
    <w:rsid w:val="00FA383E"/>
    <w:rsid w:val="00FA3A4B"/>
    <w:rsid w:val="00FA3EC9"/>
    <w:rsid w:val="00FA5A44"/>
    <w:rsid w:val="00FA7E3A"/>
    <w:rsid w:val="00FB0794"/>
    <w:rsid w:val="00FB0E30"/>
    <w:rsid w:val="00FB1F2A"/>
    <w:rsid w:val="00FB20DB"/>
    <w:rsid w:val="00FB32F9"/>
    <w:rsid w:val="00FB34A4"/>
    <w:rsid w:val="00FB3B91"/>
    <w:rsid w:val="00FB450C"/>
    <w:rsid w:val="00FB45D9"/>
    <w:rsid w:val="00FB4E5D"/>
    <w:rsid w:val="00FB502D"/>
    <w:rsid w:val="00FB5086"/>
    <w:rsid w:val="00FB55C9"/>
    <w:rsid w:val="00FB57A5"/>
    <w:rsid w:val="00FB5868"/>
    <w:rsid w:val="00FB5CBF"/>
    <w:rsid w:val="00FB6604"/>
    <w:rsid w:val="00FB6D3D"/>
    <w:rsid w:val="00FB6FB5"/>
    <w:rsid w:val="00FC001C"/>
    <w:rsid w:val="00FC1E9E"/>
    <w:rsid w:val="00FC2266"/>
    <w:rsid w:val="00FC344D"/>
    <w:rsid w:val="00FC4D5B"/>
    <w:rsid w:val="00FC5C29"/>
    <w:rsid w:val="00FC5E03"/>
    <w:rsid w:val="00FC6B7E"/>
    <w:rsid w:val="00FC6C0A"/>
    <w:rsid w:val="00FC6CB1"/>
    <w:rsid w:val="00FC7398"/>
    <w:rsid w:val="00FC7434"/>
    <w:rsid w:val="00FC7E06"/>
    <w:rsid w:val="00FC7E7C"/>
    <w:rsid w:val="00FC7FD4"/>
    <w:rsid w:val="00FD087C"/>
    <w:rsid w:val="00FD09CC"/>
    <w:rsid w:val="00FD0DBD"/>
    <w:rsid w:val="00FD0FC5"/>
    <w:rsid w:val="00FD184F"/>
    <w:rsid w:val="00FD2F4A"/>
    <w:rsid w:val="00FD2F63"/>
    <w:rsid w:val="00FD333B"/>
    <w:rsid w:val="00FD3DEA"/>
    <w:rsid w:val="00FD3FD2"/>
    <w:rsid w:val="00FD4789"/>
    <w:rsid w:val="00FD4CE9"/>
    <w:rsid w:val="00FD4D54"/>
    <w:rsid w:val="00FD59A7"/>
    <w:rsid w:val="00FD5ED4"/>
    <w:rsid w:val="00FD6218"/>
    <w:rsid w:val="00FD6780"/>
    <w:rsid w:val="00FD6856"/>
    <w:rsid w:val="00FD7316"/>
    <w:rsid w:val="00FD741A"/>
    <w:rsid w:val="00FE0439"/>
    <w:rsid w:val="00FE0F3A"/>
    <w:rsid w:val="00FE140C"/>
    <w:rsid w:val="00FE14E3"/>
    <w:rsid w:val="00FE1BC8"/>
    <w:rsid w:val="00FE1F36"/>
    <w:rsid w:val="00FE229F"/>
    <w:rsid w:val="00FE29AC"/>
    <w:rsid w:val="00FE35F8"/>
    <w:rsid w:val="00FE3936"/>
    <w:rsid w:val="00FE3DBE"/>
    <w:rsid w:val="00FE3EE8"/>
    <w:rsid w:val="00FE413B"/>
    <w:rsid w:val="00FE47B3"/>
    <w:rsid w:val="00FE566B"/>
    <w:rsid w:val="00FE5917"/>
    <w:rsid w:val="00FE656B"/>
    <w:rsid w:val="00FE6BD9"/>
    <w:rsid w:val="00FE6FC1"/>
    <w:rsid w:val="00FF0B78"/>
    <w:rsid w:val="00FF10AF"/>
    <w:rsid w:val="00FF35A5"/>
    <w:rsid w:val="00FF3BEA"/>
    <w:rsid w:val="00FF3F37"/>
    <w:rsid w:val="00FF4146"/>
    <w:rsid w:val="00FF4BE1"/>
    <w:rsid w:val="00FF56D2"/>
    <w:rsid w:val="00FF5ADF"/>
    <w:rsid w:val="00FF5C17"/>
    <w:rsid w:val="00FF5C1B"/>
    <w:rsid w:val="00FF62C0"/>
    <w:rsid w:val="00FF6307"/>
    <w:rsid w:val="00FF6869"/>
    <w:rsid w:val="00FF68B5"/>
    <w:rsid w:val="00FF690F"/>
    <w:rsid w:val="00FF787E"/>
    <w:rsid w:val="00FF79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B3"/>
    <w:pPr>
      <w:spacing w:after="200" w:line="276" w:lineRule="auto"/>
    </w:pPr>
    <w:rPr>
      <w:sz w:val="22"/>
      <w:szCs w:val="22"/>
      <w:lang w:val="en-GB" w:eastAsia="en-US"/>
    </w:rPr>
  </w:style>
  <w:style w:type="paragraph" w:styleId="3">
    <w:name w:val="heading 3"/>
    <w:basedOn w:val="a"/>
    <w:next w:val="a"/>
    <w:link w:val="3Char"/>
    <w:uiPriority w:val="9"/>
    <w:unhideWhenUsed/>
    <w:qFormat/>
    <w:rsid w:val="006B4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1E5"/>
    <w:pPr>
      <w:ind w:left="720"/>
    </w:pPr>
  </w:style>
  <w:style w:type="paragraph" w:customStyle="1" w:styleId="Default">
    <w:name w:val="Default"/>
    <w:rsid w:val="001011E5"/>
    <w:pPr>
      <w:autoSpaceDE w:val="0"/>
      <w:autoSpaceDN w:val="0"/>
      <w:adjustRightInd w:val="0"/>
    </w:pPr>
    <w:rPr>
      <w:rFonts w:ascii="Arial" w:hAnsi="Arial" w:cs="Arial"/>
      <w:color w:val="000000"/>
      <w:sz w:val="24"/>
      <w:szCs w:val="24"/>
      <w:lang w:eastAsia="en-US"/>
    </w:rPr>
  </w:style>
  <w:style w:type="paragraph" w:customStyle="1" w:styleId="normaltext">
    <w:name w:val="normaltext"/>
    <w:basedOn w:val="a"/>
    <w:rsid w:val="001011E5"/>
    <w:pPr>
      <w:spacing w:before="100" w:beforeAutospacing="1" w:after="100" w:afterAutospacing="1" w:line="240" w:lineRule="auto"/>
    </w:pPr>
    <w:rPr>
      <w:rFonts w:ascii="Verdana" w:eastAsia="Arial Unicode MS" w:hAnsi="Verdana" w:cs="Arial Unicode MS"/>
      <w:color w:val="000000"/>
      <w:sz w:val="17"/>
      <w:szCs w:val="17"/>
      <w:lang w:val="el-GR" w:eastAsia="el-GR"/>
    </w:rPr>
  </w:style>
  <w:style w:type="paragraph" w:styleId="a4">
    <w:name w:val="Block Text"/>
    <w:basedOn w:val="a"/>
    <w:rsid w:val="001011E5"/>
    <w:pPr>
      <w:spacing w:before="120" w:after="120" w:line="280" w:lineRule="atLeast"/>
      <w:ind w:left="540" w:right="612"/>
      <w:jc w:val="center"/>
    </w:pPr>
    <w:rPr>
      <w:rFonts w:ascii="Arial" w:eastAsia="Times New Roman" w:hAnsi="Arial" w:cs="Arial"/>
      <w:b/>
      <w:bCs/>
      <w:sz w:val="24"/>
      <w:lang w:val="el-GR"/>
    </w:rPr>
  </w:style>
  <w:style w:type="paragraph" w:styleId="a5">
    <w:name w:val="header"/>
    <w:basedOn w:val="a"/>
    <w:link w:val="Char"/>
    <w:uiPriority w:val="99"/>
    <w:unhideWhenUsed/>
    <w:rsid w:val="001011E5"/>
    <w:pPr>
      <w:tabs>
        <w:tab w:val="center" w:pos="4153"/>
        <w:tab w:val="right" w:pos="8306"/>
      </w:tabs>
    </w:pPr>
  </w:style>
  <w:style w:type="character" w:customStyle="1" w:styleId="Char">
    <w:name w:val="Κεφαλίδα Char"/>
    <w:basedOn w:val="a0"/>
    <w:link w:val="a5"/>
    <w:uiPriority w:val="99"/>
    <w:rsid w:val="001011E5"/>
    <w:rPr>
      <w:rFonts w:ascii="Calibri" w:eastAsia="Calibri" w:hAnsi="Calibri" w:cs="Times New Roman"/>
      <w:lang w:val="en-GB"/>
    </w:rPr>
  </w:style>
  <w:style w:type="paragraph" w:styleId="a6">
    <w:name w:val="footer"/>
    <w:basedOn w:val="a"/>
    <w:link w:val="Char0"/>
    <w:uiPriority w:val="99"/>
    <w:unhideWhenUsed/>
    <w:rsid w:val="001011E5"/>
    <w:pPr>
      <w:tabs>
        <w:tab w:val="center" w:pos="4153"/>
        <w:tab w:val="right" w:pos="8306"/>
      </w:tabs>
    </w:pPr>
  </w:style>
  <w:style w:type="character" w:customStyle="1" w:styleId="Char0">
    <w:name w:val="Υποσέλιδο Char"/>
    <w:basedOn w:val="a0"/>
    <w:link w:val="a6"/>
    <w:uiPriority w:val="99"/>
    <w:rsid w:val="001011E5"/>
    <w:rPr>
      <w:rFonts w:ascii="Calibri" w:eastAsia="Calibri" w:hAnsi="Calibri" w:cs="Times New Roman"/>
      <w:lang w:val="en-GB"/>
    </w:rPr>
  </w:style>
  <w:style w:type="paragraph" w:styleId="a7">
    <w:name w:val="Balloon Text"/>
    <w:basedOn w:val="a"/>
    <w:link w:val="Char1"/>
    <w:uiPriority w:val="99"/>
    <w:semiHidden/>
    <w:unhideWhenUsed/>
    <w:rsid w:val="001011E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011E5"/>
    <w:rPr>
      <w:rFonts w:ascii="Tahoma" w:eastAsia="Calibri" w:hAnsi="Tahoma" w:cs="Tahoma"/>
      <w:sz w:val="16"/>
      <w:szCs w:val="16"/>
      <w:lang w:val="en-GB"/>
    </w:rPr>
  </w:style>
  <w:style w:type="paragraph" w:customStyle="1" w:styleId="CM10">
    <w:name w:val="CM10"/>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3">
    <w:name w:val="CM3"/>
    <w:basedOn w:val="Default"/>
    <w:next w:val="Default"/>
    <w:uiPriority w:val="99"/>
    <w:rsid w:val="001011E5"/>
    <w:pPr>
      <w:widowControl w:val="0"/>
      <w:spacing w:line="280" w:lineRule="atLeast"/>
    </w:pPr>
    <w:rPr>
      <w:rFonts w:ascii="Calibri" w:eastAsia="Times New Roman" w:hAnsi="Calibri" w:cs="Times New Roman"/>
      <w:color w:val="auto"/>
      <w:lang w:eastAsia="el-GR"/>
    </w:rPr>
  </w:style>
  <w:style w:type="paragraph" w:customStyle="1" w:styleId="CM1">
    <w:name w:val="CM1"/>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9">
    <w:name w:val="CM9"/>
    <w:basedOn w:val="Default"/>
    <w:next w:val="Default"/>
    <w:uiPriority w:val="99"/>
    <w:rsid w:val="001011E5"/>
    <w:pPr>
      <w:widowControl w:val="0"/>
    </w:pPr>
    <w:rPr>
      <w:rFonts w:ascii="Calibri" w:eastAsia="Times New Roman" w:hAnsi="Calibri" w:cs="Times New Roman"/>
      <w:color w:val="auto"/>
      <w:lang w:eastAsia="el-GR"/>
    </w:rPr>
  </w:style>
  <w:style w:type="paragraph" w:styleId="a8">
    <w:name w:val="footnote text"/>
    <w:basedOn w:val="a"/>
    <w:link w:val="Char2"/>
    <w:uiPriority w:val="99"/>
    <w:semiHidden/>
    <w:unhideWhenUsed/>
    <w:rsid w:val="00F108DF"/>
    <w:pPr>
      <w:spacing w:after="0" w:line="240" w:lineRule="auto"/>
    </w:pPr>
    <w:rPr>
      <w:sz w:val="20"/>
      <w:szCs w:val="20"/>
    </w:rPr>
  </w:style>
  <w:style w:type="character" w:customStyle="1" w:styleId="Char2">
    <w:name w:val="Κείμενο υποσημείωσης Char"/>
    <w:basedOn w:val="a0"/>
    <w:link w:val="a8"/>
    <w:uiPriority w:val="99"/>
    <w:semiHidden/>
    <w:rsid w:val="00F108DF"/>
    <w:rPr>
      <w:lang w:val="en-GB" w:eastAsia="en-US"/>
    </w:rPr>
  </w:style>
  <w:style w:type="character" w:styleId="a9">
    <w:name w:val="footnote reference"/>
    <w:basedOn w:val="a0"/>
    <w:uiPriority w:val="99"/>
    <w:semiHidden/>
    <w:unhideWhenUsed/>
    <w:rsid w:val="00F108DF"/>
    <w:rPr>
      <w:vertAlign w:val="superscript"/>
    </w:rPr>
  </w:style>
  <w:style w:type="table" w:styleId="aa">
    <w:name w:val="Table Grid"/>
    <w:basedOn w:val="a1"/>
    <w:uiPriority w:val="59"/>
    <w:rsid w:val="001B06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E67050"/>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b">
    <w:name w:val="Plain Text"/>
    <w:basedOn w:val="a"/>
    <w:link w:val="Char3"/>
    <w:uiPriority w:val="99"/>
    <w:unhideWhenUsed/>
    <w:rsid w:val="00E208AE"/>
    <w:pPr>
      <w:spacing w:after="0" w:line="240" w:lineRule="auto"/>
    </w:pPr>
    <w:rPr>
      <w:rFonts w:ascii="Consolas" w:hAnsi="Consolas"/>
      <w:sz w:val="21"/>
      <w:szCs w:val="21"/>
    </w:rPr>
  </w:style>
  <w:style w:type="character" w:customStyle="1" w:styleId="Char3">
    <w:name w:val="Απλό κείμενο Char"/>
    <w:basedOn w:val="a0"/>
    <w:link w:val="ab"/>
    <w:uiPriority w:val="99"/>
    <w:rsid w:val="00E208AE"/>
    <w:rPr>
      <w:rFonts w:ascii="Consolas" w:hAnsi="Consolas"/>
      <w:sz w:val="21"/>
      <w:szCs w:val="21"/>
      <w:lang w:val="en-GB"/>
    </w:rPr>
  </w:style>
  <w:style w:type="character" w:customStyle="1" w:styleId="3Char">
    <w:name w:val="Επικεφαλίδα 3 Char"/>
    <w:basedOn w:val="a0"/>
    <w:link w:val="3"/>
    <w:uiPriority w:val="9"/>
    <w:rsid w:val="006B4244"/>
    <w:rPr>
      <w:rFonts w:asciiTheme="majorHAnsi" w:eastAsiaTheme="majorEastAsia" w:hAnsiTheme="majorHAnsi" w:cstheme="majorBidi"/>
      <w:b/>
      <w:bCs/>
      <w:color w:val="4F81BD" w:themeColor="accent1"/>
      <w:sz w:val="22"/>
      <w:szCs w:val="22"/>
      <w:lang w:val="en-GB" w:eastAsia="en-US"/>
    </w:rPr>
  </w:style>
  <w:style w:type="paragraph" w:styleId="ac">
    <w:name w:val="Revision"/>
    <w:hidden/>
    <w:uiPriority w:val="99"/>
    <w:semiHidden/>
    <w:rsid w:val="000346AE"/>
    <w:rPr>
      <w:sz w:val="22"/>
      <w:szCs w:val="22"/>
      <w:lang w:val="en-GB" w:eastAsia="en-US"/>
    </w:rPr>
  </w:style>
  <w:style w:type="paragraph" w:styleId="ad">
    <w:name w:val="endnote text"/>
    <w:basedOn w:val="a"/>
    <w:link w:val="Char4"/>
    <w:uiPriority w:val="99"/>
    <w:semiHidden/>
    <w:unhideWhenUsed/>
    <w:rsid w:val="00E77436"/>
    <w:pPr>
      <w:spacing w:after="0" w:line="240" w:lineRule="auto"/>
    </w:pPr>
    <w:rPr>
      <w:sz w:val="20"/>
      <w:szCs w:val="20"/>
    </w:rPr>
  </w:style>
  <w:style w:type="character" w:customStyle="1" w:styleId="Char4">
    <w:name w:val="Κείμενο σημείωσης τέλους Char"/>
    <w:basedOn w:val="a0"/>
    <w:link w:val="ad"/>
    <w:uiPriority w:val="99"/>
    <w:semiHidden/>
    <w:rsid w:val="00E77436"/>
    <w:rPr>
      <w:lang w:val="en-GB" w:eastAsia="en-US"/>
    </w:rPr>
  </w:style>
  <w:style w:type="character" w:styleId="ae">
    <w:name w:val="endnote reference"/>
    <w:basedOn w:val="a0"/>
    <w:uiPriority w:val="99"/>
    <w:semiHidden/>
    <w:unhideWhenUsed/>
    <w:rsid w:val="00E77436"/>
    <w:rPr>
      <w:vertAlign w:val="superscript"/>
    </w:rPr>
  </w:style>
</w:styles>
</file>

<file path=word/webSettings.xml><?xml version="1.0" encoding="utf-8"?>
<w:webSettings xmlns:r="http://schemas.openxmlformats.org/officeDocument/2006/relationships" xmlns:w="http://schemas.openxmlformats.org/wordprocessingml/2006/main">
  <w:divs>
    <w:div w:id="419644991">
      <w:bodyDiv w:val="1"/>
      <w:marLeft w:val="0"/>
      <w:marRight w:val="0"/>
      <w:marTop w:val="0"/>
      <w:marBottom w:val="0"/>
      <w:divBdr>
        <w:top w:val="none" w:sz="0" w:space="0" w:color="auto"/>
        <w:left w:val="none" w:sz="0" w:space="0" w:color="auto"/>
        <w:bottom w:val="none" w:sz="0" w:space="0" w:color="auto"/>
        <w:right w:val="none" w:sz="0" w:space="0" w:color="auto"/>
      </w:divBdr>
    </w:div>
    <w:div w:id="693581953">
      <w:bodyDiv w:val="1"/>
      <w:marLeft w:val="0"/>
      <w:marRight w:val="0"/>
      <w:marTop w:val="0"/>
      <w:marBottom w:val="0"/>
      <w:divBdr>
        <w:top w:val="none" w:sz="0" w:space="0" w:color="auto"/>
        <w:left w:val="none" w:sz="0" w:space="0" w:color="auto"/>
        <w:bottom w:val="none" w:sz="0" w:space="0" w:color="auto"/>
        <w:right w:val="none" w:sz="0" w:space="0" w:color="auto"/>
      </w:divBdr>
    </w:div>
    <w:div w:id="872812455">
      <w:bodyDiv w:val="1"/>
      <w:marLeft w:val="0"/>
      <w:marRight w:val="0"/>
      <w:marTop w:val="0"/>
      <w:marBottom w:val="0"/>
      <w:divBdr>
        <w:top w:val="none" w:sz="0" w:space="0" w:color="auto"/>
        <w:left w:val="none" w:sz="0" w:space="0" w:color="auto"/>
        <w:bottom w:val="none" w:sz="0" w:space="0" w:color="auto"/>
        <w:right w:val="none" w:sz="0" w:space="0" w:color="auto"/>
      </w:divBdr>
    </w:div>
    <w:div w:id="962350205">
      <w:bodyDiv w:val="1"/>
      <w:marLeft w:val="0"/>
      <w:marRight w:val="0"/>
      <w:marTop w:val="0"/>
      <w:marBottom w:val="0"/>
      <w:divBdr>
        <w:top w:val="none" w:sz="0" w:space="0" w:color="auto"/>
        <w:left w:val="none" w:sz="0" w:space="0" w:color="auto"/>
        <w:bottom w:val="none" w:sz="0" w:space="0" w:color="auto"/>
        <w:right w:val="none" w:sz="0" w:space="0" w:color="auto"/>
      </w:divBdr>
    </w:div>
    <w:div w:id="1146630683">
      <w:bodyDiv w:val="1"/>
      <w:marLeft w:val="0"/>
      <w:marRight w:val="0"/>
      <w:marTop w:val="0"/>
      <w:marBottom w:val="0"/>
      <w:divBdr>
        <w:top w:val="none" w:sz="0" w:space="0" w:color="auto"/>
        <w:left w:val="none" w:sz="0" w:space="0" w:color="auto"/>
        <w:bottom w:val="none" w:sz="0" w:space="0" w:color="auto"/>
        <w:right w:val="none" w:sz="0" w:space="0" w:color="auto"/>
      </w:divBdr>
    </w:div>
    <w:div w:id="1260674491">
      <w:bodyDiv w:val="1"/>
      <w:marLeft w:val="0"/>
      <w:marRight w:val="0"/>
      <w:marTop w:val="0"/>
      <w:marBottom w:val="0"/>
      <w:divBdr>
        <w:top w:val="none" w:sz="0" w:space="0" w:color="auto"/>
        <w:left w:val="none" w:sz="0" w:space="0" w:color="auto"/>
        <w:bottom w:val="none" w:sz="0" w:space="0" w:color="auto"/>
        <w:right w:val="none" w:sz="0" w:space="0" w:color="auto"/>
      </w:divBdr>
    </w:div>
    <w:div w:id="1314287457">
      <w:bodyDiv w:val="1"/>
      <w:marLeft w:val="0"/>
      <w:marRight w:val="0"/>
      <w:marTop w:val="0"/>
      <w:marBottom w:val="0"/>
      <w:divBdr>
        <w:top w:val="none" w:sz="0" w:space="0" w:color="auto"/>
        <w:left w:val="none" w:sz="0" w:space="0" w:color="auto"/>
        <w:bottom w:val="none" w:sz="0" w:space="0" w:color="auto"/>
        <w:right w:val="none" w:sz="0" w:space="0" w:color="auto"/>
      </w:divBdr>
    </w:div>
    <w:div w:id="1554805055">
      <w:bodyDiv w:val="1"/>
      <w:marLeft w:val="0"/>
      <w:marRight w:val="0"/>
      <w:marTop w:val="0"/>
      <w:marBottom w:val="0"/>
      <w:divBdr>
        <w:top w:val="none" w:sz="0" w:space="0" w:color="auto"/>
        <w:left w:val="none" w:sz="0" w:space="0" w:color="auto"/>
        <w:bottom w:val="none" w:sz="0" w:space="0" w:color="auto"/>
        <w:right w:val="none" w:sz="0" w:space="0" w:color="auto"/>
      </w:divBdr>
    </w:div>
    <w:div w:id="1697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FE4AC-5283-4964-8D32-625EFC20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2011</Words>
  <Characters>11464</Characters>
  <Application>Microsoft Office Word</Application>
  <DocSecurity>0</DocSecurity>
  <Lines>95</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Εθνική Τράπεζα της Ελλάδος</Company>
  <LinksUpToDate>false</LinksUpToDate>
  <CharactersWithSpaces>13449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mkanellopoulou@nbg.gr</dc:creator>
  <cp:lastModifiedBy>User</cp:lastModifiedBy>
  <cp:revision>2</cp:revision>
  <cp:lastPrinted>2016-08-31T13:53:00Z</cp:lastPrinted>
  <dcterms:created xsi:type="dcterms:W3CDTF">2016-08-31T15:39:00Z</dcterms:created>
  <dcterms:modified xsi:type="dcterms:W3CDTF">2016-08-31T15:39:00Z</dcterms:modified>
</cp:coreProperties>
</file>